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drawings/drawing1.xml" ContentType="application/vnd.openxmlformats-officedocument.drawingml.chartshapes+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5C6" w:rsidRPr="006605D3" w:rsidRDefault="003D45C6" w:rsidP="004D24A1">
      <w:pPr>
        <w:overflowPunct w:val="0"/>
        <w:autoSpaceDE w:val="0"/>
        <w:autoSpaceDN w:val="0"/>
        <w:adjustRightInd w:val="0"/>
        <w:spacing w:after="0"/>
        <w:jc w:val="center"/>
        <w:textAlignment w:val="baseline"/>
      </w:pPr>
    </w:p>
    <w:p w:rsidR="003D45C6" w:rsidRPr="003D45C6" w:rsidRDefault="003D45C6" w:rsidP="004D24A1">
      <w:pPr>
        <w:tabs>
          <w:tab w:val="left" w:pos="1320"/>
        </w:tabs>
        <w:overflowPunct w:val="0"/>
        <w:autoSpaceDE w:val="0"/>
        <w:autoSpaceDN w:val="0"/>
        <w:adjustRightInd w:val="0"/>
        <w:spacing w:after="0"/>
        <w:textAlignment w:val="baseline"/>
        <w:rPr>
          <w:rFonts w:ascii="Times New Roman" w:eastAsia="Times New Roman" w:hAnsi="Times New Roman"/>
          <w:b/>
          <w:sz w:val="28"/>
          <w:szCs w:val="28"/>
        </w:rPr>
      </w:pPr>
      <w:r w:rsidRPr="003D45C6">
        <w:rPr>
          <w:rFonts w:ascii="Times New Roman" w:eastAsia="Times New Roman" w:hAnsi="Times New Roman"/>
          <w:b/>
          <w:sz w:val="28"/>
          <w:szCs w:val="28"/>
        </w:rPr>
        <w:tab/>
      </w:r>
    </w:p>
    <w:p w:rsidR="003D45C6" w:rsidRPr="003D45C6" w:rsidRDefault="003D45C6" w:rsidP="004D24A1">
      <w:pPr>
        <w:overflowPunct w:val="0"/>
        <w:autoSpaceDE w:val="0"/>
        <w:autoSpaceDN w:val="0"/>
        <w:adjustRightInd w:val="0"/>
        <w:spacing w:after="0"/>
        <w:textAlignment w:val="baseline"/>
        <w:rPr>
          <w:rFonts w:ascii="Times New Roman" w:eastAsia="Times New Roman" w:hAnsi="Times New Roman"/>
          <w:b/>
          <w:sz w:val="28"/>
          <w:szCs w:val="28"/>
        </w:rPr>
      </w:pPr>
    </w:p>
    <w:p w:rsidR="003D45C6" w:rsidRPr="003D45C6" w:rsidRDefault="003D45C6" w:rsidP="004D24A1">
      <w:pPr>
        <w:overflowPunct w:val="0"/>
        <w:autoSpaceDE w:val="0"/>
        <w:autoSpaceDN w:val="0"/>
        <w:adjustRightInd w:val="0"/>
        <w:spacing w:after="0"/>
        <w:textAlignment w:val="baseline"/>
        <w:rPr>
          <w:rFonts w:ascii="Times New Roman" w:eastAsia="Times New Roman" w:hAnsi="Times New Roman"/>
          <w:b/>
          <w:sz w:val="28"/>
          <w:szCs w:val="28"/>
        </w:rPr>
      </w:pPr>
    </w:p>
    <w:p w:rsidR="003D45C6" w:rsidRPr="003D45C6" w:rsidRDefault="003D45C6" w:rsidP="004D24A1">
      <w:pPr>
        <w:overflowPunct w:val="0"/>
        <w:autoSpaceDE w:val="0"/>
        <w:autoSpaceDN w:val="0"/>
        <w:adjustRightInd w:val="0"/>
        <w:spacing w:after="0"/>
        <w:jc w:val="center"/>
        <w:textAlignment w:val="baseline"/>
        <w:rPr>
          <w:rFonts w:ascii="Times New Roman" w:eastAsia="Times New Roman" w:hAnsi="Times New Roman"/>
          <w:b/>
          <w:sz w:val="28"/>
          <w:szCs w:val="28"/>
        </w:rPr>
      </w:pPr>
    </w:p>
    <w:p w:rsidR="003D45C6" w:rsidRPr="003D45C6" w:rsidRDefault="003D45C6" w:rsidP="004D24A1">
      <w:pPr>
        <w:autoSpaceDE w:val="0"/>
        <w:autoSpaceDN w:val="0"/>
        <w:adjustRightInd w:val="0"/>
        <w:spacing w:after="0"/>
        <w:jc w:val="center"/>
        <w:rPr>
          <w:rFonts w:ascii="Times New Roman" w:eastAsia="Times New Roman" w:hAnsi="Times New Roman"/>
          <w:b/>
          <w:bCs/>
          <w:sz w:val="72"/>
          <w:szCs w:val="72"/>
          <w:lang w:eastAsia="bg-BG"/>
        </w:rPr>
      </w:pPr>
      <w:r w:rsidRPr="003D45C6">
        <w:rPr>
          <w:rFonts w:ascii="Times New Roman" w:eastAsia="Times New Roman" w:hAnsi="Times New Roman"/>
          <w:b/>
          <w:bCs/>
          <w:sz w:val="72"/>
          <w:szCs w:val="72"/>
          <w:lang w:eastAsia="bg-BG"/>
        </w:rPr>
        <w:t xml:space="preserve">ОТЧЕТЕН ДОКЛАД </w:t>
      </w:r>
    </w:p>
    <w:p w:rsidR="003D45C6" w:rsidRPr="003D45C6" w:rsidRDefault="003D45C6" w:rsidP="004D24A1">
      <w:pPr>
        <w:autoSpaceDE w:val="0"/>
        <w:autoSpaceDN w:val="0"/>
        <w:adjustRightInd w:val="0"/>
        <w:spacing w:after="0"/>
        <w:jc w:val="center"/>
        <w:rPr>
          <w:rFonts w:ascii="Times New Roman" w:eastAsia="Times New Roman" w:hAnsi="Times New Roman"/>
          <w:b/>
          <w:bCs/>
          <w:sz w:val="72"/>
          <w:szCs w:val="72"/>
          <w:lang w:eastAsia="bg-BG"/>
        </w:rPr>
      </w:pPr>
      <w:r w:rsidRPr="003D45C6">
        <w:rPr>
          <w:rFonts w:ascii="Times New Roman" w:eastAsia="Times New Roman" w:hAnsi="Times New Roman"/>
          <w:b/>
          <w:bCs/>
          <w:sz w:val="72"/>
          <w:szCs w:val="72"/>
          <w:lang w:eastAsia="bg-BG"/>
        </w:rPr>
        <w:t>ЗА ДЕЙНОСТТА НА</w:t>
      </w:r>
    </w:p>
    <w:p w:rsidR="003D45C6" w:rsidRPr="003D45C6" w:rsidRDefault="003D45C6" w:rsidP="004D24A1">
      <w:pPr>
        <w:autoSpaceDE w:val="0"/>
        <w:autoSpaceDN w:val="0"/>
        <w:adjustRightInd w:val="0"/>
        <w:spacing w:after="0"/>
        <w:jc w:val="center"/>
        <w:rPr>
          <w:rFonts w:ascii="Times New Roman" w:eastAsia="Times New Roman" w:hAnsi="Times New Roman"/>
          <w:b/>
          <w:bCs/>
          <w:sz w:val="72"/>
          <w:szCs w:val="72"/>
          <w:lang w:eastAsia="bg-BG"/>
        </w:rPr>
      </w:pPr>
      <w:r w:rsidRPr="003D45C6">
        <w:rPr>
          <w:rFonts w:ascii="Times New Roman" w:eastAsia="Times New Roman" w:hAnsi="Times New Roman"/>
          <w:b/>
          <w:bCs/>
          <w:sz w:val="72"/>
          <w:szCs w:val="72"/>
          <w:lang w:eastAsia="bg-BG"/>
        </w:rPr>
        <w:t>СОФИЙСКА ГРАДСКА ПРОКУРАТУРА</w:t>
      </w:r>
    </w:p>
    <w:p w:rsidR="003D45C6" w:rsidRPr="003D45C6" w:rsidRDefault="003D45C6" w:rsidP="004D24A1">
      <w:pPr>
        <w:autoSpaceDE w:val="0"/>
        <w:autoSpaceDN w:val="0"/>
        <w:adjustRightInd w:val="0"/>
        <w:spacing w:after="0"/>
        <w:jc w:val="center"/>
        <w:rPr>
          <w:rFonts w:ascii="Times New Roman" w:eastAsia="Times New Roman" w:hAnsi="Times New Roman"/>
          <w:b/>
          <w:bCs/>
          <w:sz w:val="72"/>
          <w:szCs w:val="72"/>
          <w:lang w:eastAsia="bg-BG"/>
        </w:rPr>
      </w:pPr>
      <w:r w:rsidRPr="003D45C6">
        <w:rPr>
          <w:rFonts w:ascii="Times New Roman" w:eastAsia="Times New Roman" w:hAnsi="Times New Roman"/>
          <w:b/>
          <w:bCs/>
          <w:sz w:val="72"/>
          <w:szCs w:val="72"/>
          <w:lang w:eastAsia="bg-BG"/>
        </w:rPr>
        <w:t>И</w:t>
      </w:r>
    </w:p>
    <w:p w:rsidR="003D45C6" w:rsidRPr="003D45C6" w:rsidRDefault="003D45C6" w:rsidP="004D24A1">
      <w:pPr>
        <w:autoSpaceDE w:val="0"/>
        <w:autoSpaceDN w:val="0"/>
        <w:adjustRightInd w:val="0"/>
        <w:spacing w:after="0"/>
        <w:jc w:val="center"/>
        <w:rPr>
          <w:rFonts w:ascii="Times New Roman" w:eastAsia="Times New Roman" w:hAnsi="Times New Roman"/>
          <w:b/>
          <w:bCs/>
          <w:sz w:val="72"/>
          <w:szCs w:val="72"/>
          <w:lang w:eastAsia="bg-BG"/>
        </w:rPr>
      </w:pPr>
      <w:r w:rsidRPr="003D45C6">
        <w:rPr>
          <w:rFonts w:ascii="Times New Roman" w:eastAsia="Times New Roman" w:hAnsi="Times New Roman"/>
          <w:b/>
          <w:bCs/>
          <w:sz w:val="72"/>
          <w:szCs w:val="72"/>
          <w:lang w:eastAsia="bg-BG"/>
        </w:rPr>
        <w:t>СОФИЙСКА РАЙОННА ПРОКУРАТУРА</w:t>
      </w:r>
    </w:p>
    <w:p w:rsidR="003D45C6" w:rsidRPr="003D45C6" w:rsidRDefault="003D45C6" w:rsidP="004D24A1">
      <w:pPr>
        <w:autoSpaceDE w:val="0"/>
        <w:autoSpaceDN w:val="0"/>
        <w:adjustRightInd w:val="0"/>
        <w:spacing w:after="0"/>
        <w:jc w:val="center"/>
        <w:rPr>
          <w:rFonts w:ascii="Times New Roman" w:eastAsia="Times New Roman" w:hAnsi="Times New Roman"/>
          <w:b/>
          <w:bCs/>
          <w:sz w:val="72"/>
          <w:szCs w:val="72"/>
          <w:lang w:eastAsia="bg-BG"/>
        </w:rPr>
      </w:pPr>
      <w:r w:rsidRPr="003D45C6">
        <w:rPr>
          <w:rFonts w:ascii="Times New Roman" w:eastAsia="Times New Roman" w:hAnsi="Times New Roman"/>
          <w:b/>
          <w:bCs/>
          <w:sz w:val="72"/>
          <w:szCs w:val="72"/>
          <w:lang w:eastAsia="bg-BG"/>
        </w:rPr>
        <w:t>ЗА</w:t>
      </w:r>
    </w:p>
    <w:p w:rsidR="003D45C6" w:rsidRPr="003D45C6" w:rsidRDefault="00C85317" w:rsidP="004D24A1">
      <w:pPr>
        <w:autoSpaceDE w:val="0"/>
        <w:autoSpaceDN w:val="0"/>
        <w:adjustRightInd w:val="0"/>
        <w:spacing w:after="0"/>
        <w:jc w:val="center"/>
        <w:rPr>
          <w:rFonts w:ascii="Times New Roman" w:eastAsia="Times New Roman" w:hAnsi="Times New Roman"/>
          <w:b/>
          <w:bCs/>
          <w:sz w:val="72"/>
          <w:szCs w:val="72"/>
          <w:lang w:eastAsia="bg-BG"/>
        </w:rPr>
      </w:pPr>
      <w:r>
        <w:rPr>
          <w:rFonts w:ascii="Times New Roman" w:eastAsia="Times New Roman" w:hAnsi="Times New Roman"/>
          <w:b/>
          <w:bCs/>
          <w:sz w:val="72"/>
          <w:szCs w:val="72"/>
          <w:lang w:eastAsia="bg-BG"/>
        </w:rPr>
        <w:t>202</w:t>
      </w:r>
      <w:r w:rsidR="00AC7557">
        <w:rPr>
          <w:rFonts w:ascii="Times New Roman" w:eastAsia="Times New Roman" w:hAnsi="Times New Roman"/>
          <w:b/>
          <w:bCs/>
          <w:sz w:val="72"/>
          <w:szCs w:val="72"/>
          <w:lang w:eastAsia="bg-BG"/>
        </w:rPr>
        <w:t>1</w:t>
      </w:r>
      <w:r w:rsidR="003D45C6" w:rsidRPr="003D45C6">
        <w:rPr>
          <w:rFonts w:ascii="Times New Roman" w:eastAsia="Times New Roman" w:hAnsi="Times New Roman"/>
          <w:b/>
          <w:bCs/>
          <w:sz w:val="72"/>
          <w:szCs w:val="72"/>
          <w:lang w:eastAsia="bg-BG"/>
        </w:rPr>
        <w:t xml:space="preserve"> г.</w:t>
      </w:r>
    </w:p>
    <w:p w:rsidR="003D45C6" w:rsidRPr="003D45C6" w:rsidRDefault="003D45C6" w:rsidP="004D24A1">
      <w:pPr>
        <w:autoSpaceDE w:val="0"/>
        <w:autoSpaceDN w:val="0"/>
        <w:adjustRightInd w:val="0"/>
        <w:spacing w:after="0"/>
        <w:jc w:val="both"/>
        <w:rPr>
          <w:rFonts w:ascii="Times New Roman" w:eastAsia="Times New Roman" w:hAnsi="Times New Roman"/>
          <w:b/>
          <w:bCs/>
          <w:sz w:val="32"/>
          <w:szCs w:val="32"/>
          <w:lang w:eastAsia="bg-BG"/>
        </w:rPr>
      </w:pPr>
    </w:p>
    <w:p w:rsidR="003D45C6" w:rsidRPr="003D45C6" w:rsidRDefault="003D45C6" w:rsidP="004D24A1">
      <w:pPr>
        <w:autoSpaceDE w:val="0"/>
        <w:autoSpaceDN w:val="0"/>
        <w:adjustRightInd w:val="0"/>
        <w:spacing w:after="0"/>
        <w:jc w:val="both"/>
        <w:rPr>
          <w:rFonts w:ascii="Times New Roman" w:eastAsia="Times New Roman" w:hAnsi="Times New Roman"/>
          <w:b/>
          <w:bCs/>
          <w:sz w:val="32"/>
          <w:szCs w:val="32"/>
          <w:lang w:eastAsia="bg-BG"/>
        </w:rPr>
      </w:pPr>
    </w:p>
    <w:p w:rsidR="003D45C6" w:rsidRPr="003D45C6" w:rsidRDefault="003D45C6" w:rsidP="004D24A1">
      <w:pPr>
        <w:autoSpaceDE w:val="0"/>
        <w:autoSpaceDN w:val="0"/>
        <w:adjustRightInd w:val="0"/>
        <w:spacing w:after="0"/>
        <w:jc w:val="both"/>
        <w:rPr>
          <w:rFonts w:ascii="Times New Roman" w:eastAsia="Times New Roman" w:hAnsi="Times New Roman"/>
          <w:b/>
          <w:bCs/>
          <w:sz w:val="32"/>
          <w:szCs w:val="32"/>
          <w:lang w:eastAsia="bg-BG"/>
        </w:rPr>
      </w:pPr>
    </w:p>
    <w:p w:rsidR="003D45C6" w:rsidRPr="003D45C6" w:rsidRDefault="003D45C6" w:rsidP="004D24A1">
      <w:pPr>
        <w:overflowPunct w:val="0"/>
        <w:autoSpaceDE w:val="0"/>
        <w:autoSpaceDN w:val="0"/>
        <w:adjustRightInd w:val="0"/>
        <w:spacing w:after="0"/>
        <w:jc w:val="center"/>
        <w:textAlignment w:val="baseline"/>
        <w:rPr>
          <w:rFonts w:ascii="Times New Roman" w:eastAsia="Times New Roman" w:hAnsi="Times New Roman"/>
          <w:b/>
          <w:sz w:val="28"/>
          <w:szCs w:val="28"/>
        </w:rPr>
      </w:pPr>
    </w:p>
    <w:p w:rsidR="003D45C6" w:rsidRPr="003D45C6" w:rsidRDefault="003D45C6" w:rsidP="004D24A1">
      <w:pPr>
        <w:autoSpaceDE w:val="0"/>
        <w:autoSpaceDN w:val="0"/>
        <w:adjustRightInd w:val="0"/>
        <w:spacing w:after="0"/>
        <w:jc w:val="both"/>
        <w:rPr>
          <w:rFonts w:ascii="Times New Roman" w:eastAsia="Times New Roman" w:hAnsi="Times New Roman"/>
          <w:b/>
          <w:bCs/>
          <w:sz w:val="32"/>
          <w:szCs w:val="32"/>
          <w:lang w:eastAsia="bg-BG"/>
        </w:rPr>
      </w:pPr>
    </w:p>
    <w:p w:rsidR="003D45C6" w:rsidRPr="003D45C6" w:rsidRDefault="003D45C6" w:rsidP="004D24A1">
      <w:pPr>
        <w:autoSpaceDE w:val="0"/>
        <w:autoSpaceDN w:val="0"/>
        <w:adjustRightInd w:val="0"/>
        <w:spacing w:after="0"/>
        <w:jc w:val="both"/>
        <w:rPr>
          <w:rFonts w:ascii="Times New Roman" w:eastAsia="Times New Roman" w:hAnsi="Times New Roman"/>
          <w:b/>
          <w:bCs/>
          <w:sz w:val="32"/>
          <w:szCs w:val="32"/>
          <w:lang w:eastAsia="bg-BG"/>
        </w:rPr>
      </w:pPr>
    </w:p>
    <w:p w:rsidR="00A46D50" w:rsidRPr="00185B2C" w:rsidRDefault="00A46D50" w:rsidP="00A46D50">
      <w:pPr>
        <w:autoSpaceDE w:val="0"/>
        <w:autoSpaceDN w:val="0"/>
        <w:adjustRightInd w:val="0"/>
        <w:spacing w:after="0"/>
        <w:jc w:val="both"/>
        <w:rPr>
          <w:rFonts w:ascii="Times New Roman" w:eastAsia="Times New Roman" w:hAnsi="Times New Roman"/>
          <w:b/>
          <w:bCs/>
          <w:lang w:eastAsia="bg-BG"/>
        </w:rPr>
      </w:pPr>
      <w:r w:rsidRPr="00185B2C">
        <w:rPr>
          <w:rFonts w:ascii="Times New Roman" w:eastAsia="Times New Roman" w:hAnsi="Times New Roman"/>
          <w:b/>
          <w:bCs/>
          <w:lang w:eastAsia="bg-BG"/>
        </w:rPr>
        <w:t>СЪДЪРЖАНИЕ:</w:t>
      </w:r>
    </w:p>
    <w:p w:rsidR="00A46D50" w:rsidRPr="00185B2C" w:rsidRDefault="00A46D50" w:rsidP="00A46D50">
      <w:pPr>
        <w:autoSpaceDE w:val="0"/>
        <w:autoSpaceDN w:val="0"/>
        <w:adjustRightInd w:val="0"/>
        <w:spacing w:after="0"/>
        <w:jc w:val="both"/>
        <w:rPr>
          <w:rFonts w:ascii="Times New Roman" w:eastAsia="Times New Roman" w:hAnsi="Times New Roman"/>
          <w:b/>
          <w:bCs/>
          <w:lang w:eastAsia="bg-BG"/>
        </w:rPr>
      </w:pPr>
    </w:p>
    <w:tbl>
      <w:tblPr>
        <w:tblW w:w="9923" w:type="dxa"/>
        <w:tblInd w:w="108" w:type="dxa"/>
        <w:tblLayout w:type="fixed"/>
        <w:tblLook w:val="01E0" w:firstRow="1" w:lastRow="1" w:firstColumn="1" w:lastColumn="1" w:noHBand="0" w:noVBand="0"/>
      </w:tblPr>
      <w:tblGrid>
        <w:gridCol w:w="9214"/>
        <w:gridCol w:w="709"/>
      </w:tblGrid>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b/>
                <w:bCs/>
                <w:lang w:eastAsia="bg-BG"/>
              </w:rPr>
              <w:t xml:space="preserve">РАЗДЕЛ І </w:t>
            </w: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bCs/>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ОБОБЩЕНИ ИЗВОДИ ЗА ДЕЙНОСТТА НА ПРОКУРАТУРАТА</w:t>
            </w: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p>
        </w:tc>
      </w:tr>
      <w:tr w:rsidR="00A46D50" w:rsidRPr="00185B2C" w:rsidTr="00A46D50">
        <w:trPr>
          <w:trHeight w:val="379"/>
        </w:trPr>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И РАЗСЛЕДВАЩИТЕ ОРГАНИ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3</w:t>
            </w:r>
          </w:p>
        </w:tc>
      </w:tr>
      <w:tr w:rsidR="00A46D50" w:rsidRPr="00185B2C" w:rsidTr="00A46D50">
        <w:tc>
          <w:tcPr>
            <w:tcW w:w="9214" w:type="dxa"/>
            <w:hideMark/>
          </w:tcPr>
          <w:p w:rsidR="00A46D50" w:rsidRPr="00185B2C" w:rsidRDefault="00A46D50" w:rsidP="00A46D50">
            <w:pPr>
              <w:autoSpaceDE w:val="0"/>
              <w:autoSpaceDN w:val="0"/>
              <w:adjustRightInd w:val="0"/>
              <w:spacing w:after="0"/>
              <w:jc w:val="both"/>
              <w:rPr>
                <w:rFonts w:ascii="Times New Roman" w:eastAsia="Times New Roman" w:hAnsi="Times New Roman"/>
                <w:lang w:eastAsia="bg-BG"/>
              </w:rPr>
            </w:pPr>
            <w:r w:rsidRPr="00185B2C">
              <w:rPr>
                <w:rFonts w:ascii="Times New Roman" w:eastAsia="Times New Roman" w:hAnsi="Times New Roman"/>
                <w:lang w:eastAsia="bg-BG"/>
              </w:rPr>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4</w:t>
            </w:r>
            <w:r w:rsidRPr="00185B2C">
              <w:rPr>
                <w:rFonts w:ascii="Times New Roman" w:eastAsia="Times New Roman" w:hAnsi="Times New Roman"/>
                <w:lang w:val="en-US" w:eastAsia="bg-BG"/>
              </w:rPr>
              <w:t xml:space="preserve"> </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2. Необходими мерки и законодателни промени</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1</w:t>
            </w:r>
            <w:r w:rsidRPr="00185B2C">
              <w:rPr>
                <w:rFonts w:ascii="Times New Roman" w:eastAsia="Times New Roman" w:hAnsi="Times New Roman"/>
                <w:lang w:val="en-US" w:eastAsia="bg-BG"/>
              </w:rPr>
              <w:t xml:space="preserve">2 </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b/>
                <w:bCs/>
                <w:lang w:eastAsia="bg-BG"/>
              </w:rPr>
            </w:pPr>
            <w:r w:rsidRPr="00185B2C">
              <w:rPr>
                <w:rFonts w:ascii="Times New Roman" w:eastAsia="Times New Roman" w:hAnsi="Times New Roman"/>
                <w:b/>
                <w:bCs/>
                <w:lang w:eastAsia="bg-BG"/>
              </w:rPr>
              <w:t xml:space="preserve">РАЗДЕЛ ІІ </w:t>
            </w: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bCs/>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ДЕЙНОСТ НА СГП и СРП </w:t>
            </w: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І. ДОСЪДЕБНА ФАЗА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1</w:t>
            </w:r>
            <w:r>
              <w:rPr>
                <w:rFonts w:ascii="Times New Roman" w:eastAsia="Times New Roman" w:hAnsi="Times New Roman"/>
                <w:lang w:eastAsia="bg-BG"/>
              </w:rPr>
              <w:t>6</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1. Преписки. </w:t>
            </w:r>
            <w:r w:rsidRPr="00185B2C">
              <w:rPr>
                <w:rFonts w:ascii="Times New Roman" w:eastAsia="Times New Roman" w:hAnsi="Times New Roman"/>
                <w:color w:val="000000"/>
                <w:lang w:eastAsia="bg-BG"/>
              </w:rPr>
              <w:t>Проверки по чл.145 ЗСВ – срочност, резултати, мерки</w:t>
            </w:r>
            <w:r w:rsidRPr="00185B2C">
              <w:rPr>
                <w:rFonts w:ascii="Times New Roman" w:eastAsia="Times New Roman" w:hAnsi="Times New Roman"/>
                <w:lang w:eastAsia="bg-BG"/>
              </w:rPr>
              <w:t xml:space="preserve">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1</w:t>
            </w:r>
            <w:r>
              <w:rPr>
                <w:rFonts w:ascii="Times New Roman" w:eastAsia="Times New Roman" w:hAnsi="Times New Roman"/>
                <w:lang w:eastAsia="bg-BG"/>
              </w:rPr>
              <w:t>6</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2. Следствен надзор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2</w:t>
            </w:r>
            <w:r>
              <w:rPr>
                <w:rFonts w:ascii="Times New Roman" w:eastAsia="Times New Roman" w:hAnsi="Times New Roman"/>
                <w:lang w:eastAsia="bg-BG"/>
              </w:rPr>
              <w:t>4</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2.1. Обобщени данни по видове досъдебни производства и съобразно систематиката </w:t>
            </w:r>
          </w:p>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на НК, вкл. по отношение на пострадалите лица и на ощетените юридически лица от престъпления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2</w:t>
            </w:r>
            <w:r>
              <w:rPr>
                <w:rFonts w:ascii="Times New Roman" w:eastAsia="Times New Roman" w:hAnsi="Times New Roman"/>
                <w:lang w:eastAsia="bg-BG"/>
              </w:rPr>
              <w:t>4</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2.2. Срочност на разследването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4</w:t>
            </w:r>
            <w:r>
              <w:rPr>
                <w:rFonts w:ascii="Times New Roman" w:eastAsia="Times New Roman" w:hAnsi="Times New Roman"/>
                <w:lang w:eastAsia="bg-BG"/>
              </w:rPr>
              <w:t>2</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2.3. Решени досъдебни производства от прокурор. Видове решения </w:t>
            </w:r>
          </w:p>
        </w:tc>
        <w:tc>
          <w:tcPr>
            <w:tcW w:w="709" w:type="dxa"/>
            <w:vAlign w:val="bottom"/>
            <w:hideMark/>
          </w:tcPr>
          <w:p w:rsidR="00A46D50" w:rsidRPr="00DC4689"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4</w:t>
            </w:r>
            <w:r>
              <w:rPr>
                <w:rFonts w:ascii="Times New Roman" w:eastAsia="Times New Roman" w:hAnsi="Times New Roman"/>
                <w:lang w:val="en-US" w:eastAsia="bg-BG"/>
              </w:rPr>
              <w:t>4</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ІІ. СЪДЕБНА ФАЗА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5</w:t>
            </w:r>
            <w:r>
              <w:rPr>
                <w:rFonts w:ascii="Times New Roman" w:eastAsia="Times New Roman" w:hAnsi="Times New Roman"/>
                <w:lang w:eastAsia="bg-BG"/>
              </w:rPr>
              <w:t>3</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1. Наказателно-съдебен надзор</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5</w:t>
            </w:r>
            <w:r>
              <w:rPr>
                <w:rFonts w:ascii="Times New Roman" w:eastAsia="Times New Roman" w:hAnsi="Times New Roman"/>
                <w:lang w:eastAsia="bg-BG"/>
              </w:rPr>
              <w:t>3</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2. Постановени оправдателни присъди и върнати от съда дела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6</w:t>
            </w:r>
            <w:r>
              <w:rPr>
                <w:rFonts w:ascii="Times New Roman" w:eastAsia="Times New Roman" w:hAnsi="Times New Roman"/>
                <w:lang w:eastAsia="bg-BG"/>
              </w:rPr>
              <w:t>1</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3. Гражданско-съдебен надзор</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7</w:t>
            </w:r>
            <w:r>
              <w:rPr>
                <w:rFonts w:ascii="Times New Roman" w:eastAsia="Times New Roman" w:hAnsi="Times New Roman"/>
                <w:lang w:eastAsia="bg-BG"/>
              </w:rPr>
              <w:t>4</w:t>
            </w:r>
          </w:p>
        </w:tc>
      </w:tr>
      <w:tr w:rsidR="00A46D50" w:rsidRPr="00185B2C" w:rsidTr="00A46D50">
        <w:tc>
          <w:tcPr>
            <w:tcW w:w="9214" w:type="dxa"/>
            <w:hideMark/>
          </w:tcPr>
          <w:p w:rsidR="00A46D50" w:rsidRPr="00185B2C" w:rsidRDefault="00A46D50" w:rsidP="00A46D50">
            <w:pPr>
              <w:tabs>
                <w:tab w:val="left" w:pos="9673"/>
              </w:tabs>
              <w:autoSpaceDE w:val="0"/>
              <w:autoSpaceDN w:val="0"/>
              <w:adjustRightInd w:val="0"/>
              <w:spacing w:after="0"/>
              <w:ind w:right="-392"/>
              <w:rPr>
                <w:rFonts w:ascii="Times New Roman" w:eastAsia="Times New Roman" w:hAnsi="Times New Roman"/>
                <w:lang w:eastAsia="bg-BG"/>
              </w:rPr>
            </w:pPr>
            <w:r w:rsidRPr="00185B2C">
              <w:rPr>
                <w:rFonts w:ascii="Times New Roman" w:eastAsia="Times New Roman" w:hAnsi="Times New Roman"/>
                <w:lang w:eastAsia="bg-BG"/>
              </w:rPr>
              <w:t xml:space="preserve">4. Осъдителни решения срещу Прокуратурата на РБ на основание ЗОДОВ.                                        </w:t>
            </w:r>
          </w:p>
          <w:p w:rsidR="00A46D50" w:rsidRPr="00185B2C" w:rsidRDefault="00A46D50" w:rsidP="00A46D50">
            <w:pPr>
              <w:autoSpaceDE w:val="0"/>
              <w:autoSpaceDN w:val="0"/>
              <w:adjustRightInd w:val="0"/>
              <w:spacing w:after="0"/>
              <w:rPr>
                <w:rFonts w:ascii="Times New Roman" w:eastAsia="Times New Roman" w:hAnsi="Times New Roman"/>
                <w:lang w:val="ru-RU" w:eastAsia="bg-BG"/>
              </w:rPr>
            </w:pPr>
            <w:r w:rsidRPr="00185B2C">
              <w:rPr>
                <w:rFonts w:ascii="Times New Roman" w:eastAsia="Times New Roman" w:hAnsi="Times New Roman" w:hint="eastAsia"/>
                <w:lang w:val="ru-RU" w:eastAsia="bg-BG"/>
              </w:rPr>
              <w:t>Изпълнение</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на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индивидуални</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и</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общи</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мерки</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във</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връзка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с</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решенията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на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Европейския</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съд</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по</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правата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на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човека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по</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дела</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срещу</w:t>
            </w:r>
            <w:r w:rsidRPr="00185B2C">
              <w:rPr>
                <w:rFonts w:ascii="Times New Roman" w:eastAsia="Times New Roman" w:hAnsi="Times New Roman"/>
                <w:lang w:val="ru-RU" w:eastAsia="bg-BG"/>
              </w:rPr>
              <w:t xml:space="preserve"> </w:t>
            </w:r>
            <w:r w:rsidRPr="00185B2C">
              <w:rPr>
                <w:rFonts w:ascii="Times New Roman" w:eastAsia="Times New Roman" w:hAnsi="Times New Roman" w:hint="eastAsia"/>
                <w:lang w:val="ru-RU" w:eastAsia="bg-BG"/>
              </w:rPr>
              <w:t>България</w:t>
            </w:r>
            <w:r w:rsidRPr="00185B2C">
              <w:rPr>
                <w:rFonts w:ascii="Times New Roman" w:eastAsia="Times New Roman" w:hAnsi="Times New Roman"/>
                <w:lang w:val="ru-RU" w:eastAsia="bg-BG"/>
              </w:rPr>
              <w:t xml:space="preserve">.                                                                   </w:t>
            </w:r>
          </w:p>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sidRPr="00185B2C">
              <w:rPr>
                <w:rFonts w:ascii="Times New Roman" w:eastAsia="Times New Roman" w:hAnsi="Times New Roman"/>
                <w:lang w:eastAsia="bg-BG"/>
              </w:rPr>
              <w:t>8</w:t>
            </w:r>
            <w:r>
              <w:rPr>
                <w:rFonts w:ascii="Times New Roman" w:eastAsia="Times New Roman" w:hAnsi="Times New Roman"/>
                <w:lang w:eastAsia="bg-BG"/>
              </w:rPr>
              <w:t>1</w:t>
            </w: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5. Изпълнение на наказанията и другите принудителни мерки </w:t>
            </w:r>
          </w:p>
        </w:tc>
        <w:tc>
          <w:tcPr>
            <w:tcW w:w="709" w:type="dxa"/>
            <w:vAlign w:val="bottom"/>
            <w:hideMark/>
          </w:tcPr>
          <w:p w:rsidR="00A46D50" w:rsidRPr="00185B2C" w:rsidRDefault="00A46D50" w:rsidP="00A46D50">
            <w:pPr>
              <w:autoSpaceDE w:val="0"/>
              <w:autoSpaceDN w:val="0"/>
              <w:adjustRightInd w:val="0"/>
              <w:spacing w:after="0"/>
              <w:jc w:val="right"/>
              <w:rPr>
                <w:rFonts w:ascii="Times New Roman" w:eastAsia="Times New Roman" w:hAnsi="Times New Roman"/>
                <w:lang w:eastAsia="bg-BG"/>
              </w:rPr>
            </w:pPr>
            <w:r>
              <w:rPr>
                <w:rFonts w:ascii="Times New Roman" w:eastAsia="Times New Roman" w:hAnsi="Times New Roman"/>
                <w:lang w:eastAsia="bg-BG"/>
              </w:rPr>
              <w:t>88</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jc w:val="both"/>
              <w:rPr>
                <w:rFonts w:ascii="Times New Roman" w:eastAsia="Times New Roman" w:hAnsi="Times New Roman"/>
                <w:lang w:eastAsia="bg-BG"/>
              </w:rPr>
            </w:pPr>
            <w:r w:rsidRPr="00185B2C">
              <w:rPr>
                <w:rFonts w:ascii="Times New Roman" w:eastAsia="Times New Roman" w:hAnsi="Times New Roman"/>
                <w:lang w:eastAsia="bg-BG"/>
              </w:rPr>
              <w:t xml:space="preserve">ІІІ.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 </w:t>
            </w:r>
          </w:p>
        </w:tc>
        <w:tc>
          <w:tcPr>
            <w:tcW w:w="709" w:type="dxa"/>
            <w:vAlign w:val="bottom"/>
            <w:hideMark/>
          </w:tcPr>
          <w:p w:rsidR="00A46D50" w:rsidRPr="00DC4689"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1</w:t>
            </w:r>
            <w:r>
              <w:rPr>
                <w:rFonts w:ascii="Times New Roman" w:eastAsia="Times New Roman" w:hAnsi="Times New Roman"/>
                <w:lang w:eastAsia="bg-BG"/>
              </w:rPr>
              <w:t>0</w:t>
            </w:r>
            <w:r>
              <w:rPr>
                <w:rFonts w:ascii="Times New Roman" w:eastAsia="Times New Roman" w:hAnsi="Times New Roman"/>
                <w:lang w:val="en-US" w:eastAsia="bg-BG"/>
              </w:rPr>
              <w:t>4</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ІV. МЕЖДУНАРОДНО-ПРАВНО СЪТРУДНИЧЕСТВО </w:t>
            </w:r>
          </w:p>
        </w:tc>
        <w:tc>
          <w:tcPr>
            <w:tcW w:w="709" w:type="dxa"/>
            <w:vAlign w:val="bottom"/>
            <w:hideMark/>
          </w:tcPr>
          <w:p w:rsidR="00A46D50" w:rsidRPr="00DC4689"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13</w:t>
            </w:r>
            <w:r>
              <w:rPr>
                <w:rFonts w:ascii="Times New Roman" w:eastAsia="Times New Roman" w:hAnsi="Times New Roman"/>
                <w:lang w:val="en-US" w:eastAsia="bg-BG"/>
              </w:rPr>
              <w:t>5</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V. АДМИНИСТРАТИВНА И КОНТРОЛНО-РЕВИЗИОННА ДЕЙНОСТ </w:t>
            </w:r>
          </w:p>
        </w:tc>
        <w:tc>
          <w:tcPr>
            <w:tcW w:w="709" w:type="dxa"/>
            <w:vAlign w:val="bottom"/>
            <w:hideMark/>
          </w:tcPr>
          <w:p w:rsidR="00A46D50" w:rsidRPr="00DC4689"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1</w:t>
            </w:r>
            <w:r>
              <w:rPr>
                <w:rFonts w:ascii="Times New Roman" w:eastAsia="Times New Roman" w:hAnsi="Times New Roman"/>
                <w:lang w:eastAsia="bg-BG"/>
              </w:rPr>
              <w:t>4</w:t>
            </w:r>
            <w:r>
              <w:rPr>
                <w:rFonts w:ascii="Times New Roman" w:eastAsia="Times New Roman" w:hAnsi="Times New Roman"/>
                <w:lang w:val="en-US" w:eastAsia="bg-BG"/>
              </w:rPr>
              <w:t>6</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VІ. НАТОВАРЕНОСТ НА ПРОКУРОРСКИТЕ И НА СЛЕДСТВЕНИТЕ ОРГАНИ</w:t>
            </w:r>
          </w:p>
        </w:tc>
        <w:tc>
          <w:tcPr>
            <w:tcW w:w="709" w:type="dxa"/>
            <w:vAlign w:val="bottom"/>
            <w:hideMark/>
          </w:tcPr>
          <w:p w:rsidR="00A46D50" w:rsidRPr="00DC4689"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16</w:t>
            </w:r>
            <w:r>
              <w:rPr>
                <w:rFonts w:ascii="Times New Roman" w:eastAsia="Times New Roman" w:hAnsi="Times New Roman"/>
                <w:lang w:val="en-US" w:eastAsia="bg-BG"/>
              </w:rPr>
              <w:t>6</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b/>
                <w:bCs/>
                <w:lang w:eastAsia="bg-BG"/>
              </w:rPr>
            </w:pPr>
            <w:r w:rsidRPr="00185B2C">
              <w:rPr>
                <w:rFonts w:ascii="Times New Roman" w:eastAsia="Times New Roman" w:hAnsi="Times New Roman"/>
                <w:b/>
                <w:bCs/>
                <w:lang w:eastAsia="bg-BG"/>
              </w:rPr>
              <w:t>РАЗДЕЛ IV</w:t>
            </w: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bCs/>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 xml:space="preserve">АДМИНИСТРАТИВНО-СЪДЕБЕН НАДЗОР И НАДЗОР ЗА ЗАКОННОСТ </w:t>
            </w:r>
          </w:p>
          <w:p w:rsidR="00A46D50" w:rsidRPr="00185B2C" w:rsidRDefault="00A46D50" w:rsidP="00A46D50">
            <w:pPr>
              <w:autoSpaceDE w:val="0"/>
              <w:autoSpaceDN w:val="0"/>
              <w:adjustRightInd w:val="0"/>
              <w:spacing w:after="0"/>
              <w:rPr>
                <w:rFonts w:ascii="Times New Roman" w:eastAsia="Times New Roman" w:hAnsi="Times New Roman"/>
                <w:lang w:eastAsia="bg-BG"/>
              </w:rPr>
            </w:pPr>
            <w:r w:rsidRPr="00185B2C">
              <w:rPr>
                <w:rFonts w:ascii="Times New Roman" w:eastAsia="Times New Roman" w:hAnsi="Times New Roman"/>
                <w:lang w:eastAsia="bg-BG"/>
              </w:rPr>
              <w:t>Дейност на териториялните прокуратури.</w:t>
            </w:r>
          </w:p>
        </w:tc>
        <w:tc>
          <w:tcPr>
            <w:tcW w:w="709" w:type="dxa"/>
            <w:vAlign w:val="bottom"/>
            <w:hideMark/>
          </w:tcPr>
          <w:p w:rsidR="00A46D50" w:rsidRPr="00DC4689" w:rsidRDefault="00A46D50" w:rsidP="00A46D50">
            <w:pPr>
              <w:autoSpaceDE w:val="0"/>
              <w:autoSpaceDN w:val="0"/>
              <w:adjustRightInd w:val="0"/>
              <w:spacing w:after="0"/>
              <w:jc w:val="right"/>
              <w:rPr>
                <w:rFonts w:ascii="Times New Roman" w:eastAsia="Times New Roman" w:hAnsi="Times New Roman"/>
                <w:lang w:val="en-US" w:eastAsia="bg-BG"/>
              </w:rPr>
            </w:pPr>
            <w:r w:rsidRPr="00185B2C">
              <w:rPr>
                <w:rFonts w:ascii="Times New Roman" w:eastAsia="Times New Roman" w:hAnsi="Times New Roman"/>
                <w:lang w:eastAsia="bg-BG"/>
              </w:rPr>
              <w:t>17</w:t>
            </w:r>
            <w:r>
              <w:rPr>
                <w:rFonts w:ascii="Times New Roman" w:eastAsia="Times New Roman" w:hAnsi="Times New Roman"/>
                <w:lang w:val="en-US" w:eastAsia="bg-BG"/>
              </w:rPr>
              <w:t>5</w:t>
            </w:r>
          </w:p>
        </w:tc>
      </w:tr>
      <w:tr w:rsidR="00A46D50" w:rsidRPr="00185B2C" w:rsidTr="00A46D50">
        <w:tc>
          <w:tcPr>
            <w:tcW w:w="9214" w:type="dxa"/>
          </w:tcPr>
          <w:p w:rsidR="00A46D50" w:rsidRPr="00185B2C" w:rsidRDefault="00A46D50" w:rsidP="00A46D50">
            <w:pPr>
              <w:autoSpaceDE w:val="0"/>
              <w:autoSpaceDN w:val="0"/>
              <w:adjustRightInd w:val="0"/>
              <w:spacing w:after="0"/>
              <w:rPr>
                <w:rFonts w:ascii="Times New Roman" w:eastAsia="Times New Roman" w:hAnsi="Times New Roman"/>
                <w:lang w:eastAsia="bg-BG"/>
              </w:rPr>
            </w:pP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color w:val="FF0000"/>
                <w:lang w:eastAsia="bg-BG"/>
              </w:rPr>
            </w:pPr>
          </w:p>
        </w:tc>
      </w:tr>
      <w:tr w:rsidR="00A46D50" w:rsidRPr="00185B2C" w:rsidTr="00A46D50">
        <w:tc>
          <w:tcPr>
            <w:tcW w:w="9214" w:type="dxa"/>
            <w:hideMark/>
          </w:tcPr>
          <w:p w:rsidR="00A46D50" w:rsidRPr="00185B2C" w:rsidRDefault="00A46D50" w:rsidP="00A46D50">
            <w:pPr>
              <w:autoSpaceDE w:val="0"/>
              <w:autoSpaceDN w:val="0"/>
              <w:adjustRightInd w:val="0"/>
              <w:spacing w:after="0"/>
              <w:rPr>
                <w:rFonts w:ascii="Times New Roman" w:eastAsia="Times New Roman" w:hAnsi="Times New Roman"/>
                <w:b/>
                <w:bCs/>
                <w:lang w:eastAsia="bg-BG"/>
              </w:rPr>
            </w:pPr>
            <w:r w:rsidRPr="00185B2C">
              <w:rPr>
                <w:rFonts w:ascii="Times New Roman" w:eastAsia="Times New Roman" w:hAnsi="Times New Roman"/>
                <w:b/>
                <w:bCs/>
                <w:lang w:eastAsia="bg-BG"/>
              </w:rPr>
              <w:t>РАЗДЕЛ VII</w:t>
            </w:r>
          </w:p>
        </w:tc>
        <w:tc>
          <w:tcPr>
            <w:tcW w:w="709" w:type="dxa"/>
            <w:vAlign w:val="bottom"/>
          </w:tcPr>
          <w:p w:rsidR="00A46D50" w:rsidRPr="00185B2C" w:rsidRDefault="00A46D50" w:rsidP="00A46D50">
            <w:pPr>
              <w:autoSpaceDE w:val="0"/>
              <w:autoSpaceDN w:val="0"/>
              <w:adjustRightInd w:val="0"/>
              <w:spacing w:after="0"/>
              <w:jc w:val="right"/>
              <w:rPr>
                <w:rFonts w:ascii="Times New Roman" w:eastAsia="Times New Roman" w:hAnsi="Times New Roman"/>
                <w:bCs/>
                <w:color w:val="FF0000"/>
                <w:lang w:eastAsia="bg-BG"/>
              </w:rPr>
            </w:pPr>
          </w:p>
        </w:tc>
      </w:tr>
      <w:tr w:rsidR="00A46D50" w:rsidRPr="00185B2C" w:rsidTr="00A46D50">
        <w:tc>
          <w:tcPr>
            <w:tcW w:w="9214" w:type="dxa"/>
            <w:hideMark/>
          </w:tcPr>
          <w:p w:rsidR="00A46D50" w:rsidRPr="00185B2C" w:rsidRDefault="00A46D50" w:rsidP="00A46D50">
            <w:pPr>
              <w:overflowPunct w:val="0"/>
              <w:autoSpaceDE w:val="0"/>
              <w:autoSpaceDN w:val="0"/>
              <w:adjustRightInd w:val="0"/>
              <w:spacing w:after="0"/>
              <w:jc w:val="both"/>
              <w:textAlignment w:val="baseline"/>
              <w:rPr>
                <w:rFonts w:ascii="Hebar" w:eastAsia="Times New Roman" w:hAnsi="Hebar"/>
                <w:lang w:val="en-US"/>
              </w:rPr>
            </w:pPr>
            <w:r w:rsidRPr="00185B2C">
              <w:rPr>
                <w:rFonts w:ascii="Times New Roman" w:eastAsia="Times New Roman" w:hAnsi="Times New Roman"/>
                <w:lang w:val="en-US"/>
              </w:rPr>
              <w:t>ПРИОРИТЕТИ В ДЕЙНОСТТА НА ПРОКУРАТУРАТА И НА РАЗСЛЕДВАЩИТЕ ОРГАНИ</w:t>
            </w:r>
            <w:r w:rsidRPr="00185B2C">
              <w:rPr>
                <w:rFonts w:ascii="Times New Roman" w:eastAsia="Times New Roman" w:hAnsi="Times New Roman"/>
              </w:rPr>
              <w:t xml:space="preserve"> </w:t>
            </w:r>
          </w:p>
        </w:tc>
        <w:tc>
          <w:tcPr>
            <w:tcW w:w="709" w:type="dxa"/>
            <w:vAlign w:val="bottom"/>
            <w:hideMark/>
          </w:tcPr>
          <w:p w:rsidR="00A46D50" w:rsidRPr="00DC4689" w:rsidRDefault="00A46D50" w:rsidP="00A46D50">
            <w:pPr>
              <w:overflowPunct w:val="0"/>
              <w:autoSpaceDE w:val="0"/>
              <w:autoSpaceDN w:val="0"/>
              <w:adjustRightInd w:val="0"/>
              <w:spacing w:after="0"/>
              <w:jc w:val="right"/>
              <w:textAlignment w:val="baseline"/>
              <w:rPr>
                <w:rFonts w:ascii="Hebar" w:eastAsia="Times New Roman" w:hAnsi="Hebar"/>
                <w:lang w:val="en-US"/>
              </w:rPr>
            </w:pPr>
            <w:r w:rsidRPr="00185B2C">
              <w:rPr>
                <w:rFonts w:ascii="Times New Roman" w:eastAsia="Times New Roman" w:hAnsi="Times New Roman"/>
              </w:rPr>
              <w:t>19</w:t>
            </w:r>
            <w:r>
              <w:rPr>
                <w:rFonts w:ascii="Times New Roman" w:eastAsia="Times New Roman" w:hAnsi="Times New Roman"/>
                <w:lang w:val="en-US"/>
              </w:rPr>
              <w:t xml:space="preserve">1 </w:t>
            </w:r>
          </w:p>
        </w:tc>
      </w:tr>
    </w:tbl>
    <w:p w:rsidR="008830C7" w:rsidRDefault="008830C7" w:rsidP="004D24A1">
      <w:pPr>
        <w:spacing w:after="0"/>
        <w:jc w:val="center"/>
        <w:rPr>
          <w:rFonts w:ascii="Times New Roman" w:eastAsia="Times New Roman" w:hAnsi="Times New Roman"/>
          <w:b/>
          <w:sz w:val="28"/>
          <w:szCs w:val="28"/>
          <w:lang w:eastAsia="bg-BG"/>
        </w:rPr>
      </w:pPr>
    </w:p>
    <w:p w:rsidR="008830C7" w:rsidRDefault="008830C7" w:rsidP="004D24A1">
      <w:pPr>
        <w:spacing w:after="0"/>
        <w:jc w:val="center"/>
        <w:rPr>
          <w:rFonts w:ascii="Times New Roman" w:eastAsia="Times New Roman" w:hAnsi="Times New Roman"/>
          <w:b/>
          <w:sz w:val="28"/>
          <w:szCs w:val="28"/>
          <w:lang w:eastAsia="bg-BG"/>
        </w:rPr>
      </w:pPr>
    </w:p>
    <w:p w:rsidR="003D45C6" w:rsidRPr="003D45C6" w:rsidRDefault="003D45C6" w:rsidP="004D24A1">
      <w:pPr>
        <w:spacing w:after="0"/>
        <w:jc w:val="center"/>
        <w:rPr>
          <w:rFonts w:ascii="Times New Roman" w:eastAsia="Times New Roman" w:hAnsi="Times New Roman"/>
          <w:b/>
          <w:sz w:val="28"/>
          <w:szCs w:val="28"/>
          <w:lang w:eastAsia="bg-BG"/>
        </w:rPr>
      </w:pPr>
      <w:r w:rsidRPr="003D45C6">
        <w:rPr>
          <w:rFonts w:ascii="Times New Roman" w:eastAsia="Times New Roman" w:hAnsi="Times New Roman"/>
          <w:b/>
          <w:sz w:val="28"/>
          <w:szCs w:val="28"/>
          <w:lang w:eastAsia="bg-BG"/>
        </w:rPr>
        <w:t>РАЗДЕЛ І</w:t>
      </w:r>
    </w:p>
    <w:p w:rsidR="003D45C6" w:rsidRPr="003D45C6" w:rsidRDefault="003D45C6" w:rsidP="004D24A1">
      <w:pPr>
        <w:spacing w:after="0"/>
        <w:jc w:val="center"/>
        <w:rPr>
          <w:rFonts w:ascii="Times New Roman" w:eastAsia="Times New Roman" w:hAnsi="Times New Roman"/>
          <w:b/>
          <w:sz w:val="28"/>
          <w:szCs w:val="28"/>
          <w:u w:val="single"/>
          <w:lang w:eastAsia="bg-BG"/>
        </w:rPr>
      </w:pPr>
    </w:p>
    <w:p w:rsidR="003D45C6" w:rsidRPr="003D45C6" w:rsidRDefault="003D45C6" w:rsidP="004D24A1">
      <w:pPr>
        <w:spacing w:after="0"/>
        <w:jc w:val="center"/>
        <w:rPr>
          <w:rFonts w:ascii="Times New Roman" w:eastAsia="Times New Roman" w:hAnsi="Times New Roman"/>
          <w:b/>
          <w:sz w:val="28"/>
          <w:szCs w:val="28"/>
          <w:lang w:eastAsia="bg-BG"/>
        </w:rPr>
      </w:pPr>
      <w:r w:rsidRPr="003D45C6">
        <w:rPr>
          <w:rFonts w:ascii="Times New Roman" w:eastAsia="Times New Roman" w:hAnsi="Times New Roman"/>
          <w:b/>
          <w:sz w:val="28"/>
          <w:szCs w:val="28"/>
          <w:lang w:eastAsia="bg-BG"/>
        </w:rPr>
        <w:t>ОБОБЩЕНИ ИЗВОДИ ЗА ДЕЙНОСТТА НА ПРОКУРАТУРАТА И РАЗСЛЕДВАЩИТЕ ОРГАНИ</w:t>
      </w:r>
    </w:p>
    <w:p w:rsidR="003D45C6" w:rsidRPr="003D45C6" w:rsidRDefault="003D45C6" w:rsidP="004D24A1">
      <w:pPr>
        <w:spacing w:after="0"/>
        <w:jc w:val="center"/>
        <w:rPr>
          <w:rFonts w:ascii="Times New Roman" w:eastAsia="Times New Roman" w:hAnsi="Times New Roman"/>
          <w:b/>
          <w:sz w:val="28"/>
          <w:szCs w:val="28"/>
          <w:lang w:eastAsia="bg-BG"/>
        </w:rPr>
      </w:pPr>
    </w:p>
    <w:p w:rsidR="003D45C6" w:rsidRPr="003D45C6" w:rsidRDefault="003D45C6" w:rsidP="004D24A1">
      <w:pPr>
        <w:spacing w:after="0"/>
        <w:jc w:val="center"/>
        <w:rPr>
          <w:rFonts w:ascii="Times New Roman" w:eastAsia="Times New Roman" w:hAnsi="Times New Roman"/>
          <w:b/>
          <w:sz w:val="28"/>
          <w:szCs w:val="28"/>
          <w:lang w:eastAsia="bg-BG"/>
        </w:rPr>
      </w:pPr>
    </w:p>
    <w:p w:rsidR="00063DD3" w:rsidRPr="00063DD3" w:rsidRDefault="003D45C6" w:rsidP="004D24A1">
      <w:pPr>
        <w:spacing w:after="0"/>
        <w:jc w:val="both"/>
        <w:rPr>
          <w:rFonts w:ascii="Times New Roman" w:hAnsi="Times New Roman"/>
          <w:b/>
          <w:color w:val="000000"/>
          <w:sz w:val="28"/>
          <w:szCs w:val="28"/>
        </w:rPr>
      </w:pPr>
      <w:r w:rsidRPr="003D45C6">
        <w:rPr>
          <w:rFonts w:ascii="Times New Roman" w:eastAsia="Times New Roman" w:hAnsi="Times New Roman"/>
          <w:b/>
          <w:sz w:val="28"/>
          <w:szCs w:val="28"/>
          <w:lang w:eastAsia="bg-BG"/>
        </w:rPr>
        <w:tab/>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Годишният доклад за дейността на Софийска градска прокуратура и Софийска районна прокуратура е съобр</w:t>
      </w:r>
      <w:r>
        <w:rPr>
          <w:rFonts w:ascii="Times New Roman" w:eastAsia="Times New Roman" w:hAnsi="Times New Roman"/>
          <w:sz w:val="28"/>
          <w:szCs w:val="28"/>
          <w:lang w:eastAsia="bg-BG"/>
        </w:rPr>
        <w:t xml:space="preserve">азен със заповед </w:t>
      </w:r>
      <w:r w:rsidRPr="004F1667">
        <w:rPr>
          <w:rFonts w:ascii="Times New Roman" w:eastAsia="Times New Roman" w:hAnsi="Times New Roman"/>
          <w:sz w:val="28"/>
          <w:szCs w:val="28"/>
          <w:lang w:eastAsia="bg-BG"/>
        </w:rPr>
        <w:t xml:space="preserve">№ РД-04-376 от </w:t>
      </w:r>
      <w:r w:rsidRPr="004F1667">
        <w:rPr>
          <w:rFonts w:ascii="Times New Roman" w:eastAsia="Times New Roman" w:hAnsi="Times New Roman"/>
          <w:sz w:val="28"/>
          <w:szCs w:val="28"/>
          <w:lang w:val="en-US" w:eastAsia="bg-BG"/>
        </w:rPr>
        <w:t>0</w:t>
      </w:r>
      <w:r w:rsidRPr="004F1667">
        <w:rPr>
          <w:rFonts w:ascii="Times New Roman" w:eastAsia="Times New Roman" w:hAnsi="Times New Roman"/>
          <w:sz w:val="28"/>
          <w:szCs w:val="28"/>
          <w:lang w:eastAsia="bg-BG"/>
        </w:rPr>
        <w:t>8.12.20</w:t>
      </w:r>
      <w:r w:rsidRPr="004F1667">
        <w:rPr>
          <w:rFonts w:ascii="Times New Roman" w:eastAsia="Times New Roman" w:hAnsi="Times New Roman"/>
          <w:sz w:val="28"/>
          <w:szCs w:val="28"/>
          <w:lang w:val="en-US" w:eastAsia="bg-BG"/>
        </w:rPr>
        <w:t>2</w:t>
      </w:r>
      <w:r w:rsidRPr="004F1667">
        <w:rPr>
          <w:rFonts w:ascii="Times New Roman" w:eastAsia="Times New Roman" w:hAnsi="Times New Roman"/>
          <w:sz w:val="28"/>
          <w:szCs w:val="28"/>
          <w:lang w:eastAsia="bg-BG"/>
        </w:rPr>
        <w:t>1 г.</w:t>
      </w:r>
      <w:r w:rsidRPr="00C62C8A">
        <w:rPr>
          <w:rFonts w:ascii="Times New Roman" w:eastAsia="Times New Roman" w:hAnsi="Times New Roman"/>
          <w:sz w:val="28"/>
          <w:szCs w:val="28"/>
          <w:lang w:eastAsia="bg-BG"/>
        </w:rPr>
        <w:t xml:space="preserve"> на главния прокурор на Република България, с която са утвърдени обхват</w:t>
      </w:r>
      <w:r>
        <w:rPr>
          <w:rFonts w:ascii="Times New Roman" w:eastAsia="Times New Roman" w:hAnsi="Times New Roman"/>
          <w:sz w:val="28"/>
          <w:szCs w:val="28"/>
          <w:lang w:eastAsia="bg-BG"/>
        </w:rPr>
        <w:t>а</w:t>
      </w:r>
      <w:r w:rsidRPr="00C62C8A">
        <w:rPr>
          <w:rFonts w:ascii="Times New Roman" w:eastAsia="Times New Roman" w:hAnsi="Times New Roman"/>
          <w:sz w:val="28"/>
          <w:szCs w:val="28"/>
          <w:lang w:eastAsia="bg-BG"/>
        </w:rPr>
        <w:t xml:space="preserve"> и структурата на доклада за прилагането на закона и за дейността на прокуратурата и на разследва</w:t>
      </w:r>
      <w:r>
        <w:rPr>
          <w:rFonts w:ascii="Times New Roman" w:eastAsia="Times New Roman" w:hAnsi="Times New Roman"/>
          <w:sz w:val="28"/>
          <w:szCs w:val="28"/>
          <w:lang w:eastAsia="bg-BG"/>
        </w:rPr>
        <w:t>щите органи през 20</w:t>
      </w:r>
      <w:r>
        <w:rPr>
          <w:rFonts w:ascii="Times New Roman" w:eastAsia="Times New Roman" w:hAnsi="Times New Roman"/>
          <w:sz w:val="28"/>
          <w:szCs w:val="28"/>
          <w:lang w:val="en-US" w:eastAsia="bg-BG"/>
        </w:rPr>
        <w:t>20</w:t>
      </w:r>
      <w:r w:rsidRPr="00C62C8A">
        <w:rPr>
          <w:rFonts w:ascii="Times New Roman" w:eastAsia="Times New Roman" w:hAnsi="Times New Roman"/>
          <w:sz w:val="28"/>
          <w:szCs w:val="28"/>
          <w:lang w:eastAsia="bg-BG"/>
        </w:rPr>
        <w:t xml:space="preserve"> г.</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Докладът съдържа обобщена информация за дейността на Софийска градска прокуратура и Софийска районна прокуратура, както и на Отдел „Следствен“ при СГП. Включена е и относима информация, предоставена от Столична дирекция на вътрешните работи, НСлС, от Агенция „Митници“, ГД „НП“ – МВР, ГД „БОП“ – МВР, КПКОНПИ.</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Резултатите от противодействието на престъпността са представени за района на СГП, като е извършен съпоставителен анализ на данните с предходните две години и са изведени съответните изводи. Информацията за дейността на прокуратурата и разследващите органи е представена съобразно фазите на наказателния процес – досъдебна и съдебна. Изведен е анализ на причините за върнатите от съда дела и за постановените от съда и влезли в сила оправдателни съдебни актове.</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Представена е и дейността по изпълнение на наказанията, резултатите от която се явяват обективен критерий за оценка на ефективността на правоприлагащите органи.</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В самостоятелен раздел е отразена дейността по административно-съдебния надзор и надзора за законност.</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p>
    <w:p w:rsidR="00616655" w:rsidRPr="00C62C8A" w:rsidRDefault="00616655" w:rsidP="004D24A1">
      <w:pPr>
        <w:spacing w:after="0"/>
        <w:jc w:val="both"/>
        <w:rPr>
          <w:rFonts w:ascii="Times New Roman" w:eastAsia="Times New Roman" w:hAnsi="Times New Roman"/>
          <w:b/>
          <w:sz w:val="28"/>
          <w:szCs w:val="28"/>
          <w:lang w:eastAsia="bg-BG"/>
        </w:rPr>
      </w:pPr>
      <w:r w:rsidRPr="00C62C8A">
        <w:rPr>
          <w:rFonts w:ascii="Times New Roman" w:eastAsia="Times New Roman" w:hAnsi="Times New Roman"/>
          <w:b/>
          <w:sz w:val="28"/>
          <w:szCs w:val="28"/>
          <w:lang w:eastAsia="bg-BG"/>
        </w:rPr>
        <w:tab/>
        <w:t>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616655" w:rsidRPr="00C62C8A" w:rsidRDefault="00616655" w:rsidP="004D24A1">
      <w:pPr>
        <w:spacing w:after="0"/>
        <w:jc w:val="both"/>
        <w:rPr>
          <w:rFonts w:ascii="Times New Roman" w:eastAsia="Times New Roman" w:hAnsi="Times New Roman"/>
          <w:b/>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ab/>
        <w:t xml:space="preserve">За отчетния период на 2021 </w:t>
      </w:r>
      <w:r w:rsidRPr="00C62C8A">
        <w:rPr>
          <w:rFonts w:ascii="Times New Roman" w:eastAsia="Times New Roman" w:hAnsi="Times New Roman"/>
          <w:sz w:val="28"/>
          <w:szCs w:val="28"/>
          <w:lang w:eastAsia="bg-BG"/>
        </w:rPr>
        <w:t>г.</w:t>
      </w:r>
      <w:r>
        <w:rPr>
          <w:rFonts w:ascii="Times New Roman" w:eastAsia="Times New Roman" w:hAnsi="Times New Roman"/>
          <w:sz w:val="28"/>
          <w:szCs w:val="28"/>
          <w:lang w:eastAsia="bg-BG"/>
        </w:rPr>
        <w:t>, к</w:t>
      </w:r>
      <w:r w:rsidRPr="00C62C8A">
        <w:rPr>
          <w:rFonts w:ascii="Times New Roman" w:eastAsia="Times New Roman" w:hAnsi="Times New Roman"/>
          <w:sz w:val="28"/>
          <w:szCs w:val="28"/>
          <w:lang w:eastAsia="bg-BG"/>
        </w:rPr>
        <w:t xml:space="preserve">акто и през предходните години, състоянието на престъпността за района, попадащ в юрисдикцията на СГС и СРС, </w:t>
      </w:r>
      <w:r>
        <w:rPr>
          <w:rFonts w:ascii="Times New Roman" w:eastAsia="Times New Roman" w:hAnsi="Times New Roman"/>
          <w:sz w:val="28"/>
          <w:szCs w:val="28"/>
          <w:lang w:eastAsia="bg-BG"/>
        </w:rPr>
        <w:t xml:space="preserve">съответно </w:t>
      </w:r>
      <w:r w:rsidRPr="00C62C8A">
        <w:rPr>
          <w:rFonts w:ascii="Times New Roman" w:eastAsia="Times New Roman" w:hAnsi="Times New Roman"/>
          <w:sz w:val="28"/>
          <w:szCs w:val="28"/>
          <w:lang w:eastAsia="bg-BG"/>
        </w:rPr>
        <w:t xml:space="preserve">от функционалната компетентност на СГП и СРП, е в пряка зависимост от демографския и икономически състав на населението. </w:t>
      </w:r>
    </w:p>
    <w:p w:rsidR="00616655" w:rsidRPr="00C62C8A" w:rsidRDefault="00616655" w:rsidP="004D24A1">
      <w:pPr>
        <w:spacing w:after="0"/>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П</w:t>
      </w:r>
      <w:r w:rsidRPr="00C62C8A">
        <w:rPr>
          <w:rFonts w:ascii="Times New Roman" w:eastAsia="Times New Roman" w:hAnsi="Times New Roman"/>
          <w:sz w:val="28"/>
          <w:szCs w:val="28"/>
          <w:lang w:eastAsia="bg-BG"/>
        </w:rPr>
        <w:t>очти една четвърт от гражданите на страната живеят на територията на град София, като значителен процент от населението е с непостоянно местоживеене или е временно пребиваващо по икономически или други причини</w:t>
      </w:r>
      <w:r>
        <w:rPr>
          <w:rFonts w:ascii="Times New Roman" w:eastAsia="Times New Roman" w:hAnsi="Times New Roman"/>
          <w:sz w:val="28"/>
          <w:szCs w:val="28"/>
          <w:lang w:eastAsia="bg-BG"/>
        </w:rPr>
        <w:t>, поради което се извода</w:t>
      </w:r>
      <w:r w:rsidRPr="00C62C8A">
        <w:rPr>
          <w:rFonts w:ascii="Times New Roman" w:eastAsia="Times New Roman" w:hAnsi="Times New Roman"/>
          <w:sz w:val="28"/>
          <w:szCs w:val="28"/>
          <w:lang w:eastAsia="bg-BG"/>
        </w:rPr>
        <w:t>, че в близък период от време тези тенденции няма да се променят.</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По данни на Интегрираната полицейска система, предоставени от Столична дирекц</w:t>
      </w:r>
      <w:r>
        <w:rPr>
          <w:rFonts w:ascii="Times New Roman" w:eastAsia="Times New Roman" w:hAnsi="Times New Roman"/>
          <w:sz w:val="28"/>
          <w:szCs w:val="28"/>
          <w:lang w:eastAsia="bg-BG"/>
        </w:rPr>
        <w:t>ия на вътрешните работи, за 202</w:t>
      </w:r>
      <w:r>
        <w:rPr>
          <w:rFonts w:ascii="Times New Roman" w:eastAsia="Times New Roman" w:hAnsi="Times New Roman"/>
          <w:sz w:val="28"/>
          <w:szCs w:val="28"/>
          <w:lang w:val="en-US" w:eastAsia="bg-BG"/>
        </w:rPr>
        <w:t>1</w:t>
      </w:r>
      <w:r w:rsidRPr="00C62C8A">
        <w:rPr>
          <w:rFonts w:ascii="Times New Roman" w:eastAsia="Times New Roman" w:hAnsi="Times New Roman"/>
          <w:sz w:val="28"/>
          <w:szCs w:val="28"/>
          <w:lang w:eastAsia="bg-BG"/>
        </w:rPr>
        <w:t xml:space="preserve"> г. на територията на </w:t>
      </w:r>
      <w:r>
        <w:rPr>
          <w:rFonts w:ascii="Times New Roman" w:eastAsia="Times New Roman" w:hAnsi="Times New Roman"/>
          <w:sz w:val="28"/>
          <w:szCs w:val="28"/>
          <w:lang w:eastAsia="bg-BG"/>
        </w:rPr>
        <w:br/>
      </w:r>
      <w:r w:rsidRPr="00C62C8A">
        <w:rPr>
          <w:rFonts w:ascii="Times New Roman" w:eastAsia="Times New Roman" w:hAnsi="Times New Roman"/>
          <w:sz w:val="28"/>
          <w:szCs w:val="28"/>
          <w:lang w:eastAsia="bg-BG"/>
        </w:rPr>
        <w:t>гр. София са били регистрирани общо (икономич</w:t>
      </w:r>
      <w:r>
        <w:rPr>
          <w:rFonts w:ascii="Times New Roman" w:eastAsia="Times New Roman" w:hAnsi="Times New Roman"/>
          <w:sz w:val="28"/>
          <w:szCs w:val="28"/>
          <w:lang w:eastAsia="bg-BG"/>
        </w:rPr>
        <w:t>ески и криминални) 1</w:t>
      </w:r>
      <w:r>
        <w:rPr>
          <w:rFonts w:ascii="Times New Roman" w:eastAsia="Times New Roman" w:hAnsi="Times New Roman"/>
          <w:sz w:val="28"/>
          <w:szCs w:val="28"/>
          <w:lang w:val="en-US" w:eastAsia="bg-BG"/>
        </w:rPr>
        <w:t>6110</w:t>
      </w:r>
      <w:r w:rsidRPr="00C62C8A">
        <w:rPr>
          <w:rFonts w:ascii="Times New Roman" w:eastAsia="Times New Roman" w:hAnsi="Times New Roman"/>
          <w:sz w:val="28"/>
          <w:szCs w:val="28"/>
          <w:lang w:eastAsia="bg-BG"/>
        </w:rPr>
        <w:t xml:space="preserve"> броя престъпления  /за сравнение </w:t>
      </w:r>
      <w:r>
        <w:rPr>
          <w:rFonts w:ascii="Times New Roman" w:eastAsia="Times New Roman" w:hAnsi="Times New Roman"/>
          <w:sz w:val="28"/>
          <w:szCs w:val="28"/>
          <w:lang w:eastAsia="bg-BG"/>
        </w:rPr>
        <w:t>през 20</w:t>
      </w:r>
      <w:r>
        <w:rPr>
          <w:rFonts w:ascii="Times New Roman" w:eastAsia="Times New Roman" w:hAnsi="Times New Roman"/>
          <w:sz w:val="28"/>
          <w:szCs w:val="28"/>
          <w:lang w:val="en-US" w:eastAsia="bg-BG"/>
        </w:rPr>
        <w:t>20</w:t>
      </w:r>
      <w:r>
        <w:rPr>
          <w:rFonts w:ascii="Times New Roman" w:eastAsia="Times New Roman" w:hAnsi="Times New Roman"/>
          <w:sz w:val="28"/>
          <w:szCs w:val="28"/>
          <w:lang w:eastAsia="bg-BG"/>
        </w:rPr>
        <w:t xml:space="preserve"> г. са били </w:t>
      </w:r>
      <w:r>
        <w:rPr>
          <w:rFonts w:ascii="Times New Roman" w:eastAsia="Times New Roman" w:hAnsi="Times New Roman"/>
          <w:sz w:val="28"/>
          <w:szCs w:val="28"/>
          <w:lang w:val="en-US" w:eastAsia="bg-BG"/>
        </w:rPr>
        <w:t>17534</w:t>
      </w:r>
      <w:r w:rsidRPr="003473EA">
        <w:rPr>
          <w:rFonts w:ascii="Times New Roman" w:eastAsia="Times New Roman" w:hAnsi="Times New Roman"/>
          <w:sz w:val="28"/>
          <w:szCs w:val="28"/>
          <w:lang w:eastAsia="bg-BG"/>
        </w:rPr>
        <w:t xml:space="preserve"> броя</w:t>
      </w:r>
      <w:r>
        <w:rPr>
          <w:rFonts w:ascii="Times New Roman" w:eastAsia="Times New Roman" w:hAnsi="Times New Roman"/>
          <w:sz w:val="28"/>
          <w:szCs w:val="28"/>
          <w:lang w:eastAsia="bg-BG"/>
        </w:rPr>
        <w:t>, а</w:t>
      </w:r>
      <w:r w:rsidRPr="003473EA">
        <w:rPr>
          <w:rFonts w:ascii="Times New Roman" w:eastAsia="Times New Roman" w:hAnsi="Times New Roman"/>
          <w:sz w:val="28"/>
          <w:szCs w:val="28"/>
          <w:lang w:eastAsia="bg-BG"/>
        </w:rPr>
        <w:t xml:space="preserve"> </w:t>
      </w:r>
      <w:r w:rsidRPr="00C62C8A">
        <w:rPr>
          <w:rFonts w:ascii="Times New Roman" w:eastAsia="Times New Roman" w:hAnsi="Times New Roman"/>
          <w:sz w:val="28"/>
          <w:szCs w:val="28"/>
          <w:lang w:eastAsia="bg-BG"/>
        </w:rPr>
        <w:t>през</w:t>
      </w:r>
      <w:r w:rsidRPr="005A3EEF">
        <w:rPr>
          <w:rFonts w:ascii="Times New Roman" w:eastAsia="Times New Roman" w:hAnsi="Times New Roman"/>
          <w:sz w:val="28"/>
          <w:szCs w:val="28"/>
          <w:lang w:eastAsia="bg-BG"/>
        </w:rPr>
        <w:t xml:space="preserve"> през 2019 г. са били 20382 броя</w:t>
      </w:r>
      <w:r w:rsidRPr="00C62C8A">
        <w:rPr>
          <w:rFonts w:ascii="Times New Roman" w:eastAsia="Times New Roman" w:hAnsi="Times New Roman"/>
          <w:sz w:val="28"/>
          <w:szCs w:val="28"/>
          <w:lang w:eastAsia="bg-BG"/>
        </w:rPr>
        <w:t xml:space="preserve"> /.</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 xml:space="preserve">От всички регистрирани престъпления, </w:t>
      </w:r>
      <w:r>
        <w:rPr>
          <w:rFonts w:ascii="Times New Roman" w:eastAsia="Times New Roman" w:hAnsi="Times New Roman"/>
          <w:sz w:val="28"/>
          <w:szCs w:val="28"/>
          <w:lang w:eastAsia="bg-BG"/>
        </w:rPr>
        <w:t xml:space="preserve">общо </w:t>
      </w:r>
      <w:r w:rsidRPr="00C62C8A">
        <w:rPr>
          <w:rFonts w:ascii="Times New Roman" w:eastAsia="Times New Roman" w:hAnsi="Times New Roman"/>
          <w:sz w:val="28"/>
          <w:szCs w:val="28"/>
          <w:lang w:eastAsia="bg-BG"/>
        </w:rPr>
        <w:t>разкритите за</w:t>
      </w:r>
      <w:r>
        <w:rPr>
          <w:rFonts w:ascii="Times New Roman" w:eastAsia="Times New Roman" w:hAnsi="Times New Roman"/>
          <w:sz w:val="28"/>
          <w:szCs w:val="28"/>
          <w:lang w:eastAsia="bg-BG"/>
        </w:rPr>
        <w:t xml:space="preserve"> 202</w:t>
      </w:r>
      <w:r>
        <w:rPr>
          <w:rFonts w:ascii="Times New Roman" w:eastAsia="Times New Roman" w:hAnsi="Times New Roman"/>
          <w:sz w:val="28"/>
          <w:szCs w:val="28"/>
          <w:lang w:val="en-US" w:eastAsia="bg-BG"/>
        </w:rPr>
        <w:t>1</w:t>
      </w:r>
      <w:r>
        <w:rPr>
          <w:rFonts w:ascii="Times New Roman" w:eastAsia="Times New Roman" w:hAnsi="Times New Roman"/>
          <w:sz w:val="28"/>
          <w:szCs w:val="28"/>
          <w:lang w:eastAsia="bg-BG"/>
        </w:rPr>
        <w:t xml:space="preserve"> г. са 4731 броя, за</w:t>
      </w:r>
      <w:r w:rsidRPr="00C62C8A">
        <w:rPr>
          <w:rFonts w:ascii="Times New Roman" w:eastAsia="Times New Roman" w:hAnsi="Times New Roman"/>
          <w:sz w:val="28"/>
          <w:szCs w:val="28"/>
          <w:lang w:eastAsia="bg-BG"/>
        </w:rPr>
        <w:t xml:space="preserve"> 20</w:t>
      </w:r>
      <w:r>
        <w:rPr>
          <w:rFonts w:ascii="Times New Roman" w:eastAsia="Times New Roman" w:hAnsi="Times New Roman"/>
          <w:sz w:val="28"/>
          <w:szCs w:val="28"/>
          <w:lang w:eastAsia="bg-BG"/>
        </w:rPr>
        <w:t>20</w:t>
      </w:r>
      <w:r w:rsidRPr="00C62C8A">
        <w:rPr>
          <w:rFonts w:ascii="Times New Roman" w:eastAsia="Times New Roman" w:hAnsi="Times New Roman"/>
          <w:sz w:val="28"/>
          <w:szCs w:val="28"/>
          <w:lang w:eastAsia="bg-BG"/>
        </w:rPr>
        <w:t xml:space="preserve"> г. са били </w:t>
      </w:r>
      <w:r>
        <w:rPr>
          <w:rFonts w:ascii="Times New Roman" w:eastAsia="Times New Roman" w:hAnsi="Times New Roman"/>
          <w:sz w:val="28"/>
          <w:szCs w:val="28"/>
          <w:lang w:eastAsia="bg-BG"/>
        </w:rPr>
        <w:t>4977</w:t>
      </w:r>
      <w:r w:rsidRPr="00C62C8A">
        <w:rPr>
          <w:rFonts w:ascii="Times New Roman" w:eastAsia="Times New Roman" w:hAnsi="Times New Roman"/>
          <w:sz w:val="28"/>
          <w:szCs w:val="28"/>
          <w:lang w:eastAsia="bg-BG"/>
        </w:rPr>
        <w:t xml:space="preserve"> бро</w:t>
      </w:r>
      <w:r>
        <w:rPr>
          <w:rFonts w:ascii="Times New Roman" w:eastAsia="Times New Roman" w:hAnsi="Times New Roman"/>
          <w:sz w:val="28"/>
          <w:szCs w:val="28"/>
          <w:lang w:eastAsia="bg-BG"/>
        </w:rPr>
        <w:t>я, а за</w:t>
      </w:r>
      <w:r>
        <w:rPr>
          <w:rFonts w:ascii="Times New Roman" w:eastAsia="Times New Roman" w:hAnsi="Times New Roman"/>
          <w:sz w:val="28"/>
          <w:szCs w:val="28"/>
          <w:lang w:val="en-US" w:eastAsia="bg-BG"/>
        </w:rPr>
        <w:t xml:space="preserve"> </w:t>
      </w:r>
      <w:r w:rsidRPr="005A3EEF">
        <w:rPr>
          <w:rFonts w:ascii="Times New Roman" w:eastAsia="Times New Roman" w:hAnsi="Times New Roman"/>
          <w:sz w:val="28"/>
          <w:szCs w:val="28"/>
          <w:lang w:val="en-US" w:eastAsia="bg-BG"/>
        </w:rPr>
        <w:t>2019 г. са били 6146 броя</w:t>
      </w:r>
      <w:r w:rsidRPr="00C62C8A">
        <w:rPr>
          <w:rFonts w:ascii="Times New Roman" w:eastAsia="Times New Roman" w:hAnsi="Times New Roman"/>
          <w:sz w:val="28"/>
          <w:szCs w:val="28"/>
          <w:lang w:eastAsia="bg-BG"/>
        </w:rPr>
        <w:t>.</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От регистрираните на те</w:t>
      </w:r>
      <w:r>
        <w:rPr>
          <w:rFonts w:ascii="Times New Roman" w:eastAsia="Times New Roman" w:hAnsi="Times New Roman"/>
          <w:sz w:val="28"/>
          <w:szCs w:val="28"/>
          <w:lang w:eastAsia="bg-BG"/>
        </w:rPr>
        <w:t>риторията на гр. София през 2021</w:t>
      </w:r>
      <w:r w:rsidRPr="00C62C8A">
        <w:rPr>
          <w:rFonts w:ascii="Times New Roman" w:eastAsia="Times New Roman" w:hAnsi="Times New Roman"/>
          <w:sz w:val="28"/>
          <w:szCs w:val="28"/>
          <w:lang w:eastAsia="bg-BG"/>
        </w:rPr>
        <w:t xml:space="preserve"> г. престъпления, като криминални са регистрирани </w:t>
      </w:r>
      <w:r>
        <w:rPr>
          <w:rFonts w:ascii="Times New Roman" w:eastAsia="Times New Roman" w:hAnsi="Times New Roman"/>
          <w:sz w:val="28"/>
          <w:szCs w:val="28"/>
          <w:lang w:eastAsia="bg-BG"/>
        </w:rPr>
        <w:t>13622</w:t>
      </w:r>
      <w:r w:rsidRPr="00E935A3">
        <w:rPr>
          <w:rFonts w:ascii="Times New Roman" w:eastAsia="Times New Roman" w:hAnsi="Times New Roman"/>
          <w:sz w:val="28"/>
          <w:szCs w:val="28"/>
          <w:lang w:eastAsia="bg-BG"/>
        </w:rPr>
        <w:t xml:space="preserve"> броя, /</w:t>
      </w:r>
      <w:r>
        <w:rPr>
          <w:rFonts w:ascii="Times New Roman" w:eastAsia="Times New Roman" w:hAnsi="Times New Roman"/>
          <w:sz w:val="28"/>
          <w:szCs w:val="28"/>
          <w:lang w:eastAsia="bg-BG"/>
        </w:rPr>
        <w:t xml:space="preserve">за 2020 г.- 15002 броя, а за 2019 г.- </w:t>
      </w:r>
      <w:r w:rsidRPr="003473EA">
        <w:rPr>
          <w:rFonts w:ascii="Times New Roman" w:eastAsia="Times New Roman" w:hAnsi="Times New Roman"/>
          <w:sz w:val="28"/>
          <w:szCs w:val="28"/>
          <w:lang w:eastAsia="bg-BG"/>
        </w:rPr>
        <w:t>17684 броя</w:t>
      </w:r>
      <w:r>
        <w:rPr>
          <w:rFonts w:ascii="Times New Roman" w:eastAsia="Times New Roman" w:hAnsi="Times New Roman"/>
          <w:sz w:val="28"/>
          <w:szCs w:val="28"/>
          <w:lang w:eastAsia="bg-BG"/>
        </w:rPr>
        <w:t xml:space="preserve">/. От тях разкрити за 2021 г. са 4592 броя </w:t>
      </w:r>
      <w:r w:rsidRPr="00E935A3">
        <w:rPr>
          <w:rFonts w:ascii="Times New Roman" w:eastAsia="Times New Roman" w:hAnsi="Times New Roman"/>
          <w:sz w:val="28"/>
          <w:szCs w:val="28"/>
          <w:lang w:eastAsia="bg-BG"/>
        </w:rPr>
        <w:t>/</w:t>
      </w:r>
      <w:r>
        <w:rPr>
          <w:rFonts w:ascii="Times New Roman" w:eastAsia="Times New Roman" w:hAnsi="Times New Roman"/>
          <w:sz w:val="28"/>
          <w:szCs w:val="28"/>
          <w:lang w:eastAsia="bg-BG"/>
        </w:rPr>
        <w:t>за 2020 г. – 4834 броя, а за 2019 г.</w:t>
      </w:r>
      <w:r w:rsidRPr="00E935A3">
        <w:rPr>
          <w:rFonts w:ascii="Times New Roman" w:eastAsia="Times New Roman" w:hAnsi="Times New Roman"/>
          <w:sz w:val="28"/>
          <w:szCs w:val="28"/>
          <w:lang w:eastAsia="bg-BG"/>
        </w:rPr>
        <w:t>/. Общата</w:t>
      </w:r>
      <w:r>
        <w:rPr>
          <w:rFonts w:ascii="Times New Roman" w:eastAsia="Times New Roman" w:hAnsi="Times New Roman"/>
          <w:sz w:val="28"/>
          <w:szCs w:val="28"/>
          <w:lang w:eastAsia="bg-BG"/>
        </w:rPr>
        <w:t xml:space="preserve"> разкриваемост за отчетната 2021 г. е 33,71</w:t>
      </w:r>
      <w:r w:rsidRPr="00C62C8A">
        <w:rPr>
          <w:rFonts w:ascii="Times New Roman" w:eastAsia="Times New Roman" w:hAnsi="Times New Roman"/>
          <w:sz w:val="28"/>
          <w:szCs w:val="28"/>
          <w:lang w:eastAsia="bg-BG"/>
        </w:rPr>
        <w:t xml:space="preserve">% /за сравнение – </w:t>
      </w:r>
      <w:r>
        <w:rPr>
          <w:rFonts w:ascii="Times New Roman" w:eastAsia="Times New Roman" w:hAnsi="Times New Roman"/>
          <w:sz w:val="28"/>
          <w:szCs w:val="28"/>
          <w:lang w:eastAsia="bg-BG"/>
        </w:rPr>
        <w:t>за 2020 г. е 32,22 %, а за 2019 г. е 33,63%</w:t>
      </w:r>
      <w:r w:rsidRPr="00C62C8A">
        <w:rPr>
          <w:rFonts w:ascii="Times New Roman" w:eastAsia="Times New Roman" w:hAnsi="Times New Roman"/>
          <w:sz w:val="28"/>
          <w:szCs w:val="28"/>
          <w:lang w:eastAsia="bg-BG"/>
        </w:rPr>
        <w:t>/.</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От отчетените на те</w:t>
      </w:r>
      <w:r w:rsidR="00945AE4">
        <w:rPr>
          <w:rFonts w:ascii="Times New Roman" w:eastAsia="Times New Roman" w:hAnsi="Times New Roman"/>
          <w:sz w:val="28"/>
          <w:szCs w:val="28"/>
          <w:lang w:eastAsia="bg-BG"/>
        </w:rPr>
        <w:t>риторията на гр. София през 2021</w:t>
      </w:r>
      <w:bookmarkStart w:id="0" w:name="_GoBack"/>
      <w:bookmarkEnd w:id="0"/>
      <w:r w:rsidRPr="00C62C8A">
        <w:rPr>
          <w:rFonts w:ascii="Times New Roman" w:eastAsia="Times New Roman" w:hAnsi="Times New Roman"/>
          <w:sz w:val="28"/>
          <w:szCs w:val="28"/>
          <w:lang w:eastAsia="bg-BG"/>
        </w:rPr>
        <w:t xml:space="preserve"> г. престъпления, като икономически са регистрирани </w:t>
      </w:r>
      <w:r>
        <w:rPr>
          <w:rFonts w:ascii="Times New Roman" w:eastAsia="Times New Roman" w:hAnsi="Times New Roman"/>
          <w:sz w:val="28"/>
          <w:szCs w:val="28"/>
          <w:lang w:eastAsia="bg-BG"/>
        </w:rPr>
        <w:t>2488</w:t>
      </w:r>
      <w:r w:rsidRPr="00E935A3">
        <w:rPr>
          <w:rFonts w:ascii="Times New Roman" w:eastAsia="Times New Roman" w:hAnsi="Times New Roman"/>
          <w:sz w:val="28"/>
          <w:szCs w:val="28"/>
          <w:lang w:eastAsia="bg-BG"/>
        </w:rPr>
        <w:t xml:space="preserve"> броя, /</w:t>
      </w:r>
      <w:r>
        <w:rPr>
          <w:rFonts w:ascii="Times New Roman" w:eastAsia="Times New Roman" w:hAnsi="Times New Roman"/>
          <w:sz w:val="28"/>
          <w:szCs w:val="28"/>
          <w:lang w:eastAsia="bg-BG"/>
        </w:rPr>
        <w:t>за 2020 г. – 2532 броя, а за 2019 г.-</w:t>
      </w:r>
      <w:r w:rsidRPr="00785D54">
        <w:t xml:space="preserve"> </w:t>
      </w:r>
      <w:r w:rsidRPr="00785D54">
        <w:rPr>
          <w:rFonts w:ascii="Times New Roman" w:eastAsia="Times New Roman" w:hAnsi="Times New Roman"/>
          <w:sz w:val="28"/>
          <w:szCs w:val="28"/>
          <w:lang w:eastAsia="bg-BG"/>
        </w:rPr>
        <w:t>2698 броя</w:t>
      </w:r>
      <w:r>
        <w:rPr>
          <w:rFonts w:ascii="Times New Roman" w:eastAsia="Times New Roman" w:hAnsi="Times New Roman"/>
          <w:sz w:val="28"/>
          <w:szCs w:val="28"/>
          <w:lang w:eastAsia="bg-BG"/>
        </w:rPr>
        <w:t>/. От тях разкрити за 2021 г. са 139</w:t>
      </w:r>
      <w:r w:rsidRPr="00E935A3">
        <w:rPr>
          <w:rFonts w:ascii="Times New Roman" w:eastAsia="Times New Roman" w:hAnsi="Times New Roman"/>
          <w:sz w:val="28"/>
          <w:szCs w:val="28"/>
          <w:lang w:eastAsia="bg-BG"/>
        </w:rPr>
        <w:t xml:space="preserve"> броя,  /</w:t>
      </w:r>
      <w:r>
        <w:rPr>
          <w:rFonts w:ascii="Times New Roman" w:eastAsia="Times New Roman" w:hAnsi="Times New Roman"/>
          <w:sz w:val="28"/>
          <w:szCs w:val="28"/>
          <w:lang w:eastAsia="bg-BG"/>
        </w:rPr>
        <w:t xml:space="preserve">за 2020 г. – 143 броя, а за 2019 г.- </w:t>
      </w:r>
      <w:r w:rsidRPr="00785D54">
        <w:rPr>
          <w:rFonts w:ascii="Times New Roman" w:eastAsia="Times New Roman" w:hAnsi="Times New Roman"/>
          <w:sz w:val="28"/>
          <w:szCs w:val="28"/>
          <w:lang w:eastAsia="bg-BG"/>
        </w:rPr>
        <w:t>199 броя</w:t>
      </w:r>
      <w:r w:rsidRPr="00E935A3">
        <w:rPr>
          <w:rFonts w:ascii="Times New Roman" w:eastAsia="Times New Roman" w:hAnsi="Times New Roman"/>
          <w:sz w:val="28"/>
          <w:szCs w:val="28"/>
          <w:lang w:eastAsia="bg-BG"/>
        </w:rPr>
        <w:t>/. Общата разкриваемост за отчетната</w:t>
      </w:r>
      <w:r>
        <w:rPr>
          <w:rFonts w:ascii="Times New Roman" w:eastAsia="Times New Roman" w:hAnsi="Times New Roman"/>
          <w:sz w:val="28"/>
          <w:szCs w:val="28"/>
          <w:lang w:eastAsia="bg-BG"/>
        </w:rPr>
        <w:t xml:space="preserve"> 2021 г. 5,65</w:t>
      </w:r>
      <w:r w:rsidRPr="00C62C8A">
        <w:rPr>
          <w:rFonts w:ascii="Times New Roman" w:eastAsia="Times New Roman" w:hAnsi="Times New Roman"/>
          <w:sz w:val="28"/>
          <w:szCs w:val="28"/>
          <w:lang w:eastAsia="bg-BG"/>
        </w:rPr>
        <w:t xml:space="preserve"> %, /за сравнение </w:t>
      </w:r>
      <w:r>
        <w:rPr>
          <w:rFonts w:ascii="Times New Roman" w:eastAsia="Times New Roman" w:hAnsi="Times New Roman"/>
          <w:sz w:val="28"/>
          <w:szCs w:val="28"/>
          <w:lang w:eastAsia="bg-BG"/>
        </w:rPr>
        <w:t xml:space="preserve">за 2020 г. е 5,65 %, а за 2019 г. е </w:t>
      </w:r>
      <w:r w:rsidRPr="00785D54">
        <w:rPr>
          <w:rFonts w:ascii="Times New Roman" w:eastAsia="Times New Roman" w:hAnsi="Times New Roman"/>
          <w:sz w:val="28"/>
          <w:szCs w:val="28"/>
          <w:lang w:eastAsia="bg-BG"/>
        </w:rPr>
        <w:t>7,38 %</w:t>
      </w:r>
      <w:r w:rsidRPr="00C62C8A">
        <w:rPr>
          <w:rFonts w:ascii="Times New Roman" w:eastAsia="Times New Roman" w:hAnsi="Times New Roman"/>
          <w:sz w:val="28"/>
          <w:szCs w:val="28"/>
          <w:lang w:eastAsia="bg-BG"/>
        </w:rPr>
        <w:t xml:space="preserve">/. </w:t>
      </w:r>
    </w:p>
    <w:p w:rsidR="00616655" w:rsidRPr="00C62C8A" w:rsidRDefault="00616655" w:rsidP="004D24A1">
      <w:pPr>
        <w:spacing w:after="0"/>
        <w:jc w:val="both"/>
        <w:rPr>
          <w:rFonts w:ascii="Times New Roman" w:eastAsia="Times New Roman" w:hAnsi="Times New Roman"/>
          <w:color w:val="0070C0"/>
          <w:sz w:val="28"/>
          <w:szCs w:val="28"/>
          <w:lang w:val="en-US" w:eastAsia="bg-BG"/>
        </w:rPr>
      </w:pPr>
    </w:p>
    <w:p w:rsidR="00616655" w:rsidRDefault="00616655" w:rsidP="004D24A1">
      <w:pPr>
        <w:spacing w:after="0"/>
        <w:jc w:val="both"/>
        <w:rPr>
          <w:rFonts w:ascii="Times New Roman" w:eastAsia="Times New Roman" w:hAnsi="Times New Roman"/>
          <w:color w:val="0070C0"/>
          <w:sz w:val="28"/>
          <w:szCs w:val="28"/>
          <w:lang w:val="en-US" w:eastAsia="bg-BG"/>
        </w:rPr>
      </w:pPr>
    </w:p>
    <w:p w:rsidR="00616655" w:rsidRDefault="00616655" w:rsidP="004D24A1">
      <w:pPr>
        <w:spacing w:after="0"/>
        <w:jc w:val="both"/>
        <w:rPr>
          <w:rFonts w:ascii="Times New Roman" w:eastAsia="Times New Roman" w:hAnsi="Times New Roman"/>
          <w:color w:val="0070C0"/>
          <w:sz w:val="28"/>
          <w:szCs w:val="28"/>
          <w:lang w:val="en-US" w:eastAsia="bg-BG"/>
        </w:rPr>
      </w:pPr>
    </w:p>
    <w:p w:rsidR="00616655" w:rsidRDefault="00616655" w:rsidP="004D24A1">
      <w:pPr>
        <w:spacing w:after="0"/>
        <w:jc w:val="both"/>
        <w:rPr>
          <w:rFonts w:ascii="Times New Roman" w:eastAsia="Times New Roman" w:hAnsi="Times New Roman"/>
          <w:color w:val="0070C0"/>
          <w:sz w:val="28"/>
          <w:szCs w:val="28"/>
          <w:lang w:val="en-US" w:eastAsia="bg-BG"/>
        </w:rPr>
      </w:pPr>
    </w:p>
    <w:p w:rsidR="00616655" w:rsidRDefault="00616655" w:rsidP="004D24A1">
      <w:pPr>
        <w:spacing w:after="0"/>
        <w:jc w:val="both"/>
        <w:rPr>
          <w:rFonts w:ascii="Times New Roman" w:eastAsia="Times New Roman" w:hAnsi="Times New Roman"/>
          <w:color w:val="0070C0"/>
          <w:sz w:val="28"/>
          <w:szCs w:val="28"/>
          <w:lang w:val="en-US" w:eastAsia="bg-BG"/>
        </w:rPr>
      </w:pPr>
    </w:p>
    <w:p w:rsidR="00616655" w:rsidRDefault="00616655" w:rsidP="004D24A1">
      <w:pPr>
        <w:spacing w:after="0"/>
        <w:jc w:val="both"/>
        <w:rPr>
          <w:rFonts w:ascii="Times New Roman" w:eastAsia="Times New Roman" w:hAnsi="Times New Roman"/>
          <w:color w:val="0070C0"/>
          <w:sz w:val="28"/>
          <w:szCs w:val="28"/>
          <w:lang w:val="en-US" w:eastAsia="bg-BG"/>
        </w:rPr>
      </w:pPr>
    </w:p>
    <w:p w:rsidR="00616655" w:rsidRPr="00C62C8A" w:rsidRDefault="00616655" w:rsidP="004D24A1">
      <w:pPr>
        <w:spacing w:after="0"/>
        <w:jc w:val="both"/>
        <w:rPr>
          <w:rFonts w:ascii="Times New Roman" w:eastAsia="Times New Roman" w:hAnsi="Times New Roman"/>
          <w:color w:val="0070C0"/>
          <w:sz w:val="28"/>
          <w:szCs w:val="28"/>
          <w:lang w:val="en-US" w:eastAsia="bg-BG"/>
        </w:rPr>
      </w:pPr>
    </w:p>
    <w:p w:rsidR="00616655" w:rsidRDefault="00616655" w:rsidP="004D24A1">
      <w:pPr>
        <w:spacing w:after="0"/>
        <w:jc w:val="center"/>
        <w:rPr>
          <w:rFonts w:ascii="Times New Roman" w:eastAsia="Times New Roman" w:hAnsi="Times New Roman"/>
          <w:sz w:val="24"/>
          <w:szCs w:val="24"/>
          <w:lang w:eastAsia="bg-BG"/>
        </w:rPr>
      </w:pPr>
    </w:p>
    <w:p w:rsidR="00616655" w:rsidRPr="00C62C8A" w:rsidRDefault="00616655" w:rsidP="004D24A1">
      <w:pPr>
        <w:spacing w:after="0"/>
        <w:jc w:val="center"/>
        <w:rPr>
          <w:rFonts w:ascii="Times New Roman" w:eastAsia="Times New Roman" w:hAnsi="Times New Roman"/>
          <w:sz w:val="24"/>
          <w:szCs w:val="24"/>
          <w:lang w:eastAsia="bg-BG"/>
        </w:rPr>
      </w:pPr>
      <w:r w:rsidRPr="00C62C8A">
        <w:rPr>
          <w:rFonts w:ascii="Times New Roman" w:eastAsia="Times New Roman" w:hAnsi="Times New Roman"/>
          <w:sz w:val="24"/>
          <w:szCs w:val="24"/>
          <w:lang w:eastAsia="bg-BG"/>
        </w:rPr>
        <w:t>Регистрирана, разкрита и наказана престъпност за района на Софийска градска прокуратура</w:t>
      </w:r>
    </w:p>
    <w:p w:rsidR="00616655" w:rsidRPr="00C62C8A" w:rsidRDefault="00616655" w:rsidP="004D24A1">
      <w:pPr>
        <w:spacing w:after="0"/>
        <w:jc w:val="both"/>
        <w:rPr>
          <w:rFonts w:ascii="Times New Roman" w:eastAsia="Times New Roman" w:hAnsi="Times New Roman"/>
          <w:sz w:val="24"/>
          <w:szCs w:val="24"/>
          <w:lang w:eastAsia="bg-BG"/>
        </w:rPr>
      </w:pPr>
    </w:p>
    <w:p w:rsidR="00616655" w:rsidRPr="00C62C8A" w:rsidRDefault="003515B0" w:rsidP="004D24A1">
      <w:pPr>
        <w:keepNext/>
        <w:spacing w:after="0"/>
        <w:ind w:right="-142"/>
        <w:jc w:val="both"/>
        <w:rPr>
          <w:rFonts w:ascii="Times New Roman" w:eastAsia="Times New Roman" w:hAnsi="Times New Roman"/>
          <w:sz w:val="28"/>
          <w:szCs w:val="28"/>
          <w:lang w:eastAsia="bg-BG"/>
        </w:rPr>
      </w:pPr>
      <w:r w:rsidRPr="00616655">
        <w:rPr>
          <w:noProof/>
          <w:color w:val="548DD4"/>
          <w:lang w:eastAsia="bg-BG"/>
        </w:rPr>
        <w:drawing>
          <wp:inline distT="0" distB="0" distL="0" distR="0" wp14:anchorId="68682C20" wp14:editId="469EE1AE">
            <wp:extent cx="5725160" cy="3172460"/>
            <wp:effectExtent l="0" t="0" r="0" b="0"/>
            <wp:docPr id="1" name="Об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16655" w:rsidRPr="00C62C8A" w:rsidRDefault="00616655" w:rsidP="004D24A1">
      <w:pPr>
        <w:spacing w:after="0"/>
        <w:jc w:val="both"/>
        <w:rPr>
          <w:rFonts w:ascii="Times New Roman" w:eastAsia="Times New Roman" w:hAnsi="Times New Roman"/>
          <w:b/>
          <w:sz w:val="28"/>
          <w:szCs w:val="28"/>
          <w:lang w:eastAsia="bg-BG"/>
        </w:rPr>
      </w:pPr>
    </w:p>
    <w:p w:rsidR="00616655" w:rsidRPr="00C62C8A" w:rsidRDefault="00616655" w:rsidP="004D24A1">
      <w:pPr>
        <w:spacing w:after="0"/>
        <w:jc w:val="both"/>
        <w:rPr>
          <w:rFonts w:ascii="Times New Roman" w:eastAsia="Times New Roman" w:hAnsi="Times New Roman"/>
          <w:b/>
          <w:sz w:val="28"/>
          <w:szCs w:val="28"/>
          <w:lang w:eastAsia="bg-BG"/>
        </w:rPr>
      </w:pP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b/>
          <w:sz w:val="28"/>
          <w:szCs w:val="28"/>
          <w:lang w:eastAsia="bg-BG"/>
        </w:rPr>
        <w:tab/>
      </w:r>
      <w:r w:rsidR="009D751D">
        <w:rPr>
          <w:rFonts w:ascii="Times New Roman" w:eastAsia="Times New Roman" w:hAnsi="Times New Roman"/>
          <w:sz w:val="28"/>
          <w:szCs w:val="28"/>
          <w:lang w:eastAsia="bg-BG"/>
        </w:rPr>
        <w:t>През 2021</w:t>
      </w:r>
      <w:r w:rsidRPr="00EA3327">
        <w:rPr>
          <w:rFonts w:ascii="Times New Roman" w:eastAsia="Times New Roman" w:hAnsi="Times New Roman"/>
          <w:sz w:val="28"/>
          <w:szCs w:val="28"/>
          <w:lang w:eastAsia="bg-BG"/>
        </w:rPr>
        <w:t xml:space="preserve"> г.</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с</w:t>
      </w:r>
      <w:r w:rsidRPr="00C62C8A">
        <w:rPr>
          <w:rFonts w:ascii="Times New Roman" w:eastAsia="Times New Roman" w:hAnsi="Times New Roman"/>
          <w:sz w:val="28"/>
          <w:szCs w:val="28"/>
          <w:lang w:eastAsia="bg-BG"/>
        </w:rPr>
        <w:t xml:space="preserve">труктуроопределящи престъпления от категорията на криминалните и икономически такива за района на Софийска градска прокуратура продължават да бъдат престъпленията против собствеността, които имат най-голям относителен дял от всички регистрирани престъпления- </w:t>
      </w:r>
      <w:r>
        <w:rPr>
          <w:rFonts w:ascii="Times New Roman" w:eastAsia="Times New Roman" w:hAnsi="Times New Roman"/>
          <w:sz w:val="28"/>
          <w:szCs w:val="28"/>
          <w:lang w:eastAsia="bg-BG"/>
        </w:rPr>
        <w:t xml:space="preserve">8424 броя, за 2020 г.- 9868 броя, а за 2019 г.- </w:t>
      </w:r>
      <w:r w:rsidRPr="00C62C8A">
        <w:rPr>
          <w:rFonts w:ascii="Times New Roman" w:eastAsia="Times New Roman" w:hAnsi="Times New Roman"/>
          <w:sz w:val="28"/>
          <w:szCs w:val="28"/>
          <w:lang w:eastAsia="bg-BG"/>
        </w:rPr>
        <w:t xml:space="preserve">11887 броя. Второ място заемат общоопасните престъпления, следвани от престъпленията против личността. </w:t>
      </w:r>
    </w:p>
    <w:p w:rsidR="00616655" w:rsidRPr="00C62C8A" w:rsidRDefault="00616655" w:rsidP="004D24A1">
      <w:pPr>
        <w:spacing w:after="0"/>
        <w:jc w:val="both"/>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ab/>
        <w:t>Продължава да се отчита недостатъчно висока разкрива</w:t>
      </w:r>
      <w:r>
        <w:rPr>
          <w:rFonts w:ascii="Times New Roman" w:eastAsia="Times New Roman" w:hAnsi="Times New Roman"/>
          <w:sz w:val="28"/>
          <w:szCs w:val="28"/>
          <w:lang w:eastAsia="bg-BG"/>
        </w:rPr>
        <w:t>емост при извършените кражби- 33,81</w:t>
      </w:r>
      <w:r w:rsidRPr="00C62C8A">
        <w:rPr>
          <w:rFonts w:ascii="Times New Roman" w:eastAsia="Times New Roman" w:hAnsi="Times New Roman"/>
          <w:sz w:val="28"/>
          <w:szCs w:val="28"/>
          <w:lang w:eastAsia="bg-BG"/>
        </w:rPr>
        <w:t>% и като цяло при престъп</w:t>
      </w:r>
      <w:r>
        <w:rPr>
          <w:rFonts w:ascii="Times New Roman" w:eastAsia="Times New Roman" w:hAnsi="Times New Roman"/>
          <w:sz w:val="28"/>
          <w:szCs w:val="28"/>
          <w:lang w:eastAsia="bg-BG"/>
        </w:rPr>
        <w:t>ленията против собствеността- 32,11</w:t>
      </w:r>
      <w:r w:rsidRPr="00C62C8A">
        <w:rPr>
          <w:rFonts w:ascii="Times New Roman" w:eastAsia="Times New Roman" w:hAnsi="Times New Roman"/>
          <w:sz w:val="28"/>
          <w:szCs w:val="28"/>
          <w:lang w:eastAsia="bg-BG"/>
        </w:rPr>
        <w:t>%, което пряко оказва влияние върху структурата на наказаната престъпност.</w:t>
      </w:r>
    </w:p>
    <w:p w:rsidR="00616655" w:rsidRPr="00E935A3" w:rsidRDefault="00616655"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C62C8A">
        <w:rPr>
          <w:rFonts w:ascii="Times New Roman" w:eastAsia="Times New Roman" w:hAnsi="Times New Roman"/>
          <w:sz w:val="28"/>
          <w:szCs w:val="28"/>
        </w:rPr>
        <w:t xml:space="preserve">През отчетния период прокурорите са решили </w:t>
      </w:r>
      <w:r>
        <w:rPr>
          <w:rFonts w:ascii="Times New Roman" w:eastAsia="Times New Roman" w:hAnsi="Times New Roman"/>
          <w:sz w:val="28"/>
          <w:szCs w:val="28"/>
        </w:rPr>
        <w:t>41151</w:t>
      </w:r>
      <w:r w:rsidRPr="00E935A3">
        <w:rPr>
          <w:rFonts w:ascii="Times New Roman" w:eastAsia="Times New Roman" w:hAnsi="Times New Roman"/>
          <w:sz w:val="28"/>
          <w:szCs w:val="28"/>
        </w:rPr>
        <w:t xml:space="preserve"> броя преписки /включително с възложена предварителна проверка/ извършване лична проверка от прокурор, и инстанционни преписки и изпратени по компетентност на други прокуратури </w:t>
      </w:r>
      <w:r>
        <w:rPr>
          <w:rFonts w:ascii="Times New Roman" w:eastAsia="Times New Roman" w:hAnsi="Times New Roman"/>
          <w:sz w:val="28"/>
          <w:szCs w:val="28"/>
        </w:rPr>
        <w:t>или органи/, което съставлява 94.32</w:t>
      </w:r>
      <w:r w:rsidRPr="00E935A3">
        <w:rPr>
          <w:rFonts w:ascii="Times New Roman" w:eastAsia="Times New Roman" w:hAnsi="Times New Roman"/>
          <w:sz w:val="28"/>
          <w:szCs w:val="28"/>
        </w:rPr>
        <w:t xml:space="preserve">% от общо наблюдаваните </w:t>
      </w:r>
      <w:r>
        <w:rPr>
          <w:rFonts w:ascii="Times New Roman" w:eastAsia="Times New Roman" w:hAnsi="Times New Roman"/>
          <w:sz w:val="28"/>
          <w:szCs w:val="28"/>
        </w:rPr>
        <w:t>43630</w:t>
      </w:r>
      <w:r w:rsidRPr="00E935A3">
        <w:rPr>
          <w:rFonts w:ascii="Times New Roman" w:eastAsia="Times New Roman" w:hAnsi="Times New Roman"/>
          <w:sz w:val="28"/>
          <w:szCs w:val="28"/>
        </w:rPr>
        <w:t xml:space="preserve"> бр. преписки.</w:t>
      </w:r>
    </w:p>
    <w:p w:rsidR="00616655" w:rsidRPr="00C62C8A" w:rsidRDefault="00616655"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C62C8A">
        <w:rPr>
          <w:rFonts w:ascii="Times New Roman" w:eastAsia="Times New Roman" w:hAnsi="Times New Roman"/>
          <w:sz w:val="28"/>
          <w:szCs w:val="28"/>
        </w:rPr>
        <w:t xml:space="preserve">В Софийска градска прокуратура и Софийска районна прокуратура продължава да е налице устойчива тенденция процентът на решените </w:t>
      </w:r>
      <w:r w:rsidRPr="00C62C8A">
        <w:rPr>
          <w:rFonts w:ascii="Times New Roman" w:eastAsia="Times New Roman" w:hAnsi="Times New Roman"/>
          <w:sz w:val="28"/>
          <w:szCs w:val="28"/>
        </w:rPr>
        <w:lastRenderedPageBreak/>
        <w:t>преписки спрямо общия брой наблюдавани преписки да</w:t>
      </w:r>
      <w:r>
        <w:rPr>
          <w:rFonts w:ascii="Times New Roman" w:eastAsia="Times New Roman" w:hAnsi="Times New Roman"/>
          <w:sz w:val="28"/>
          <w:szCs w:val="28"/>
        </w:rPr>
        <w:t xml:space="preserve"> е висок - за сравнение: за 2020 г. – 95,85 %, а за 2019 г. – 97,</w:t>
      </w:r>
      <w:r w:rsidRPr="00C62C8A">
        <w:rPr>
          <w:rFonts w:ascii="Times New Roman" w:eastAsia="Times New Roman" w:hAnsi="Times New Roman"/>
          <w:sz w:val="28"/>
          <w:szCs w:val="28"/>
        </w:rPr>
        <w:t>6</w:t>
      </w:r>
      <w:r>
        <w:rPr>
          <w:rFonts w:ascii="Times New Roman" w:eastAsia="Times New Roman" w:hAnsi="Times New Roman"/>
          <w:sz w:val="28"/>
          <w:szCs w:val="28"/>
        </w:rPr>
        <w:t>9</w:t>
      </w:r>
      <w:r w:rsidRPr="00C62C8A">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C62C8A">
        <w:rPr>
          <w:rFonts w:ascii="Times New Roman" w:eastAsia="Times New Roman" w:hAnsi="Times New Roman"/>
          <w:sz w:val="28"/>
          <w:szCs w:val="28"/>
        </w:rPr>
        <w:t xml:space="preserve">Този стабилен резултат и значителен дял на решени преписки следва да се отчете </w:t>
      </w:r>
      <w:r>
        <w:rPr>
          <w:rFonts w:ascii="Times New Roman" w:eastAsia="Times New Roman" w:hAnsi="Times New Roman"/>
          <w:sz w:val="28"/>
          <w:szCs w:val="28"/>
        </w:rPr>
        <w:t xml:space="preserve">в </w:t>
      </w:r>
      <w:r w:rsidRPr="00C62C8A">
        <w:rPr>
          <w:rFonts w:ascii="Times New Roman" w:eastAsia="Times New Roman" w:hAnsi="Times New Roman"/>
          <w:sz w:val="28"/>
          <w:szCs w:val="28"/>
        </w:rPr>
        <w:t>положителен</w:t>
      </w:r>
      <w:r>
        <w:rPr>
          <w:rFonts w:ascii="Times New Roman" w:eastAsia="Times New Roman" w:hAnsi="Times New Roman"/>
          <w:sz w:val="28"/>
          <w:szCs w:val="28"/>
        </w:rPr>
        <w:t xml:space="preserve"> аспект.</w:t>
      </w:r>
    </w:p>
    <w:p w:rsidR="00616655" w:rsidRDefault="00616655" w:rsidP="004D24A1">
      <w:pPr>
        <w:spacing w:after="0"/>
        <w:jc w:val="both"/>
        <w:rPr>
          <w:rFonts w:ascii="Times New Roman" w:hAnsi="Times New Roman"/>
          <w:sz w:val="28"/>
          <w:szCs w:val="28"/>
        </w:rPr>
      </w:pPr>
      <w:r>
        <w:rPr>
          <w:rFonts w:ascii="Times New Roman" w:eastAsia="Times New Roman" w:hAnsi="Times New Roman"/>
          <w:sz w:val="28"/>
          <w:szCs w:val="28"/>
        </w:rPr>
        <w:tab/>
        <w:t>През 2021</w:t>
      </w:r>
      <w:r w:rsidRPr="00C62C8A">
        <w:rPr>
          <w:rFonts w:ascii="Times New Roman" w:eastAsia="Times New Roman" w:hAnsi="Times New Roman"/>
          <w:sz w:val="28"/>
          <w:szCs w:val="28"/>
        </w:rPr>
        <w:t xml:space="preserve"> г. прокурорите в Софийска градска прокуратура и Софийска районна прокуратура са наблюдавали общо </w:t>
      </w:r>
      <w:r>
        <w:rPr>
          <w:rFonts w:ascii="Times New Roman" w:eastAsia="Times New Roman" w:hAnsi="Times New Roman"/>
          <w:sz w:val="28"/>
          <w:szCs w:val="28"/>
        </w:rPr>
        <w:t>60732</w:t>
      </w:r>
      <w:r w:rsidRPr="00E935A3">
        <w:rPr>
          <w:rFonts w:ascii="Times New Roman" w:eastAsia="Times New Roman" w:hAnsi="Times New Roman"/>
          <w:sz w:val="28"/>
          <w:szCs w:val="28"/>
        </w:rPr>
        <w:t xml:space="preserve"> броя досъдебни производства</w:t>
      </w:r>
      <w:r w:rsidRPr="00E935A3">
        <w:rPr>
          <w:rFonts w:ascii="Times New Roman" w:hAnsi="Times New Roman"/>
          <w:sz w:val="28"/>
          <w:szCs w:val="28"/>
        </w:rPr>
        <w:t xml:space="preserve">, </w:t>
      </w:r>
      <w:r>
        <w:rPr>
          <w:rFonts w:ascii="Times New Roman" w:hAnsi="Times New Roman"/>
          <w:sz w:val="28"/>
          <w:szCs w:val="28"/>
        </w:rPr>
        <w:t xml:space="preserve">в т.ч и прекратените по давност, </w:t>
      </w:r>
      <w:r w:rsidRPr="00E935A3">
        <w:rPr>
          <w:rFonts w:ascii="Times New Roman" w:hAnsi="Times New Roman"/>
          <w:sz w:val="28"/>
          <w:szCs w:val="28"/>
        </w:rPr>
        <w:t xml:space="preserve">в които се включват </w:t>
      </w:r>
      <w:r>
        <w:rPr>
          <w:rFonts w:ascii="Times New Roman" w:hAnsi="Times New Roman"/>
          <w:sz w:val="28"/>
          <w:szCs w:val="28"/>
        </w:rPr>
        <w:t xml:space="preserve">наблюдаваните </w:t>
      </w:r>
      <w:r w:rsidRPr="00E935A3">
        <w:rPr>
          <w:rFonts w:ascii="Times New Roman" w:hAnsi="Times New Roman"/>
          <w:sz w:val="28"/>
          <w:szCs w:val="28"/>
        </w:rPr>
        <w:t>досъдебни производства</w:t>
      </w:r>
      <w:r>
        <w:rPr>
          <w:rFonts w:ascii="Times New Roman" w:eastAsia="Times New Roman" w:hAnsi="Times New Roman"/>
          <w:sz w:val="28"/>
          <w:szCs w:val="28"/>
        </w:rPr>
        <w:t xml:space="preserve"> без прекратените по давност /дела на производство/- 35526 броя</w:t>
      </w:r>
      <w:r w:rsidRPr="00E935A3">
        <w:rPr>
          <w:rFonts w:ascii="Times New Roman" w:eastAsia="Times New Roman" w:hAnsi="Times New Roman"/>
          <w:sz w:val="28"/>
          <w:szCs w:val="28"/>
        </w:rPr>
        <w:t>. От тях новообразуваните</w:t>
      </w:r>
      <w:r>
        <w:rPr>
          <w:rFonts w:ascii="Times New Roman" w:eastAsia="Times New Roman" w:hAnsi="Times New Roman"/>
          <w:sz w:val="28"/>
          <w:szCs w:val="28"/>
        </w:rPr>
        <w:t xml:space="preserve"> досъдебни производства са 17868</w:t>
      </w:r>
      <w:r w:rsidRPr="00E935A3">
        <w:rPr>
          <w:rFonts w:ascii="Times New Roman" w:eastAsia="Times New Roman" w:hAnsi="Times New Roman"/>
          <w:sz w:val="28"/>
          <w:szCs w:val="28"/>
        </w:rPr>
        <w:t xml:space="preserve"> броя /</w:t>
      </w:r>
      <w:r>
        <w:rPr>
          <w:rFonts w:ascii="Times New Roman" w:eastAsia="Times New Roman" w:hAnsi="Times New Roman"/>
          <w:sz w:val="28"/>
          <w:szCs w:val="28"/>
        </w:rPr>
        <w:t xml:space="preserve">при </w:t>
      </w:r>
      <w:r w:rsidRPr="00E15768">
        <w:rPr>
          <w:rFonts w:ascii="Times New Roman" w:eastAsia="Times New Roman" w:hAnsi="Times New Roman"/>
          <w:sz w:val="28"/>
          <w:szCs w:val="28"/>
        </w:rPr>
        <w:t>19287</w:t>
      </w:r>
      <w:r>
        <w:rPr>
          <w:rFonts w:ascii="Times New Roman" w:eastAsia="Times New Roman" w:hAnsi="Times New Roman"/>
          <w:sz w:val="28"/>
          <w:szCs w:val="28"/>
        </w:rPr>
        <w:t xml:space="preserve"> за 2020 г. и при </w:t>
      </w:r>
      <w:r w:rsidRPr="003A5FF1">
        <w:rPr>
          <w:rFonts w:ascii="Times New Roman" w:eastAsia="Times New Roman" w:hAnsi="Times New Roman"/>
          <w:sz w:val="28"/>
          <w:szCs w:val="28"/>
        </w:rPr>
        <w:t xml:space="preserve">22682 броя </w:t>
      </w:r>
      <w:r>
        <w:rPr>
          <w:rFonts w:ascii="Times New Roman" w:eastAsia="Times New Roman" w:hAnsi="Times New Roman"/>
          <w:sz w:val="28"/>
          <w:szCs w:val="28"/>
        </w:rPr>
        <w:t>за 2019 г.</w:t>
      </w:r>
      <w:r w:rsidRPr="00E935A3">
        <w:rPr>
          <w:rFonts w:ascii="Times New Roman" w:eastAsia="Times New Roman" w:hAnsi="Times New Roman"/>
          <w:sz w:val="28"/>
          <w:szCs w:val="28"/>
        </w:rPr>
        <w:t>/.</w:t>
      </w:r>
      <w:r>
        <w:rPr>
          <w:rFonts w:ascii="Times New Roman" w:hAnsi="Times New Roman"/>
          <w:sz w:val="28"/>
          <w:szCs w:val="28"/>
        </w:rPr>
        <w:t xml:space="preserve"> Новообразуваните дела са  29,42</w:t>
      </w:r>
      <w:r w:rsidRPr="00E935A3">
        <w:rPr>
          <w:rFonts w:ascii="Times New Roman" w:hAnsi="Times New Roman"/>
          <w:sz w:val="28"/>
          <w:szCs w:val="28"/>
        </w:rPr>
        <w:t xml:space="preserve">  % от наблюдаваните (</w:t>
      </w:r>
      <w:r>
        <w:rPr>
          <w:rFonts w:ascii="Times New Roman" w:hAnsi="Times New Roman"/>
          <w:sz w:val="28"/>
          <w:szCs w:val="28"/>
        </w:rPr>
        <w:t xml:space="preserve">за 2020 г. – 42,7%, а за 2019 г.- </w:t>
      </w:r>
      <w:r w:rsidRPr="005033A7">
        <w:rPr>
          <w:rFonts w:ascii="Times New Roman" w:hAnsi="Times New Roman"/>
          <w:sz w:val="28"/>
          <w:szCs w:val="28"/>
        </w:rPr>
        <w:t xml:space="preserve">50,24  % </w:t>
      </w:r>
      <w:r w:rsidRPr="00E935A3">
        <w:rPr>
          <w:rFonts w:ascii="Times New Roman" w:hAnsi="Times New Roman"/>
          <w:sz w:val="28"/>
          <w:szCs w:val="28"/>
        </w:rPr>
        <w:t>). Данните сочат</w:t>
      </w:r>
      <w:r w:rsidRPr="00C62C8A">
        <w:rPr>
          <w:rFonts w:ascii="Times New Roman" w:hAnsi="Times New Roman"/>
          <w:sz w:val="28"/>
          <w:szCs w:val="28"/>
        </w:rPr>
        <w:t xml:space="preserve"> за продължаваща тенденция на намаляване на общия брой новообразувани досъдебни производства за района на</w:t>
      </w:r>
      <w:r>
        <w:rPr>
          <w:rFonts w:ascii="Times New Roman" w:hAnsi="Times New Roman"/>
          <w:sz w:val="28"/>
          <w:szCs w:val="28"/>
        </w:rPr>
        <w:t xml:space="preserve"> Софийска градска прокуратура. </w:t>
      </w:r>
    </w:p>
    <w:p w:rsidR="00616655" w:rsidRPr="00C62C8A" w:rsidRDefault="00616655" w:rsidP="004D24A1">
      <w:pPr>
        <w:spacing w:after="0"/>
        <w:ind w:firstLine="708"/>
        <w:jc w:val="both"/>
        <w:rPr>
          <w:rFonts w:ascii="Times New Roman" w:eastAsia="Times New Roman" w:hAnsi="Times New Roman"/>
          <w:sz w:val="28"/>
          <w:szCs w:val="28"/>
        </w:rPr>
      </w:pPr>
      <w:r w:rsidRPr="00C62C8A">
        <w:rPr>
          <w:rFonts w:ascii="Times New Roman" w:eastAsia="Times New Roman" w:hAnsi="Times New Roman"/>
          <w:sz w:val="28"/>
          <w:szCs w:val="28"/>
        </w:rPr>
        <w:t xml:space="preserve">По новообразуваните досъдебни производства пострадали са </w:t>
      </w:r>
      <w:r>
        <w:rPr>
          <w:rFonts w:ascii="Times New Roman" w:eastAsia="Times New Roman" w:hAnsi="Times New Roman"/>
          <w:sz w:val="28"/>
          <w:szCs w:val="28"/>
        </w:rPr>
        <w:t>13975  физически лица, от които 221</w:t>
      </w:r>
      <w:r w:rsidRPr="00E935A3">
        <w:rPr>
          <w:rFonts w:ascii="Times New Roman" w:eastAsia="Times New Roman" w:hAnsi="Times New Roman"/>
          <w:sz w:val="28"/>
          <w:szCs w:val="28"/>
        </w:rPr>
        <w:t xml:space="preserve"> малолетни лица /</w:t>
      </w:r>
      <w:r>
        <w:rPr>
          <w:rFonts w:ascii="Times New Roman" w:eastAsia="Times New Roman" w:hAnsi="Times New Roman"/>
          <w:sz w:val="28"/>
          <w:szCs w:val="28"/>
        </w:rPr>
        <w:t>при 216 за 2020 г. и при 286 за 2019 г./ и 213</w:t>
      </w:r>
      <w:r w:rsidRPr="00E935A3">
        <w:rPr>
          <w:rFonts w:ascii="Times New Roman" w:eastAsia="Times New Roman" w:hAnsi="Times New Roman"/>
          <w:sz w:val="28"/>
          <w:szCs w:val="28"/>
        </w:rPr>
        <w:t xml:space="preserve">  непълнолетни лица /</w:t>
      </w:r>
      <w:r>
        <w:rPr>
          <w:rFonts w:ascii="Times New Roman" w:eastAsia="Times New Roman" w:hAnsi="Times New Roman"/>
          <w:sz w:val="28"/>
          <w:szCs w:val="28"/>
        </w:rPr>
        <w:t>при 194 за 2020 г. и при 253 за 2019 г.</w:t>
      </w:r>
      <w:r w:rsidRPr="00C62C8A">
        <w:rPr>
          <w:rFonts w:ascii="Times New Roman" w:eastAsia="Times New Roman" w:hAnsi="Times New Roman"/>
          <w:sz w:val="28"/>
          <w:szCs w:val="28"/>
        </w:rPr>
        <w:t xml:space="preserve">/. Ощетените юридически лица са </w:t>
      </w:r>
      <w:r>
        <w:rPr>
          <w:rFonts w:ascii="Times New Roman" w:eastAsia="Times New Roman" w:hAnsi="Times New Roman"/>
          <w:sz w:val="28"/>
          <w:szCs w:val="28"/>
        </w:rPr>
        <w:t>1029</w:t>
      </w:r>
      <w:r w:rsidRPr="00E935A3">
        <w:rPr>
          <w:rFonts w:ascii="Times New Roman" w:eastAsia="Times New Roman" w:hAnsi="Times New Roman"/>
          <w:sz w:val="28"/>
          <w:szCs w:val="28"/>
        </w:rPr>
        <w:t xml:space="preserve"> броя</w:t>
      </w:r>
      <w:r w:rsidRPr="00C62C8A">
        <w:rPr>
          <w:rFonts w:ascii="Times New Roman" w:eastAsia="Times New Roman" w:hAnsi="Times New Roman"/>
          <w:sz w:val="28"/>
          <w:szCs w:val="28"/>
        </w:rPr>
        <w:t>.</w:t>
      </w:r>
    </w:p>
    <w:p w:rsidR="00616655" w:rsidRPr="00E935A3" w:rsidRDefault="00616655"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Pr>
          <w:rFonts w:ascii="Times New Roman" w:eastAsia="Times New Roman" w:hAnsi="Times New Roman"/>
          <w:sz w:val="28"/>
          <w:szCs w:val="28"/>
        </w:rPr>
        <w:tab/>
        <w:t>През 2021</w:t>
      </w:r>
      <w:r w:rsidRPr="00C62C8A">
        <w:rPr>
          <w:rFonts w:ascii="Times New Roman" w:eastAsia="Times New Roman" w:hAnsi="Times New Roman"/>
          <w:sz w:val="28"/>
          <w:szCs w:val="28"/>
        </w:rPr>
        <w:t xml:space="preserve"> г. прокурорите при Софийска градска прокуратура и Софийска районна прокуратура са решили </w:t>
      </w:r>
      <w:r>
        <w:rPr>
          <w:rFonts w:ascii="Times New Roman" w:eastAsia="Times New Roman" w:hAnsi="Times New Roman"/>
          <w:sz w:val="28"/>
          <w:szCs w:val="28"/>
        </w:rPr>
        <w:t>45894</w:t>
      </w:r>
      <w:r w:rsidRPr="00E935A3">
        <w:rPr>
          <w:rFonts w:ascii="Times New Roman" w:eastAsia="Times New Roman" w:hAnsi="Times New Roman"/>
          <w:sz w:val="28"/>
          <w:szCs w:val="28"/>
        </w:rPr>
        <w:t xml:space="preserve"> броя досъдебни прои</w:t>
      </w:r>
      <w:r>
        <w:rPr>
          <w:rFonts w:ascii="Times New Roman" w:eastAsia="Times New Roman" w:hAnsi="Times New Roman"/>
          <w:sz w:val="28"/>
          <w:szCs w:val="28"/>
        </w:rPr>
        <w:t>зводства, от които за СГП – 2544</w:t>
      </w:r>
      <w:r w:rsidRPr="00E935A3">
        <w:rPr>
          <w:rFonts w:ascii="Times New Roman" w:eastAsia="Times New Roman" w:hAnsi="Times New Roman"/>
          <w:sz w:val="28"/>
          <w:szCs w:val="28"/>
        </w:rPr>
        <w:t xml:space="preserve"> броя, а за</w:t>
      </w:r>
      <w:r>
        <w:rPr>
          <w:rFonts w:ascii="Times New Roman" w:eastAsia="Times New Roman" w:hAnsi="Times New Roman"/>
          <w:sz w:val="28"/>
          <w:szCs w:val="28"/>
        </w:rPr>
        <w:t xml:space="preserve"> СРП - 43350</w:t>
      </w:r>
      <w:r w:rsidRPr="00E935A3">
        <w:rPr>
          <w:rFonts w:ascii="Times New Roman" w:eastAsia="Times New Roman" w:hAnsi="Times New Roman"/>
          <w:sz w:val="28"/>
          <w:szCs w:val="28"/>
        </w:rPr>
        <w:t xml:space="preserve"> броя. Решените производ</w:t>
      </w:r>
      <w:r>
        <w:rPr>
          <w:rFonts w:ascii="Times New Roman" w:eastAsia="Times New Roman" w:hAnsi="Times New Roman"/>
          <w:sz w:val="28"/>
          <w:szCs w:val="28"/>
        </w:rPr>
        <w:t>ства спрямо наблюдаваните /60732</w:t>
      </w:r>
      <w:r w:rsidRPr="00E935A3">
        <w:rPr>
          <w:rFonts w:ascii="Times New Roman" w:eastAsia="Times New Roman" w:hAnsi="Times New Roman"/>
          <w:sz w:val="28"/>
          <w:szCs w:val="28"/>
        </w:rPr>
        <w:t xml:space="preserve"> бр., включително и прекратените по давност – табл.1.2.1.</w:t>
      </w:r>
      <w:r>
        <w:rPr>
          <w:rFonts w:ascii="Times New Roman" w:eastAsia="Times New Roman" w:hAnsi="Times New Roman"/>
          <w:sz w:val="28"/>
          <w:szCs w:val="28"/>
        </w:rPr>
        <w:t>, кол.2/ представляват дял от 75,57</w:t>
      </w:r>
      <w:r w:rsidRPr="00E935A3">
        <w:rPr>
          <w:rFonts w:ascii="Times New Roman" w:eastAsia="Times New Roman" w:hAnsi="Times New Roman"/>
          <w:sz w:val="28"/>
          <w:szCs w:val="28"/>
        </w:rPr>
        <w:t xml:space="preserve"> %.</w:t>
      </w:r>
    </w:p>
    <w:p w:rsidR="00616655" w:rsidRPr="00C62C8A" w:rsidRDefault="00616655" w:rsidP="004D24A1">
      <w:pPr>
        <w:overflowPunct w:val="0"/>
        <w:autoSpaceDE w:val="0"/>
        <w:autoSpaceDN w:val="0"/>
        <w:adjustRightInd w:val="0"/>
        <w:spacing w:after="0"/>
        <w:jc w:val="both"/>
        <w:textAlignment w:val="baseline"/>
        <w:rPr>
          <w:rFonts w:ascii="Times New Roman" w:eastAsia="Times New Roman" w:hAnsi="Times New Roman"/>
          <w:bCs/>
          <w:iCs/>
          <w:sz w:val="28"/>
          <w:szCs w:val="28"/>
        </w:rPr>
      </w:pPr>
      <w:r w:rsidRPr="00C62C8A">
        <w:rPr>
          <w:rFonts w:ascii="Times New Roman" w:eastAsia="Times New Roman" w:hAnsi="Times New Roman"/>
          <w:bCs/>
          <w:iCs/>
          <w:sz w:val="28"/>
          <w:szCs w:val="28"/>
        </w:rPr>
        <w:tab/>
        <w:t>За характеризиране състоянието и тенденциите на престъпността в района на Софийска градска прокуратура е необходимо да се отчете и санкционираната престъпност. В тази връзка следва да бъде посочено следното:</w:t>
      </w:r>
    </w:p>
    <w:p w:rsidR="00616655" w:rsidRPr="00B86C40" w:rsidRDefault="00616655"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C62C8A">
        <w:rPr>
          <w:rFonts w:ascii="Times New Roman" w:eastAsia="Times New Roman" w:hAnsi="Times New Roman"/>
          <w:sz w:val="28"/>
          <w:szCs w:val="28"/>
        </w:rPr>
        <w:tab/>
      </w:r>
      <w:r w:rsidRPr="00B86C40">
        <w:rPr>
          <w:rFonts w:ascii="Times New Roman" w:eastAsia="Times New Roman" w:hAnsi="Times New Roman"/>
          <w:sz w:val="28"/>
          <w:szCs w:val="28"/>
        </w:rPr>
        <w:t xml:space="preserve">През отчетния период </w:t>
      </w:r>
      <w:r>
        <w:rPr>
          <w:rFonts w:ascii="Times New Roman" w:eastAsia="Times New Roman" w:hAnsi="Times New Roman"/>
          <w:sz w:val="28"/>
          <w:szCs w:val="28"/>
        </w:rPr>
        <w:t xml:space="preserve">от </w:t>
      </w:r>
      <w:r w:rsidRPr="00B86C40">
        <w:rPr>
          <w:rFonts w:ascii="Times New Roman" w:eastAsia="Times New Roman" w:hAnsi="Times New Roman"/>
          <w:sz w:val="28"/>
          <w:szCs w:val="28"/>
        </w:rPr>
        <w:t>прокурорите при Софийска градска прокуратура и Софийска районна пр</w:t>
      </w:r>
      <w:r>
        <w:rPr>
          <w:rFonts w:ascii="Times New Roman" w:eastAsia="Times New Roman" w:hAnsi="Times New Roman"/>
          <w:sz w:val="28"/>
          <w:szCs w:val="28"/>
        </w:rPr>
        <w:t>окуратура са внесени в съда 3146</w:t>
      </w:r>
      <w:r w:rsidRPr="00B86C40">
        <w:rPr>
          <w:rFonts w:ascii="Times New Roman" w:eastAsia="Times New Roman" w:hAnsi="Times New Roman"/>
          <w:sz w:val="28"/>
          <w:szCs w:val="28"/>
        </w:rPr>
        <w:t xml:space="preserve"> броя прокурорск</w:t>
      </w:r>
      <w:r>
        <w:rPr>
          <w:rFonts w:ascii="Times New Roman" w:eastAsia="Times New Roman" w:hAnsi="Times New Roman"/>
          <w:sz w:val="28"/>
          <w:szCs w:val="28"/>
        </w:rPr>
        <w:t>и актове срещу 3378</w:t>
      </w:r>
      <w:r w:rsidRPr="00B86C40">
        <w:rPr>
          <w:rFonts w:ascii="Times New Roman" w:eastAsia="Times New Roman" w:hAnsi="Times New Roman"/>
          <w:sz w:val="28"/>
          <w:szCs w:val="28"/>
        </w:rPr>
        <w:t xml:space="preserve"> лица. За сравнение </w:t>
      </w:r>
      <w:r>
        <w:rPr>
          <w:rFonts w:ascii="Times New Roman" w:eastAsia="Times New Roman" w:hAnsi="Times New Roman"/>
          <w:sz w:val="28"/>
          <w:szCs w:val="28"/>
        </w:rPr>
        <w:t>–</w:t>
      </w:r>
      <w:r w:rsidRPr="00B86C40">
        <w:rPr>
          <w:rFonts w:ascii="Times New Roman" w:eastAsia="Times New Roman" w:hAnsi="Times New Roman"/>
          <w:sz w:val="28"/>
          <w:szCs w:val="28"/>
        </w:rPr>
        <w:t xml:space="preserve"> </w:t>
      </w:r>
      <w:r>
        <w:rPr>
          <w:rFonts w:ascii="Times New Roman" w:eastAsia="Times New Roman" w:hAnsi="Times New Roman"/>
          <w:sz w:val="28"/>
          <w:szCs w:val="28"/>
        </w:rPr>
        <w:t xml:space="preserve">внесените през 2020 г. прокурорски актове са били 2817 броя, а </w:t>
      </w:r>
      <w:r w:rsidRPr="00B86C40">
        <w:rPr>
          <w:rFonts w:ascii="Times New Roman" w:eastAsia="Times New Roman" w:hAnsi="Times New Roman"/>
          <w:sz w:val="28"/>
          <w:szCs w:val="28"/>
        </w:rPr>
        <w:t>внесените през</w:t>
      </w:r>
      <w:r>
        <w:rPr>
          <w:rFonts w:ascii="Times New Roman" w:eastAsia="Times New Roman" w:hAnsi="Times New Roman"/>
          <w:sz w:val="28"/>
          <w:szCs w:val="28"/>
        </w:rPr>
        <w:t xml:space="preserve"> </w:t>
      </w:r>
      <w:r w:rsidRPr="00C101BE">
        <w:rPr>
          <w:rFonts w:ascii="Times New Roman" w:eastAsia="Times New Roman" w:hAnsi="Times New Roman"/>
          <w:sz w:val="28"/>
          <w:szCs w:val="28"/>
        </w:rPr>
        <w:t>2019 г. прокурорски актове са били 3303 броя</w:t>
      </w:r>
      <w:r w:rsidRPr="00B86C40">
        <w:rPr>
          <w:rFonts w:ascii="Times New Roman" w:eastAsia="Times New Roman" w:hAnsi="Times New Roman"/>
          <w:sz w:val="28"/>
          <w:szCs w:val="28"/>
        </w:rPr>
        <w:t>. Внесените в съда досъдебни производства</w:t>
      </w:r>
      <w:r>
        <w:rPr>
          <w:rFonts w:ascii="Times New Roman" w:eastAsia="Times New Roman" w:hAnsi="Times New Roman"/>
          <w:sz w:val="28"/>
          <w:szCs w:val="28"/>
        </w:rPr>
        <w:t>- 3125</w:t>
      </w:r>
      <w:r w:rsidRPr="00B86C40">
        <w:rPr>
          <w:rFonts w:ascii="Times New Roman" w:eastAsia="Times New Roman" w:hAnsi="Times New Roman"/>
          <w:sz w:val="28"/>
          <w:szCs w:val="28"/>
        </w:rPr>
        <w:t xml:space="preserve"> </w:t>
      </w:r>
      <w:r>
        <w:rPr>
          <w:rFonts w:ascii="Times New Roman" w:eastAsia="Times New Roman" w:hAnsi="Times New Roman"/>
          <w:sz w:val="28"/>
          <w:szCs w:val="28"/>
        </w:rPr>
        <w:t xml:space="preserve">броя, </w:t>
      </w:r>
      <w:r w:rsidRPr="00B86C40">
        <w:rPr>
          <w:rFonts w:ascii="Times New Roman" w:eastAsia="Times New Roman" w:hAnsi="Times New Roman"/>
          <w:sz w:val="28"/>
          <w:szCs w:val="28"/>
        </w:rPr>
        <w:t xml:space="preserve">съставляват дял от </w:t>
      </w:r>
      <w:r>
        <w:rPr>
          <w:rFonts w:ascii="Times New Roman" w:eastAsia="Times New Roman" w:hAnsi="Times New Roman"/>
          <w:sz w:val="28"/>
          <w:szCs w:val="28"/>
          <w:lang w:val="en-US"/>
        </w:rPr>
        <w:t>1</w:t>
      </w:r>
      <w:r>
        <w:rPr>
          <w:rFonts w:ascii="Times New Roman" w:eastAsia="Times New Roman" w:hAnsi="Times New Roman"/>
          <w:sz w:val="28"/>
          <w:szCs w:val="28"/>
        </w:rPr>
        <w:t>4</w:t>
      </w:r>
      <w:r w:rsidRPr="00B86C40">
        <w:rPr>
          <w:rFonts w:ascii="Times New Roman" w:eastAsia="Times New Roman" w:hAnsi="Times New Roman"/>
          <w:sz w:val="28"/>
          <w:szCs w:val="28"/>
          <w:lang w:val="en-US"/>
        </w:rPr>
        <w:t>,</w:t>
      </w:r>
      <w:r>
        <w:rPr>
          <w:rFonts w:ascii="Times New Roman" w:eastAsia="Times New Roman" w:hAnsi="Times New Roman"/>
          <w:sz w:val="28"/>
          <w:szCs w:val="28"/>
        </w:rPr>
        <w:t>35</w:t>
      </w:r>
      <w:r w:rsidRPr="00B86C40">
        <w:rPr>
          <w:rFonts w:ascii="Times New Roman" w:eastAsia="Times New Roman" w:hAnsi="Times New Roman"/>
          <w:sz w:val="28"/>
          <w:szCs w:val="28"/>
        </w:rPr>
        <w:t xml:space="preserve"> % от общия брой приключени досъдебни производства /</w:t>
      </w:r>
      <w:r>
        <w:rPr>
          <w:rFonts w:ascii="Times New Roman" w:eastAsia="Times New Roman" w:hAnsi="Times New Roman"/>
          <w:sz w:val="28"/>
          <w:szCs w:val="28"/>
        </w:rPr>
        <w:t>21778</w:t>
      </w:r>
      <w:r w:rsidRPr="00B86C40">
        <w:rPr>
          <w:rFonts w:ascii="Times New Roman" w:eastAsia="Times New Roman" w:hAnsi="Times New Roman"/>
          <w:sz w:val="28"/>
          <w:szCs w:val="28"/>
        </w:rPr>
        <w:t xml:space="preserve"> бр./ и </w:t>
      </w:r>
      <w:r>
        <w:rPr>
          <w:rFonts w:ascii="Times New Roman" w:eastAsia="Times New Roman" w:hAnsi="Times New Roman"/>
          <w:sz w:val="28"/>
          <w:szCs w:val="28"/>
        </w:rPr>
        <w:t>8</w:t>
      </w:r>
      <w:r w:rsidRPr="00B86C40">
        <w:rPr>
          <w:rFonts w:ascii="Times New Roman" w:eastAsia="Times New Roman" w:hAnsi="Times New Roman"/>
          <w:sz w:val="28"/>
          <w:szCs w:val="28"/>
          <w:lang w:val="en-US"/>
        </w:rPr>
        <w:t>,</w:t>
      </w:r>
      <w:r>
        <w:rPr>
          <w:rFonts w:ascii="Times New Roman" w:eastAsia="Times New Roman" w:hAnsi="Times New Roman"/>
          <w:sz w:val="28"/>
          <w:szCs w:val="28"/>
        </w:rPr>
        <w:t>80</w:t>
      </w:r>
      <w:r w:rsidRPr="00B86C40">
        <w:rPr>
          <w:rFonts w:ascii="Times New Roman" w:eastAsia="Times New Roman" w:hAnsi="Times New Roman"/>
          <w:sz w:val="28"/>
          <w:szCs w:val="28"/>
        </w:rPr>
        <w:t xml:space="preserve"> % от общия брой наблюдава</w:t>
      </w:r>
      <w:r>
        <w:rPr>
          <w:rFonts w:ascii="Times New Roman" w:eastAsia="Times New Roman" w:hAnsi="Times New Roman"/>
          <w:sz w:val="28"/>
          <w:szCs w:val="28"/>
        </w:rPr>
        <w:t>ни досъдебни производства /35526</w:t>
      </w:r>
      <w:r w:rsidRPr="00B86C40">
        <w:rPr>
          <w:rFonts w:ascii="Times New Roman" w:eastAsia="Times New Roman" w:hAnsi="Times New Roman"/>
          <w:sz w:val="28"/>
          <w:szCs w:val="28"/>
        </w:rPr>
        <w:t xml:space="preserve"> бр. без прекратените по давност/. </w:t>
      </w:r>
    </w:p>
    <w:p w:rsidR="00616655" w:rsidRPr="00C62C8A" w:rsidRDefault="00616655" w:rsidP="004D24A1">
      <w:pPr>
        <w:overflowPunct w:val="0"/>
        <w:autoSpaceDE w:val="0"/>
        <w:autoSpaceDN w:val="0"/>
        <w:adjustRightInd w:val="0"/>
        <w:spacing w:after="0"/>
        <w:jc w:val="both"/>
        <w:textAlignment w:val="baseline"/>
        <w:rPr>
          <w:rFonts w:ascii="Times New Roman" w:eastAsia="Times New Roman" w:hAnsi="Times New Roman"/>
          <w:bCs/>
          <w:iCs/>
          <w:sz w:val="28"/>
          <w:szCs w:val="28"/>
        </w:rPr>
      </w:pPr>
      <w:r w:rsidRPr="00C62C8A">
        <w:rPr>
          <w:rFonts w:ascii="Times New Roman" w:eastAsia="Times New Roman" w:hAnsi="Times New Roman"/>
          <w:bCs/>
          <w:iCs/>
          <w:sz w:val="28"/>
          <w:szCs w:val="28"/>
        </w:rPr>
        <w:tab/>
        <w:t>През отчетната година в района на Софийска градска прокуратура /с оглед внесените прокурорски актове в съда/ най – голям е делът на престъпленията по</w:t>
      </w:r>
      <w:r w:rsidRPr="00C62C8A">
        <w:rPr>
          <w:rFonts w:ascii="Hebar" w:eastAsia="Times New Roman" w:hAnsi="Hebar"/>
          <w:sz w:val="28"/>
          <w:szCs w:val="20"/>
          <w:lang w:val="en-US"/>
        </w:rPr>
        <w:t xml:space="preserve"> </w:t>
      </w:r>
      <w:r>
        <w:rPr>
          <w:rFonts w:ascii="Times New Roman" w:eastAsia="Times New Roman" w:hAnsi="Times New Roman"/>
          <w:bCs/>
          <w:iCs/>
          <w:sz w:val="28"/>
          <w:szCs w:val="28"/>
        </w:rPr>
        <w:t>Глава ХІ от НК, а именно 1411</w:t>
      </w:r>
      <w:r w:rsidRPr="00C62C8A">
        <w:rPr>
          <w:rFonts w:ascii="Times New Roman" w:eastAsia="Times New Roman" w:hAnsi="Times New Roman"/>
          <w:bCs/>
          <w:iCs/>
          <w:sz w:val="28"/>
          <w:szCs w:val="28"/>
        </w:rPr>
        <w:t xml:space="preserve"> броя, следвани от </w:t>
      </w:r>
      <w:r w:rsidRPr="00C62C8A">
        <w:rPr>
          <w:rFonts w:ascii="Times New Roman" w:eastAsia="Times New Roman" w:hAnsi="Times New Roman"/>
          <w:bCs/>
          <w:iCs/>
          <w:sz w:val="28"/>
          <w:szCs w:val="28"/>
        </w:rPr>
        <w:lastRenderedPageBreak/>
        <w:t>прест</w:t>
      </w:r>
      <w:r>
        <w:rPr>
          <w:rFonts w:ascii="Times New Roman" w:eastAsia="Times New Roman" w:hAnsi="Times New Roman"/>
          <w:bCs/>
          <w:iCs/>
          <w:sz w:val="28"/>
          <w:szCs w:val="28"/>
        </w:rPr>
        <w:t>ъпленията по Глава V от НК - 775</w:t>
      </w:r>
      <w:r w:rsidRPr="00C62C8A">
        <w:rPr>
          <w:rFonts w:ascii="Times New Roman" w:eastAsia="Times New Roman" w:hAnsi="Times New Roman"/>
          <w:bCs/>
          <w:iCs/>
          <w:sz w:val="28"/>
          <w:szCs w:val="28"/>
        </w:rPr>
        <w:t xml:space="preserve"> бр</w:t>
      </w:r>
      <w:r>
        <w:rPr>
          <w:rFonts w:ascii="Times New Roman" w:eastAsia="Times New Roman" w:hAnsi="Times New Roman"/>
          <w:bCs/>
          <w:iCs/>
          <w:sz w:val="28"/>
          <w:szCs w:val="28"/>
        </w:rPr>
        <w:t>оя, тези по Глава ІІ от НК - 365</w:t>
      </w:r>
      <w:r w:rsidRPr="00C62C8A">
        <w:rPr>
          <w:rFonts w:ascii="Times New Roman" w:eastAsia="Times New Roman" w:hAnsi="Times New Roman"/>
          <w:bCs/>
          <w:iCs/>
          <w:sz w:val="28"/>
          <w:szCs w:val="28"/>
        </w:rPr>
        <w:t xml:space="preserve"> броя</w:t>
      </w:r>
      <w:r>
        <w:rPr>
          <w:rFonts w:ascii="Times New Roman" w:eastAsia="Times New Roman" w:hAnsi="Times New Roman"/>
          <w:bCs/>
          <w:iCs/>
          <w:sz w:val="28"/>
          <w:szCs w:val="28"/>
        </w:rPr>
        <w:t xml:space="preserve">, </w:t>
      </w:r>
      <w:r w:rsidRPr="00C62C8A">
        <w:rPr>
          <w:rFonts w:ascii="Times New Roman" w:eastAsia="Times New Roman" w:hAnsi="Times New Roman"/>
          <w:bCs/>
          <w:iCs/>
          <w:sz w:val="28"/>
          <w:szCs w:val="28"/>
        </w:rPr>
        <w:t>тези по глава Х от НК-</w:t>
      </w:r>
      <w:r>
        <w:rPr>
          <w:rFonts w:ascii="Times New Roman" w:eastAsia="Times New Roman" w:hAnsi="Times New Roman"/>
          <w:bCs/>
          <w:iCs/>
          <w:sz w:val="28"/>
          <w:szCs w:val="28"/>
        </w:rPr>
        <w:t xml:space="preserve"> 152</w:t>
      </w:r>
      <w:r w:rsidRPr="00C62C8A">
        <w:rPr>
          <w:rFonts w:ascii="Times New Roman" w:eastAsia="Times New Roman" w:hAnsi="Times New Roman"/>
          <w:bCs/>
          <w:iCs/>
          <w:sz w:val="28"/>
          <w:szCs w:val="28"/>
        </w:rPr>
        <w:t xml:space="preserve"> броя</w:t>
      </w:r>
      <w:r>
        <w:rPr>
          <w:rFonts w:ascii="Times New Roman" w:eastAsia="Times New Roman" w:hAnsi="Times New Roman"/>
          <w:bCs/>
          <w:iCs/>
          <w:sz w:val="28"/>
          <w:szCs w:val="28"/>
        </w:rPr>
        <w:t xml:space="preserve"> и тези по глава </w:t>
      </w:r>
      <w:r w:rsidRPr="00C227AD">
        <w:rPr>
          <w:rFonts w:ascii="Times New Roman" w:eastAsia="Times New Roman" w:hAnsi="Times New Roman"/>
          <w:bCs/>
          <w:iCs/>
          <w:sz w:val="28"/>
          <w:szCs w:val="28"/>
        </w:rPr>
        <w:t>ІХ</w:t>
      </w:r>
      <w:r>
        <w:rPr>
          <w:rFonts w:ascii="Times New Roman" w:eastAsia="Times New Roman" w:hAnsi="Times New Roman"/>
          <w:bCs/>
          <w:iCs/>
          <w:sz w:val="28"/>
          <w:szCs w:val="28"/>
        </w:rPr>
        <w:t xml:space="preserve"> от НК- 137 броя</w:t>
      </w:r>
      <w:r w:rsidRPr="00C62C8A">
        <w:rPr>
          <w:rFonts w:ascii="Times New Roman" w:eastAsia="Times New Roman" w:hAnsi="Times New Roman"/>
          <w:bCs/>
          <w:iCs/>
          <w:sz w:val="28"/>
          <w:szCs w:val="28"/>
        </w:rPr>
        <w:t>.</w:t>
      </w:r>
    </w:p>
    <w:p w:rsidR="00616655" w:rsidRPr="00C62C8A" w:rsidRDefault="00616655" w:rsidP="004D24A1">
      <w:pPr>
        <w:overflowPunct w:val="0"/>
        <w:autoSpaceDE w:val="0"/>
        <w:autoSpaceDN w:val="0"/>
        <w:adjustRightInd w:val="0"/>
        <w:spacing w:after="0"/>
        <w:jc w:val="both"/>
        <w:textAlignment w:val="baseline"/>
        <w:rPr>
          <w:rFonts w:ascii="Times New Roman" w:eastAsia="Times New Roman" w:hAnsi="Times New Roman"/>
          <w:bCs/>
          <w:iCs/>
          <w:color w:val="0070C0"/>
          <w:sz w:val="28"/>
          <w:szCs w:val="28"/>
        </w:rPr>
      </w:pPr>
    </w:p>
    <w:p w:rsidR="00616655" w:rsidRPr="00C62C8A" w:rsidRDefault="003515B0" w:rsidP="004D24A1">
      <w:pPr>
        <w:overflowPunct w:val="0"/>
        <w:autoSpaceDE w:val="0"/>
        <w:autoSpaceDN w:val="0"/>
        <w:adjustRightInd w:val="0"/>
        <w:spacing w:after="0"/>
        <w:jc w:val="center"/>
        <w:textAlignment w:val="baseline"/>
        <w:rPr>
          <w:rFonts w:ascii="Times New Roman" w:eastAsia="Times New Roman" w:hAnsi="Times New Roman"/>
          <w:b/>
          <w:sz w:val="28"/>
          <w:szCs w:val="28"/>
        </w:rPr>
      </w:pPr>
      <w:r w:rsidRPr="00846F18">
        <w:rPr>
          <w:noProof/>
          <w:lang w:eastAsia="bg-BG"/>
        </w:rPr>
        <w:drawing>
          <wp:inline distT="0" distB="0" distL="0" distR="0" wp14:anchorId="7F71B312" wp14:editId="604CA9C9">
            <wp:extent cx="5868035" cy="4770755"/>
            <wp:effectExtent l="0" t="0" r="0" b="0"/>
            <wp:docPr id="2" name="Об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16655" w:rsidRPr="00C62C8A" w:rsidRDefault="00616655" w:rsidP="004D24A1">
      <w:pPr>
        <w:shd w:val="clear" w:color="auto" w:fill="FFFFFF"/>
        <w:tabs>
          <w:tab w:val="left" w:pos="826"/>
        </w:tabs>
        <w:autoSpaceDE w:val="0"/>
        <w:autoSpaceDN w:val="0"/>
        <w:adjustRightInd w:val="0"/>
        <w:spacing w:after="0"/>
        <w:jc w:val="both"/>
        <w:rPr>
          <w:rFonts w:ascii="Times New Roman" w:hAnsi="Times New Roman"/>
          <w:sz w:val="28"/>
          <w:szCs w:val="28"/>
        </w:rPr>
      </w:pPr>
      <w:r w:rsidRPr="00C62C8A">
        <w:rPr>
          <w:rFonts w:ascii="Times New Roman" w:hAnsi="Times New Roman"/>
          <w:sz w:val="28"/>
          <w:szCs w:val="28"/>
        </w:rPr>
        <w:t xml:space="preserve"> </w:t>
      </w:r>
    </w:p>
    <w:p w:rsidR="00616655" w:rsidRDefault="00616655" w:rsidP="004D24A1">
      <w:pPr>
        <w:spacing w:after="0"/>
        <w:ind w:firstLine="708"/>
        <w:jc w:val="both"/>
        <w:rPr>
          <w:rFonts w:ascii="Times New Roman" w:hAnsi="Times New Roman"/>
          <w:color w:val="000000"/>
          <w:sz w:val="28"/>
          <w:szCs w:val="28"/>
        </w:rPr>
      </w:pPr>
    </w:p>
    <w:p w:rsidR="00616655" w:rsidRPr="004B20C5" w:rsidRDefault="00616655" w:rsidP="004D24A1">
      <w:pPr>
        <w:spacing w:after="0"/>
        <w:ind w:firstLine="708"/>
        <w:jc w:val="both"/>
        <w:rPr>
          <w:rFonts w:ascii="Times New Roman" w:hAnsi="Times New Roman"/>
          <w:color w:val="000000"/>
          <w:sz w:val="28"/>
          <w:szCs w:val="28"/>
        </w:rPr>
      </w:pPr>
      <w:r>
        <w:rPr>
          <w:rFonts w:ascii="Times New Roman" w:hAnsi="Times New Roman"/>
          <w:color w:val="000000"/>
          <w:sz w:val="28"/>
          <w:szCs w:val="28"/>
        </w:rPr>
        <w:t>За 2021</w:t>
      </w:r>
      <w:r w:rsidRPr="004B20C5">
        <w:rPr>
          <w:rFonts w:ascii="Times New Roman" w:hAnsi="Times New Roman"/>
          <w:color w:val="000000"/>
          <w:sz w:val="28"/>
          <w:szCs w:val="28"/>
        </w:rPr>
        <w:t xml:space="preserve"> г. структурата на осъдените с влязъл в сила съдебен акт лица, разпределена по глави от НК в процентно съотношение спрямо общия брой </w:t>
      </w:r>
      <w:r w:rsidRPr="007E3C33">
        <w:rPr>
          <w:rFonts w:ascii="Times New Roman" w:hAnsi="Times New Roman"/>
          <w:color w:val="000000"/>
          <w:sz w:val="28"/>
          <w:szCs w:val="28"/>
        </w:rPr>
        <w:t xml:space="preserve">осъдени лица с влязъл в сила съдебен акт </w:t>
      </w:r>
      <w:r w:rsidRPr="007E3C33">
        <w:rPr>
          <w:rFonts w:ascii="Times New Roman" w:hAnsi="Times New Roman"/>
          <w:sz w:val="28"/>
          <w:szCs w:val="28"/>
        </w:rPr>
        <w:t xml:space="preserve">/2689/, </w:t>
      </w:r>
      <w:r w:rsidRPr="007E3C33">
        <w:rPr>
          <w:rFonts w:ascii="Times New Roman" w:hAnsi="Times New Roman"/>
          <w:color w:val="000000"/>
          <w:sz w:val="28"/>
          <w:szCs w:val="28"/>
        </w:rPr>
        <w:t>е следната:</w:t>
      </w:r>
      <w:r w:rsidRPr="007E3C33">
        <w:rPr>
          <w:rFonts w:ascii="Times New Roman" w:eastAsia="Times New Roman" w:hAnsi="Times New Roman"/>
          <w:color w:val="000000"/>
          <w:sz w:val="28"/>
          <w:szCs w:val="20"/>
        </w:rPr>
        <w:t xml:space="preserve"> по Глава II – 9,71 %, по Глава III – 0,63 %, по Глава IV – 2,12 %, по Глава V – 28,97 %, по Глава VI – 3,05 %, по Глава VII – 0,63 %, по Глава VIII – 1,82 %, по Глава IX – 3,68 %, по Глава Х – 3,16 % и по Глава XI – 46,22 %.</w:t>
      </w:r>
    </w:p>
    <w:p w:rsidR="00616655" w:rsidRPr="00C62C8A" w:rsidRDefault="00616655" w:rsidP="004D24A1">
      <w:pPr>
        <w:spacing w:after="0"/>
        <w:ind w:firstLine="708"/>
        <w:jc w:val="both"/>
        <w:rPr>
          <w:rFonts w:ascii="Times New Roman" w:hAnsi="Times New Roman"/>
          <w:sz w:val="28"/>
          <w:szCs w:val="28"/>
        </w:rPr>
      </w:pPr>
      <w:r>
        <w:rPr>
          <w:rFonts w:ascii="Times New Roman" w:hAnsi="Times New Roman"/>
          <w:sz w:val="28"/>
          <w:szCs w:val="28"/>
        </w:rPr>
        <w:t>През 2021</w:t>
      </w:r>
      <w:r w:rsidRPr="00C62C8A">
        <w:rPr>
          <w:rFonts w:ascii="Times New Roman" w:hAnsi="Times New Roman"/>
          <w:sz w:val="28"/>
          <w:szCs w:val="28"/>
        </w:rPr>
        <w:t xml:space="preserve"> г. най – голям е делът на наказаната престъпност по</w:t>
      </w:r>
      <w:r w:rsidRPr="00C62C8A">
        <w:t xml:space="preserve"> </w:t>
      </w:r>
      <w:r>
        <w:rPr>
          <w:rFonts w:ascii="Times New Roman" w:hAnsi="Times New Roman"/>
          <w:sz w:val="28"/>
          <w:szCs w:val="28"/>
        </w:rPr>
        <w:t xml:space="preserve"> Глава XI от НК – 46,22</w:t>
      </w:r>
      <w:r w:rsidRPr="00C62C8A">
        <w:rPr>
          <w:rFonts w:ascii="Times New Roman" w:hAnsi="Times New Roman"/>
          <w:sz w:val="28"/>
          <w:szCs w:val="28"/>
        </w:rPr>
        <w:t xml:space="preserve">  %.  следван </w:t>
      </w:r>
      <w:r>
        <w:rPr>
          <w:rFonts w:ascii="Times New Roman" w:hAnsi="Times New Roman"/>
          <w:sz w:val="28"/>
          <w:szCs w:val="28"/>
        </w:rPr>
        <w:t>от този по Глава V от НК – 28,97</w:t>
      </w:r>
      <w:r w:rsidRPr="00C62C8A">
        <w:rPr>
          <w:rFonts w:ascii="Times New Roman" w:hAnsi="Times New Roman"/>
          <w:sz w:val="28"/>
          <w:szCs w:val="28"/>
        </w:rPr>
        <w:t xml:space="preserve">  %.</w:t>
      </w:r>
    </w:p>
    <w:p w:rsidR="00616655" w:rsidRPr="00C62C8A" w:rsidRDefault="00616655" w:rsidP="004D24A1">
      <w:pPr>
        <w:shd w:val="clear" w:color="auto" w:fill="FFFFFF"/>
        <w:tabs>
          <w:tab w:val="left" w:pos="826"/>
        </w:tabs>
        <w:autoSpaceDE w:val="0"/>
        <w:autoSpaceDN w:val="0"/>
        <w:adjustRightInd w:val="0"/>
        <w:spacing w:after="0"/>
        <w:jc w:val="both"/>
        <w:rPr>
          <w:rFonts w:ascii="Times New Roman" w:hAnsi="Times New Roman"/>
          <w:sz w:val="28"/>
          <w:szCs w:val="28"/>
        </w:rPr>
      </w:pPr>
    </w:p>
    <w:p w:rsidR="00616655" w:rsidRPr="00C62C8A" w:rsidRDefault="00616655" w:rsidP="004D24A1">
      <w:pPr>
        <w:spacing w:after="0"/>
        <w:jc w:val="both"/>
        <w:rPr>
          <w:rFonts w:ascii="Times New Roman" w:eastAsia="Times New Roman" w:hAnsi="Times New Roman"/>
          <w:b/>
          <w:sz w:val="28"/>
          <w:szCs w:val="28"/>
        </w:rPr>
      </w:pPr>
      <w:r w:rsidRPr="00C62C8A">
        <w:rPr>
          <w:rFonts w:ascii="Times New Roman" w:hAnsi="Times New Roman"/>
          <w:sz w:val="28"/>
          <w:szCs w:val="28"/>
        </w:rPr>
        <w:tab/>
      </w:r>
    </w:p>
    <w:p w:rsidR="00616655" w:rsidRPr="00C62C8A" w:rsidRDefault="003515B0" w:rsidP="004D24A1">
      <w:pPr>
        <w:spacing w:after="0"/>
        <w:rPr>
          <w:rFonts w:ascii="Times New Roman" w:hAnsi="Times New Roman"/>
          <w:sz w:val="28"/>
          <w:szCs w:val="28"/>
        </w:rPr>
      </w:pPr>
      <w:r w:rsidRPr="00846F18">
        <w:rPr>
          <w:noProof/>
          <w:lang w:eastAsia="bg-BG"/>
        </w:rPr>
        <w:lastRenderedPageBreak/>
        <w:drawing>
          <wp:inline distT="0" distB="0" distL="0" distR="0" wp14:anchorId="47EFA583" wp14:editId="292B6C9C">
            <wp:extent cx="5868035" cy="4023360"/>
            <wp:effectExtent l="0" t="0" r="0" b="0"/>
            <wp:docPr id="3" name="Об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16655" w:rsidRPr="00C62C8A">
        <w:rPr>
          <w:rFonts w:ascii="Times New Roman" w:hAnsi="Times New Roman"/>
          <w:sz w:val="28"/>
          <w:szCs w:val="28"/>
        </w:rPr>
        <w:tab/>
      </w:r>
    </w:p>
    <w:p w:rsidR="00616655" w:rsidRPr="00C62C8A" w:rsidRDefault="00616655" w:rsidP="004D24A1">
      <w:pPr>
        <w:spacing w:after="0"/>
        <w:jc w:val="both"/>
        <w:rPr>
          <w:rFonts w:ascii="Times New Roman" w:hAnsi="Times New Roman"/>
          <w:sz w:val="28"/>
          <w:szCs w:val="28"/>
          <w:lang w:val="en-US"/>
        </w:rPr>
      </w:pPr>
      <w:r>
        <w:rPr>
          <w:rFonts w:ascii="Times New Roman" w:hAnsi="Times New Roman"/>
          <w:sz w:val="28"/>
          <w:szCs w:val="28"/>
        </w:rPr>
        <w:tab/>
        <w:t>И през 2021</w:t>
      </w:r>
      <w:r w:rsidRPr="00C62C8A">
        <w:rPr>
          <w:rFonts w:ascii="Times New Roman" w:hAnsi="Times New Roman"/>
          <w:sz w:val="28"/>
          <w:szCs w:val="28"/>
          <w:lang w:val="en-US"/>
        </w:rPr>
        <w:t xml:space="preserve"> </w:t>
      </w:r>
      <w:r w:rsidRPr="00C62C8A">
        <w:rPr>
          <w:rFonts w:ascii="Times New Roman" w:hAnsi="Times New Roman"/>
          <w:sz w:val="28"/>
          <w:szCs w:val="28"/>
        </w:rPr>
        <w:t>г. прокурорите в Софийска градска прокуратура и Софийска районна прокуратура активно използват процесуалната възможност за протестиране на определенията на съда за връщане на делата по чл. 249, ал. 2 от НПК /от разпоредително заседание/</w:t>
      </w:r>
      <w:r w:rsidRPr="00C62C8A">
        <w:rPr>
          <w:rFonts w:ascii="Times New Roman" w:hAnsi="Times New Roman"/>
          <w:sz w:val="28"/>
          <w:szCs w:val="28"/>
          <w:lang w:val="en-US"/>
        </w:rPr>
        <w:t>.</w:t>
      </w:r>
    </w:p>
    <w:p w:rsidR="00616655" w:rsidRPr="00C62C8A" w:rsidRDefault="00616655" w:rsidP="004D24A1">
      <w:pPr>
        <w:spacing w:after="0"/>
        <w:jc w:val="both"/>
        <w:rPr>
          <w:rFonts w:ascii="Times New Roman" w:eastAsia="Times New Roman" w:hAnsi="Times New Roman"/>
          <w:sz w:val="28"/>
          <w:szCs w:val="28"/>
        </w:rPr>
      </w:pPr>
      <w:r w:rsidRPr="00C62C8A">
        <w:rPr>
          <w:rFonts w:ascii="Times New Roman" w:eastAsia="Times New Roman" w:hAnsi="Times New Roman"/>
          <w:sz w:val="28"/>
          <w:szCs w:val="28"/>
        </w:rPr>
        <w:tab/>
        <w:t>При характеризирането на състоянието, структурата и тенденциите на престъпността в района на Софийс</w:t>
      </w:r>
      <w:r>
        <w:rPr>
          <w:rFonts w:ascii="Times New Roman" w:eastAsia="Times New Roman" w:hAnsi="Times New Roman"/>
          <w:sz w:val="28"/>
          <w:szCs w:val="28"/>
        </w:rPr>
        <w:t>ка градска прокуратура през 2021</w:t>
      </w:r>
      <w:r w:rsidRPr="00C62C8A">
        <w:rPr>
          <w:rFonts w:ascii="Times New Roman" w:eastAsia="Times New Roman" w:hAnsi="Times New Roman"/>
          <w:sz w:val="28"/>
          <w:szCs w:val="28"/>
        </w:rPr>
        <w:t xml:space="preserve"> година се налагат следните изводи:</w:t>
      </w:r>
    </w:p>
    <w:p w:rsidR="00616655" w:rsidRPr="00C62C8A" w:rsidRDefault="00616655" w:rsidP="004D24A1">
      <w:pPr>
        <w:spacing w:after="0"/>
        <w:jc w:val="both"/>
        <w:rPr>
          <w:rFonts w:ascii="Times New Roman" w:eastAsia="Times New Roman" w:hAnsi="Times New Roman"/>
          <w:bCs/>
          <w:iCs/>
          <w:sz w:val="28"/>
          <w:szCs w:val="28"/>
        </w:rPr>
      </w:pPr>
      <w:r w:rsidRPr="00C62C8A">
        <w:rPr>
          <w:rFonts w:ascii="Times New Roman" w:eastAsia="Times New Roman" w:hAnsi="Times New Roman"/>
          <w:bCs/>
          <w:iCs/>
          <w:sz w:val="28"/>
          <w:szCs w:val="28"/>
        </w:rPr>
        <w:tab/>
        <w:t>1. Намален е абсолютният брой на регистрираните</w:t>
      </w:r>
      <w:r>
        <w:rPr>
          <w:rFonts w:ascii="Times New Roman" w:eastAsia="Times New Roman" w:hAnsi="Times New Roman"/>
          <w:bCs/>
          <w:iCs/>
          <w:sz w:val="28"/>
          <w:szCs w:val="28"/>
        </w:rPr>
        <w:t xml:space="preserve"> престъпления в сравнение с 2020 г. с 1424</w:t>
      </w:r>
      <w:r w:rsidRPr="00C62C8A">
        <w:rPr>
          <w:rFonts w:ascii="Times New Roman" w:eastAsia="Times New Roman" w:hAnsi="Times New Roman"/>
          <w:bCs/>
          <w:iCs/>
          <w:sz w:val="28"/>
          <w:szCs w:val="28"/>
        </w:rPr>
        <w:t xml:space="preserve"> броя.</w:t>
      </w:r>
    </w:p>
    <w:p w:rsidR="00616655" w:rsidRPr="00C62C8A" w:rsidRDefault="00616655" w:rsidP="004D24A1">
      <w:pPr>
        <w:spacing w:after="0"/>
        <w:jc w:val="both"/>
        <w:rPr>
          <w:rFonts w:ascii="Times New Roman" w:eastAsia="Times New Roman" w:hAnsi="Times New Roman"/>
          <w:bCs/>
          <w:iCs/>
          <w:sz w:val="28"/>
          <w:szCs w:val="28"/>
        </w:rPr>
      </w:pPr>
      <w:r w:rsidRPr="00C62C8A">
        <w:rPr>
          <w:rFonts w:ascii="Times New Roman" w:eastAsia="Times New Roman" w:hAnsi="Times New Roman"/>
          <w:bCs/>
          <w:i/>
          <w:iCs/>
          <w:sz w:val="28"/>
          <w:szCs w:val="28"/>
        </w:rPr>
        <w:tab/>
      </w:r>
      <w:r w:rsidRPr="00C62C8A">
        <w:rPr>
          <w:rFonts w:ascii="Times New Roman" w:eastAsia="Times New Roman" w:hAnsi="Times New Roman"/>
          <w:bCs/>
          <w:iCs/>
          <w:sz w:val="28"/>
          <w:szCs w:val="28"/>
        </w:rPr>
        <w:t xml:space="preserve">2. Запазена е структурата на престъпността в района съобразно видовете престъпления. </w:t>
      </w:r>
    </w:p>
    <w:p w:rsidR="00616655" w:rsidRPr="00C62C8A" w:rsidRDefault="00616655" w:rsidP="004D24A1">
      <w:pPr>
        <w:spacing w:after="0"/>
        <w:jc w:val="both"/>
        <w:rPr>
          <w:rFonts w:ascii="Times New Roman" w:eastAsia="Times New Roman" w:hAnsi="Times New Roman"/>
          <w:bCs/>
          <w:iCs/>
          <w:color w:val="92D050"/>
          <w:sz w:val="28"/>
          <w:szCs w:val="28"/>
        </w:rPr>
      </w:pPr>
      <w:r>
        <w:rPr>
          <w:rFonts w:ascii="Times New Roman" w:eastAsia="Times New Roman" w:hAnsi="Times New Roman"/>
          <w:bCs/>
          <w:iCs/>
          <w:sz w:val="28"/>
          <w:szCs w:val="28"/>
        </w:rPr>
        <w:tab/>
        <w:t xml:space="preserve">3. Увеличен </w:t>
      </w:r>
      <w:r w:rsidRPr="00C62C8A">
        <w:rPr>
          <w:rFonts w:ascii="Times New Roman" w:eastAsia="Times New Roman" w:hAnsi="Times New Roman"/>
          <w:bCs/>
          <w:iCs/>
          <w:sz w:val="28"/>
          <w:szCs w:val="28"/>
        </w:rPr>
        <w:t>е процентът на разкритите криминални престъплени</w:t>
      </w:r>
      <w:r>
        <w:rPr>
          <w:rFonts w:ascii="Times New Roman" w:eastAsia="Times New Roman" w:hAnsi="Times New Roman"/>
          <w:bCs/>
          <w:iCs/>
          <w:sz w:val="28"/>
          <w:szCs w:val="28"/>
        </w:rPr>
        <w:t>я в сравнение с предходната 2020 г. с 1,</w:t>
      </w:r>
      <w:r>
        <w:rPr>
          <w:rFonts w:ascii="Times New Roman" w:eastAsia="Times New Roman" w:hAnsi="Times New Roman"/>
          <w:bCs/>
          <w:iCs/>
          <w:sz w:val="28"/>
          <w:szCs w:val="28"/>
          <w:lang w:val="en-US"/>
        </w:rPr>
        <w:t>4</w:t>
      </w:r>
      <w:r>
        <w:rPr>
          <w:rFonts w:ascii="Times New Roman" w:eastAsia="Times New Roman" w:hAnsi="Times New Roman"/>
          <w:bCs/>
          <w:iCs/>
          <w:sz w:val="28"/>
          <w:szCs w:val="28"/>
        </w:rPr>
        <w:t>9%, а</w:t>
      </w:r>
      <w:r w:rsidRPr="00C62C8A">
        <w:rPr>
          <w:rFonts w:ascii="Times New Roman" w:eastAsia="Times New Roman" w:hAnsi="Times New Roman"/>
          <w:bCs/>
          <w:iCs/>
          <w:sz w:val="28"/>
          <w:szCs w:val="28"/>
        </w:rPr>
        <w:t xml:space="preserve"> броя на разкритите икономически престъпления е </w:t>
      </w:r>
      <w:r>
        <w:rPr>
          <w:rFonts w:ascii="Times New Roman" w:eastAsia="Times New Roman" w:hAnsi="Times New Roman"/>
          <w:bCs/>
          <w:iCs/>
          <w:sz w:val="28"/>
          <w:szCs w:val="28"/>
        </w:rPr>
        <w:t>идентичен с този за предходния отчетен период /5,59% за 2021г. и 5,65% за 2020г./</w:t>
      </w:r>
    </w:p>
    <w:p w:rsidR="00616655" w:rsidRPr="00C62C8A" w:rsidRDefault="00616655" w:rsidP="004D24A1">
      <w:pPr>
        <w:spacing w:after="0"/>
        <w:jc w:val="both"/>
        <w:rPr>
          <w:rFonts w:ascii="Times New Roman" w:eastAsia="Times New Roman" w:hAnsi="Times New Roman"/>
          <w:sz w:val="28"/>
          <w:szCs w:val="28"/>
        </w:rPr>
      </w:pPr>
      <w:r>
        <w:rPr>
          <w:rFonts w:ascii="Times New Roman" w:eastAsia="Times New Roman" w:hAnsi="Times New Roman"/>
          <w:sz w:val="28"/>
          <w:szCs w:val="28"/>
        </w:rPr>
        <w:tab/>
        <w:t>4. Намален</w:t>
      </w:r>
      <w:r w:rsidRPr="00C62C8A">
        <w:rPr>
          <w:rFonts w:ascii="Times New Roman" w:eastAsia="Times New Roman" w:hAnsi="Times New Roman"/>
          <w:sz w:val="28"/>
          <w:szCs w:val="28"/>
        </w:rPr>
        <w:t xml:space="preserve"> е броят  на новообразуваните досъдебни производства спрямо наблюдаваните през годината- </w:t>
      </w:r>
      <w:r>
        <w:rPr>
          <w:rFonts w:ascii="Times New Roman" w:eastAsia="Times New Roman" w:hAnsi="Times New Roman"/>
          <w:sz w:val="28"/>
          <w:szCs w:val="28"/>
        </w:rPr>
        <w:t>29,42</w:t>
      </w:r>
      <w:r w:rsidRPr="00C62C8A">
        <w:rPr>
          <w:rFonts w:ascii="Times New Roman" w:eastAsia="Times New Roman" w:hAnsi="Times New Roman"/>
          <w:sz w:val="28"/>
          <w:szCs w:val="28"/>
        </w:rPr>
        <w:t xml:space="preserve">%, съпоставени с тези показатели </w:t>
      </w:r>
      <w:r>
        <w:rPr>
          <w:rFonts w:ascii="Times New Roman" w:eastAsia="Times New Roman" w:hAnsi="Times New Roman"/>
          <w:sz w:val="28"/>
          <w:szCs w:val="28"/>
        </w:rPr>
        <w:t xml:space="preserve">за 2019 г. - </w:t>
      </w:r>
      <w:r w:rsidRPr="0028739D">
        <w:rPr>
          <w:rFonts w:ascii="Times New Roman" w:eastAsia="Times New Roman" w:hAnsi="Times New Roman"/>
          <w:sz w:val="28"/>
          <w:szCs w:val="28"/>
        </w:rPr>
        <w:t>50,24 %</w:t>
      </w:r>
      <w:r>
        <w:rPr>
          <w:rFonts w:ascii="Times New Roman" w:eastAsia="Times New Roman" w:hAnsi="Times New Roman"/>
          <w:sz w:val="28"/>
          <w:szCs w:val="28"/>
        </w:rPr>
        <w:t xml:space="preserve"> и за 2020 г. – 42,7 %.</w:t>
      </w:r>
    </w:p>
    <w:p w:rsidR="00616655" w:rsidRPr="00C62C8A" w:rsidRDefault="00616655" w:rsidP="004D24A1">
      <w:pPr>
        <w:spacing w:after="0"/>
        <w:jc w:val="both"/>
        <w:rPr>
          <w:rFonts w:ascii="Times New Roman" w:eastAsia="Times New Roman" w:hAnsi="Times New Roman"/>
          <w:sz w:val="28"/>
          <w:szCs w:val="28"/>
        </w:rPr>
      </w:pPr>
      <w:r w:rsidRPr="00C62C8A">
        <w:rPr>
          <w:rFonts w:ascii="Times New Roman" w:eastAsia="Times New Roman" w:hAnsi="Times New Roman"/>
          <w:sz w:val="28"/>
          <w:szCs w:val="28"/>
        </w:rPr>
        <w:tab/>
      </w:r>
      <w:r w:rsidRPr="00CA3091">
        <w:rPr>
          <w:rFonts w:ascii="Times New Roman" w:eastAsia="Times New Roman" w:hAnsi="Times New Roman"/>
          <w:sz w:val="28"/>
          <w:szCs w:val="28"/>
        </w:rPr>
        <w:t>5. Налице е намаляване на дела на спрените досъдебни производства спрямо приключените през годината</w:t>
      </w:r>
      <w:r>
        <w:rPr>
          <w:rFonts w:ascii="Times New Roman" w:eastAsia="Times New Roman" w:hAnsi="Times New Roman"/>
          <w:sz w:val="28"/>
          <w:szCs w:val="28"/>
        </w:rPr>
        <w:t>-</w:t>
      </w:r>
      <w:r w:rsidRPr="00CA3091">
        <w:rPr>
          <w:rFonts w:ascii="Times New Roman" w:eastAsia="Times New Roman" w:hAnsi="Times New Roman"/>
          <w:sz w:val="28"/>
          <w:szCs w:val="28"/>
        </w:rPr>
        <w:t xml:space="preserve"> </w:t>
      </w:r>
      <w:r>
        <w:rPr>
          <w:rFonts w:ascii="Times New Roman" w:eastAsia="Times New Roman" w:hAnsi="Times New Roman"/>
          <w:sz w:val="28"/>
          <w:szCs w:val="28"/>
        </w:rPr>
        <w:t>45</w:t>
      </w:r>
      <w:r w:rsidRPr="00CA3091">
        <w:rPr>
          <w:rFonts w:ascii="Times New Roman" w:eastAsia="Times New Roman" w:hAnsi="Times New Roman"/>
          <w:sz w:val="28"/>
          <w:szCs w:val="28"/>
        </w:rPr>
        <w:t>%, съпоставени с тези показатели с предходн</w:t>
      </w:r>
      <w:r>
        <w:rPr>
          <w:rFonts w:ascii="Times New Roman" w:eastAsia="Times New Roman" w:hAnsi="Times New Roman"/>
          <w:sz w:val="28"/>
          <w:szCs w:val="28"/>
        </w:rPr>
        <w:t>и</w:t>
      </w:r>
      <w:r w:rsidRPr="00CA3091">
        <w:rPr>
          <w:rFonts w:ascii="Times New Roman" w:eastAsia="Times New Roman" w:hAnsi="Times New Roman"/>
          <w:sz w:val="28"/>
          <w:szCs w:val="28"/>
        </w:rPr>
        <w:t>т</w:t>
      </w:r>
      <w:r>
        <w:rPr>
          <w:rFonts w:ascii="Times New Roman" w:eastAsia="Times New Roman" w:hAnsi="Times New Roman"/>
          <w:sz w:val="28"/>
          <w:szCs w:val="28"/>
        </w:rPr>
        <w:t>е</w:t>
      </w:r>
      <w:r w:rsidRPr="00CA3091">
        <w:rPr>
          <w:rFonts w:ascii="Times New Roman" w:eastAsia="Times New Roman" w:hAnsi="Times New Roman"/>
          <w:sz w:val="28"/>
          <w:szCs w:val="28"/>
        </w:rPr>
        <w:t xml:space="preserve"> 2019г. - 54,59% и 20</w:t>
      </w:r>
      <w:r>
        <w:rPr>
          <w:rFonts w:ascii="Times New Roman" w:eastAsia="Times New Roman" w:hAnsi="Times New Roman"/>
          <w:sz w:val="28"/>
          <w:szCs w:val="28"/>
        </w:rPr>
        <w:t>20</w:t>
      </w:r>
      <w:r w:rsidRPr="00CA3091">
        <w:rPr>
          <w:rFonts w:ascii="Times New Roman" w:eastAsia="Times New Roman" w:hAnsi="Times New Roman"/>
          <w:sz w:val="28"/>
          <w:szCs w:val="28"/>
        </w:rPr>
        <w:t xml:space="preserve"> г.- 5</w:t>
      </w:r>
      <w:r>
        <w:rPr>
          <w:rFonts w:ascii="Times New Roman" w:eastAsia="Times New Roman" w:hAnsi="Times New Roman"/>
          <w:sz w:val="28"/>
          <w:szCs w:val="28"/>
        </w:rPr>
        <w:t>3</w:t>
      </w:r>
      <w:r w:rsidRPr="00CA3091">
        <w:rPr>
          <w:rFonts w:ascii="Times New Roman" w:eastAsia="Times New Roman" w:hAnsi="Times New Roman"/>
          <w:sz w:val="28"/>
          <w:szCs w:val="28"/>
        </w:rPr>
        <w:t>,</w:t>
      </w:r>
      <w:r>
        <w:rPr>
          <w:rFonts w:ascii="Times New Roman" w:eastAsia="Times New Roman" w:hAnsi="Times New Roman"/>
          <w:sz w:val="28"/>
          <w:szCs w:val="28"/>
        </w:rPr>
        <w:t>34</w:t>
      </w:r>
      <w:r w:rsidRPr="00CA3091">
        <w:rPr>
          <w:rFonts w:ascii="Times New Roman" w:eastAsia="Times New Roman" w:hAnsi="Times New Roman"/>
          <w:sz w:val="28"/>
          <w:szCs w:val="28"/>
        </w:rPr>
        <w:t>%.</w:t>
      </w:r>
    </w:p>
    <w:p w:rsidR="00616655" w:rsidRPr="003E7014" w:rsidRDefault="00616655" w:rsidP="004D24A1">
      <w:pPr>
        <w:spacing w:after="0"/>
        <w:ind w:firstLine="708"/>
        <w:jc w:val="both"/>
        <w:rPr>
          <w:rFonts w:ascii="Times New Roman" w:eastAsia="Times New Roman" w:hAnsi="Times New Roman"/>
          <w:sz w:val="28"/>
          <w:szCs w:val="28"/>
        </w:rPr>
      </w:pPr>
      <w:r w:rsidRPr="00C62C8A">
        <w:rPr>
          <w:rFonts w:ascii="Times New Roman" w:eastAsia="Times New Roman" w:hAnsi="Times New Roman"/>
          <w:sz w:val="28"/>
          <w:szCs w:val="28"/>
        </w:rPr>
        <w:lastRenderedPageBreak/>
        <w:t xml:space="preserve">6. Следва да се отчете </w:t>
      </w:r>
      <w:r>
        <w:rPr>
          <w:rFonts w:ascii="Times New Roman" w:eastAsia="Times New Roman" w:hAnsi="Times New Roman"/>
          <w:sz w:val="28"/>
          <w:szCs w:val="28"/>
        </w:rPr>
        <w:t xml:space="preserve">увеличаването </w:t>
      </w:r>
      <w:r w:rsidRPr="00C62C8A">
        <w:rPr>
          <w:rFonts w:ascii="Times New Roman" w:eastAsia="Times New Roman" w:hAnsi="Times New Roman"/>
          <w:sz w:val="28"/>
          <w:szCs w:val="28"/>
        </w:rPr>
        <w:t>на броя на предадените на съд лица с обвинителен акт, споразумение и предложение по чл. 78а от НК</w:t>
      </w:r>
      <w:r w:rsidRPr="00C62C8A">
        <w:rPr>
          <w:rFonts w:ascii="Times New Roman" w:eastAsia="Times New Roman" w:hAnsi="Times New Roman"/>
          <w:sz w:val="28"/>
          <w:szCs w:val="28"/>
          <w:lang w:val="en-US"/>
        </w:rPr>
        <w:t xml:space="preserve">- </w:t>
      </w:r>
      <w:r>
        <w:rPr>
          <w:rFonts w:ascii="Times New Roman" w:eastAsia="Times New Roman" w:hAnsi="Times New Roman"/>
          <w:sz w:val="28"/>
          <w:szCs w:val="28"/>
        </w:rPr>
        <w:t xml:space="preserve">през 2021 г. </w:t>
      </w:r>
      <w:r w:rsidRPr="00921742">
        <w:rPr>
          <w:rFonts w:ascii="Times New Roman" w:eastAsia="Times New Roman" w:hAnsi="Times New Roman"/>
          <w:sz w:val="28"/>
          <w:szCs w:val="28"/>
          <w:lang w:val="en-US"/>
        </w:rPr>
        <w:t xml:space="preserve">внесени в съда са </w:t>
      </w:r>
      <w:r>
        <w:rPr>
          <w:rFonts w:ascii="Times New Roman" w:eastAsia="Times New Roman" w:hAnsi="Times New Roman"/>
          <w:sz w:val="28"/>
          <w:szCs w:val="28"/>
        </w:rPr>
        <w:t>3146</w:t>
      </w:r>
      <w:r w:rsidRPr="00921742">
        <w:rPr>
          <w:rFonts w:ascii="Times New Roman" w:eastAsia="Times New Roman" w:hAnsi="Times New Roman"/>
          <w:sz w:val="28"/>
          <w:szCs w:val="28"/>
          <w:lang w:val="en-US"/>
        </w:rPr>
        <w:t xml:space="preserve"> броя прокурорски акта срещу 3</w:t>
      </w:r>
      <w:r>
        <w:rPr>
          <w:rFonts w:ascii="Times New Roman" w:eastAsia="Times New Roman" w:hAnsi="Times New Roman"/>
          <w:sz w:val="28"/>
          <w:szCs w:val="28"/>
        </w:rPr>
        <w:t>378</w:t>
      </w:r>
      <w:r w:rsidRPr="00921742">
        <w:rPr>
          <w:rFonts w:ascii="Times New Roman" w:eastAsia="Times New Roman" w:hAnsi="Times New Roman"/>
          <w:sz w:val="28"/>
          <w:szCs w:val="28"/>
          <w:lang w:val="en-US"/>
        </w:rPr>
        <w:t xml:space="preserve"> лица</w:t>
      </w:r>
      <w:r>
        <w:rPr>
          <w:rFonts w:ascii="Times New Roman" w:eastAsia="Times New Roman" w:hAnsi="Times New Roman"/>
          <w:sz w:val="28"/>
          <w:szCs w:val="28"/>
        </w:rPr>
        <w:t>, а през 2020 г. внесени в съда са 2817</w:t>
      </w:r>
      <w:r w:rsidRPr="00C62C8A">
        <w:rPr>
          <w:rFonts w:ascii="Times New Roman" w:eastAsia="Times New Roman" w:hAnsi="Times New Roman"/>
          <w:sz w:val="28"/>
          <w:szCs w:val="28"/>
        </w:rPr>
        <w:t xml:space="preserve"> броя прокурорски акта срещу </w:t>
      </w:r>
      <w:r>
        <w:rPr>
          <w:rFonts w:ascii="Times New Roman" w:eastAsia="Times New Roman" w:hAnsi="Times New Roman"/>
          <w:sz w:val="28"/>
          <w:szCs w:val="28"/>
          <w:lang w:val="en-US"/>
        </w:rPr>
        <w:t>3</w:t>
      </w:r>
      <w:r>
        <w:rPr>
          <w:rFonts w:ascii="Times New Roman" w:eastAsia="Times New Roman" w:hAnsi="Times New Roman"/>
          <w:sz w:val="28"/>
          <w:szCs w:val="28"/>
        </w:rPr>
        <w:t>025 лица.</w:t>
      </w:r>
    </w:p>
    <w:p w:rsidR="00616655" w:rsidRPr="00C62C8A" w:rsidRDefault="00616655" w:rsidP="004D24A1">
      <w:pPr>
        <w:spacing w:after="0"/>
        <w:jc w:val="both"/>
        <w:rPr>
          <w:rFonts w:ascii="Times New Roman" w:eastAsia="Times New Roman" w:hAnsi="Times New Roman"/>
          <w:sz w:val="28"/>
          <w:szCs w:val="28"/>
        </w:rPr>
      </w:pPr>
      <w:r w:rsidRPr="00C62C8A">
        <w:rPr>
          <w:rFonts w:ascii="Times New Roman" w:eastAsia="Times New Roman" w:hAnsi="Times New Roman"/>
          <w:sz w:val="28"/>
          <w:szCs w:val="28"/>
        </w:rPr>
        <w:tab/>
        <w:t>7</w:t>
      </w:r>
      <w:r w:rsidRPr="00C62C8A">
        <w:rPr>
          <w:rFonts w:ascii="Times New Roman" w:eastAsia="Times New Roman" w:hAnsi="Times New Roman"/>
          <w:sz w:val="28"/>
          <w:szCs w:val="28"/>
          <w:lang w:val="en-US"/>
        </w:rPr>
        <w:t xml:space="preserve">. </w:t>
      </w:r>
      <w:r>
        <w:rPr>
          <w:rFonts w:ascii="Times New Roman" w:eastAsia="Times New Roman" w:hAnsi="Times New Roman"/>
          <w:sz w:val="28"/>
          <w:szCs w:val="28"/>
        </w:rPr>
        <w:t xml:space="preserve">Регистрирано е леко намаление </w:t>
      </w:r>
      <w:r w:rsidRPr="00C62C8A">
        <w:rPr>
          <w:rFonts w:ascii="Times New Roman" w:eastAsia="Times New Roman" w:hAnsi="Times New Roman"/>
          <w:sz w:val="28"/>
          <w:szCs w:val="28"/>
        </w:rPr>
        <w:t>на броя на лицата с наложена мярка за неотклонение „задържане под стажа“ –</w:t>
      </w:r>
      <w:r>
        <w:rPr>
          <w:rFonts w:ascii="Times New Roman" w:eastAsia="Times New Roman" w:hAnsi="Times New Roman"/>
          <w:sz w:val="28"/>
          <w:szCs w:val="28"/>
        </w:rPr>
        <w:t xml:space="preserve">629 лица за 2021 г., при </w:t>
      </w:r>
      <w:r w:rsidRPr="00C62C8A">
        <w:rPr>
          <w:rFonts w:ascii="Times New Roman" w:eastAsia="Times New Roman" w:hAnsi="Times New Roman"/>
          <w:sz w:val="28"/>
          <w:szCs w:val="28"/>
        </w:rPr>
        <w:t xml:space="preserve"> </w:t>
      </w:r>
      <w:r>
        <w:rPr>
          <w:rFonts w:ascii="Times New Roman" w:eastAsia="Times New Roman" w:hAnsi="Times New Roman"/>
          <w:sz w:val="28"/>
          <w:szCs w:val="28"/>
        </w:rPr>
        <w:t xml:space="preserve">684 лица за 2020 г. и при 579 лица за 2019 г. </w:t>
      </w:r>
    </w:p>
    <w:p w:rsidR="00616655" w:rsidRPr="00C62C8A" w:rsidRDefault="00616655" w:rsidP="004D24A1">
      <w:pPr>
        <w:spacing w:after="0"/>
        <w:jc w:val="both"/>
        <w:rPr>
          <w:rFonts w:ascii="Times New Roman" w:eastAsia="Times New Roman" w:hAnsi="Times New Roman"/>
          <w:sz w:val="28"/>
          <w:szCs w:val="28"/>
        </w:rPr>
      </w:pPr>
      <w:r w:rsidRPr="00C62C8A">
        <w:rPr>
          <w:rFonts w:ascii="Times New Roman" w:eastAsia="Times New Roman" w:hAnsi="Times New Roman"/>
          <w:sz w:val="28"/>
          <w:szCs w:val="28"/>
        </w:rPr>
        <w:tab/>
        <w:t xml:space="preserve">8. Налице е </w:t>
      </w:r>
      <w:r>
        <w:rPr>
          <w:rFonts w:ascii="Times New Roman" w:eastAsia="Times New Roman" w:hAnsi="Times New Roman"/>
          <w:sz w:val="28"/>
          <w:szCs w:val="28"/>
        </w:rPr>
        <w:t>увеличение</w:t>
      </w:r>
      <w:r w:rsidRPr="00C62C8A">
        <w:rPr>
          <w:rFonts w:ascii="Times New Roman" w:eastAsia="Times New Roman" w:hAnsi="Times New Roman"/>
          <w:sz w:val="28"/>
          <w:szCs w:val="28"/>
        </w:rPr>
        <w:t xml:space="preserve"> на относителния дял на върнатите на прокуратурата дела спрямо общия брой на внесени</w:t>
      </w:r>
      <w:r>
        <w:rPr>
          <w:rFonts w:ascii="Times New Roman" w:eastAsia="Times New Roman" w:hAnsi="Times New Roman"/>
          <w:sz w:val="28"/>
          <w:szCs w:val="28"/>
        </w:rPr>
        <w:t>те прокурорски актове в съда – 7,41</w:t>
      </w:r>
      <w:r w:rsidRPr="00C62C8A">
        <w:rPr>
          <w:rFonts w:ascii="Times New Roman" w:eastAsia="Times New Roman" w:hAnsi="Times New Roman"/>
          <w:sz w:val="28"/>
          <w:szCs w:val="28"/>
        </w:rPr>
        <w:t xml:space="preserve"> </w:t>
      </w:r>
      <w:r w:rsidRPr="0094348C">
        <w:rPr>
          <w:rFonts w:ascii="Times New Roman" w:eastAsia="Times New Roman" w:hAnsi="Times New Roman"/>
          <w:sz w:val="28"/>
          <w:szCs w:val="28"/>
        </w:rPr>
        <w:t>%</w:t>
      </w:r>
      <w:r>
        <w:rPr>
          <w:rFonts w:ascii="Times New Roman" w:eastAsia="Times New Roman" w:hAnsi="Times New Roman"/>
          <w:sz w:val="28"/>
          <w:szCs w:val="28"/>
        </w:rPr>
        <w:t xml:space="preserve">, </w:t>
      </w:r>
      <w:r w:rsidRPr="00C62C8A">
        <w:rPr>
          <w:rFonts w:ascii="Times New Roman" w:eastAsia="Times New Roman" w:hAnsi="Times New Roman"/>
          <w:sz w:val="28"/>
          <w:szCs w:val="28"/>
        </w:rPr>
        <w:t>в</w:t>
      </w:r>
      <w:r>
        <w:rPr>
          <w:rFonts w:ascii="Times New Roman" w:eastAsia="Times New Roman" w:hAnsi="Times New Roman"/>
          <w:sz w:val="28"/>
          <w:szCs w:val="28"/>
        </w:rPr>
        <w:t xml:space="preserve"> сравнение с 2020 г.- </w:t>
      </w:r>
      <w:r w:rsidRPr="00E41016">
        <w:rPr>
          <w:rFonts w:ascii="Times New Roman" w:eastAsia="Times New Roman" w:hAnsi="Times New Roman"/>
          <w:sz w:val="28"/>
          <w:szCs w:val="28"/>
        </w:rPr>
        <w:t>6,50 %</w:t>
      </w:r>
      <w:r>
        <w:rPr>
          <w:rFonts w:ascii="Times New Roman" w:eastAsia="Times New Roman" w:hAnsi="Times New Roman"/>
          <w:sz w:val="28"/>
          <w:szCs w:val="28"/>
        </w:rPr>
        <w:t xml:space="preserve">, но е регистрирано намаление всравнение с 2019 г. - </w:t>
      </w:r>
      <w:r w:rsidRPr="0094348C">
        <w:rPr>
          <w:rFonts w:ascii="Times New Roman" w:eastAsia="Times New Roman" w:hAnsi="Times New Roman"/>
          <w:sz w:val="28"/>
          <w:szCs w:val="28"/>
        </w:rPr>
        <w:t>7,66 %</w:t>
      </w:r>
      <w:r>
        <w:rPr>
          <w:rFonts w:ascii="Times New Roman" w:eastAsia="Times New Roman" w:hAnsi="Times New Roman"/>
          <w:sz w:val="28"/>
          <w:szCs w:val="28"/>
        </w:rPr>
        <w:t>.</w:t>
      </w:r>
      <w:r w:rsidRPr="0094348C">
        <w:rPr>
          <w:rFonts w:ascii="Times New Roman" w:eastAsia="Times New Roman" w:hAnsi="Times New Roman"/>
          <w:sz w:val="28"/>
          <w:szCs w:val="28"/>
        </w:rPr>
        <w:t xml:space="preserve"> </w:t>
      </w:r>
      <w:r>
        <w:rPr>
          <w:rFonts w:ascii="Times New Roman" w:eastAsia="Times New Roman" w:hAnsi="Times New Roman"/>
          <w:sz w:val="28"/>
          <w:szCs w:val="28"/>
        </w:rPr>
        <w:t xml:space="preserve"> </w:t>
      </w:r>
    </w:p>
    <w:p w:rsidR="00616655" w:rsidRPr="00C62C8A" w:rsidRDefault="00616655" w:rsidP="004D24A1">
      <w:pPr>
        <w:spacing w:after="0"/>
        <w:jc w:val="both"/>
        <w:rPr>
          <w:rFonts w:ascii="Times New Roman" w:eastAsia="Times New Roman" w:hAnsi="Times New Roman"/>
          <w:sz w:val="28"/>
          <w:szCs w:val="28"/>
        </w:rPr>
      </w:pPr>
      <w:r w:rsidRPr="00C62C8A">
        <w:rPr>
          <w:rFonts w:ascii="Times New Roman" w:eastAsia="Times New Roman" w:hAnsi="Times New Roman"/>
          <w:sz w:val="28"/>
          <w:szCs w:val="28"/>
        </w:rPr>
        <w:tab/>
        <w:t xml:space="preserve">9. Намален </w:t>
      </w:r>
      <w:r>
        <w:rPr>
          <w:rFonts w:ascii="Times New Roman" w:eastAsia="Times New Roman" w:hAnsi="Times New Roman"/>
          <w:sz w:val="28"/>
          <w:szCs w:val="28"/>
        </w:rPr>
        <w:t xml:space="preserve">с един </w:t>
      </w:r>
      <w:r w:rsidRPr="00C62C8A">
        <w:rPr>
          <w:rFonts w:ascii="Times New Roman" w:eastAsia="Times New Roman" w:hAnsi="Times New Roman"/>
          <w:sz w:val="28"/>
          <w:szCs w:val="28"/>
        </w:rPr>
        <w:t xml:space="preserve">е броят на внесените в съда прокурорски актове срещу </w:t>
      </w:r>
      <w:r>
        <w:rPr>
          <w:rFonts w:ascii="Times New Roman" w:eastAsia="Times New Roman" w:hAnsi="Times New Roman"/>
          <w:sz w:val="28"/>
          <w:szCs w:val="28"/>
        </w:rPr>
        <w:t>непълнолетни лица –96</w:t>
      </w:r>
      <w:r w:rsidRPr="00C62C8A">
        <w:rPr>
          <w:rFonts w:ascii="Times New Roman" w:eastAsia="Times New Roman" w:hAnsi="Times New Roman"/>
          <w:sz w:val="28"/>
          <w:szCs w:val="28"/>
        </w:rPr>
        <w:t xml:space="preserve"> броя, </w:t>
      </w:r>
      <w:r>
        <w:rPr>
          <w:rFonts w:ascii="Times New Roman" w:eastAsia="Times New Roman" w:hAnsi="Times New Roman"/>
          <w:sz w:val="28"/>
          <w:szCs w:val="28"/>
        </w:rPr>
        <w:t xml:space="preserve">с сравнение с 2020 г.- 97 броя, а </w:t>
      </w:r>
      <w:r w:rsidRPr="00C62C8A">
        <w:rPr>
          <w:rFonts w:ascii="Times New Roman" w:eastAsia="Times New Roman" w:hAnsi="Times New Roman"/>
          <w:sz w:val="28"/>
          <w:szCs w:val="28"/>
        </w:rPr>
        <w:t xml:space="preserve">в сравнение с </w:t>
      </w:r>
      <w:r>
        <w:rPr>
          <w:rFonts w:ascii="Times New Roman" w:eastAsia="Times New Roman" w:hAnsi="Times New Roman"/>
          <w:sz w:val="28"/>
          <w:szCs w:val="28"/>
        </w:rPr>
        <w:t>2019 г.- 103 броя.</w:t>
      </w:r>
    </w:p>
    <w:p w:rsidR="00616655" w:rsidRPr="00C62C8A" w:rsidRDefault="00616655"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C62C8A">
        <w:rPr>
          <w:rFonts w:ascii="Times New Roman" w:eastAsia="Times New Roman" w:hAnsi="Times New Roman"/>
          <w:sz w:val="28"/>
          <w:szCs w:val="28"/>
          <w:lang w:val="en-US"/>
        </w:rPr>
        <w:t>10</w:t>
      </w:r>
      <w:r>
        <w:rPr>
          <w:rFonts w:ascii="Times New Roman" w:eastAsia="Times New Roman" w:hAnsi="Times New Roman"/>
          <w:sz w:val="28"/>
          <w:szCs w:val="28"/>
        </w:rPr>
        <w:t>. За целия район през 2021</w:t>
      </w:r>
      <w:r w:rsidRPr="00C62C8A">
        <w:rPr>
          <w:rFonts w:ascii="Times New Roman" w:eastAsia="Times New Roman" w:hAnsi="Times New Roman"/>
          <w:sz w:val="28"/>
          <w:szCs w:val="28"/>
        </w:rPr>
        <w:t xml:space="preserve"> год. </w:t>
      </w:r>
      <w:r>
        <w:rPr>
          <w:rFonts w:ascii="Times New Roman" w:eastAsia="Times New Roman" w:hAnsi="Times New Roman"/>
          <w:sz w:val="28"/>
          <w:szCs w:val="28"/>
        </w:rPr>
        <w:t xml:space="preserve">е налице увеличаване на </w:t>
      </w:r>
      <w:r w:rsidRPr="00C62C8A">
        <w:rPr>
          <w:rFonts w:ascii="Times New Roman" w:eastAsia="Times New Roman" w:hAnsi="Times New Roman"/>
          <w:sz w:val="28"/>
          <w:szCs w:val="28"/>
        </w:rPr>
        <w:t>общия брой на прокурорските актове, участия в съдебни заседания и други прокурорски дейности и актове</w:t>
      </w:r>
      <w:r>
        <w:rPr>
          <w:rFonts w:ascii="Times New Roman" w:eastAsia="Times New Roman" w:hAnsi="Times New Roman"/>
          <w:sz w:val="28"/>
          <w:szCs w:val="28"/>
        </w:rPr>
        <w:t xml:space="preserve">- 467204, при 394081 за 2020 г. и при </w:t>
      </w:r>
      <w:r w:rsidRPr="00C62C8A">
        <w:rPr>
          <w:rFonts w:ascii="Times New Roman" w:eastAsia="Times New Roman" w:hAnsi="Times New Roman"/>
          <w:sz w:val="28"/>
          <w:szCs w:val="28"/>
        </w:rPr>
        <w:t>419819</w:t>
      </w:r>
      <w:r>
        <w:rPr>
          <w:rFonts w:ascii="Times New Roman" w:eastAsia="Times New Roman" w:hAnsi="Times New Roman"/>
          <w:sz w:val="28"/>
          <w:szCs w:val="28"/>
        </w:rPr>
        <w:t xml:space="preserve"> за 2019 г. </w:t>
      </w:r>
    </w:p>
    <w:p w:rsidR="00616655" w:rsidRPr="00C62C8A" w:rsidRDefault="00616655"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0"/>
        </w:rPr>
      </w:pPr>
      <w:r w:rsidRPr="00C62C8A">
        <w:rPr>
          <w:rFonts w:ascii="Times New Roman" w:eastAsia="Times New Roman" w:hAnsi="Times New Roman"/>
          <w:sz w:val="28"/>
          <w:szCs w:val="28"/>
        </w:rPr>
        <w:t xml:space="preserve">Данните от общия обем </w:t>
      </w:r>
      <w:r>
        <w:rPr>
          <w:rFonts w:ascii="Times New Roman" w:eastAsia="Times New Roman" w:hAnsi="Times New Roman"/>
          <w:sz w:val="28"/>
          <w:szCs w:val="28"/>
        </w:rPr>
        <w:t>на прокурорската дейност за 2020</w:t>
      </w:r>
      <w:r w:rsidRPr="00C62C8A">
        <w:rPr>
          <w:rFonts w:ascii="Times New Roman" w:eastAsia="Times New Roman" w:hAnsi="Times New Roman"/>
          <w:sz w:val="28"/>
          <w:szCs w:val="28"/>
        </w:rPr>
        <w:t xml:space="preserve"> година, съпоставени с тези</w:t>
      </w:r>
      <w:r>
        <w:rPr>
          <w:rFonts w:ascii="Times New Roman" w:eastAsia="Times New Roman" w:hAnsi="Times New Roman"/>
          <w:sz w:val="28"/>
          <w:szCs w:val="28"/>
        </w:rPr>
        <w:t xml:space="preserve"> за същия отчетен период за 2019 г. и 2018 г. показват запазване на </w:t>
      </w:r>
      <w:r w:rsidRPr="00C62C8A">
        <w:rPr>
          <w:rFonts w:ascii="Times New Roman" w:eastAsia="Times New Roman" w:hAnsi="Times New Roman"/>
          <w:sz w:val="28"/>
          <w:szCs w:val="28"/>
        </w:rPr>
        <w:t>ниво</w:t>
      </w:r>
      <w:r>
        <w:rPr>
          <w:rFonts w:ascii="Times New Roman" w:eastAsia="Times New Roman" w:hAnsi="Times New Roman"/>
          <w:sz w:val="28"/>
          <w:szCs w:val="28"/>
        </w:rPr>
        <w:t>то</w:t>
      </w:r>
      <w:r w:rsidRPr="00C62C8A">
        <w:rPr>
          <w:rFonts w:ascii="Times New Roman" w:eastAsia="Times New Roman" w:hAnsi="Times New Roman"/>
          <w:sz w:val="28"/>
          <w:szCs w:val="28"/>
        </w:rPr>
        <w:t xml:space="preserve"> на общата натовареност на прокурорите от района на СГП.</w:t>
      </w:r>
    </w:p>
    <w:p w:rsidR="00616655" w:rsidRPr="00C62C8A" w:rsidRDefault="00616655" w:rsidP="004D24A1">
      <w:pPr>
        <w:spacing w:after="0"/>
        <w:jc w:val="both"/>
        <w:rPr>
          <w:rFonts w:ascii="Times New Roman" w:eastAsia="Times New Roman" w:hAnsi="Times New Roman"/>
          <w:sz w:val="28"/>
          <w:szCs w:val="28"/>
        </w:rPr>
      </w:pPr>
    </w:p>
    <w:p w:rsidR="00616655" w:rsidRPr="00C62C8A" w:rsidRDefault="00616655" w:rsidP="004D24A1">
      <w:pPr>
        <w:spacing w:after="0"/>
        <w:ind w:firstLine="708"/>
        <w:jc w:val="both"/>
        <w:rPr>
          <w:rFonts w:ascii="Times New Roman" w:eastAsia="Times New Roman" w:hAnsi="Times New Roman"/>
          <w:b/>
          <w:sz w:val="28"/>
          <w:szCs w:val="28"/>
          <w:lang w:val="en-US"/>
        </w:rPr>
      </w:pPr>
      <w:r w:rsidRPr="00C62C8A">
        <w:rPr>
          <w:rFonts w:ascii="Times New Roman" w:eastAsia="Times New Roman" w:hAnsi="Times New Roman"/>
          <w:b/>
          <w:sz w:val="28"/>
          <w:szCs w:val="28"/>
        </w:rPr>
        <w:t>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p>
    <w:p w:rsidR="00616655" w:rsidRPr="00C62C8A" w:rsidRDefault="00616655" w:rsidP="004D24A1">
      <w:pPr>
        <w:spacing w:after="0"/>
        <w:jc w:val="both"/>
        <w:rPr>
          <w:rFonts w:ascii="Times New Roman" w:eastAsia="Times New Roman" w:hAnsi="Times New Roman"/>
          <w:b/>
          <w:sz w:val="28"/>
          <w:szCs w:val="28"/>
          <w:lang w:val="en-US"/>
        </w:rPr>
      </w:pPr>
    </w:p>
    <w:p w:rsidR="00616655" w:rsidRPr="00C62C8A" w:rsidRDefault="00616655" w:rsidP="004D24A1">
      <w:pPr>
        <w:spacing w:after="0"/>
        <w:ind w:firstLine="708"/>
        <w:jc w:val="both"/>
        <w:rPr>
          <w:rFonts w:ascii="Times New Roman" w:eastAsia="Times New Roman" w:hAnsi="Times New Roman"/>
          <w:sz w:val="28"/>
          <w:szCs w:val="28"/>
        </w:rPr>
      </w:pPr>
      <w:r w:rsidRPr="00C62C8A">
        <w:rPr>
          <w:rFonts w:ascii="Times New Roman" w:eastAsia="Times New Roman" w:hAnsi="Times New Roman"/>
          <w:sz w:val="28"/>
          <w:szCs w:val="28"/>
          <w:lang w:val="en-US"/>
        </w:rPr>
        <w:t>Структурата и динамиката на престъпността са в пряка зависимост от фактори с дълготрайно значение – население, икономика, инфраструктура, ниво на образованост и на заетост</w:t>
      </w:r>
      <w:r w:rsidRPr="00C62C8A">
        <w:t xml:space="preserve"> </w:t>
      </w:r>
      <w:r w:rsidRPr="00C62C8A">
        <w:rPr>
          <w:rFonts w:ascii="Times New Roman" w:eastAsia="Times New Roman" w:hAnsi="Times New Roman"/>
          <w:sz w:val="28"/>
          <w:szCs w:val="28"/>
        </w:rPr>
        <w:t>.</w:t>
      </w:r>
    </w:p>
    <w:p w:rsidR="00616655" w:rsidRDefault="00616655" w:rsidP="004D24A1">
      <w:pPr>
        <w:spacing w:after="0"/>
        <w:ind w:firstLine="708"/>
        <w:jc w:val="both"/>
        <w:rPr>
          <w:rFonts w:ascii="Times New Roman" w:eastAsia="Times New Roman" w:hAnsi="Times New Roman"/>
          <w:sz w:val="28"/>
          <w:szCs w:val="28"/>
        </w:rPr>
      </w:pPr>
      <w:r>
        <w:rPr>
          <w:rFonts w:ascii="Times New Roman" w:eastAsia="Times New Roman" w:hAnsi="Times New Roman"/>
          <w:sz w:val="28"/>
          <w:szCs w:val="28"/>
        </w:rPr>
        <w:t>Факторите са:</w:t>
      </w:r>
      <w:r w:rsidRPr="00C62C8A">
        <w:rPr>
          <w:rFonts w:ascii="Times New Roman" w:eastAsia="Times New Roman" w:hAnsi="Times New Roman"/>
          <w:sz w:val="28"/>
          <w:szCs w:val="28"/>
        </w:rPr>
        <w:t xml:space="preserve"> </w:t>
      </w:r>
    </w:p>
    <w:p w:rsidR="00616655" w:rsidRDefault="00616655" w:rsidP="004D24A1">
      <w:pPr>
        <w:spacing w:after="0"/>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 свързани с </w:t>
      </w:r>
      <w:r w:rsidRPr="00C62C8A">
        <w:rPr>
          <w:rFonts w:ascii="Times New Roman" w:eastAsia="Times New Roman" w:hAnsi="Times New Roman"/>
          <w:sz w:val="28"/>
          <w:szCs w:val="28"/>
        </w:rPr>
        <w:t xml:space="preserve">географското </w:t>
      </w:r>
      <w:r>
        <w:rPr>
          <w:rFonts w:ascii="Times New Roman" w:eastAsia="Times New Roman" w:hAnsi="Times New Roman"/>
          <w:sz w:val="28"/>
          <w:szCs w:val="28"/>
        </w:rPr>
        <w:t>местоположение на района на СГП;</w:t>
      </w:r>
      <w:r w:rsidRPr="00C62C8A">
        <w:rPr>
          <w:rFonts w:ascii="Times New Roman" w:eastAsia="Times New Roman" w:hAnsi="Times New Roman"/>
          <w:sz w:val="28"/>
          <w:szCs w:val="28"/>
        </w:rPr>
        <w:t xml:space="preserve"> </w:t>
      </w:r>
    </w:p>
    <w:p w:rsidR="00616655" w:rsidRDefault="00616655" w:rsidP="004D24A1">
      <w:pPr>
        <w:spacing w:after="0"/>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 свързани със </w:t>
      </w:r>
      <w:r w:rsidRPr="00C62C8A">
        <w:rPr>
          <w:rFonts w:ascii="Times New Roman" w:eastAsia="Times New Roman" w:hAnsi="Times New Roman"/>
          <w:sz w:val="28"/>
          <w:szCs w:val="28"/>
        </w:rPr>
        <w:t>социално-икономически статус на гражданите</w:t>
      </w:r>
      <w:r>
        <w:rPr>
          <w:rFonts w:ascii="Times New Roman" w:eastAsia="Times New Roman" w:hAnsi="Times New Roman"/>
          <w:sz w:val="28"/>
          <w:szCs w:val="28"/>
        </w:rPr>
        <w:t>;</w:t>
      </w:r>
    </w:p>
    <w:p w:rsidR="00616655" w:rsidRDefault="00616655" w:rsidP="004D24A1">
      <w:pPr>
        <w:spacing w:after="0"/>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 свързани с </w:t>
      </w:r>
      <w:r w:rsidRPr="00C62C8A">
        <w:rPr>
          <w:rFonts w:ascii="Times New Roman" w:eastAsia="Times New Roman" w:hAnsi="Times New Roman"/>
          <w:sz w:val="28"/>
          <w:szCs w:val="28"/>
        </w:rPr>
        <w:t>организацията на дейността на органите, ангажирани с противодействие на престъпността;</w:t>
      </w:r>
    </w:p>
    <w:p w:rsidR="00616655" w:rsidRPr="00C62C8A" w:rsidRDefault="00616655" w:rsidP="004D24A1">
      <w:pPr>
        <w:spacing w:after="0"/>
        <w:ind w:firstLine="708"/>
        <w:jc w:val="both"/>
        <w:rPr>
          <w:rFonts w:ascii="Times New Roman" w:eastAsia="Times New Roman" w:hAnsi="Times New Roman"/>
          <w:sz w:val="28"/>
          <w:szCs w:val="28"/>
        </w:rPr>
      </w:pPr>
    </w:p>
    <w:p w:rsidR="00616655" w:rsidRDefault="00616655" w:rsidP="004D24A1">
      <w:pPr>
        <w:spacing w:after="0"/>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62C8A">
        <w:rPr>
          <w:rFonts w:ascii="Times New Roman" w:eastAsia="Times New Roman" w:hAnsi="Times New Roman"/>
          <w:sz w:val="28"/>
          <w:szCs w:val="28"/>
        </w:rPr>
        <w:t>Факторът</w:t>
      </w:r>
      <w:r w:rsidRPr="00C62C8A">
        <w:rPr>
          <w:rFonts w:ascii="Times New Roman" w:eastAsia="Times New Roman" w:hAnsi="Times New Roman"/>
          <w:sz w:val="28"/>
          <w:szCs w:val="28"/>
          <w:lang w:val="en-US"/>
        </w:rPr>
        <w:t>,</w:t>
      </w:r>
      <w:r w:rsidRPr="00C62C8A">
        <w:rPr>
          <w:rFonts w:ascii="Times New Roman" w:eastAsia="Times New Roman" w:hAnsi="Times New Roman"/>
          <w:sz w:val="28"/>
          <w:szCs w:val="28"/>
        </w:rPr>
        <w:t xml:space="preserve"> свързан с </w:t>
      </w:r>
      <w:r w:rsidRPr="00A376CF">
        <w:rPr>
          <w:rFonts w:ascii="Times New Roman" w:eastAsia="Times New Roman" w:hAnsi="Times New Roman"/>
          <w:bCs/>
          <w:iCs/>
          <w:sz w:val="28"/>
          <w:szCs w:val="28"/>
        </w:rPr>
        <w:t>географското местоположение на района на СГП</w:t>
      </w:r>
      <w:r w:rsidRPr="00C62C8A">
        <w:rPr>
          <w:rFonts w:ascii="Times New Roman" w:eastAsia="Times New Roman" w:hAnsi="Times New Roman"/>
          <w:sz w:val="28"/>
          <w:szCs w:val="28"/>
        </w:rPr>
        <w:t xml:space="preserve">- на територията на област София-град постоянно пребивава около една четвърт от населението на страната. Факт е и, че гр.София е столицата на Република България и в нея са ситуирани  централните държавни органи, </w:t>
      </w:r>
      <w:r w:rsidRPr="00C62C8A">
        <w:rPr>
          <w:rFonts w:ascii="Times New Roman" w:eastAsia="Times New Roman" w:hAnsi="Times New Roman"/>
          <w:sz w:val="28"/>
          <w:szCs w:val="28"/>
        </w:rPr>
        <w:lastRenderedPageBreak/>
        <w:t>ведомства, агенции и др. Това води до предпоставки за извършване на престъпления от български и чужди граждани, като криминогенната обстановка е в постоянна динамика;</w:t>
      </w:r>
    </w:p>
    <w:p w:rsidR="00616655" w:rsidRPr="00C62C8A" w:rsidRDefault="00616655" w:rsidP="004D24A1">
      <w:pPr>
        <w:spacing w:after="0"/>
        <w:ind w:firstLine="708"/>
        <w:jc w:val="both"/>
      </w:pPr>
    </w:p>
    <w:p w:rsidR="00616655" w:rsidRDefault="00616655" w:rsidP="004D24A1">
      <w:pPr>
        <w:spacing w:after="0"/>
        <w:ind w:firstLine="708"/>
        <w:jc w:val="both"/>
        <w:rPr>
          <w:rFonts w:ascii="Times New Roman" w:eastAsia="Times New Roman" w:hAnsi="Times New Roman"/>
          <w:sz w:val="28"/>
          <w:szCs w:val="28"/>
        </w:rPr>
      </w:pPr>
      <w:r>
        <w:rPr>
          <w:rFonts w:ascii="Times New Roman" w:eastAsia="Times New Roman" w:hAnsi="Times New Roman"/>
          <w:sz w:val="28"/>
          <w:szCs w:val="28"/>
        </w:rPr>
        <w:t>-</w:t>
      </w:r>
      <w:r w:rsidRPr="00C62C8A">
        <w:rPr>
          <w:rFonts w:ascii="Times New Roman" w:eastAsia="Times New Roman" w:hAnsi="Times New Roman"/>
          <w:sz w:val="28"/>
          <w:szCs w:val="28"/>
        </w:rPr>
        <w:t xml:space="preserve">Различният </w:t>
      </w:r>
      <w:r w:rsidRPr="00A376CF">
        <w:rPr>
          <w:rFonts w:ascii="Times New Roman" w:eastAsia="Times New Roman" w:hAnsi="Times New Roman"/>
          <w:bCs/>
          <w:iCs/>
          <w:sz w:val="28"/>
          <w:szCs w:val="28"/>
        </w:rPr>
        <w:t>социално-икономически статус</w:t>
      </w:r>
      <w:r w:rsidRPr="00C62C8A">
        <w:rPr>
          <w:rFonts w:ascii="Times New Roman" w:eastAsia="Times New Roman" w:hAnsi="Times New Roman"/>
          <w:sz w:val="28"/>
          <w:szCs w:val="28"/>
        </w:rPr>
        <w:t xml:space="preserve"> на гражданите също е фактор, които влияе на състоянието и структурата на престъпността; наличието</w:t>
      </w:r>
      <w:r w:rsidRPr="00C62C8A">
        <w:t xml:space="preserve"> </w:t>
      </w:r>
      <w:r w:rsidRPr="00C62C8A">
        <w:rPr>
          <w:rFonts w:ascii="Times New Roman" w:eastAsia="Times New Roman" w:hAnsi="Times New Roman"/>
          <w:sz w:val="28"/>
          <w:szCs w:val="28"/>
        </w:rPr>
        <w:t>неграмотни или необразовани граждани, често води до повишаване нивата на престъпността. Наличието на компактни маси от ромско население, съсредоточени в определени квартали на гр. София, като следствие води към</w:t>
      </w:r>
      <w:r>
        <w:rPr>
          <w:rFonts w:ascii="Times New Roman" w:eastAsia="Times New Roman" w:hAnsi="Times New Roman"/>
          <w:sz w:val="28"/>
          <w:szCs w:val="28"/>
        </w:rPr>
        <w:t xml:space="preserve"> завишаване и константно висок</w:t>
      </w:r>
      <w:r w:rsidRPr="00C62C8A">
        <w:rPr>
          <w:rFonts w:ascii="Times New Roman" w:eastAsia="Times New Roman" w:hAnsi="Times New Roman"/>
          <w:sz w:val="28"/>
          <w:szCs w:val="28"/>
        </w:rPr>
        <w:t xml:space="preserve"> брой на престъпленията против собствеността - предимно кражбите.</w:t>
      </w:r>
    </w:p>
    <w:p w:rsidR="00616655" w:rsidRDefault="00616655" w:rsidP="004D24A1">
      <w:pPr>
        <w:spacing w:after="0"/>
        <w:ind w:firstLine="708"/>
        <w:jc w:val="both"/>
        <w:rPr>
          <w:rFonts w:ascii="Times New Roman" w:eastAsia="Times New Roman" w:hAnsi="Times New Roman"/>
          <w:sz w:val="28"/>
          <w:szCs w:val="28"/>
        </w:rPr>
      </w:pPr>
    </w:p>
    <w:p w:rsidR="00616655" w:rsidRPr="00F938EF" w:rsidRDefault="00616655" w:rsidP="004D24A1">
      <w:pPr>
        <w:spacing w:after="0"/>
        <w:ind w:firstLine="708"/>
        <w:jc w:val="both"/>
        <w:rPr>
          <w:rFonts w:ascii="Times New Roman" w:eastAsia="Times New Roman" w:hAnsi="Times New Roman"/>
          <w:bCs/>
          <w:sz w:val="28"/>
          <w:szCs w:val="28"/>
        </w:rPr>
      </w:pPr>
      <w:r>
        <w:rPr>
          <w:rFonts w:ascii="Times New Roman" w:eastAsia="Times New Roman" w:hAnsi="Times New Roman"/>
          <w:bCs/>
          <w:sz w:val="28"/>
          <w:szCs w:val="28"/>
        </w:rPr>
        <w:t>-</w:t>
      </w:r>
      <w:r w:rsidRPr="00F938EF">
        <w:rPr>
          <w:rFonts w:ascii="Times New Roman" w:eastAsia="Times New Roman" w:hAnsi="Times New Roman"/>
          <w:bCs/>
          <w:sz w:val="28"/>
          <w:szCs w:val="28"/>
        </w:rPr>
        <w:t>Фактори, свързани с организацията на дейността на органите, ангажирани с противодействие на престъпността.</w:t>
      </w:r>
    </w:p>
    <w:p w:rsidR="00616655" w:rsidRPr="00C62C8A" w:rsidRDefault="00616655" w:rsidP="004D24A1">
      <w:pPr>
        <w:spacing w:after="0"/>
        <w:ind w:firstLine="708"/>
        <w:jc w:val="both"/>
        <w:rPr>
          <w:rFonts w:ascii="Times New Roman" w:hAnsi="Times New Roman"/>
          <w:sz w:val="28"/>
          <w:szCs w:val="28"/>
        </w:rPr>
      </w:pPr>
      <w:r w:rsidRPr="00C62C8A">
        <w:rPr>
          <w:rFonts w:ascii="Times New Roman" w:eastAsia="Times New Roman" w:hAnsi="Times New Roman"/>
          <w:sz w:val="28"/>
          <w:szCs w:val="28"/>
          <w:lang w:eastAsia="bg-BG"/>
        </w:rPr>
        <w:t xml:space="preserve">Важен фактор </w:t>
      </w:r>
      <w:r>
        <w:rPr>
          <w:rFonts w:ascii="Times New Roman" w:eastAsia="Times New Roman" w:hAnsi="Times New Roman"/>
          <w:sz w:val="28"/>
          <w:szCs w:val="28"/>
          <w:lang w:eastAsia="bg-BG"/>
        </w:rPr>
        <w:t xml:space="preserve">от разглежданата категория е </w:t>
      </w:r>
      <w:r w:rsidRPr="00283177">
        <w:rPr>
          <w:rFonts w:ascii="Times New Roman" w:eastAsia="Times New Roman" w:hAnsi="Times New Roman"/>
          <w:bCs/>
          <w:iCs/>
          <w:sz w:val="28"/>
          <w:szCs w:val="28"/>
          <w:lang w:eastAsia="bg-BG"/>
        </w:rPr>
        <w:t>професионалната компетентност, мотивираност и отговорност на самите магистрати.</w:t>
      </w:r>
      <w:r w:rsidRPr="00C62C8A">
        <w:t xml:space="preserve"> </w:t>
      </w:r>
      <w:r>
        <w:rPr>
          <w:rFonts w:ascii="Times New Roman" w:eastAsia="Times New Roman" w:hAnsi="Times New Roman"/>
          <w:sz w:val="28"/>
          <w:szCs w:val="28"/>
          <w:lang w:eastAsia="bg-BG"/>
        </w:rPr>
        <w:t xml:space="preserve">Както и през 2020 г., така и през настоящия отчетен период </w:t>
      </w:r>
      <w:r w:rsidRPr="00C62C8A">
        <w:rPr>
          <w:rFonts w:ascii="Times New Roman" w:eastAsia="Times New Roman" w:hAnsi="Times New Roman"/>
          <w:sz w:val="28"/>
          <w:szCs w:val="28"/>
          <w:lang w:eastAsia="bg-BG"/>
        </w:rPr>
        <w:t xml:space="preserve">усилията на прокурорите от района на Софийска градска и Софийска районни прокуратури </w:t>
      </w:r>
      <w:r>
        <w:rPr>
          <w:rFonts w:ascii="Times New Roman" w:eastAsia="Times New Roman" w:hAnsi="Times New Roman"/>
          <w:sz w:val="28"/>
          <w:szCs w:val="28"/>
          <w:lang w:eastAsia="bg-BG"/>
        </w:rPr>
        <w:t xml:space="preserve">трайно са </w:t>
      </w:r>
      <w:r w:rsidRPr="00C62C8A">
        <w:rPr>
          <w:rFonts w:ascii="Times New Roman" w:eastAsia="Times New Roman" w:hAnsi="Times New Roman"/>
          <w:sz w:val="28"/>
          <w:szCs w:val="28"/>
          <w:lang w:eastAsia="bg-BG"/>
        </w:rPr>
        <w:t>насочени към повишаване ефективността и прецизността на работа при осъществяване на функциите им по наблюдение и решаване на делата, при изготвяне на прокурорските актове и подобряване на дейността в съдебната фаза на процеса.</w:t>
      </w:r>
      <w:r w:rsidRPr="00C62C8A">
        <w:t xml:space="preserve"> </w:t>
      </w:r>
      <w:r w:rsidRPr="00C62C8A">
        <w:rPr>
          <w:rFonts w:ascii="Times New Roman" w:eastAsia="Times New Roman" w:hAnsi="Times New Roman"/>
          <w:sz w:val="28"/>
          <w:szCs w:val="28"/>
          <w:lang w:eastAsia="bg-BG"/>
        </w:rPr>
        <w:t>В прокуратурата следва да продължи полагането на усилия за специализация и за вътрешен контрол с оглед достигане на по – високо ниво на професионализъм, особено по дела с фактическа и правна сложност или с международен елемент.</w:t>
      </w:r>
      <w:r w:rsidRPr="00C62C8A">
        <w:t xml:space="preserve"> </w:t>
      </w:r>
      <w:r w:rsidRPr="00C62C8A">
        <w:rPr>
          <w:rFonts w:ascii="Times New Roman" w:hAnsi="Times New Roman"/>
          <w:sz w:val="28"/>
          <w:szCs w:val="28"/>
        </w:rPr>
        <w:t>В тази връзка като акцент към прокурорите следва да се изведе повишеното внимание при накърняването на основни защитени от ЕКПЧ права и към проблеми от материалноправно и процесуално естество, които според досегашната практика на ЕСПЧ са ставали повод за осъждане на Република България заради неспособност да се осигури ефективно наказателно разследване.</w:t>
      </w:r>
    </w:p>
    <w:p w:rsidR="00616655" w:rsidRPr="00C62C8A" w:rsidRDefault="00616655" w:rsidP="004D24A1">
      <w:pPr>
        <w:spacing w:after="0"/>
        <w:ind w:firstLine="708"/>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 xml:space="preserve">Друг фактор от разглежданата категория се явява </w:t>
      </w:r>
      <w:r w:rsidRPr="00F938EF">
        <w:rPr>
          <w:rFonts w:ascii="Times New Roman" w:eastAsia="Times New Roman" w:hAnsi="Times New Roman"/>
          <w:bCs/>
          <w:sz w:val="28"/>
          <w:szCs w:val="28"/>
          <w:lang w:eastAsia="bg-BG"/>
        </w:rPr>
        <w:t>контролът,</w:t>
      </w:r>
      <w:r w:rsidRPr="00C62C8A">
        <w:rPr>
          <w:rFonts w:ascii="Times New Roman" w:eastAsia="Times New Roman" w:hAnsi="Times New Roman"/>
          <w:sz w:val="28"/>
          <w:szCs w:val="28"/>
          <w:lang w:eastAsia="bg-BG"/>
        </w:rPr>
        <w:t xml:space="preserve"> осъществяван от магистратите от района на СГП над проверовъчните действия на полицейските органи. В СГП и СРП стриктно се следи за извършване на проверките по ЗСВ от полицейските органи в срок и качествено, т.к. тази дейност  е основополагаща за своевременната и отговаряща на установените факти преценка на прокурора по същество.</w:t>
      </w:r>
    </w:p>
    <w:p w:rsidR="00616655" w:rsidRPr="00C62C8A" w:rsidRDefault="00616655" w:rsidP="004D24A1">
      <w:pPr>
        <w:spacing w:after="0"/>
        <w:ind w:firstLine="708"/>
        <w:jc w:val="both"/>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 xml:space="preserve">Фактор от коментираната категория е и </w:t>
      </w:r>
      <w:r w:rsidRPr="00F938EF">
        <w:rPr>
          <w:rFonts w:ascii="Times New Roman" w:eastAsia="Times New Roman" w:hAnsi="Times New Roman"/>
          <w:bCs/>
          <w:iCs/>
          <w:color w:val="000000"/>
          <w:sz w:val="28"/>
          <w:szCs w:val="28"/>
          <w:lang w:eastAsia="bg-BG"/>
        </w:rPr>
        <w:t>организацията на работа на полицейските органи, както и  екипния принцип</w:t>
      </w:r>
      <w:r w:rsidRPr="00C62C8A">
        <w:rPr>
          <w:rFonts w:ascii="Times New Roman" w:eastAsia="Times New Roman" w:hAnsi="Times New Roman"/>
          <w:color w:val="000000"/>
          <w:sz w:val="28"/>
          <w:szCs w:val="28"/>
          <w:lang w:eastAsia="bg-BG"/>
        </w:rPr>
        <w:t xml:space="preserve"> в рамките на отделните структурни звена в системата на полицията. От голямо значение е </w:t>
      </w:r>
      <w:r w:rsidRPr="00C62C8A">
        <w:rPr>
          <w:rFonts w:ascii="Times New Roman" w:eastAsia="Times New Roman" w:hAnsi="Times New Roman"/>
          <w:color w:val="000000"/>
          <w:sz w:val="28"/>
          <w:szCs w:val="28"/>
          <w:lang w:eastAsia="bg-BG"/>
        </w:rPr>
        <w:lastRenderedPageBreak/>
        <w:t>професионалната подготовка, инициативността и активността на разследващите полицаи</w:t>
      </w:r>
      <w:r>
        <w:rPr>
          <w:rFonts w:ascii="Times New Roman" w:eastAsia="Times New Roman" w:hAnsi="Times New Roman"/>
          <w:color w:val="000000"/>
          <w:sz w:val="28"/>
          <w:szCs w:val="28"/>
          <w:lang w:eastAsia="bg-BG"/>
        </w:rPr>
        <w:t xml:space="preserve">, от чиято </w:t>
      </w:r>
      <w:r w:rsidRPr="00C62C8A">
        <w:rPr>
          <w:rFonts w:ascii="Times New Roman" w:eastAsia="Times New Roman" w:hAnsi="Times New Roman"/>
          <w:color w:val="000000"/>
          <w:sz w:val="28"/>
          <w:szCs w:val="28"/>
          <w:lang w:eastAsia="bg-BG"/>
        </w:rPr>
        <w:t>работа пряко зависи срочното и законосъобразно приключване на разследванията.  В тази</w:t>
      </w:r>
      <w:r>
        <w:rPr>
          <w:rFonts w:ascii="Times New Roman" w:eastAsia="Times New Roman" w:hAnsi="Times New Roman"/>
          <w:color w:val="000000"/>
          <w:sz w:val="28"/>
          <w:szCs w:val="28"/>
          <w:lang w:eastAsia="bg-BG"/>
        </w:rPr>
        <w:t xml:space="preserve"> насока</w:t>
      </w:r>
      <w:r w:rsidRPr="00C62C8A">
        <w:rPr>
          <w:rFonts w:ascii="Times New Roman" w:eastAsia="Times New Roman" w:hAnsi="Times New Roman"/>
          <w:color w:val="000000"/>
          <w:sz w:val="28"/>
          <w:szCs w:val="28"/>
          <w:lang w:eastAsia="bg-BG"/>
        </w:rPr>
        <w:t xml:space="preserve">, необходимо </w:t>
      </w:r>
      <w:r>
        <w:rPr>
          <w:rFonts w:ascii="Times New Roman" w:eastAsia="Times New Roman" w:hAnsi="Times New Roman"/>
          <w:color w:val="000000"/>
          <w:sz w:val="28"/>
          <w:szCs w:val="28"/>
          <w:lang w:eastAsia="bg-BG"/>
        </w:rPr>
        <w:t xml:space="preserve">е </w:t>
      </w:r>
      <w:r w:rsidRPr="00C62C8A">
        <w:rPr>
          <w:rFonts w:ascii="Times New Roman" w:eastAsia="Times New Roman" w:hAnsi="Times New Roman"/>
          <w:color w:val="000000"/>
          <w:sz w:val="28"/>
          <w:szCs w:val="28"/>
          <w:lang w:eastAsia="bg-BG"/>
        </w:rPr>
        <w:t xml:space="preserve">да </w:t>
      </w:r>
      <w:r>
        <w:rPr>
          <w:rFonts w:ascii="Times New Roman" w:eastAsia="Times New Roman" w:hAnsi="Times New Roman"/>
          <w:color w:val="000000"/>
          <w:sz w:val="28"/>
          <w:szCs w:val="28"/>
          <w:lang w:eastAsia="bg-BG"/>
        </w:rPr>
        <w:t xml:space="preserve">продължат да </w:t>
      </w:r>
      <w:r w:rsidRPr="00C62C8A">
        <w:rPr>
          <w:rFonts w:ascii="Times New Roman" w:eastAsia="Times New Roman" w:hAnsi="Times New Roman"/>
          <w:color w:val="000000"/>
          <w:sz w:val="28"/>
          <w:szCs w:val="28"/>
          <w:lang w:eastAsia="bg-BG"/>
        </w:rPr>
        <w:t xml:space="preserve">се вземат мерки за повишаване ефективността при противодействието на престъпността чрез </w:t>
      </w:r>
      <w:r w:rsidRPr="00F92C2D">
        <w:rPr>
          <w:rFonts w:ascii="Times New Roman" w:eastAsia="Times New Roman" w:hAnsi="Times New Roman"/>
          <w:color w:val="000000"/>
          <w:sz w:val="28"/>
          <w:szCs w:val="28"/>
          <w:lang w:eastAsia="bg-BG"/>
        </w:rPr>
        <w:t>засилване на</w:t>
      </w:r>
      <w:r w:rsidRPr="00C62C8A">
        <w:rPr>
          <w:rFonts w:ascii="Times New Roman" w:eastAsia="Times New Roman" w:hAnsi="Times New Roman"/>
          <w:i/>
          <w:color w:val="000000"/>
          <w:sz w:val="28"/>
          <w:szCs w:val="28"/>
          <w:lang w:eastAsia="bg-BG"/>
        </w:rPr>
        <w:t xml:space="preserve"> </w:t>
      </w:r>
      <w:r w:rsidRPr="00F92C2D">
        <w:rPr>
          <w:rFonts w:ascii="Times New Roman" w:eastAsia="Times New Roman" w:hAnsi="Times New Roman"/>
          <w:sz w:val="28"/>
          <w:szCs w:val="28"/>
          <w:lang w:eastAsia="bg-BG"/>
        </w:rPr>
        <w:t xml:space="preserve">взаимодействието между прокуратурата, разследващите органи и полицейските органи. </w:t>
      </w:r>
      <w:r w:rsidRPr="00C62C8A">
        <w:rPr>
          <w:rFonts w:ascii="Times New Roman" w:eastAsia="Times New Roman" w:hAnsi="Times New Roman"/>
          <w:color w:val="000000"/>
          <w:sz w:val="28"/>
          <w:szCs w:val="28"/>
          <w:lang w:eastAsia="bg-BG"/>
        </w:rPr>
        <w:t>Това взаимодействие следва да се осъществява на базата на професионални отношения на всяко ниво на работа по досъдебните производство. В тази връзка е важно да продължи да се развива екипният принцип.</w:t>
      </w:r>
    </w:p>
    <w:p w:rsidR="00616655" w:rsidRPr="00C62C8A" w:rsidRDefault="00616655" w:rsidP="004D24A1">
      <w:pPr>
        <w:spacing w:after="0"/>
        <w:ind w:firstLine="708"/>
        <w:jc w:val="both"/>
        <w:rPr>
          <w:rFonts w:ascii="Times New Roman" w:eastAsia="Times New Roman" w:hAnsi="Times New Roman"/>
          <w:color w:val="000000"/>
          <w:sz w:val="28"/>
          <w:szCs w:val="28"/>
          <w:lang w:eastAsia="bg-BG"/>
        </w:rPr>
      </w:pPr>
      <w:r>
        <w:rPr>
          <w:rFonts w:ascii="Times New Roman" w:eastAsia="Times New Roman" w:hAnsi="Times New Roman"/>
          <w:sz w:val="28"/>
          <w:szCs w:val="28"/>
          <w:lang w:eastAsia="bg-BG"/>
        </w:rPr>
        <w:t xml:space="preserve">Фактор се явява и необходимостта от </w:t>
      </w:r>
      <w:r w:rsidRPr="00F938EF">
        <w:rPr>
          <w:rFonts w:ascii="Times New Roman" w:eastAsia="Times New Roman" w:hAnsi="Times New Roman"/>
          <w:bCs/>
          <w:iCs/>
          <w:sz w:val="28"/>
          <w:szCs w:val="28"/>
          <w:lang w:eastAsia="bg-BG"/>
        </w:rPr>
        <w:t>възлагането на дела за разследване на следователите</w:t>
      </w:r>
      <w:r w:rsidRPr="00F938EF">
        <w:rPr>
          <w:bCs/>
          <w:iCs/>
        </w:rPr>
        <w:t xml:space="preserve"> </w:t>
      </w:r>
      <w:r w:rsidRPr="00F938EF">
        <w:rPr>
          <w:rFonts w:ascii="Times New Roman" w:eastAsia="Times New Roman" w:hAnsi="Times New Roman"/>
          <w:bCs/>
          <w:iCs/>
          <w:sz w:val="28"/>
          <w:szCs w:val="28"/>
          <w:lang w:eastAsia="bg-BG"/>
        </w:rPr>
        <w:t>по реда на чл.194, ал.1, т.4 от НПК</w:t>
      </w:r>
      <w:r w:rsidRPr="00A54F65">
        <w:rPr>
          <w:rFonts w:ascii="Times New Roman" w:eastAsia="Times New Roman" w:hAnsi="Times New Roman"/>
          <w:sz w:val="28"/>
          <w:szCs w:val="28"/>
          <w:lang w:eastAsia="bg-BG"/>
        </w:rPr>
        <w:t xml:space="preserve"> </w:t>
      </w:r>
      <w:r w:rsidRPr="00C62C8A">
        <w:rPr>
          <w:rFonts w:ascii="Times New Roman" w:eastAsia="Times New Roman" w:hAnsi="Times New Roman"/>
          <w:color w:val="000000"/>
          <w:sz w:val="28"/>
          <w:szCs w:val="28"/>
          <w:lang w:eastAsia="bg-BG"/>
        </w:rPr>
        <w:t>и то предимно от икономически характер, с цел използване на наличния ресурс за разследване в системата на прокуратурата и поемане на делата с фактическа и правна сложност, изискващи воденето на разследването от опитни и квалифицирани разследващи органи.</w:t>
      </w:r>
    </w:p>
    <w:p w:rsidR="00616655" w:rsidRPr="000D5887" w:rsidRDefault="00616655" w:rsidP="004D24A1">
      <w:pPr>
        <w:spacing w:after="0"/>
        <w:ind w:firstLine="708"/>
        <w:jc w:val="both"/>
        <w:rPr>
          <w:rFonts w:ascii="Times New Roman" w:eastAsia="Times New Roman" w:hAnsi="Times New Roman"/>
          <w:sz w:val="28"/>
          <w:szCs w:val="28"/>
          <w:lang w:eastAsia="bg-BG"/>
        </w:rPr>
      </w:pPr>
      <w:r>
        <w:rPr>
          <w:rFonts w:ascii="Times New Roman" w:eastAsia="Times New Roman" w:hAnsi="Times New Roman"/>
          <w:color w:val="000000"/>
          <w:sz w:val="28"/>
          <w:szCs w:val="28"/>
          <w:lang w:eastAsia="bg-BG"/>
        </w:rPr>
        <w:t>Както и през 20</w:t>
      </w:r>
      <w:r>
        <w:rPr>
          <w:rFonts w:ascii="Times New Roman" w:eastAsia="Times New Roman" w:hAnsi="Times New Roman"/>
          <w:color w:val="000000"/>
          <w:sz w:val="28"/>
          <w:szCs w:val="28"/>
          <w:lang w:val="en-US" w:eastAsia="bg-BG"/>
        </w:rPr>
        <w:t>20</w:t>
      </w:r>
      <w:r w:rsidRPr="00C62C8A">
        <w:rPr>
          <w:rFonts w:ascii="Times New Roman" w:eastAsia="Times New Roman" w:hAnsi="Times New Roman"/>
          <w:color w:val="000000"/>
          <w:sz w:val="28"/>
          <w:szCs w:val="28"/>
          <w:lang w:eastAsia="bg-BG"/>
        </w:rPr>
        <w:t xml:space="preserve"> г., </w:t>
      </w:r>
      <w:r>
        <w:rPr>
          <w:rFonts w:ascii="Times New Roman" w:eastAsia="Times New Roman" w:hAnsi="Times New Roman"/>
          <w:color w:val="000000"/>
          <w:sz w:val="28"/>
          <w:szCs w:val="28"/>
          <w:lang w:eastAsia="bg-BG"/>
        </w:rPr>
        <w:t xml:space="preserve">така и понастоящем </w:t>
      </w:r>
      <w:r w:rsidRPr="00C62C8A">
        <w:rPr>
          <w:rFonts w:ascii="Times New Roman" w:eastAsia="Times New Roman" w:hAnsi="Times New Roman"/>
          <w:color w:val="000000"/>
          <w:sz w:val="28"/>
          <w:szCs w:val="28"/>
          <w:lang w:eastAsia="bg-BG"/>
        </w:rPr>
        <w:t xml:space="preserve">като фактор следва да </w:t>
      </w:r>
      <w:r>
        <w:rPr>
          <w:rFonts w:ascii="Times New Roman" w:eastAsia="Times New Roman" w:hAnsi="Times New Roman"/>
          <w:color w:val="000000"/>
          <w:sz w:val="28"/>
          <w:szCs w:val="28"/>
          <w:lang w:eastAsia="bg-BG"/>
        </w:rPr>
        <w:t>се посочи</w:t>
      </w:r>
      <w:r w:rsidRPr="00C62C8A">
        <w:rPr>
          <w:rFonts w:ascii="Times New Roman" w:eastAsia="Times New Roman" w:hAnsi="Times New Roman"/>
          <w:color w:val="000000"/>
          <w:sz w:val="28"/>
          <w:szCs w:val="28"/>
          <w:lang w:eastAsia="bg-BG"/>
        </w:rPr>
        <w:t xml:space="preserve"> взаимодействието </w:t>
      </w:r>
      <w:r>
        <w:rPr>
          <w:rFonts w:ascii="Times New Roman" w:eastAsia="Times New Roman" w:hAnsi="Times New Roman"/>
          <w:color w:val="000000"/>
          <w:sz w:val="28"/>
          <w:szCs w:val="28"/>
          <w:lang w:eastAsia="bg-BG"/>
        </w:rPr>
        <w:t xml:space="preserve">между </w:t>
      </w:r>
      <w:r w:rsidRPr="00C62C8A">
        <w:rPr>
          <w:rFonts w:ascii="Times New Roman" w:eastAsia="Times New Roman" w:hAnsi="Times New Roman"/>
          <w:sz w:val="28"/>
          <w:szCs w:val="28"/>
          <w:lang w:eastAsia="bg-BG"/>
        </w:rPr>
        <w:t xml:space="preserve">Комисията за противодействие на корупцията и за отнемане на незаконно придобитото имущество, </w:t>
      </w:r>
      <w:r w:rsidRPr="00BA4E5C">
        <w:rPr>
          <w:rFonts w:ascii="Times New Roman" w:eastAsia="Times New Roman" w:hAnsi="Times New Roman"/>
          <w:iCs/>
          <w:sz w:val="28"/>
          <w:szCs w:val="28"/>
          <w:lang w:eastAsia="bg-BG"/>
        </w:rPr>
        <w:t>Прокуратурата,</w:t>
      </w:r>
      <w:r w:rsidRPr="00C62C8A">
        <w:rPr>
          <w:rFonts w:ascii="Times New Roman" w:eastAsia="Times New Roman" w:hAnsi="Times New Roman"/>
          <w:sz w:val="28"/>
          <w:szCs w:val="28"/>
          <w:lang w:eastAsia="bg-BG"/>
        </w:rPr>
        <w:t xml:space="preserve"> Министерството на вътрешните работи, Държавна агенция "Национална сигурност", органите по приходите, органите на Агенция "Митници", Главният инспекторат на Министерския съвет, Инспекторатът към Висшия съдебен съвет и инспекторатите по чл. 46 от Закона за администрацията си взаимодействат съобразно предоставената им компетентност.</w:t>
      </w:r>
    </w:p>
    <w:p w:rsidR="00616655" w:rsidRPr="00BA4E5C" w:rsidRDefault="00616655" w:rsidP="004D24A1">
      <w:pPr>
        <w:tabs>
          <w:tab w:val="left" w:pos="600"/>
        </w:tabs>
        <w:spacing w:after="0"/>
        <w:jc w:val="both"/>
        <w:rPr>
          <w:rFonts w:ascii="Times New Roman" w:eastAsia="Times New Roman" w:hAnsi="Times New Roman"/>
          <w:color w:val="000000"/>
          <w:sz w:val="28"/>
          <w:szCs w:val="28"/>
          <w:lang w:eastAsia="bg-BG"/>
        </w:rPr>
      </w:pPr>
      <w:r w:rsidRPr="00C62C8A">
        <w:rPr>
          <w:rFonts w:ascii="Times New Roman" w:eastAsia="Times New Roman" w:hAnsi="Times New Roman"/>
          <w:color w:val="000000"/>
          <w:sz w:val="28"/>
          <w:szCs w:val="28"/>
          <w:lang w:eastAsia="bg-BG"/>
        </w:rPr>
        <w:tab/>
      </w:r>
    </w:p>
    <w:p w:rsidR="00616655" w:rsidRDefault="00616655" w:rsidP="004D24A1">
      <w:pPr>
        <w:tabs>
          <w:tab w:val="left" w:pos="600"/>
        </w:tabs>
        <w:spacing w:after="0"/>
        <w:jc w:val="both"/>
        <w:rPr>
          <w:rFonts w:ascii="Times New Roman" w:eastAsia="Times New Roman" w:hAnsi="Times New Roman"/>
          <w:color w:val="000000"/>
          <w:sz w:val="28"/>
          <w:szCs w:val="28"/>
          <w:lang w:eastAsia="bg-BG"/>
        </w:rPr>
      </w:pPr>
      <w:r w:rsidRPr="00C62C8A">
        <w:rPr>
          <w:rFonts w:ascii="Times New Roman" w:eastAsia="Times New Roman" w:hAnsi="Times New Roman"/>
          <w:color w:val="000000"/>
          <w:sz w:val="28"/>
          <w:szCs w:val="28"/>
          <w:lang w:eastAsia="bg-BG"/>
        </w:rPr>
        <w:tab/>
      </w:r>
      <w:r>
        <w:rPr>
          <w:rFonts w:ascii="Times New Roman" w:eastAsia="Times New Roman" w:hAnsi="Times New Roman"/>
          <w:color w:val="000000"/>
          <w:sz w:val="28"/>
          <w:szCs w:val="28"/>
          <w:lang w:eastAsia="bg-BG"/>
        </w:rPr>
        <w:t>Тук следва да се отбележи и</w:t>
      </w:r>
      <w:r w:rsidRPr="00C62C8A">
        <w:rPr>
          <w:rFonts w:ascii="Times New Roman" w:eastAsia="Times New Roman" w:hAnsi="Times New Roman"/>
          <w:color w:val="000000"/>
          <w:sz w:val="28"/>
          <w:szCs w:val="28"/>
          <w:lang w:eastAsia="bg-BG"/>
        </w:rPr>
        <w:t xml:space="preserve"> проблема с кадровата обезпеченост </w:t>
      </w:r>
      <w:r>
        <w:rPr>
          <w:rFonts w:ascii="Times New Roman" w:eastAsia="Times New Roman" w:hAnsi="Times New Roman"/>
          <w:color w:val="000000"/>
          <w:sz w:val="28"/>
          <w:szCs w:val="28"/>
          <w:lang w:eastAsia="bg-BG"/>
        </w:rPr>
        <w:t>през 2021 г. за района на СГП</w:t>
      </w:r>
      <w:r w:rsidRPr="00C62C8A">
        <w:rPr>
          <w:rFonts w:ascii="Times New Roman" w:eastAsia="Times New Roman" w:hAnsi="Times New Roman"/>
          <w:color w:val="000000"/>
          <w:sz w:val="28"/>
          <w:szCs w:val="28"/>
          <w:lang w:eastAsia="bg-BG"/>
        </w:rPr>
        <w:t>–</w:t>
      </w:r>
      <w:r>
        <w:rPr>
          <w:rFonts w:ascii="Times New Roman" w:eastAsia="Times New Roman" w:hAnsi="Times New Roman"/>
          <w:color w:val="000000"/>
          <w:sz w:val="28"/>
          <w:szCs w:val="28"/>
          <w:lang w:eastAsia="bg-BG"/>
        </w:rPr>
        <w:t xml:space="preserve"> в СГП, където при щат 110</w:t>
      </w:r>
      <w:r w:rsidRPr="00C62C8A">
        <w:rPr>
          <w:rFonts w:ascii="Times New Roman" w:eastAsia="Times New Roman" w:hAnsi="Times New Roman"/>
          <w:color w:val="000000"/>
          <w:sz w:val="28"/>
          <w:szCs w:val="28"/>
          <w:lang w:eastAsia="bg-BG"/>
        </w:rPr>
        <w:t xml:space="preserve"> прокурори, реално са работил</w:t>
      </w:r>
      <w:r>
        <w:rPr>
          <w:rFonts w:ascii="Times New Roman" w:eastAsia="Times New Roman" w:hAnsi="Times New Roman"/>
          <w:color w:val="000000"/>
          <w:sz w:val="28"/>
          <w:szCs w:val="28"/>
          <w:lang w:eastAsia="bg-BG"/>
        </w:rPr>
        <w:t>и 89</w:t>
      </w:r>
      <w:r w:rsidRPr="00C62C8A">
        <w:rPr>
          <w:rFonts w:ascii="Times New Roman" w:eastAsia="Times New Roman" w:hAnsi="Times New Roman"/>
          <w:color w:val="000000"/>
          <w:sz w:val="28"/>
          <w:szCs w:val="28"/>
          <w:lang w:eastAsia="bg-BG"/>
        </w:rPr>
        <w:t xml:space="preserve"> и тази в СРП, където при щат 21</w:t>
      </w:r>
      <w:r>
        <w:rPr>
          <w:rFonts w:ascii="Times New Roman" w:eastAsia="Times New Roman" w:hAnsi="Times New Roman"/>
          <w:color w:val="000000"/>
          <w:sz w:val="28"/>
          <w:szCs w:val="28"/>
          <w:lang w:eastAsia="bg-BG"/>
        </w:rPr>
        <w:t>8</w:t>
      </w:r>
      <w:r w:rsidRPr="00C62C8A">
        <w:rPr>
          <w:rFonts w:ascii="Times New Roman" w:eastAsia="Times New Roman" w:hAnsi="Times New Roman"/>
          <w:color w:val="000000"/>
          <w:sz w:val="28"/>
          <w:szCs w:val="28"/>
          <w:lang w:eastAsia="bg-BG"/>
        </w:rPr>
        <w:t xml:space="preserve"> п</w:t>
      </w:r>
      <w:r>
        <w:rPr>
          <w:rFonts w:ascii="Times New Roman" w:eastAsia="Times New Roman" w:hAnsi="Times New Roman"/>
          <w:color w:val="000000"/>
          <w:sz w:val="28"/>
          <w:szCs w:val="28"/>
          <w:lang w:eastAsia="bg-BG"/>
        </w:rPr>
        <w:t>рокурори, реално са работили 149</w:t>
      </w:r>
      <w:r w:rsidRPr="00C62C8A">
        <w:rPr>
          <w:rFonts w:ascii="Times New Roman" w:eastAsia="Times New Roman" w:hAnsi="Times New Roman"/>
          <w:color w:val="000000"/>
          <w:sz w:val="28"/>
          <w:szCs w:val="28"/>
          <w:lang w:eastAsia="bg-BG"/>
        </w:rPr>
        <w:t xml:space="preserve"> прокурори и тази на разследващите полицаи.</w:t>
      </w:r>
      <w:r>
        <w:rPr>
          <w:rFonts w:ascii="Times New Roman" w:eastAsia="Times New Roman" w:hAnsi="Times New Roman"/>
          <w:color w:val="000000"/>
          <w:sz w:val="28"/>
          <w:szCs w:val="28"/>
          <w:lang w:eastAsia="bg-BG"/>
        </w:rPr>
        <w:t xml:space="preserve"> </w:t>
      </w:r>
      <w:r w:rsidRPr="00C62C8A">
        <w:rPr>
          <w:rFonts w:ascii="Times New Roman" w:eastAsia="Times New Roman" w:hAnsi="Times New Roman"/>
          <w:color w:val="000000"/>
          <w:sz w:val="28"/>
          <w:szCs w:val="28"/>
          <w:lang w:eastAsia="bg-BG"/>
        </w:rPr>
        <w:t>За постигането на целите  и за ефективното противодействие на престъпността очевидна е необходимостта от кадрово обезпечаване на СРП, а относно разследващите полицаи следва да се посочи, че въпреки вземаните през годините мерки от страна на МВР, същите не са достатъчни. Честите смени на разследващите полицаи или недостигът им в определени райони, както и натовареността им, влияят отрицателно върху мотивацията и качеството на работата като цяло, поради което следва да продължат усилията на  ръководството на МВР за създаване на активен и компетентен разследващ апарат.</w:t>
      </w:r>
    </w:p>
    <w:p w:rsidR="00616655" w:rsidRPr="00CA5AC5" w:rsidRDefault="00616655" w:rsidP="004D24A1">
      <w:pPr>
        <w:tabs>
          <w:tab w:val="left" w:pos="600"/>
        </w:tabs>
        <w:spacing w:after="0"/>
        <w:jc w:val="both"/>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lastRenderedPageBreak/>
        <w:tab/>
        <w:t>През 2021 г. в</w:t>
      </w:r>
      <w:r w:rsidRPr="00CA5AC5">
        <w:rPr>
          <w:rFonts w:ascii="Times New Roman" w:eastAsia="Times New Roman" w:hAnsi="Times New Roman"/>
          <w:color w:val="000000"/>
          <w:sz w:val="28"/>
          <w:szCs w:val="28"/>
          <w:lang w:eastAsia="bg-BG"/>
        </w:rPr>
        <w:t xml:space="preserve">ъздействието на кризата възникнала в резултат на появилата се през 2020г. пандемия от коронавирус, продължава да оказва негативно влияние върху всички сфери на обществения живот в страната. От изброените по-горе фактори, някои са ключови при противодействието на престъпността и касаят в значителна степен дейността на правоприлагащите органи в </w:t>
      </w:r>
      <w:r>
        <w:rPr>
          <w:rFonts w:ascii="Times New Roman" w:eastAsia="Times New Roman" w:hAnsi="Times New Roman"/>
          <w:color w:val="000000"/>
          <w:sz w:val="28"/>
          <w:szCs w:val="28"/>
          <w:lang w:eastAsia="bg-BG"/>
        </w:rPr>
        <w:t xml:space="preserve">страната </w:t>
      </w:r>
      <w:r w:rsidRPr="00CA5AC5">
        <w:rPr>
          <w:rFonts w:ascii="Times New Roman" w:eastAsia="Times New Roman" w:hAnsi="Times New Roman"/>
          <w:color w:val="000000"/>
          <w:sz w:val="28"/>
          <w:szCs w:val="28"/>
          <w:lang w:eastAsia="bg-BG"/>
        </w:rPr>
        <w:t>по време на пандемията. Въведената през отчетния период карантина повлиява в известна степен и престъпността, но бързото облекчаване на ограничителните мерки води до връщане на престъпната дейност към предишните й нива, с оглед и на отчетените данни, близки до тези от предходните години.</w:t>
      </w:r>
    </w:p>
    <w:p w:rsidR="00616655" w:rsidRPr="00CA5AC5" w:rsidRDefault="00616655" w:rsidP="004D24A1">
      <w:pPr>
        <w:tabs>
          <w:tab w:val="left" w:pos="600"/>
        </w:tabs>
        <w:spacing w:after="0"/>
        <w:jc w:val="both"/>
        <w:rPr>
          <w:rFonts w:ascii="Times New Roman" w:eastAsia="Times New Roman" w:hAnsi="Times New Roman"/>
          <w:color w:val="000000"/>
          <w:sz w:val="28"/>
          <w:szCs w:val="28"/>
          <w:lang w:eastAsia="bg-BG"/>
        </w:rPr>
      </w:pPr>
    </w:p>
    <w:p w:rsidR="00616655" w:rsidRPr="00C62C8A" w:rsidRDefault="00616655" w:rsidP="004D24A1">
      <w:pPr>
        <w:tabs>
          <w:tab w:val="left" w:pos="600"/>
        </w:tabs>
        <w:spacing w:after="0"/>
        <w:jc w:val="both"/>
        <w:rPr>
          <w:rFonts w:ascii="Times New Roman" w:eastAsia="Times New Roman" w:hAnsi="Times New Roman"/>
          <w:color w:val="000000"/>
          <w:sz w:val="28"/>
          <w:szCs w:val="28"/>
          <w:lang w:eastAsia="bg-BG"/>
        </w:rPr>
      </w:pPr>
      <w:r>
        <w:rPr>
          <w:rFonts w:ascii="Times New Roman" w:eastAsia="Times New Roman" w:hAnsi="Times New Roman"/>
          <w:color w:val="000000"/>
          <w:sz w:val="28"/>
          <w:szCs w:val="28"/>
          <w:lang w:eastAsia="bg-BG"/>
        </w:rPr>
        <w:tab/>
      </w:r>
      <w:r w:rsidRPr="00CA5AC5">
        <w:rPr>
          <w:rFonts w:ascii="Times New Roman" w:eastAsia="Times New Roman" w:hAnsi="Times New Roman"/>
          <w:color w:val="000000"/>
          <w:sz w:val="28"/>
          <w:szCs w:val="28"/>
          <w:lang w:eastAsia="bg-BG"/>
        </w:rPr>
        <w:t>Всички тези основни фактори продължават да определят нивото и спецификата на престъпността в района и доказват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оправомощени да осъществяват борбата с престъпността.</w:t>
      </w:r>
    </w:p>
    <w:p w:rsidR="00616655" w:rsidRPr="00C62C8A" w:rsidRDefault="00616655" w:rsidP="004D24A1">
      <w:pPr>
        <w:rPr>
          <w:rFonts w:ascii="Times New Roman" w:hAnsi="Times New Roman"/>
          <w:b/>
          <w:sz w:val="28"/>
          <w:szCs w:val="28"/>
        </w:rPr>
      </w:pPr>
    </w:p>
    <w:p w:rsidR="00616655" w:rsidRPr="00C62C8A" w:rsidRDefault="00616655" w:rsidP="004D24A1">
      <w:pPr>
        <w:rPr>
          <w:rFonts w:ascii="Times New Roman" w:hAnsi="Times New Roman"/>
          <w:b/>
          <w:sz w:val="28"/>
          <w:szCs w:val="28"/>
        </w:rPr>
      </w:pPr>
      <w:r w:rsidRPr="00C62C8A">
        <w:rPr>
          <w:rFonts w:ascii="Times New Roman" w:hAnsi="Times New Roman"/>
          <w:b/>
          <w:sz w:val="28"/>
          <w:szCs w:val="28"/>
        </w:rPr>
        <w:tab/>
        <w:t>2. Необходими мерки и законодателни промени.</w:t>
      </w:r>
    </w:p>
    <w:p w:rsidR="00616655" w:rsidRPr="00C62C8A" w:rsidRDefault="00616655" w:rsidP="004D24A1">
      <w:pPr>
        <w:autoSpaceDN w:val="0"/>
        <w:spacing w:after="0"/>
        <w:jc w:val="both"/>
        <w:textAlignment w:val="baseline"/>
        <w:rPr>
          <w:rFonts w:ascii="Times New Roman" w:hAnsi="Times New Roman"/>
          <w:sz w:val="28"/>
          <w:szCs w:val="28"/>
        </w:rPr>
      </w:pPr>
      <w:r w:rsidRPr="00C62C8A">
        <w:rPr>
          <w:rFonts w:ascii="Times New Roman" w:hAnsi="Times New Roman"/>
          <w:sz w:val="28"/>
          <w:szCs w:val="28"/>
        </w:rPr>
        <w:tab/>
        <w:t>Необходимите мерки за преодоляване слабостите в прокурорската дейност са свързани с повишаване ефикасността на прокуратурата, утвърждаване на екипното начало в работата, обмена на информация на национално и международно равнище.</w:t>
      </w:r>
    </w:p>
    <w:p w:rsidR="00616655" w:rsidRPr="00C62C8A" w:rsidRDefault="00616655" w:rsidP="004D24A1">
      <w:pPr>
        <w:autoSpaceDN w:val="0"/>
        <w:spacing w:after="0"/>
        <w:jc w:val="both"/>
        <w:textAlignment w:val="baseline"/>
        <w:rPr>
          <w:rFonts w:ascii="Times New Roman" w:hAnsi="Times New Roman"/>
          <w:sz w:val="28"/>
          <w:szCs w:val="28"/>
        </w:rPr>
      </w:pPr>
      <w:r w:rsidRPr="00C62C8A">
        <w:rPr>
          <w:rFonts w:ascii="Times New Roman" w:hAnsi="Times New Roman"/>
          <w:sz w:val="28"/>
          <w:szCs w:val="28"/>
        </w:rPr>
        <w:tab/>
        <w:t>Все по-стриктно следва да се прецизира привличането на лицата като обвиняеми, срока на мерките за процесуална принуда и изпълнението на наказанията, за да се избегне в следващ момент търсенето на отговорност от държавата в лицето на Прокуратурата на Република България.</w:t>
      </w:r>
    </w:p>
    <w:p w:rsidR="00616655" w:rsidRPr="00A20B7C" w:rsidRDefault="00616655" w:rsidP="004D24A1">
      <w:pPr>
        <w:autoSpaceDN w:val="0"/>
        <w:spacing w:after="0"/>
        <w:ind w:firstLine="708"/>
        <w:jc w:val="both"/>
        <w:textAlignment w:val="baseline"/>
        <w:rPr>
          <w:rFonts w:ascii="Times New Roman" w:hAnsi="Times New Roman"/>
          <w:sz w:val="28"/>
          <w:szCs w:val="28"/>
        </w:rPr>
      </w:pPr>
      <w:r w:rsidRPr="00A20B7C">
        <w:rPr>
          <w:rFonts w:ascii="Times New Roman" w:hAnsi="Times New Roman"/>
          <w:sz w:val="28"/>
          <w:szCs w:val="28"/>
        </w:rPr>
        <w:t>Относно мерките и препоръките, необходимо е да добавим и следнoто:</w:t>
      </w:r>
    </w:p>
    <w:p w:rsidR="00616655" w:rsidRPr="00A20B7C" w:rsidRDefault="00616655" w:rsidP="004D24A1">
      <w:pPr>
        <w:autoSpaceDN w:val="0"/>
        <w:spacing w:after="0"/>
        <w:ind w:firstLine="708"/>
        <w:jc w:val="both"/>
        <w:textAlignment w:val="baseline"/>
        <w:rPr>
          <w:rFonts w:ascii="Times New Roman" w:hAnsi="Times New Roman"/>
          <w:sz w:val="28"/>
          <w:szCs w:val="28"/>
        </w:rPr>
      </w:pPr>
      <w:r w:rsidRPr="00A20B7C">
        <w:rPr>
          <w:rFonts w:ascii="Times New Roman" w:hAnsi="Times New Roman"/>
          <w:sz w:val="28"/>
          <w:szCs w:val="28"/>
        </w:rPr>
        <w:t xml:space="preserve">През отчетния период са установени дела, по които са дадени указания от прокурорите по реда на чл. 196, ал. 1, т. 2 НПК незабавно след получаването им. Тези указания не винаги са изпълнени в срок от разследващите органи. Това от своя страна води до необходимост от изготвяне на голям брой искания за продължаване срока на разследване и обуславя удължаване на периода за разследване. Във връзка с горните констатации следва да се изтъкне пред магистратите, че следва да упражняват ефективен контрол върху работата на разследващите органи, като в случай на необходимост, да използват правомощието си  по чл. 196, </w:t>
      </w:r>
      <w:r w:rsidRPr="00A20B7C">
        <w:rPr>
          <w:rFonts w:ascii="Times New Roman" w:hAnsi="Times New Roman"/>
          <w:sz w:val="28"/>
          <w:szCs w:val="28"/>
        </w:rPr>
        <w:lastRenderedPageBreak/>
        <w:t>ал. 1, т. 4 и 5 НПК. Съобразяването с всичко изтъкнато дотук, би намалило броя на делата, разследването по които продължава необосновано дълго.</w:t>
      </w:r>
    </w:p>
    <w:p w:rsidR="00616655" w:rsidRPr="00A20B7C" w:rsidRDefault="00616655" w:rsidP="004D24A1">
      <w:pPr>
        <w:autoSpaceDN w:val="0"/>
        <w:spacing w:after="0"/>
        <w:ind w:firstLine="708"/>
        <w:jc w:val="both"/>
        <w:textAlignment w:val="baseline"/>
        <w:rPr>
          <w:rFonts w:ascii="Times New Roman" w:hAnsi="Times New Roman"/>
          <w:sz w:val="28"/>
          <w:szCs w:val="28"/>
        </w:rPr>
      </w:pPr>
      <w:r w:rsidRPr="00A20B7C">
        <w:rPr>
          <w:rFonts w:ascii="Times New Roman" w:hAnsi="Times New Roman"/>
          <w:sz w:val="28"/>
          <w:szCs w:val="28"/>
        </w:rPr>
        <w:t>Визираните в предходни отчетни доклади  мерки и препоръки следва да бъдат отново споделени, предвид тяхната актуалност, като се констатира необходимост да бъде добавено също така:</w:t>
      </w:r>
    </w:p>
    <w:p w:rsidR="00616655" w:rsidRPr="00A20B7C" w:rsidRDefault="00616655" w:rsidP="004D24A1">
      <w:pPr>
        <w:autoSpaceDN w:val="0"/>
        <w:spacing w:after="0"/>
        <w:ind w:firstLine="708"/>
        <w:jc w:val="both"/>
        <w:textAlignment w:val="baseline"/>
        <w:rPr>
          <w:rFonts w:ascii="Times New Roman" w:hAnsi="Times New Roman"/>
          <w:sz w:val="28"/>
          <w:szCs w:val="28"/>
        </w:rPr>
      </w:pPr>
      <w:r w:rsidRPr="00A20B7C">
        <w:rPr>
          <w:rFonts w:ascii="Times New Roman" w:hAnsi="Times New Roman"/>
          <w:sz w:val="28"/>
          <w:szCs w:val="28"/>
        </w:rPr>
        <w:t xml:space="preserve">Да се предприемат действия по засилване контрола на прокурорите при </w:t>
      </w:r>
      <w:r>
        <w:rPr>
          <w:rFonts w:ascii="Times New Roman" w:hAnsi="Times New Roman"/>
          <w:sz w:val="28"/>
          <w:szCs w:val="28"/>
        </w:rPr>
        <w:t xml:space="preserve">от района на </w:t>
      </w:r>
      <w:r w:rsidRPr="00A20B7C">
        <w:rPr>
          <w:rFonts w:ascii="Times New Roman" w:hAnsi="Times New Roman"/>
          <w:sz w:val="28"/>
          <w:szCs w:val="28"/>
        </w:rPr>
        <w:t>С</w:t>
      </w:r>
      <w:r>
        <w:rPr>
          <w:rFonts w:ascii="Times New Roman" w:hAnsi="Times New Roman"/>
          <w:sz w:val="28"/>
          <w:szCs w:val="28"/>
        </w:rPr>
        <w:t>Г</w:t>
      </w:r>
      <w:r w:rsidRPr="00A20B7C">
        <w:rPr>
          <w:rFonts w:ascii="Times New Roman" w:hAnsi="Times New Roman"/>
          <w:sz w:val="28"/>
          <w:szCs w:val="28"/>
        </w:rPr>
        <w:t>П върху разследващите полицаи, с цел своевременно приключване на разследването в рамките на срока по чл.234 НПК. В</w:t>
      </w:r>
      <w:r>
        <w:rPr>
          <w:rFonts w:ascii="Times New Roman" w:hAnsi="Times New Roman"/>
          <w:sz w:val="28"/>
          <w:szCs w:val="28"/>
        </w:rPr>
        <w:t xml:space="preserve"> тази връзка в СРП е създадена организация, дейността по която следва да продължи, като</w:t>
      </w:r>
      <w:r w:rsidRPr="00A20B7C">
        <w:rPr>
          <w:rFonts w:ascii="Times New Roman" w:hAnsi="Times New Roman"/>
          <w:sz w:val="28"/>
          <w:szCs w:val="28"/>
        </w:rPr>
        <w:t xml:space="preserve"> определените за съответните районни управления прокурори – координатори, следва да продължат ежеседмично да посещават съответната структура на МВР, като организират незабавно изпращане на предложения за изготвяне на искания за продължаване срока на разследване по реда на чл.234 НПК, както и искания за удължаване на срока на проверките, извършвани по чл.145 ЗСВ. </w:t>
      </w:r>
    </w:p>
    <w:p w:rsidR="00616655" w:rsidRDefault="00616655" w:rsidP="004D24A1">
      <w:pPr>
        <w:autoSpaceDN w:val="0"/>
        <w:spacing w:after="0"/>
        <w:ind w:firstLine="708"/>
        <w:jc w:val="both"/>
        <w:textAlignment w:val="baseline"/>
        <w:rPr>
          <w:rFonts w:ascii="Times New Roman" w:hAnsi="Times New Roman"/>
          <w:sz w:val="28"/>
          <w:szCs w:val="28"/>
        </w:rPr>
      </w:pPr>
      <w:r w:rsidRPr="00A20B7C">
        <w:rPr>
          <w:rFonts w:ascii="Times New Roman" w:hAnsi="Times New Roman"/>
          <w:sz w:val="28"/>
          <w:szCs w:val="28"/>
        </w:rPr>
        <w:t xml:space="preserve">Необходимо е разследването по дела, които не се отличават с фактическа и правна сложност да не продължава необоснована дълго. Това е особено важно за дела, по които име привлечено обвиняемо лице. </w:t>
      </w:r>
    </w:p>
    <w:p w:rsidR="00616655" w:rsidRDefault="00616655" w:rsidP="004D24A1">
      <w:pPr>
        <w:autoSpaceDN w:val="0"/>
        <w:spacing w:after="0"/>
        <w:ind w:firstLine="708"/>
        <w:jc w:val="both"/>
        <w:textAlignment w:val="baseline"/>
        <w:rPr>
          <w:rFonts w:ascii="Times New Roman" w:hAnsi="Times New Roman"/>
          <w:sz w:val="28"/>
          <w:szCs w:val="28"/>
        </w:rPr>
      </w:pPr>
      <w:r w:rsidRPr="00C121E3">
        <w:rPr>
          <w:rFonts w:ascii="Times New Roman" w:hAnsi="Times New Roman"/>
          <w:sz w:val="28"/>
          <w:szCs w:val="28"/>
        </w:rPr>
        <w:t>Следва да продължи тенденцията на системното възлагане на дела за разследване на следователите, като акцент в тази насока следва да бъдат данъчните престъпления, които предвид голямата си фактическа и правна сложност следва да бъдат разследвани от опитни и квалифицирани разследващи органи. Полезно нормативно разрешение във връзка с дейността на следствието е разширяването кръга на престъпленията, разследванията по които да се извършва задължително от следовател при Национална следствена служба.</w:t>
      </w:r>
    </w:p>
    <w:p w:rsidR="00616655" w:rsidRDefault="00616655" w:rsidP="004D24A1">
      <w:pPr>
        <w:autoSpaceDN w:val="0"/>
        <w:spacing w:after="0"/>
        <w:ind w:firstLine="708"/>
        <w:jc w:val="both"/>
        <w:textAlignment w:val="baseline"/>
        <w:rPr>
          <w:rFonts w:ascii="Times New Roman" w:hAnsi="Times New Roman"/>
          <w:sz w:val="28"/>
          <w:szCs w:val="28"/>
        </w:rPr>
      </w:pPr>
    </w:p>
    <w:p w:rsidR="00616655" w:rsidRPr="00BA6B68" w:rsidRDefault="00616655" w:rsidP="004D24A1">
      <w:pPr>
        <w:autoSpaceDN w:val="0"/>
        <w:spacing w:after="0"/>
        <w:ind w:firstLine="708"/>
        <w:jc w:val="both"/>
        <w:textAlignment w:val="baseline"/>
        <w:rPr>
          <w:rFonts w:ascii="Times New Roman" w:hAnsi="Times New Roman"/>
          <w:sz w:val="28"/>
          <w:szCs w:val="28"/>
        </w:rPr>
      </w:pPr>
      <w:r w:rsidRPr="00BA6B68">
        <w:rPr>
          <w:rFonts w:ascii="Times New Roman" w:hAnsi="Times New Roman"/>
          <w:sz w:val="28"/>
          <w:szCs w:val="28"/>
        </w:rPr>
        <w:t xml:space="preserve">Като необходими следва да се посочат и законодателните промени </w:t>
      </w:r>
      <w:r>
        <w:rPr>
          <w:rFonts w:ascii="Times New Roman" w:hAnsi="Times New Roman"/>
          <w:sz w:val="28"/>
          <w:szCs w:val="28"/>
        </w:rPr>
        <w:t>относно в</w:t>
      </w:r>
      <w:r w:rsidRPr="00BA6B68">
        <w:rPr>
          <w:rFonts w:ascii="Times New Roman" w:hAnsi="Times New Roman"/>
          <w:sz w:val="28"/>
          <w:szCs w:val="28"/>
        </w:rPr>
        <w:t xml:space="preserve">ъзможността да се променят изискванията заложени в чл. 246 от НПК, което да доведе до опростяване на структурата и формата на обвинителния акт, тъй като към момента това извънредно усложнява процеса на изготвянето му и натоварва съдържанието му с изключителна детайлност и описание на едни същи факти многократно. </w:t>
      </w:r>
    </w:p>
    <w:p w:rsidR="00616655" w:rsidRPr="00C62C8A" w:rsidRDefault="00616655" w:rsidP="004D24A1">
      <w:pPr>
        <w:autoSpaceDN w:val="0"/>
        <w:spacing w:after="0"/>
        <w:ind w:firstLine="708"/>
        <w:jc w:val="both"/>
        <w:textAlignment w:val="baseline"/>
        <w:rPr>
          <w:rFonts w:ascii="Times New Roman" w:hAnsi="Times New Roman"/>
          <w:sz w:val="28"/>
          <w:szCs w:val="28"/>
        </w:rPr>
      </w:pPr>
      <w:r>
        <w:rPr>
          <w:rFonts w:ascii="Times New Roman" w:hAnsi="Times New Roman"/>
          <w:sz w:val="28"/>
          <w:szCs w:val="28"/>
        </w:rPr>
        <w:t xml:space="preserve">Също така, удачно е да се предприемат </w:t>
      </w:r>
      <w:r w:rsidRPr="00BA6B68">
        <w:rPr>
          <w:rFonts w:ascii="Times New Roman" w:hAnsi="Times New Roman"/>
          <w:sz w:val="28"/>
          <w:szCs w:val="28"/>
        </w:rPr>
        <w:t xml:space="preserve">законодателните промени касаещи бързото производство с цел същото да се опрости от страна на формалните изисквания по отношение на събирането на доказателства. В настоящата процедура извършването на разпити на свидетели, експертизи и други действия по разследването следва да бъде направено според изискванията, предвидени за досъдебното производство, което води до </w:t>
      </w:r>
      <w:r w:rsidRPr="00BA6B68">
        <w:rPr>
          <w:rFonts w:ascii="Times New Roman" w:hAnsi="Times New Roman"/>
          <w:sz w:val="28"/>
          <w:szCs w:val="28"/>
        </w:rPr>
        <w:lastRenderedPageBreak/>
        <w:t>забавянето му и утежняването му с излишен формализъм. Облекчаването на процесуалните изисквания за бързото производство /при пълно спазване на процесуалните права на обвиняемия/, би довело до действителна бързина на този вид наказателно производство.</w:t>
      </w:r>
    </w:p>
    <w:p w:rsidR="00616655" w:rsidRPr="00414633" w:rsidRDefault="00616655" w:rsidP="004D24A1">
      <w:pPr>
        <w:autoSpaceDN w:val="0"/>
        <w:spacing w:after="0"/>
        <w:jc w:val="both"/>
        <w:textAlignment w:val="baseline"/>
        <w:rPr>
          <w:rFonts w:ascii="Times New Roman" w:hAnsi="Times New Roman"/>
          <w:sz w:val="28"/>
          <w:szCs w:val="28"/>
        </w:rPr>
      </w:pPr>
      <w:r w:rsidRPr="00C62C8A">
        <w:rPr>
          <w:rFonts w:ascii="Times New Roman" w:hAnsi="Times New Roman"/>
          <w:sz w:val="28"/>
          <w:szCs w:val="28"/>
        </w:rPr>
        <w:tab/>
        <w:t>За подобряване работата по данъчните престъпления през 20</w:t>
      </w:r>
      <w:r>
        <w:rPr>
          <w:rFonts w:ascii="Times New Roman" w:hAnsi="Times New Roman"/>
          <w:sz w:val="28"/>
          <w:szCs w:val="28"/>
        </w:rPr>
        <w:t>21г.,  независимо от подобрения</w:t>
      </w:r>
      <w:r w:rsidRPr="00C62C8A">
        <w:rPr>
          <w:rFonts w:ascii="Times New Roman" w:hAnsi="Times New Roman"/>
          <w:sz w:val="28"/>
          <w:szCs w:val="28"/>
        </w:rPr>
        <w:t xml:space="preserve"> обмен на информация с органите на приходите, съгласно действащата инструкция между ПРБ и НАП, считаме</w:t>
      </w:r>
      <w:r>
        <w:rPr>
          <w:rFonts w:ascii="Times New Roman" w:hAnsi="Times New Roman"/>
          <w:sz w:val="28"/>
          <w:szCs w:val="28"/>
        </w:rPr>
        <w:t>,</w:t>
      </w:r>
      <w:r w:rsidRPr="00C62C8A">
        <w:rPr>
          <w:rFonts w:ascii="Times New Roman" w:hAnsi="Times New Roman"/>
          <w:sz w:val="28"/>
          <w:szCs w:val="28"/>
        </w:rPr>
        <w:t xml:space="preserve"> че </w:t>
      </w:r>
      <w:r>
        <w:rPr>
          <w:rFonts w:ascii="Times New Roman" w:hAnsi="Times New Roman"/>
          <w:sz w:val="28"/>
          <w:szCs w:val="28"/>
        </w:rPr>
        <w:t xml:space="preserve">е удачно </w:t>
      </w:r>
      <w:r w:rsidRPr="00C62C8A">
        <w:rPr>
          <w:rFonts w:ascii="Times New Roman" w:hAnsi="Times New Roman"/>
          <w:sz w:val="28"/>
          <w:szCs w:val="28"/>
        </w:rPr>
        <w:t>се предприемат законодателни промени относно реда и условията за разкриване на данъчна и осигурителна информация, които да дадат възможност на прокурора и разследващите органи пряко да изискват от НАП  необходимата за воденото наказателно производство информация.</w:t>
      </w:r>
      <w:r>
        <w:rPr>
          <w:rFonts w:ascii="Times New Roman" w:hAnsi="Times New Roman"/>
          <w:sz w:val="28"/>
          <w:szCs w:val="28"/>
          <w:lang w:val="en-US"/>
        </w:rPr>
        <w:t xml:space="preserve">?r </w:t>
      </w:r>
      <w:r>
        <w:rPr>
          <w:rFonts w:ascii="Times New Roman" w:hAnsi="Times New Roman"/>
          <w:sz w:val="28"/>
          <w:szCs w:val="28"/>
        </w:rPr>
        <w:t>Би могло</w:t>
      </w:r>
      <w:r w:rsidRPr="00C62C8A">
        <w:rPr>
          <w:rFonts w:ascii="Times New Roman" w:hAnsi="Times New Roman"/>
          <w:sz w:val="28"/>
          <w:szCs w:val="28"/>
        </w:rPr>
        <w:t>, ако процедурата по чл.74 ДОПК се запази да се намали обхвата на конкретните индивидуализиращи данни, представляващи данъчна и осигурителна информация по чл.72 ДОПК.</w:t>
      </w:r>
    </w:p>
    <w:p w:rsidR="00616655" w:rsidRPr="00C62C8A" w:rsidRDefault="00616655" w:rsidP="004D24A1">
      <w:pPr>
        <w:autoSpaceDN w:val="0"/>
        <w:spacing w:after="0"/>
        <w:ind w:firstLine="708"/>
        <w:jc w:val="both"/>
        <w:textAlignment w:val="baseline"/>
        <w:rPr>
          <w:rFonts w:ascii="Times New Roman" w:eastAsia="Times New Roman" w:hAnsi="Times New Roman"/>
          <w:sz w:val="28"/>
          <w:szCs w:val="28"/>
          <w:lang w:eastAsia="bg-BG"/>
        </w:rPr>
      </w:pPr>
      <w:r w:rsidRPr="00F7199A">
        <w:rPr>
          <w:rFonts w:ascii="Times New Roman" w:eastAsia="Times New Roman" w:hAnsi="Times New Roman"/>
          <w:sz w:val="28"/>
          <w:szCs w:val="28"/>
          <w:lang w:eastAsia="bg-BG"/>
        </w:rPr>
        <w:t>На следващо място следва да се декриминализира провокацията към подкуп по чл. 307 НК,</w:t>
      </w:r>
      <w:r w:rsidRPr="00C62C8A">
        <w:rPr>
          <w:rFonts w:ascii="Times New Roman" w:eastAsia="Times New Roman" w:hAnsi="Times New Roman"/>
          <w:sz w:val="28"/>
          <w:szCs w:val="28"/>
          <w:lang w:eastAsia="bg-BG"/>
        </w:rPr>
        <w:t xml:space="preserve"> доколкото същото сериозно минира разкриваемостта на този род престъпления. </w:t>
      </w:r>
    </w:p>
    <w:p w:rsidR="00616655" w:rsidRPr="00C62C8A" w:rsidRDefault="00616655" w:rsidP="004D24A1">
      <w:pPr>
        <w:autoSpaceDN w:val="0"/>
        <w:spacing w:after="0"/>
        <w:ind w:firstLine="708"/>
        <w:jc w:val="both"/>
        <w:textAlignment w:val="baseline"/>
        <w:rPr>
          <w:rFonts w:ascii="Times New Roman" w:eastAsia="Times New Roman" w:hAnsi="Times New Roman"/>
          <w:sz w:val="28"/>
          <w:szCs w:val="28"/>
          <w:lang w:eastAsia="bg-BG"/>
        </w:rPr>
      </w:pPr>
      <w:r w:rsidRPr="00C62C8A">
        <w:rPr>
          <w:rFonts w:ascii="Times New Roman" w:eastAsia="Times New Roman" w:hAnsi="Times New Roman"/>
          <w:sz w:val="28"/>
          <w:szCs w:val="28"/>
          <w:lang w:eastAsia="bg-BG"/>
        </w:rPr>
        <w:t xml:space="preserve">За престъпленията по служба </w:t>
      </w:r>
      <w:r w:rsidRPr="00F7199A">
        <w:rPr>
          <w:rFonts w:ascii="Times New Roman" w:eastAsia="Times New Roman" w:hAnsi="Times New Roman"/>
          <w:sz w:val="28"/>
          <w:szCs w:val="28"/>
          <w:lang w:eastAsia="bg-BG"/>
        </w:rPr>
        <w:t xml:space="preserve">продължава да стои въпросът за разширяване приложното поле на общото длъжностно престъпление по </w:t>
      </w:r>
      <w:r>
        <w:rPr>
          <w:rFonts w:ascii="Times New Roman" w:eastAsia="Times New Roman" w:hAnsi="Times New Roman"/>
          <w:sz w:val="28"/>
          <w:szCs w:val="28"/>
          <w:lang w:eastAsia="bg-BG"/>
        </w:rPr>
        <w:br/>
      </w:r>
      <w:r w:rsidRPr="00F7199A">
        <w:rPr>
          <w:rFonts w:ascii="Times New Roman" w:eastAsia="Times New Roman" w:hAnsi="Times New Roman"/>
          <w:sz w:val="28"/>
          <w:szCs w:val="28"/>
          <w:lang w:eastAsia="bg-BG"/>
        </w:rPr>
        <w:t>чл. 282 НК</w:t>
      </w:r>
      <w:r w:rsidRPr="00C62C8A">
        <w:rPr>
          <w:rFonts w:ascii="Times New Roman" w:eastAsia="Times New Roman" w:hAnsi="Times New Roman"/>
          <w:sz w:val="28"/>
          <w:szCs w:val="28"/>
          <w:lang w:eastAsia="bg-BG"/>
        </w:rPr>
        <w:t>, като се включи в непосредствения обект на защита извършените престъпления по служба в търговските дружества, кооперациите, обществените организации, гражданските сдружения. Същевременно да отпадне специалната цел на длъжностното лице „да набави за себе си или другиго облага“, което вменява на прокуратурата да събира доказателства за об</w:t>
      </w:r>
      <w:r>
        <w:rPr>
          <w:rFonts w:ascii="Times New Roman" w:eastAsia="Times New Roman" w:hAnsi="Times New Roman"/>
          <w:sz w:val="28"/>
          <w:szCs w:val="28"/>
          <w:lang w:eastAsia="bg-BG"/>
        </w:rPr>
        <w:t>ективно трудно проверяеми факти</w:t>
      </w:r>
      <w:r w:rsidRPr="00C62C8A">
        <w:rPr>
          <w:rFonts w:ascii="Times New Roman" w:eastAsia="Times New Roman" w:hAnsi="Times New Roman"/>
          <w:sz w:val="28"/>
          <w:szCs w:val="28"/>
          <w:lang w:eastAsia="bg-BG"/>
        </w:rPr>
        <w:t xml:space="preserve">.    </w:t>
      </w:r>
    </w:p>
    <w:p w:rsidR="00616655" w:rsidRPr="00C62C8A" w:rsidRDefault="00616655" w:rsidP="004D24A1">
      <w:pPr>
        <w:autoSpaceDN w:val="0"/>
        <w:spacing w:after="0"/>
        <w:jc w:val="both"/>
        <w:textAlignment w:val="baseline"/>
        <w:rPr>
          <w:rFonts w:ascii="Times New Roman" w:hAnsi="Times New Roman"/>
          <w:sz w:val="28"/>
          <w:szCs w:val="28"/>
        </w:rPr>
      </w:pPr>
      <w:r w:rsidRPr="00C62C8A">
        <w:rPr>
          <w:rFonts w:ascii="Times New Roman" w:hAnsi="Times New Roman"/>
          <w:sz w:val="28"/>
          <w:szCs w:val="28"/>
        </w:rPr>
        <w:tab/>
        <w:t xml:space="preserve">И през следващия отчетен период </w:t>
      </w:r>
      <w:r>
        <w:rPr>
          <w:rFonts w:ascii="Times New Roman" w:hAnsi="Times New Roman"/>
          <w:sz w:val="28"/>
          <w:szCs w:val="28"/>
        </w:rPr>
        <w:t xml:space="preserve">следва </w:t>
      </w:r>
      <w:r w:rsidRPr="00C62C8A">
        <w:rPr>
          <w:rFonts w:ascii="Times New Roman" w:hAnsi="Times New Roman"/>
          <w:sz w:val="28"/>
          <w:szCs w:val="28"/>
        </w:rPr>
        <w:t>да продължи положителната тенденция за декриминализация на отделни деяния, които не разкриват висока степен на обществена опасност и установяването им като административни нарушения. По този начин ще се постигне оптимизация при установяването им, налагането и изпълнението на наложените наказания или принудителни административни мерки предвид улеснения ред за осъществяване на посочените дейности по реда на ЗАНН в сравнение с НПК. Същевременно следва да се предприемат и допълнителни промени в нормативната уредба, които биха довели до динамизиране на процеса и осъществяване в по–голяма степен на основната и непосредствена задача на наказателния процес.</w:t>
      </w:r>
    </w:p>
    <w:p w:rsidR="00616655" w:rsidRPr="00C62C8A" w:rsidRDefault="00616655" w:rsidP="004D24A1">
      <w:pPr>
        <w:autoSpaceDN w:val="0"/>
        <w:spacing w:after="0"/>
        <w:jc w:val="both"/>
        <w:textAlignment w:val="baseline"/>
        <w:rPr>
          <w:rFonts w:ascii="Times New Roman" w:hAnsi="Times New Roman"/>
          <w:sz w:val="28"/>
          <w:szCs w:val="28"/>
        </w:rPr>
      </w:pPr>
      <w:r w:rsidRPr="00C62C8A">
        <w:rPr>
          <w:rFonts w:ascii="Times New Roman" w:hAnsi="Times New Roman"/>
          <w:sz w:val="28"/>
          <w:szCs w:val="28"/>
        </w:rPr>
        <w:tab/>
      </w:r>
      <w:r>
        <w:rPr>
          <w:rFonts w:ascii="Times New Roman" w:hAnsi="Times New Roman"/>
          <w:sz w:val="28"/>
          <w:szCs w:val="28"/>
        </w:rPr>
        <w:t>С</w:t>
      </w:r>
      <w:r w:rsidRPr="00C62C8A">
        <w:rPr>
          <w:rFonts w:ascii="Times New Roman" w:hAnsi="Times New Roman"/>
          <w:sz w:val="28"/>
          <w:szCs w:val="28"/>
        </w:rPr>
        <w:t xml:space="preserve">ледва да се предвиди възможност в хода на съдебното производство за прочитане показанията на свидетел, дадени на досъдебното </w:t>
      </w:r>
      <w:r w:rsidRPr="00C62C8A">
        <w:rPr>
          <w:rFonts w:ascii="Times New Roman" w:hAnsi="Times New Roman"/>
          <w:sz w:val="28"/>
          <w:szCs w:val="28"/>
        </w:rPr>
        <w:lastRenderedPageBreak/>
        <w:t xml:space="preserve">производство, когато свидетелят не може да бъде намерен, за да бъде призован или е починал, като се допълни разпоредбата на чл.281, ал.4 НПК. </w:t>
      </w:r>
    </w:p>
    <w:p w:rsidR="00616655" w:rsidRDefault="00616655" w:rsidP="004D24A1">
      <w:pPr>
        <w:spacing w:after="0"/>
        <w:jc w:val="both"/>
        <w:rPr>
          <w:rFonts w:ascii="Times New Roman" w:hAnsi="Times New Roman"/>
          <w:sz w:val="28"/>
          <w:szCs w:val="28"/>
        </w:rPr>
      </w:pPr>
      <w:r w:rsidRPr="00C62C8A">
        <w:rPr>
          <w:rFonts w:ascii="Times New Roman" w:hAnsi="Times New Roman"/>
          <w:sz w:val="28"/>
          <w:szCs w:val="28"/>
        </w:rPr>
        <w:tab/>
      </w:r>
      <w:r w:rsidRPr="00F7199A">
        <w:rPr>
          <w:rFonts w:ascii="Times New Roman" w:hAnsi="Times New Roman"/>
          <w:sz w:val="28"/>
          <w:szCs w:val="28"/>
        </w:rPr>
        <w:t>Също така следва да се обмисли възможността за увеличаване на срока по чл.145, ал.2, изр.1 от ЗСВ за извършване на проверката по чл.145, ал.1, т.2 и т.3, като първоначалният срок</w:t>
      </w:r>
      <w:r w:rsidRPr="00C62C8A">
        <w:rPr>
          <w:rFonts w:ascii="Times New Roman" w:hAnsi="Times New Roman"/>
          <w:sz w:val="28"/>
          <w:szCs w:val="28"/>
        </w:rPr>
        <w:t xml:space="preserve"> се промени на 2 месеца с възможност за двукратно удължаване с по два месеца от административния ръководител. Така максималният срок ще стане 6 месеца. Причина за горното предложение, че явява фактът, че предвиденият в ЗСВ срок е крайно недостатъчен в редица случаи и създава проблеми пред прокурорите от СГП и СРП. Понастоящем не са изключени случаи на неоснователно образуване на досъдебни производства, поради изтичането на сроковете по чл.145, ал.2, изр.1 от ЗСВ, които в последствие се прекратяват поради липса на престъпление.</w:t>
      </w:r>
    </w:p>
    <w:p w:rsidR="00616655" w:rsidRDefault="00616655" w:rsidP="004D24A1">
      <w:pPr>
        <w:tabs>
          <w:tab w:val="left" w:pos="709"/>
        </w:tabs>
        <w:spacing w:after="0"/>
        <w:ind w:firstLine="708"/>
        <w:jc w:val="both"/>
        <w:rPr>
          <w:rFonts w:ascii="Times New Roman" w:hAnsi="Times New Roman"/>
          <w:sz w:val="28"/>
          <w:szCs w:val="28"/>
          <w:lang w:eastAsia="bg-BG"/>
        </w:rPr>
      </w:pPr>
      <w:r w:rsidRPr="00C632D4">
        <w:rPr>
          <w:rFonts w:ascii="Times New Roman" w:hAnsi="Times New Roman"/>
          <w:sz w:val="28"/>
          <w:szCs w:val="28"/>
          <w:lang w:eastAsia="bg-BG"/>
        </w:rPr>
        <w:t>Би могла да бъде извършена преценка за изричното допълване на чл.343б от НК с разпоредба, като например тази на чл.280, ал.4 от НК. Честотата на тези деяния, очевидната трайност на отношението на извършителите към тях, интензитетът на засягане на защитените обществени отношения, се явяват фактори, които обуславят тяхната значителна обществена укоримост, затова е обоснована необходимостта тези деяния да получат своята по-тежка правна санкция, с оглед постигане в пълнота мерките както на индивидуалната, така и на генералната превенция.</w:t>
      </w:r>
    </w:p>
    <w:p w:rsidR="00616655" w:rsidRPr="00DC20AC" w:rsidRDefault="00616655" w:rsidP="004D24A1">
      <w:pPr>
        <w:tabs>
          <w:tab w:val="left" w:pos="709"/>
        </w:tabs>
        <w:spacing w:after="0"/>
        <w:ind w:firstLine="708"/>
        <w:jc w:val="both"/>
        <w:rPr>
          <w:rFonts w:ascii="Times New Roman" w:hAnsi="Times New Roman"/>
          <w:sz w:val="28"/>
          <w:szCs w:val="28"/>
          <w:lang w:eastAsia="bg-BG"/>
        </w:rPr>
      </w:pPr>
      <w:r w:rsidRPr="00DC20AC">
        <w:rPr>
          <w:rFonts w:ascii="Times New Roman" w:hAnsi="Times New Roman"/>
          <w:sz w:val="28"/>
          <w:szCs w:val="28"/>
          <w:lang w:eastAsia="bg-BG"/>
        </w:rPr>
        <w:t xml:space="preserve">Промяната на нормативната уредба на НК и НПК също би довело до повишаване ефективността в противодействието на престъпността. </w:t>
      </w:r>
    </w:p>
    <w:p w:rsidR="00616655" w:rsidRPr="00DC20AC" w:rsidRDefault="00616655" w:rsidP="004D24A1">
      <w:pPr>
        <w:tabs>
          <w:tab w:val="left" w:pos="709"/>
        </w:tabs>
        <w:spacing w:after="0"/>
        <w:ind w:firstLine="708"/>
        <w:jc w:val="both"/>
        <w:rPr>
          <w:rFonts w:ascii="Times New Roman" w:hAnsi="Times New Roman"/>
          <w:sz w:val="28"/>
          <w:szCs w:val="28"/>
          <w:lang w:eastAsia="bg-BG"/>
        </w:rPr>
      </w:pPr>
      <w:r w:rsidRPr="00DC20AC">
        <w:rPr>
          <w:rFonts w:ascii="Times New Roman" w:hAnsi="Times New Roman"/>
          <w:sz w:val="28"/>
          <w:szCs w:val="28"/>
          <w:lang w:eastAsia="bg-BG"/>
        </w:rPr>
        <w:t xml:space="preserve">По отношение на НПК: </w:t>
      </w:r>
    </w:p>
    <w:p w:rsidR="00616655" w:rsidRPr="00DC20AC" w:rsidRDefault="00616655" w:rsidP="004D24A1">
      <w:pPr>
        <w:tabs>
          <w:tab w:val="left" w:pos="709"/>
        </w:tabs>
        <w:spacing w:after="0"/>
        <w:ind w:firstLine="708"/>
        <w:jc w:val="both"/>
        <w:rPr>
          <w:rFonts w:ascii="Times New Roman" w:hAnsi="Times New Roman"/>
          <w:sz w:val="28"/>
          <w:szCs w:val="28"/>
          <w:lang w:eastAsia="bg-BG"/>
        </w:rPr>
      </w:pPr>
      <w:r w:rsidRPr="00DC20AC">
        <w:rPr>
          <w:rFonts w:ascii="Times New Roman" w:hAnsi="Times New Roman"/>
          <w:sz w:val="28"/>
          <w:szCs w:val="28"/>
          <w:lang w:eastAsia="bg-BG"/>
        </w:rPr>
        <w:tab/>
        <w:t>-Предвиждане на процесуална възможност в глава Двадесет и девета от НПК за решаване със споразумение на дела, за извършени престъпления от общ характер, за които са налице предпоставките на 78а от НК за освобождаване от наказателна отговорност с налагане на административно наказание.</w:t>
      </w:r>
    </w:p>
    <w:p w:rsidR="00616655" w:rsidRPr="00DC20AC" w:rsidRDefault="00616655" w:rsidP="004D24A1">
      <w:pPr>
        <w:tabs>
          <w:tab w:val="left" w:pos="709"/>
        </w:tabs>
        <w:spacing w:after="0"/>
        <w:ind w:firstLine="708"/>
        <w:jc w:val="both"/>
        <w:rPr>
          <w:rFonts w:ascii="Times New Roman" w:hAnsi="Times New Roman"/>
          <w:sz w:val="28"/>
          <w:szCs w:val="28"/>
          <w:lang w:eastAsia="bg-BG"/>
        </w:rPr>
      </w:pPr>
      <w:r w:rsidRPr="00DC20AC">
        <w:rPr>
          <w:rFonts w:ascii="Times New Roman" w:hAnsi="Times New Roman"/>
          <w:sz w:val="28"/>
          <w:szCs w:val="28"/>
          <w:lang w:eastAsia="bg-BG"/>
        </w:rPr>
        <w:tab/>
        <w:t>-Включване на определението по чл.244, ал.5 от НПК /отмяна на постановление за спиране на наказателно производство/  и определението по чл.379, ал.3 от НПК /установяване на нови фактически положения/ сред съдебните актове по чл.341, ал.1 респ. ал.2 от НПК, които подлежат на проверка пред въззивната инстанция /производството по глава Двадесет и осма от НПК/</w:t>
      </w:r>
    </w:p>
    <w:p w:rsidR="00616655" w:rsidRPr="00DC20AC" w:rsidRDefault="00616655" w:rsidP="004D24A1">
      <w:pPr>
        <w:tabs>
          <w:tab w:val="left" w:pos="709"/>
        </w:tabs>
        <w:spacing w:after="0"/>
        <w:ind w:firstLine="708"/>
        <w:jc w:val="both"/>
        <w:rPr>
          <w:rFonts w:ascii="Times New Roman" w:hAnsi="Times New Roman"/>
          <w:sz w:val="28"/>
          <w:szCs w:val="28"/>
          <w:lang w:eastAsia="bg-BG"/>
        </w:rPr>
      </w:pPr>
      <w:r w:rsidRPr="00DC20AC">
        <w:rPr>
          <w:rFonts w:ascii="Times New Roman" w:hAnsi="Times New Roman"/>
          <w:sz w:val="28"/>
          <w:szCs w:val="28"/>
          <w:lang w:eastAsia="bg-BG"/>
        </w:rPr>
        <w:t xml:space="preserve">По отношение на НК: </w:t>
      </w:r>
    </w:p>
    <w:p w:rsidR="00616655" w:rsidRPr="00DC20AC" w:rsidRDefault="00616655" w:rsidP="004D24A1">
      <w:pPr>
        <w:tabs>
          <w:tab w:val="left" w:pos="709"/>
        </w:tabs>
        <w:spacing w:after="0"/>
        <w:ind w:firstLine="708"/>
        <w:jc w:val="both"/>
        <w:rPr>
          <w:rFonts w:ascii="Times New Roman" w:hAnsi="Times New Roman"/>
          <w:sz w:val="28"/>
          <w:szCs w:val="28"/>
          <w:lang w:eastAsia="bg-BG"/>
        </w:rPr>
      </w:pPr>
      <w:r w:rsidRPr="00DC20AC">
        <w:rPr>
          <w:rFonts w:ascii="Times New Roman" w:hAnsi="Times New Roman"/>
          <w:sz w:val="28"/>
          <w:szCs w:val="28"/>
          <w:lang w:eastAsia="bg-BG"/>
        </w:rPr>
        <w:lastRenderedPageBreak/>
        <w:t>-Актуализиране размера на наказанието „глоба“ /от сто до триста лева/ предвидено за деяния  попадащи в приложното поле на разпоредбата на чл.218б от НК.</w:t>
      </w:r>
    </w:p>
    <w:p w:rsidR="00063DD3" w:rsidRDefault="00063DD3" w:rsidP="004D24A1">
      <w:pPr>
        <w:spacing w:after="0"/>
        <w:ind w:firstLine="709"/>
        <w:jc w:val="both"/>
        <w:rPr>
          <w:rFonts w:ascii="Times New Roman" w:hAnsi="Times New Roman"/>
          <w:b/>
          <w:sz w:val="28"/>
          <w:szCs w:val="28"/>
        </w:rPr>
      </w:pPr>
    </w:p>
    <w:p w:rsidR="00ED439E" w:rsidRDefault="00ED439E" w:rsidP="004D24A1">
      <w:pPr>
        <w:spacing w:after="0"/>
        <w:ind w:firstLine="709"/>
        <w:jc w:val="both"/>
        <w:rPr>
          <w:rFonts w:ascii="Times New Roman" w:hAnsi="Times New Roman"/>
          <w:b/>
          <w:sz w:val="28"/>
          <w:szCs w:val="28"/>
        </w:rPr>
      </w:pP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Р А З Д Е Л  ІІ</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 xml:space="preserve">ДЕЙНОСТ НА СОФИЙСКА ГРАДСКА ПРОКУРАТУРА И СОФИЙСКА РАЙОННА ПРОКУРАТУРА </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І. ДОСЪДЕБНА ФАЗА</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1. Преписки. Проверки по чл.145 ЗСВ – срочност, резултати, мерки.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1126"/>
        <w:gridCol w:w="1126"/>
        <w:gridCol w:w="1126"/>
      </w:tblGrid>
      <w:tr w:rsidR="00A17F5C" w:rsidRPr="00A17F5C" w:rsidTr="00A17F5C">
        <w:trPr>
          <w:trHeight w:val="957"/>
        </w:trPr>
        <w:tc>
          <w:tcPr>
            <w:tcW w:w="5920"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Показател за СГП и СРП</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2019 г.</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2020 г.</w:t>
            </w:r>
          </w:p>
        </w:tc>
        <w:tc>
          <w:tcPr>
            <w:tcW w:w="1024" w:type="dxa"/>
            <w:tcBorders>
              <w:top w:val="single" w:sz="4" w:space="0" w:color="auto"/>
              <w:left w:val="single" w:sz="4" w:space="0" w:color="auto"/>
              <w:bottom w:val="single" w:sz="4" w:space="0" w:color="auto"/>
              <w:right w:val="single" w:sz="4" w:space="0" w:color="auto"/>
            </w:tcBorders>
            <w:shd w:val="clear" w:color="auto" w:fill="B6DDE8"/>
          </w:tcPr>
          <w:p w:rsidR="00A17F5C" w:rsidRPr="00A17F5C" w:rsidRDefault="00A17F5C" w:rsidP="004D24A1">
            <w:pPr>
              <w:jc w:val="both"/>
              <w:rPr>
                <w:rFonts w:ascii="Times New Roman" w:hAnsi="Times New Roman"/>
                <w:b/>
                <w:sz w:val="28"/>
                <w:szCs w:val="28"/>
                <w:lang w:val="en-US"/>
              </w:rPr>
            </w:pPr>
          </w:p>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lang w:val="en-US"/>
              </w:rPr>
              <w:t>20</w:t>
            </w:r>
            <w:r w:rsidRPr="00A17F5C">
              <w:rPr>
                <w:rFonts w:ascii="Times New Roman" w:hAnsi="Times New Roman"/>
                <w:b/>
                <w:sz w:val="28"/>
                <w:szCs w:val="28"/>
              </w:rPr>
              <w:t>21</w:t>
            </w:r>
            <w:r w:rsidRPr="00A17F5C">
              <w:rPr>
                <w:rFonts w:ascii="Times New Roman" w:hAnsi="Times New Roman"/>
                <w:b/>
                <w:sz w:val="28"/>
                <w:szCs w:val="28"/>
                <w:lang w:val="en-US"/>
              </w:rPr>
              <w:t xml:space="preserve"> </w:t>
            </w:r>
            <w:r w:rsidRPr="00A17F5C">
              <w:rPr>
                <w:rFonts w:ascii="Times New Roman" w:hAnsi="Times New Roman"/>
                <w:b/>
                <w:sz w:val="28"/>
                <w:szCs w:val="28"/>
              </w:rPr>
              <w:t>г.</w:t>
            </w:r>
          </w:p>
        </w:tc>
      </w:tr>
      <w:tr w:rsidR="00A17F5C" w:rsidRPr="00A17F5C" w:rsidTr="00A17F5C">
        <w:trPr>
          <w:trHeight w:val="346"/>
        </w:trPr>
        <w:tc>
          <w:tcPr>
            <w:tcW w:w="5920"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Наблюдавани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47672</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lang w:val="en-US"/>
              </w:rPr>
              <w:t>43076</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43630</w:t>
            </w:r>
          </w:p>
        </w:tc>
      </w:tr>
      <w:tr w:rsidR="00A17F5C" w:rsidRPr="00A17F5C" w:rsidTr="00A17F5C">
        <w:tc>
          <w:tcPr>
            <w:tcW w:w="5920"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color w:val="000000"/>
                <w:sz w:val="28"/>
                <w:szCs w:val="28"/>
              </w:rPr>
              <w:t>Новообразувани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44435</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lang w:val="en-US"/>
              </w:rPr>
              <w:t>39261</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color w:val="000000"/>
                <w:sz w:val="28"/>
                <w:szCs w:val="28"/>
              </w:rPr>
              <w:t>38922</w:t>
            </w:r>
          </w:p>
        </w:tc>
      </w:tr>
      <w:tr w:rsidR="00A17F5C" w:rsidRPr="00A17F5C" w:rsidTr="00A17F5C">
        <w:tc>
          <w:tcPr>
            <w:tcW w:w="5920"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Решени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46569</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lang w:val="en-US"/>
              </w:rPr>
              <w:t>41290</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41151</w:t>
            </w:r>
          </w:p>
        </w:tc>
      </w:tr>
      <w:tr w:rsidR="00A17F5C" w:rsidRPr="00A17F5C" w:rsidTr="00A17F5C">
        <w:tc>
          <w:tcPr>
            <w:tcW w:w="5920"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Нерешени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1103</w:t>
            </w:r>
          </w:p>
        </w:tc>
        <w:tc>
          <w:tcPr>
            <w:tcW w:w="102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lang w:val="en-US"/>
              </w:rPr>
              <w:t>1786</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2479</w:t>
            </w:r>
          </w:p>
        </w:tc>
      </w:tr>
      <w:tr w:rsidR="00A17F5C" w:rsidRPr="00A17F5C" w:rsidTr="00A17F5C">
        <w:tc>
          <w:tcPr>
            <w:tcW w:w="5920"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Съотношение на общо решени към наблюдавани преписки</w:t>
            </w:r>
          </w:p>
        </w:tc>
        <w:tc>
          <w:tcPr>
            <w:tcW w:w="102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97,69%</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95.85%</w:t>
            </w:r>
          </w:p>
        </w:tc>
        <w:tc>
          <w:tcPr>
            <w:tcW w:w="1024"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94.32%</w:t>
            </w:r>
          </w:p>
        </w:tc>
      </w:tr>
    </w:tbl>
    <w:p w:rsidR="00A17F5C" w:rsidRPr="00A17F5C" w:rsidRDefault="00A17F5C" w:rsidP="004D24A1">
      <w:pPr>
        <w:jc w:val="both"/>
        <w:rPr>
          <w:rFonts w:ascii="Times New Roman" w:hAnsi="Times New Roman"/>
          <w:sz w:val="28"/>
          <w:szCs w:val="28"/>
        </w:rPr>
      </w:pP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2021 година прокурорите при Софийска градска прокуратура и Софийска районна прокуратура са наблюдавали общо </w:t>
      </w:r>
      <w:r w:rsidRPr="00A17F5C">
        <w:rPr>
          <w:rFonts w:ascii="Times New Roman" w:hAnsi="Times New Roman"/>
          <w:b/>
          <w:sz w:val="28"/>
          <w:szCs w:val="28"/>
        </w:rPr>
        <w:t>43630</w:t>
      </w:r>
      <w:r w:rsidRPr="00A17F5C">
        <w:rPr>
          <w:rFonts w:ascii="Times New Roman" w:hAnsi="Times New Roman"/>
          <w:sz w:val="28"/>
          <w:szCs w:val="28"/>
        </w:rPr>
        <w:t xml:space="preserve"> броя преписки / при  </w:t>
      </w:r>
      <w:r w:rsidRPr="00A17F5C">
        <w:rPr>
          <w:rFonts w:ascii="Times New Roman" w:hAnsi="Times New Roman"/>
          <w:sz w:val="28"/>
          <w:szCs w:val="28"/>
          <w:lang w:val="en-US"/>
        </w:rPr>
        <w:t>43076</w:t>
      </w:r>
      <w:r w:rsidRPr="00A17F5C">
        <w:rPr>
          <w:rFonts w:ascii="Times New Roman" w:hAnsi="Times New Roman"/>
          <w:b/>
          <w:sz w:val="28"/>
          <w:szCs w:val="28"/>
        </w:rPr>
        <w:t xml:space="preserve"> </w:t>
      </w:r>
      <w:r w:rsidRPr="00A17F5C">
        <w:rPr>
          <w:rFonts w:ascii="Times New Roman" w:hAnsi="Times New Roman"/>
          <w:sz w:val="28"/>
          <w:szCs w:val="28"/>
        </w:rPr>
        <w:t>броя за 2020 г. и  47672</w:t>
      </w:r>
      <w:r w:rsidRPr="00A17F5C">
        <w:rPr>
          <w:rFonts w:ascii="Times New Roman" w:hAnsi="Times New Roman"/>
          <w:b/>
          <w:sz w:val="28"/>
          <w:szCs w:val="28"/>
        </w:rPr>
        <w:t xml:space="preserve"> </w:t>
      </w:r>
      <w:r w:rsidRPr="00A17F5C">
        <w:rPr>
          <w:rFonts w:ascii="Times New Roman" w:hAnsi="Times New Roman"/>
          <w:sz w:val="28"/>
          <w:szCs w:val="28"/>
        </w:rPr>
        <w:t xml:space="preserve">броя за 2019 г./. От тях новообразувани са </w:t>
      </w:r>
      <w:r w:rsidRPr="00A17F5C">
        <w:rPr>
          <w:rFonts w:ascii="Times New Roman" w:hAnsi="Times New Roman"/>
          <w:b/>
          <w:color w:val="000000"/>
          <w:sz w:val="28"/>
          <w:szCs w:val="28"/>
        </w:rPr>
        <w:t xml:space="preserve">38922 </w:t>
      </w:r>
      <w:r w:rsidRPr="00A17F5C">
        <w:rPr>
          <w:rFonts w:ascii="Times New Roman" w:hAnsi="Times New Roman"/>
          <w:sz w:val="28"/>
          <w:szCs w:val="28"/>
        </w:rPr>
        <w:t xml:space="preserve">броя преписки /при  </w:t>
      </w:r>
      <w:r w:rsidRPr="00A17F5C">
        <w:rPr>
          <w:rFonts w:ascii="Times New Roman" w:hAnsi="Times New Roman"/>
          <w:sz w:val="28"/>
          <w:szCs w:val="28"/>
          <w:lang w:val="en-US"/>
        </w:rPr>
        <w:t>39261</w:t>
      </w:r>
      <w:r w:rsidRPr="00A17F5C">
        <w:rPr>
          <w:rFonts w:ascii="Times New Roman" w:hAnsi="Times New Roman"/>
          <w:b/>
          <w:sz w:val="28"/>
          <w:szCs w:val="28"/>
        </w:rPr>
        <w:t xml:space="preserve"> </w:t>
      </w:r>
      <w:r w:rsidRPr="00A17F5C">
        <w:rPr>
          <w:rFonts w:ascii="Times New Roman" w:hAnsi="Times New Roman"/>
          <w:sz w:val="28"/>
          <w:szCs w:val="28"/>
        </w:rPr>
        <w:t>броя за 2020 г. и  44435 броя за 2019 г./.</w:t>
      </w:r>
    </w:p>
    <w:p w:rsidR="00A17F5C" w:rsidRPr="00A17F5C" w:rsidRDefault="00A17F5C" w:rsidP="004D24A1">
      <w:pPr>
        <w:ind w:firstLine="708"/>
        <w:jc w:val="both"/>
        <w:rPr>
          <w:rFonts w:ascii="Times New Roman" w:hAnsi="Times New Roman"/>
          <w:color w:val="000000"/>
          <w:sz w:val="28"/>
          <w:szCs w:val="28"/>
        </w:rPr>
      </w:pPr>
      <w:r w:rsidRPr="00A17F5C">
        <w:rPr>
          <w:rFonts w:ascii="Times New Roman" w:hAnsi="Times New Roman"/>
          <w:color w:val="000000"/>
          <w:sz w:val="28"/>
          <w:szCs w:val="28"/>
        </w:rPr>
        <w:t xml:space="preserve">В сравнение с предходните два отчетни периода за района се наблюдава известен спад  на новообразуваните преписки както следва: спрямо 2020 г. с </w:t>
      </w:r>
      <w:r w:rsidRPr="00A17F5C">
        <w:rPr>
          <w:rFonts w:ascii="Times New Roman" w:hAnsi="Times New Roman"/>
          <w:b/>
          <w:color w:val="000000"/>
          <w:sz w:val="28"/>
          <w:szCs w:val="28"/>
        </w:rPr>
        <w:t>0.86 %</w:t>
      </w:r>
      <w:r w:rsidRPr="00A17F5C">
        <w:rPr>
          <w:rFonts w:ascii="Times New Roman" w:hAnsi="Times New Roman"/>
          <w:color w:val="000000"/>
          <w:sz w:val="28"/>
          <w:szCs w:val="28"/>
        </w:rPr>
        <w:t xml:space="preserve">, а спрямо 2019 г. с </w:t>
      </w:r>
      <w:r w:rsidRPr="00A17F5C">
        <w:rPr>
          <w:rFonts w:ascii="Times New Roman" w:hAnsi="Times New Roman"/>
          <w:b/>
          <w:color w:val="000000"/>
          <w:sz w:val="28"/>
          <w:szCs w:val="28"/>
        </w:rPr>
        <w:t>12.41 %</w:t>
      </w:r>
      <w:r w:rsidRPr="00A17F5C">
        <w:rPr>
          <w:rFonts w:ascii="Times New Roman" w:hAnsi="Times New Roman"/>
          <w:color w:val="000000"/>
          <w:sz w:val="28"/>
          <w:szCs w:val="28"/>
        </w:rPr>
        <w:t xml:space="preserve">,  като е налице и известна устойчивост в обема на постъпващите жалби и материали, изпратени от други органи в сравнение с предходната година.  </w:t>
      </w:r>
    </w:p>
    <w:p w:rsidR="00A17F5C" w:rsidRPr="00A17F5C" w:rsidRDefault="00A17F5C" w:rsidP="004D24A1">
      <w:pPr>
        <w:ind w:firstLine="708"/>
        <w:jc w:val="both"/>
        <w:rPr>
          <w:rFonts w:ascii="Times New Roman" w:hAnsi="Times New Roman"/>
          <w:sz w:val="28"/>
          <w:szCs w:val="28"/>
          <w:lang w:val="en-US"/>
        </w:rPr>
      </w:pPr>
      <w:r w:rsidRPr="00A17F5C">
        <w:rPr>
          <w:rFonts w:ascii="Times New Roman" w:hAnsi="Times New Roman"/>
          <w:sz w:val="28"/>
          <w:szCs w:val="28"/>
        </w:rPr>
        <w:t xml:space="preserve">През отчетния период прокурорите са решили </w:t>
      </w:r>
      <w:r w:rsidRPr="00A17F5C">
        <w:rPr>
          <w:rFonts w:ascii="Times New Roman" w:hAnsi="Times New Roman"/>
          <w:b/>
          <w:sz w:val="28"/>
          <w:szCs w:val="28"/>
        </w:rPr>
        <w:t xml:space="preserve"> 41151 </w:t>
      </w:r>
      <w:r w:rsidRPr="00A17F5C">
        <w:rPr>
          <w:rFonts w:ascii="Times New Roman" w:hAnsi="Times New Roman"/>
          <w:sz w:val="28"/>
          <w:szCs w:val="28"/>
        </w:rPr>
        <w:t xml:space="preserve">броя преписки /включително с възложена проверка/ извършване лична проверка от </w:t>
      </w:r>
      <w:r w:rsidRPr="00A17F5C">
        <w:rPr>
          <w:rFonts w:ascii="Times New Roman" w:hAnsi="Times New Roman"/>
          <w:sz w:val="28"/>
          <w:szCs w:val="28"/>
        </w:rPr>
        <w:lastRenderedPageBreak/>
        <w:t xml:space="preserve">прокурор, и инстанционни преписки и изпратени по компетентност на други прокуратури или органи/, което съставлява </w:t>
      </w:r>
      <w:r w:rsidRPr="00A17F5C">
        <w:rPr>
          <w:rFonts w:ascii="Times New Roman" w:hAnsi="Times New Roman"/>
          <w:b/>
          <w:sz w:val="28"/>
          <w:szCs w:val="28"/>
        </w:rPr>
        <w:t xml:space="preserve">94.32 % </w:t>
      </w:r>
      <w:r w:rsidRPr="00A17F5C">
        <w:rPr>
          <w:rFonts w:ascii="Times New Roman" w:hAnsi="Times New Roman"/>
          <w:sz w:val="28"/>
          <w:szCs w:val="28"/>
        </w:rPr>
        <w:t xml:space="preserve">от общо наблюдаваните  </w:t>
      </w:r>
      <w:r w:rsidRPr="00A17F5C">
        <w:rPr>
          <w:rFonts w:ascii="Times New Roman" w:hAnsi="Times New Roman"/>
          <w:b/>
          <w:sz w:val="28"/>
          <w:szCs w:val="28"/>
        </w:rPr>
        <w:t xml:space="preserve">43630 </w:t>
      </w:r>
      <w:r w:rsidRPr="00A17F5C">
        <w:rPr>
          <w:rFonts w:ascii="Times New Roman" w:hAnsi="Times New Roman"/>
          <w:sz w:val="28"/>
          <w:szCs w:val="28"/>
        </w:rPr>
        <w:t>броя преписки.</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Броят на решените преписки в Софийска градска прокуратура и Софийска районна прокуратура спрямо общия брой наблюдавани преписки, подобно на предходния отчетен период, продължава да е висок. За сравнение: за 2020 г. този процент е 95,85 %, за 2019 г. – 97,69 %. Налице е спад по този показател през 2021 г.</w:t>
      </w:r>
    </w:p>
    <w:p w:rsidR="00A17F5C" w:rsidRPr="00A17F5C" w:rsidRDefault="00A17F5C" w:rsidP="004D24A1">
      <w:pPr>
        <w:jc w:val="both"/>
        <w:rPr>
          <w:rFonts w:ascii="Times New Roman" w:hAnsi="Times New Roman"/>
          <w:b/>
          <w:sz w:val="28"/>
          <w:szCs w:val="28"/>
        </w:rPr>
      </w:pPr>
    </w:p>
    <w:p w:rsidR="00A17F5C" w:rsidRPr="00A17F5C" w:rsidRDefault="003515B0" w:rsidP="004D24A1">
      <w:pPr>
        <w:jc w:val="both"/>
        <w:rPr>
          <w:rFonts w:ascii="Times New Roman" w:hAnsi="Times New Roman"/>
          <w:sz w:val="28"/>
          <w:szCs w:val="28"/>
        </w:rPr>
      </w:pPr>
      <w:r w:rsidRPr="00A17F5C">
        <w:rPr>
          <w:rFonts w:ascii="Times New Roman" w:hAnsi="Times New Roman"/>
          <w:noProof/>
          <w:sz w:val="28"/>
          <w:szCs w:val="28"/>
          <w:lang w:eastAsia="bg-BG"/>
        </w:rPr>
        <w:drawing>
          <wp:inline distT="0" distB="0" distL="0" distR="0" wp14:anchorId="4FAD62B0" wp14:editId="42730A37">
            <wp:extent cx="5732780" cy="2711450"/>
            <wp:effectExtent l="0" t="0" r="0" b="0"/>
            <wp:docPr id="4" name="Диагра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7F5C" w:rsidRDefault="00A17F5C" w:rsidP="004D24A1">
      <w:pPr>
        <w:jc w:val="both"/>
        <w:rPr>
          <w:rFonts w:ascii="Times New Roman" w:hAnsi="Times New Roman"/>
          <w:sz w:val="28"/>
          <w:szCs w:val="28"/>
        </w:rPr>
      </w:pPr>
      <w:r w:rsidRPr="00A17F5C">
        <w:rPr>
          <w:rFonts w:ascii="Times New Roman" w:hAnsi="Times New Roman"/>
          <w:sz w:val="28"/>
          <w:szCs w:val="28"/>
        </w:rPr>
        <w:t xml:space="preserve">            Относителен дял на решените спрямо наблюдаваните преписки</w:t>
      </w:r>
    </w:p>
    <w:p w:rsidR="00266703" w:rsidRPr="00A17F5C" w:rsidRDefault="00266703" w:rsidP="004D24A1">
      <w:pPr>
        <w:jc w:val="both"/>
        <w:rPr>
          <w:rFonts w:ascii="Times New Roman" w:hAnsi="Times New Roman"/>
          <w:sz w:val="28"/>
          <w:szCs w:val="28"/>
        </w:rPr>
      </w:pP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Относителният дял на решените преписки през отчетния период към общо наблюдаваните преписки в Софийска градска прокуратура е </w:t>
      </w:r>
      <w:r w:rsidRPr="00A17F5C">
        <w:rPr>
          <w:rFonts w:ascii="Times New Roman" w:hAnsi="Times New Roman"/>
          <w:b/>
          <w:sz w:val="28"/>
          <w:szCs w:val="28"/>
        </w:rPr>
        <w:t>88.82</w:t>
      </w:r>
      <w:r w:rsidRPr="00A17F5C">
        <w:rPr>
          <w:rFonts w:ascii="Times New Roman" w:hAnsi="Times New Roman"/>
          <w:b/>
          <w:sz w:val="28"/>
          <w:szCs w:val="28"/>
          <w:lang w:val="en-US"/>
        </w:rPr>
        <w:t xml:space="preserve"> </w:t>
      </w:r>
      <w:r w:rsidRPr="00A17F5C">
        <w:rPr>
          <w:rFonts w:ascii="Times New Roman" w:hAnsi="Times New Roman"/>
          <w:b/>
          <w:sz w:val="28"/>
          <w:szCs w:val="28"/>
        </w:rPr>
        <w:t>%.</w:t>
      </w:r>
      <w:r w:rsidRPr="00A17F5C">
        <w:rPr>
          <w:rFonts w:ascii="Times New Roman" w:hAnsi="Times New Roman"/>
          <w:sz w:val="28"/>
          <w:szCs w:val="28"/>
        </w:rPr>
        <w:t xml:space="preserve"> За Софийска районна прокуратура относителният дял при същия показател е </w:t>
      </w:r>
      <w:r w:rsidRPr="00A17F5C">
        <w:rPr>
          <w:rFonts w:ascii="Times New Roman" w:hAnsi="Times New Roman"/>
          <w:b/>
          <w:sz w:val="28"/>
          <w:szCs w:val="28"/>
        </w:rPr>
        <w:t>95.05</w:t>
      </w:r>
      <w:r w:rsidRPr="00A17F5C">
        <w:rPr>
          <w:rFonts w:ascii="Times New Roman" w:hAnsi="Times New Roman"/>
          <w:b/>
          <w:sz w:val="28"/>
          <w:szCs w:val="28"/>
          <w:lang w:val="en-US"/>
        </w:rPr>
        <w:t xml:space="preserve"> </w:t>
      </w:r>
      <w:r w:rsidRPr="00A17F5C">
        <w:rPr>
          <w:rFonts w:ascii="Times New Roman" w:hAnsi="Times New Roman"/>
          <w:b/>
          <w:sz w:val="28"/>
          <w:szCs w:val="28"/>
        </w:rPr>
        <w:t>%.</w:t>
      </w:r>
      <w:r w:rsidRPr="00A17F5C">
        <w:rPr>
          <w:rFonts w:ascii="Times New Roman" w:hAnsi="Times New Roman"/>
          <w:sz w:val="28"/>
          <w:szCs w:val="28"/>
        </w:rPr>
        <w:tab/>
      </w:r>
    </w:p>
    <w:p w:rsidR="00A17F5C" w:rsidRPr="00A17F5C" w:rsidRDefault="00A17F5C" w:rsidP="004D24A1">
      <w:pPr>
        <w:jc w:val="both"/>
        <w:rPr>
          <w:rFonts w:ascii="Times New Roman" w:hAnsi="Times New Roman"/>
          <w:sz w:val="28"/>
          <w:szCs w:val="28"/>
        </w:rPr>
      </w:pPr>
    </w:p>
    <w:p w:rsidR="00A17F5C" w:rsidRPr="00A17F5C" w:rsidRDefault="003515B0" w:rsidP="004D24A1">
      <w:pPr>
        <w:jc w:val="both"/>
        <w:rPr>
          <w:rFonts w:ascii="Times New Roman" w:hAnsi="Times New Roman"/>
          <w:sz w:val="28"/>
          <w:szCs w:val="28"/>
        </w:rPr>
      </w:pPr>
      <w:r w:rsidRPr="00A17F5C">
        <w:rPr>
          <w:rFonts w:ascii="Times New Roman" w:hAnsi="Times New Roman"/>
          <w:noProof/>
          <w:sz w:val="28"/>
          <w:szCs w:val="28"/>
          <w:lang w:eastAsia="bg-BG"/>
        </w:rPr>
        <w:lastRenderedPageBreak/>
        <w:drawing>
          <wp:inline distT="0" distB="0" distL="0" distR="0" wp14:anchorId="49AFDA72" wp14:editId="4EE31C6C">
            <wp:extent cx="5542280" cy="3251835"/>
            <wp:effectExtent l="0" t="0" r="0" b="0"/>
            <wp:docPr id="5"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3515B0" w:rsidP="004D24A1">
      <w:pPr>
        <w:jc w:val="both"/>
        <w:rPr>
          <w:rFonts w:ascii="Times New Roman" w:hAnsi="Times New Roman"/>
          <w:sz w:val="28"/>
          <w:szCs w:val="28"/>
        </w:rPr>
      </w:pPr>
      <w:r w:rsidRPr="00A17F5C">
        <w:rPr>
          <w:rFonts w:ascii="Times New Roman" w:hAnsi="Times New Roman"/>
          <w:noProof/>
          <w:sz w:val="28"/>
          <w:szCs w:val="28"/>
          <w:lang w:eastAsia="bg-BG"/>
        </w:rPr>
        <w:drawing>
          <wp:inline distT="0" distB="0" distL="0" distR="0" wp14:anchorId="7A5C1F74" wp14:editId="73FFD829">
            <wp:extent cx="5558155" cy="3251835"/>
            <wp:effectExtent l="0" t="0" r="0" b="0"/>
            <wp:docPr id="6" name="Ди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Default="00A17F5C" w:rsidP="004D24A1">
      <w:pPr>
        <w:jc w:val="both"/>
        <w:rPr>
          <w:rFonts w:ascii="Times New Roman" w:hAnsi="Times New Roman"/>
          <w:sz w:val="28"/>
          <w:szCs w:val="28"/>
        </w:rPr>
      </w:pPr>
    </w:p>
    <w:p w:rsidR="00F83E52" w:rsidRDefault="00F83E52" w:rsidP="004D24A1">
      <w:pPr>
        <w:jc w:val="both"/>
        <w:rPr>
          <w:rFonts w:ascii="Times New Roman" w:hAnsi="Times New Roman"/>
          <w:sz w:val="28"/>
          <w:szCs w:val="28"/>
        </w:rPr>
      </w:pPr>
    </w:p>
    <w:p w:rsidR="00F83E52" w:rsidRPr="00A17F5C" w:rsidRDefault="00F83E52" w:rsidP="004D24A1">
      <w:pPr>
        <w:jc w:val="both"/>
        <w:rPr>
          <w:rFonts w:ascii="Times New Roman" w:hAnsi="Times New Roman"/>
          <w:sz w:val="28"/>
          <w:szCs w:val="28"/>
        </w:rPr>
      </w:pP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lastRenderedPageBreak/>
        <w:t>Видове решения на прокурорите по преписките.</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С постановление за отказ да се образува досъдебно производство са приключени </w:t>
      </w:r>
      <w:r w:rsidRPr="00A17F5C">
        <w:rPr>
          <w:rFonts w:ascii="Times New Roman" w:hAnsi="Times New Roman"/>
          <w:b/>
          <w:sz w:val="28"/>
          <w:szCs w:val="28"/>
        </w:rPr>
        <w:t>26788</w:t>
      </w:r>
      <w:r w:rsidRPr="00A17F5C">
        <w:rPr>
          <w:rFonts w:ascii="Times New Roman" w:hAnsi="Times New Roman"/>
          <w:sz w:val="28"/>
          <w:szCs w:val="28"/>
        </w:rPr>
        <w:t xml:space="preserve"> броя преписки или </w:t>
      </w:r>
      <w:r w:rsidRPr="00A17F5C">
        <w:rPr>
          <w:rFonts w:ascii="Times New Roman" w:hAnsi="Times New Roman"/>
          <w:b/>
          <w:color w:val="000000"/>
          <w:sz w:val="28"/>
          <w:szCs w:val="28"/>
        </w:rPr>
        <w:t xml:space="preserve">65,1 % </w:t>
      </w:r>
      <w:r w:rsidRPr="00A17F5C">
        <w:rPr>
          <w:rFonts w:ascii="Times New Roman" w:hAnsi="Times New Roman"/>
          <w:sz w:val="28"/>
          <w:szCs w:val="28"/>
        </w:rPr>
        <w:t xml:space="preserve">от общо решените /в сравнение за 2020 г. относителния дял е 63,85 %, а за 2019 г. относителният дял е – 66,04 % /.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С постановление за образуване на досъдебно производство от прокурор са решени </w:t>
      </w:r>
      <w:r w:rsidRPr="00A17F5C">
        <w:rPr>
          <w:rFonts w:ascii="Times New Roman" w:hAnsi="Times New Roman"/>
          <w:b/>
          <w:sz w:val="28"/>
          <w:szCs w:val="28"/>
        </w:rPr>
        <w:t>8749</w:t>
      </w:r>
      <w:r w:rsidRPr="00A17F5C">
        <w:rPr>
          <w:rFonts w:ascii="Times New Roman" w:hAnsi="Times New Roman"/>
          <w:sz w:val="28"/>
          <w:szCs w:val="28"/>
        </w:rPr>
        <w:t xml:space="preserve"> броя преписки или </w:t>
      </w:r>
      <w:r w:rsidRPr="00A17F5C">
        <w:rPr>
          <w:rFonts w:ascii="Times New Roman" w:hAnsi="Times New Roman"/>
          <w:b/>
          <w:sz w:val="28"/>
          <w:szCs w:val="28"/>
        </w:rPr>
        <w:t xml:space="preserve">21.26 % </w:t>
      </w:r>
      <w:r w:rsidRPr="00A17F5C">
        <w:rPr>
          <w:rFonts w:ascii="Times New Roman" w:hAnsi="Times New Roman"/>
          <w:sz w:val="28"/>
          <w:szCs w:val="28"/>
        </w:rPr>
        <w:t xml:space="preserve">от общо решените   /за 2020 г. –23,09 % , а за 2019 г. – 22,25%/.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Преписки, решени с възлагане/лично извършване на проверка от прокурора са както следва:</w:t>
      </w:r>
    </w:p>
    <w:p w:rsidR="00A17F5C" w:rsidRPr="00A17F5C" w:rsidRDefault="00A17F5C" w:rsidP="004D24A1">
      <w:pPr>
        <w:numPr>
          <w:ilvl w:val="0"/>
          <w:numId w:val="1"/>
        </w:numPr>
        <w:jc w:val="both"/>
        <w:rPr>
          <w:rFonts w:ascii="Times New Roman" w:hAnsi="Times New Roman"/>
          <w:sz w:val="28"/>
          <w:szCs w:val="28"/>
        </w:rPr>
      </w:pPr>
      <w:r w:rsidRPr="00A17F5C">
        <w:rPr>
          <w:rFonts w:ascii="Times New Roman" w:hAnsi="Times New Roman"/>
          <w:sz w:val="28"/>
          <w:szCs w:val="28"/>
        </w:rPr>
        <w:t xml:space="preserve">Преписки с възложени от прокурор проверки на друг орган общо </w:t>
      </w:r>
      <w:r w:rsidRPr="00A17F5C">
        <w:rPr>
          <w:rFonts w:ascii="Times New Roman" w:hAnsi="Times New Roman"/>
          <w:b/>
          <w:sz w:val="28"/>
          <w:szCs w:val="28"/>
        </w:rPr>
        <w:t xml:space="preserve">11666 </w:t>
      </w:r>
      <w:r w:rsidRPr="00A17F5C">
        <w:rPr>
          <w:rFonts w:ascii="Times New Roman" w:hAnsi="Times New Roman"/>
          <w:sz w:val="28"/>
          <w:szCs w:val="28"/>
        </w:rPr>
        <w:t xml:space="preserve">броя /възложени от СРП – 10726, а от СГП – 940/, като от тях решени с постановление за образуване на досъдебно производство – </w:t>
      </w:r>
      <w:r w:rsidRPr="00A17F5C">
        <w:rPr>
          <w:rFonts w:ascii="Times New Roman" w:hAnsi="Times New Roman"/>
          <w:b/>
          <w:sz w:val="28"/>
          <w:szCs w:val="28"/>
        </w:rPr>
        <w:t>2019</w:t>
      </w:r>
      <w:r w:rsidRPr="00A17F5C">
        <w:rPr>
          <w:rFonts w:ascii="Times New Roman" w:hAnsi="Times New Roman"/>
          <w:sz w:val="28"/>
          <w:szCs w:val="28"/>
        </w:rPr>
        <w:t xml:space="preserve"> броя /от СРП – 1806 броя, а от СГП – 213 броя/ и решени с постановление за отказ от образуване на досъдебно производство – </w:t>
      </w:r>
      <w:r w:rsidRPr="00A17F5C">
        <w:rPr>
          <w:rFonts w:ascii="Times New Roman" w:hAnsi="Times New Roman"/>
          <w:b/>
          <w:sz w:val="28"/>
          <w:szCs w:val="28"/>
        </w:rPr>
        <w:t>6557</w:t>
      </w:r>
      <w:r w:rsidRPr="00A17F5C">
        <w:rPr>
          <w:rFonts w:ascii="Times New Roman" w:hAnsi="Times New Roman"/>
          <w:sz w:val="28"/>
          <w:szCs w:val="28"/>
        </w:rPr>
        <w:t xml:space="preserve"> броя / от СРП – 6220 броя, а от СГП - 337 броя/;</w:t>
      </w:r>
    </w:p>
    <w:p w:rsidR="00A17F5C" w:rsidRPr="00A17F5C" w:rsidRDefault="00A17F5C" w:rsidP="004D24A1">
      <w:pPr>
        <w:numPr>
          <w:ilvl w:val="0"/>
          <w:numId w:val="1"/>
        </w:numPr>
        <w:jc w:val="both"/>
        <w:rPr>
          <w:rFonts w:ascii="Times New Roman" w:hAnsi="Times New Roman"/>
          <w:i/>
          <w:sz w:val="28"/>
          <w:szCs w:val="28"/>
        </w:rPr>
      </w:pPr>
      <w:r w:rsidRPr="00A17F5C">
        <w:rPr>
          <w:rFonts w:ascii="Times New Roman" w:hAnsi="Times New Roman"/>
          <w:sz w:val="28"/>
          <w:szCs w:val="28"/>
        </w:rPr>
        <w:t xml:space="preserve">Преписки, върнати с разпореждане за допълване на проверката – </w:t>
      </w:r>
      <w:r w:rsidRPr="00A17F5C">
        <w:rPr>
          <w:rFonts w:ascii="Times New Roman" w:hAnsi="Times New Roman"/>
          <w:b/>
          <w:sz w:val="28"/>
          <w:szCs w:val="28"/>
        </w:rPr>
        <w:t>864</w:t>
      </w:r>
      <w:r w:rsidRPr="00A17F5C">
        <w:rPr>
          <w:rFonts w:ascii="Times New Roman" w:hAnsi="Times New Roman"/>
          <w:sz w:val="28"/>
          <w:szCs w:val="28"/>
        </w:rPr>
        <w:t xml:space="preserve"> броя </w:t>
      </w:r>
      <w:r w:rsidRPr="00A17F5C">
        <w:rPr>
          <w:rFonts w:ascii="Times New Roman" w:hAnsi="Times New Roman"/>
          <w:i/>
          <w:sz w:val="28"/>
          <w:szCs w:val="28"/>
        </w:rPr>
        <w:t>/</w:t>
      </w:r>
      <w:r w:rsidRPr="00A17F5C">
        <w:rPr>
          <w:rFonts w:ascii="Times New Roman" w:hAnsi="Times New Roman"/>
          <w:sz w:val="28"/>
          <w:szCs w:val="28"/>
        </w:rPr>
        <w:t>от СРП – 810 броя, а от СГП – 54 броя/;</w:t>
      </w:r>
    </w:p>
    <w:p w:rsidR="00A17F5C" w:rsidRPr="00A17F5C" w:rsidRDefault="00A17F5C" w:rsidP="004D24A1">
      <w:pPr>
        <w:numPr>
          <w:ilvl w:val="0"/>
          <w:numId w:val="1"/>
        </w:numPr>
        <w:jc w:val="both"/>
        <w:rPr>
          <w:rFonts w:ascii="Times New Roman" w:hAnsi="Times New Roman"/>
          <w:sz w:val="28"/>
          <w:szCs w:val="28"/>
        </w:rPr>
      </w:pPr>
      <w:r w:rsidRPr="00A17F5C">
        <w:rPr>
          <w:rFonts w:ascii="Times New Roman" w:hAnsi="Times New Roman"/>
          <w:sz w:val="28"/>
          <w:szCs w:val="28"/>
        </w:rPr>
        <w:t xml:space="preserve">Преписки с лични проверки от прокурор – общ брой </w:t>
      </w:r>
      <w:r w:rsidRPr="00A17F5C">
        <w:rPr>
          <w:rFonts w:ascii="Times New Roman" w:hAnsi="Times New Roman"/>
          <w:b/>
          <w:sz w:val="28"/>
          <w:szCs w:val="28"/>
        </w:rPr>
        <w:t xml:space="preserve">121 </w:t>
      </w:r>
      <w:r w:rsidRPr="00A17F5C">
        <w:rPr>
          <w:rFonts w:ascii="Times New Roman" w:hAnsi="Times New Roman"/>
          <w:sz w:val="28"/>
          <w:szCs w:val="28"/>
        </w:rPr>
        <w:t xml:space="preserve">/на СРП – 26 броя, а на СГП – 95 броя/, от които решени с постановление за образуване на ДП –11 броя / като 2 броя са на СРП и 9 броя на СГП/ и решени с постановление за отказ от образуване на ДП – </w:t>
      </w:r>
      <w:r w:rsidRPr="00A17F5C">
        <w:rPr>
          <w:rFonts w:ascii="Times New Roman" w:hAnsi="Times New Roman"/>
          <w:b/>
          <w:sz w:val="28"/>
          <w:szCs w:val="28"/>
        </w:rPr>
        <w:t>73</w:t>
      </w:r>
      <w:r w:rsidRPr="00A17F5C">
        <w:rPr>
          <w:rFonts w:ascii="Times New Roman" w:hAnsi="Times New Roman"/>
          <w:sz w:val="28"/>
          <w:szCs w:val="28"/>
        </w:rPr>
        <w:t xml:space="preserve"> броя / от тях на СРП – 15 броя, а на СГП- 58 броя/.</w:t>
      </w:r>
    </w:p>
    <w:p w:rsidR="00A17F5C" w:rsidRPr="00A17F5C" w:rsidRDefault="00A17F5C" w:rsidP="004D24A1">
      <w:pPr>
        <w:ind w:firstLine="708"/>
        <w:jc w:val="both"/>
        <w:rPr>
          <w:rFonts w:ascii="Times New Roman" w:hAnsi="Times New Roman"/>
          <w:color w:val="000000"/>
          <w:sz w:val="28"/>
          <w:szCs w:val="28"/>
        </w:rPr>
      </w:pPr>
      <w:r w:rsidRPr="00A17F5C">
        <w:rPr>
          <w:rFonts w:ascii="Times New Roman" w:hAnsi="Times New Roman"/>
          <w:color w:val="000000"/>
          <w:sz w:val="28"/>
          <w:szCs w:val="28"/>
        </w:rPr>
        <w:t xml:space="preserve">Изложените данни сочат, че прокурорите полагат усилия за срочното приключване и решаване на възложените от тях проверки, като същевременно все още е налице неизпълнение в пълен обем на даваните указания и липса на инициативност от страна на изпълняващите органи. Това води до неприключването през отчетния период на образуваните по проверките прокурорски преписки. За отстраняване на това е създадена организация за периодично докладване на наблюдаващите прокурори при предстоящо изтичане на сроковете по възложените проверки с оглед предприемане на действия по срочното им приключване. В случай, че наблюдаващите прокурори не предприемат необходимите действия, </w:t>
      </w:r>
      <w:r w:rsidRPr="00A17F5C">
        <w:rPr>
          <w:rFonts w:ascii="Times New Roman" w:hAnsi="Times New Roman"/>
          <w:color w:val="000000"/>
          <w:sz w:val="28"/>
          <w:szCs w:val="28"/>
        </w:rPr>
        <w:lastRenderedPageBreak/>
        <w:t>завеждащите служба в съответните деловодства докладват наблюдателните материали на ресорните заместник - административни ръководители.</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Срочност на произнасяне на прокурора по решените преписки.</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Срочността за решаване на преписките се отчита от датата на разпределяне на преписката на прокурора до произнасянето му със съответен акт. От общо решените </w:t>
      </w:r>
      <w:r w:rsidRPr="00A17F5C">
        <w:rPr>
          <w:rFonts w:ascii="Times New Roman" w:hAnsi="Times New Roman"/>
          <w:b/>
          <w:sz w:val="28"/>
          <w:szCs w:val="28"/>
        </w:rPr>
        <w:t>41151</w:t>
      </w:r>
      <w:r w:rsidRPr="00A17F5C">
        <w:rPr>
          <w:rFonts w:ascii="Times New Roman" w:hAnsi="Times New Roman"/>
          <w:sz w:val="28"/>
          <w:szCs w:val="28"/>
        </w:rPr>
        <w:t xml:space="preserve"> броя преписки, в срок до един месец са решени </w:t>
      </w:r>
      <w:r w:rsidRPr="00A17F5C">
        <w:rPr>
          <w:rFonts w:ascii="Times New Roman" w:hAnsi="Times New Roman"/>
          <w:b/>
          <w:sz w:val="28"/>
          <w:szCs w:val="28"/>
        </w:rPr>
        <w:t>40840</w:t>
      </w:r>
      <w:r w:rsidRPr="00A17F5C">
        <w:rPr>
          <w:rFonts w:ascii="Times New Roman" w:hAnsi="Times New Roman"/>
          <w:sz w:val="28"/>
          <w:szCs w:val="28"/>
        </w:rPr>
        <w:t xml:space="preserve"> броя или </w:t>
      </w:r>
      <w:r w:rsidRPr="00A17F5C">
        <w:rPr>
          <w:rFonts w:ascii="Times New Roman" w:hAnsi="Times New Roman"/>
          <w:b/>
          <w:sz w:val="28"/>
          <w:szCs w:val="28"/>
        </w:rPr>
        <w:t>99.24 %</w:t>
      </w:r>
      <w:r w:rsidRPr="00A17F5C">
        <w:rPr>
          <w:rFonts w:ascii="Times New Roman" w:hAnsi="Times New Roman"/>
          <w:sz w:val="28"/>
          <w:szCs w:val="28"/>
        </w:rPr>
        <w:t xml:space="preserve"> /при 99,14 % за 2020 г. и 99,24 % за 2019 г./ и над един месец </w:t>
      </w:r>
      <w:r w:rsidRPr="00A17F5C">
        <w:rPr>
          <w:rFonts w:ascii="Times New Roman" w:hAnsi="Times New Roman"/>
          <w:b/>
          <w:sz w:val="28"/>
          <w:szCs w:val="28"/>
        </w:rPr>
        <w:t>311</w:t>
      </w:r>
      <w:r w:rsidRPr="00A17F5C">
        <w:rPr>
          <w:rFonts w:ascii="Times New Roman" w:hAnsi="Times New Roman"/>
          <w:sz w:val="28"/>
          <w:szCs w:val="28"/>
        </w:rPr>
        <w:t xml:space="preserve"> броя или </w:t>
      </w:r>
      <w:r w:rsidRPr="00A17F5C">
        <w:rPr>
          <w:rFonts w:ascii="Times New Roman" w:hAnsi="Times New Roman"/>
          <w:b/>
          <w:sz w:val="28"/>
          <w:szCs w:val="28"/>
        </w:rPr>
        <w:t xml:space="preserve">0.76 % </w:t>
      </w:r>
      <w:r w:rsidRPr="00A17F5C">
        <w:rPr>
          <w:rFonts w:ascii="Times New Roman" w:hAnsi="Times New Roman"/>
          <w:sz w:val="28"/>
          <w:szCs w:val="28"/>
        </w:rPr>
        <w:t xml:space="preserve">/при 0,86 % за 2020 г. и 0,76 % за 2019 г./. </w:t>
      </w:r>
    </w:p>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 xml:space="preserve">       </w:t>
      </w:r>
      <w:r w:rsidR="003515B0">
        <w:rPr>
          <w:noProof/>
          <w:lang w:eastAsia="bg-BG"/>
        </w:rPr>
        <w:drawing>
          <wp:anchor distT="0" distB="0" distL="114300" distR="114300" simplePos="0" relativeHeight="251656192" behindDoc="0" locked="0" layoutInCell="1" allowOverlap="1" wp14:anchorId="3B2F8F64" wp14:editId="53C19E35">
            <wp:simplePos x="0" y="0"/>
            <wp:positionH relativeFrom="column">
              <wp:posOffset>336550</wp:posOffset>
            </wp:positionH>
            <wp:positionV relativeFrom="paragraph">
              <wp:posOffset>-29845</wp:posOffset>
            </wp:positionV>
            <wp:extent cx="4956175" cy="2877185"/>
            <wp:effectExtent l="0" t="635" r="0" b="0"/>
            <wp:wrapSquare wrapText="right"/>
            <wp:docPr id="41" name="Диагра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jc w:val="both"/>
        <w:rPr>
          <w:rFonts w:ascii="Times New Roman" w:hAnsi="Times New Roman"/>
          <w:sz w:val="28"/>
          <w:szCs w:val="28"/>
        </w:rPr>
      </w:pP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В края на отчетния период на 2021 г. са останали нерешени общо </w:t>
      </w:r>
      <w:r w:rsidRPr="00A17F5C">
        <w:rPr>
          <w:rFonts w:ascii="Times New Roman" w:hAnsi="Times New Roman"/>
          <w:b/>
          <w:sz w:val="28"/>
          <w:szCs w:val="28"/>
        </w:rPr>
        <w:t>2479</w:t>
      </w:r>
      <w:r w:rsidRPr="00A17F5C">
        <w:rPr>
          <w:rFonts w:ascii="Times New Roman" w:hAnsi="Times New Roman"/>
          <w:sz w:val="28"/>
          <w:szCs w:val="28"/>
        </w:rPr>
        <w:t xml:space="preserve"> броя преписки /или </w:t>
      </w:r>
      <w:r w:rsidRPr="00A17F5C">
        <w:rPr>
          <w:rFonts w:ascii="Times New Roman" w:hAnsi="Times New Roman"/>
          <w:b/>
          <w:sz w:val="28"/>
          <w:szCs w:val="28"/>
        </w:rPr>
        <w:t>5.68 %</w:t>
      </w:r>
      <w:r w:rsidRPr="00A17F5C">
        <w:rPr>
          <w:rFonts w:ascii="Times New Roman" w:hAnsi="Times New Roman"/>
          <w:sz w:val="28"/>
          <w:szCs w:val="28"/>
        </w:rPr>
        <w:t xml:space="preserve"> от общо наблюдаваните/, от тях при прокурор за решаване са </w:t>
      </w:r>
      <w:r w:rsidRPr="00A17F5C">
        <w:rPr>
          <w:rFonts w:ascii="Times New Roman" w:hAnsi="Times New Roman"/>
          <w:b/>
          <w:sz w:val="28"/>
          <w:szCs w:val="28"/>
        </w:rPr>
        <w:t>1505</w:t>
      </w:r>
      <w:r w:rsidRPr="00A17F5C">
        <w:rPr>
          <w:rFonts w:ascii="Times New Roman" w:hAnsi="Times New Roman"/>
          <w:sz w:val="28"/>
          <w:szCs w:val="28"/>
          <w:lang w:val="ru-RU"/>
        </w:rPr>
        <w:t xml:space="preserve"> </w:t>
      </w:r>
      <w:r w:rsidRPr="00A17F5C">
        <w:rPr>
          <w:rFonts w:ascii="Times New Roman" w:hAnsi="Times New Roman"/>
          <w:sz w:val="28"/>
          <w:szCs w:val="28"/>
        </w:rPr>
        <w:t>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За сравнение в края на отчетния период на 2019 г. останали нерешени са били общо 1103 броя преписки /или 2,31 % от общо наблюдаваните/, от тях при прокурор за решаване са 789</w:t>
      </w:r>
      <w:r w:rsidRPr="00A17F5C">
        <w:rPr>
          <w:rFonts w:ascii="Times New Roman" w:hAnsi="Times New Roman"/>
          <w:sz w:val="28"/>
          <w:szCs w:val="28"/>
          <w:lang w:val="ru-RU"/>
        </w:rPr>
        <w:t xml:space="preserve"> </w:t>
      </w:r>
      <w:r w:rsidRPr="00A17F5C">
        <w:rPr>
          <w:rFonts w:ascii="Times New Roman" w:hAnsi="Times New Roman"/>
          <w:sz w:val="28"/>
          <w:szCs w:val="28"/>
        </w:rPr>
        <w:t>броя,</w:t>
      </w:r>
      <w:r w:rsidRPr="00A17F5C">
        <w:rPr>
          <w:rFonts w:ascii="Times New Roman" w:hAnsi="Times New Roman"/>
          <w:b/>
          <w:sz w:val="28"/>
          <w:szCs w:val="28"/>
        </w:rPr>
        <w:t xml:space="preserve"> </w:t>
      </w:r>
      <w:r w:rsidRPr="00A17F5C">
        <w:rPr>
          <w:rFonts w:ascii="Times New Roman" w:hAnsi="Times New Roman"/>
          <w:sz w:val="28"/>
          <w:szCs w:val="28"/>
        </w:rPr>
        <w:t>а за периода на 2020 г. останали нерешени са били общо 1786 броя преписки / или 4,15 % от общо наблюдаваните/, от тях при прокурор за решаване са 1235</w:t>
      </w:r>
      <w:r w:rsidRPr="00A17F5C">
        <w:rPr>
          <w:rFonts w:ascii="Times New Roman" w:hAnsi="Times New Roman"/>
          <w:sz w:val="28"/>
          <w:szCs w:val="28"/>
          <w:lang w:val="ru-RU"/>
        </w:rPr>
        <w:t xml:space="preserve"> </w:t>
      </w:r>
      <w:r w:rsidRPr="00A17F5C">
        <w:rPr>
          <w:rFonts w:ascii="Times New Roman" w:hAnsi="Times New Roman"/>
          <w:sz w:val="28"/>
          <w:szCs w:val="28"/>
        </w:rPr>
        <w:t>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За отчетния период на 2021 г. с</w:t>
      </w:r>
      <w:r w:rsidRPr="00A17F5C">
        <w:rPr>
          <w:rFonts w:ascii="Times New Roman" w:hAnsi="Times New Roman"/>
          <w:sz w:val="28"/>
          <w:szCs w:val="28"/>
          <w:lang w:val="ru-RU"/>
        </w:rPr>
        <w:t>ледва да се отбележи, че от общия брой решени преписки, техния дял в</w:t>
      </w:r>
      <w:r w:rsidRPr="00A17F5C">
        <w:rPr>
          <w:rFonts w:ascii="Times New Roman" w:hAnsi="Times New Roman"/>
          <w:sz w:val="28"/>
          <w:szCs w:val="28"/>
        </w:rPr>
        <w:t xml:space="preserve"> СГП е </w:t>
      </w:r>
      <w:r w:rsidRPr="00A17F5C">
        <w:rPr>
          <w:rFonts w:ascii="Times New Roman" w:hAnsi="Times New Roman"/>
          <w:b/>
          <w:sz w:val="28"/>
          <w:szCs w:val="28"/>
        </w:rPr>
        <w:t>4570</w:t>
      </w:r>
      <w:r w:rsidRPr="00A17F5C">
        <w:rPr>
          <w:rFonts w:ascii="Times New Roman" w:hAnsi="Times New Roman"/>
          <w:sz w:val="28"/>
          <w:szCs w:val="28"/>
        </w:rPr>
        <w:t xml:space="preserve"> броя, което съставлява </w:t>
      </w:r>
      <w:r w:rsidRPr="00A17F5C">
        <w:rPr>
          <w:rFonts w:ascii="Times New Roman" w:hAnsi="Times New Roman"/>
          <w:b/>
          <w:sz w:val="28"/>
          <w:szCs w:val="28"/>
        </w:rPr>
        <w:t>88.82 %</w:t>
      </w:r>
      <w:r w:rsidRPr="00A17F5C">
        <w:rPr>
          <w:rFonts w:ascii="Times New Roman" w:hAnsi="Times New Roman"/>
          <w:sz w:val="28"/>
          <w:szCs w:val="28"/>
        </w:rPr>
        <w:t xml:space="preserve"> от общо наблюдаваните преписки /за 2020 г. – 89,58 %, а за 2019 г. – 94.78 %/. В СРП техният брой е </w:t>
      </w:r>
      <w:r w:rsidRPr="00A17F5C">
        <w:rPr>
          <w:rFonts w:ascii="Times New Roman" w:hAnsi="Times New Roman"/>
          <w:b/>
          <w:sz w:val="28"/>
          <w:szCs w:val="28"/>
        </w:rPr>
        <w:t>36581</w:t>
      </w:r>
      <w:r w:rsidRPr="00A17F5C">
        <w:rPr>
          <w:rFonts w:ascii="Times New Roman" w:hAnsi="Times New Roman"/>
          <w:sz w:val="28"/>
          <w:szCs w:val="28"/>
        </w:rPr>
        <w:t xml:space="preserve"> или </w:t>
      </w:r>
      <w:r w:rsidRPr="00A17F5C">
        <w:rPr>
          <w:rFonts w:ascii="Times New Roman" w:hAnsi="Times New Roman"/>
          <w:b/>
          <w:sz w:val="28"/>
          <w:szCs w:val="28"/>
        </w:rPr>
        <w:t xml:space="preserve">95.05 % </w:t>
      </w:r>
      <w:r w:rsidRPr="00A17F5C">
        <w:rPr>
          <w:rFonts w:ascii="Times New Roman" w:hAnsi="Times New Roman"/>
          <w:sz w:val="28"/>
          <w:szCs w:val="28"/>
        </w:rPr>
        <w:t>от общо наблюдаваните /за 2020 г. – 96,62%, а за 2019г. – 98.04 %/.</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lastRenderedPageBreak/>
        <w:t>Инстанционни преписки.</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отчетния период на 2021 г. прокурорите при Софийска градска прокуратура са решили общо </w:t>
      </w:r>
      <w:r w:rsidRPr="00A17F5C">
        <w:rPr>
          <w:rFonts w:ascii="Times New Roman" w:hAnsi="Times New Roman"/>
          <w:b/>
          <w:sz w:val="28"/>
          <w:szCs w:val="28"/>
        </w:rPr>
        <w:t>1307</w:t>
      </w:r>
      <w:r w:rsidRPr="00A17F5C">
        <w:rPr>
          <w:rFonts w:ascii="Times New Roman" w:hAnsi="Times New Roman"/>
          <w:sz w:val="28"/>
          <w:szCs w:val="28"/>
        </w:rPr>
        <w:t xml:space="preserve"> броя инстанционни преписки, като в сравнение с предходните отчетни периоди са били /за 2020 г. – 1290 броя, а за 2019 г. – 1356 броя</w:t>
      </w:r>
      <w:r w:rsidRPr="00A17F5C">
        <w:rPr>
          <w:rFonts w:ascii="Times New Roman" w:hAnsi="Times New Roman"/>
          <w:color w:val="000000"/>
          <w:sz w:val="28"/>
          <w:szCs w:val="28"/>
        </w:rPr>
        <w:t xml:space="preserve">/. Запазва се сравнително високият процент на потвърдените при инстанционния контрол актове, което отново е показател за дейността на първоинстанционната прокуратура по преписките, сочещ на обоснованост и законосъобразност на постановените от нея актове. </w:t>
      </w:r>
      <w:r w:rsidRPr="00A17F5C">
        <w:rPr>
          <w:rFonts w:ascii="Times New Roman" w:hAnsi="Times New Roman"/>
          <w:sz w:val="28"/>
          <w:szCs w:val="28"/>
        </w:rPr>
        <w:t xml:space="preserve">За 2021 г. са потвърдени </w:t>
      </w:r>
      <w:r w:rsidRPr="00A17F5C">
        <w:rPr>
          <w:rFonts w:ascii="Times New Roman" w:hAnsi="Times New Roman"/>
          <w:b/>
          <w:sz w:val="28"/>
          <w:szCs w:val="28"/>
        </w:rPr>
        <w:t>983</w:t>
      </w:r>
      <w:r w:rsidRPr="00A17F5C">
        <w:rPr>
          <w:rFonts w:ascii="Times New Roman" w:hAnsi="Times New Roman"/>
          <w:sz w:val="28"/>
          <w:szCs w:val="28"/>
        </w:rPr>
        <w:t xml:space="preserve"> броя актове или </w:t>
      </w:r>
      <w:r w:rsidRPr="00A17F5C">
        <w:rPr>
          <w:rFonts w:ascii="Times New Roman" w:hAnsi="Times New Roman"/>
          <w:b/>
          <w:sz w:val="28"/>
          <w:szCs w:val="28"/>
        </w:rPr>
        <w:t>75.21 %</w:t>
      </w:r>
      <w:r w:rsidRPr="00A17F5C">
        <w:rPr>
          <w:rFonts w:ascii="Times New Roman" w:hAnsi="Times New Roman"/>
          <w:sz w:val="28"/>
          <w:szCs w:val="28"/>
        </w:rPr>
        <w:t xml:space="preserve"> от проверените актове /за 2020 г. са потвърдени 956 броя актове или 74,11 %  от проверените, а за 2019 г. те са били 1088 броя или 80,24 % от проверените/.</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Отменени за отчетния период са</w:t>
      </w:r>
      <w:r w:rsidRPr="00A17F5C">
        <w:rPr>
          <w:rFonts w:ascii="Times New Roman" w:hAnsi="Times New Roman"/>
          <w:b/>
          <w:sz w:val="28"/>
          <w:szCs w:val="28"/>
        </w:rPr>
        <w:t xml:space="preserve"> 324</w:t>
      </w:r>
      <w:r w:rsidRPr="00A17F5C">
        <w:rPr>
          <w:rFonts w:ascii="Times New Roman" w:hAnsi="Times New Roman"/>
          <w:sz w:val="28"/>
          <w:szCs w:val="28"/>
        </w:rPr>
        <w:t xml:space="preserve"> акта или </w:t>
      </w:r>
      <w:r w:rsidRPr="00A17F5C">
        <w:rPr>
          <w:rFonts w:ascii="Times New Roman" w:hAnsi="Times New Roman"/>
          <w:b/>
          <w:sz w:val="28"/>
          <w:szCs w:val="28"/>
        </w:rPr>
        <w:t>24.79 %</w:t>
      </w:r>
      <w:r w:rsidRPr="00A17F5C">
        <w:rPr>
          <w:rFonts w:ascii="Times New Roman" w:hAnsi="Times New Roman"/>
          <w:sz w:val="28"/>
          <w:szCs w:val="28"/>
        </w:rPr>
        <w:t xml:space="preserve"> от проверените / за 2020 г. са отменени 334 или  25,89 %, а за 2019 г. са отменени 347 акта или 25,59 % от проверените/.</w:t>
      </w:r>
    </w:p>
    <w:p w:rsidR="00A17F5C" w:rsidRPr="00A17F5C" w:rsidRDefault="00A17F5C" w:rsidP="004D24A1">
      <w:pPr>
        <w:jc w:val="both"/>
        <w:rPr>
          <w:rFonts w:ascii="Times New Roman" w:hAnsi="Times New Roman"/>
          <w:sz w:val="28"/>
          <w:szCs w:val="28"/>
        </w:rPr>
      </w:pPr>
    </w:p>
    <w:p w:rsidR="00A17F5C" w:rsidRPr="00A17F5C" w:rsidRDefault="003515B0" w:rsidP="004D24A1">
      <w:pPr>
        <w:jc w:val="both"/>
        <w:rPr>
          <w:rFonts w:ascii="Times New Roman" w:hAnsi="Times New Roman"/>
          <w:sz w:val="28"/>
          <w:szCs w:val="28"/>
        </w:rPr>
      </w:pPr>
      <w:r w:rsidRPr="00A17F5C">
        <w:rPr>
          <w:rFonts w:ascii="Times New Roman" w:hAnsi="Times New Roman"/>
          <w:noProof/>
          <w:sz w:val="28"/>
          <w:szCs w:val="28"/>
          <w:lang w:eastAsia="bg-BG"/>
        </w:rPr>
        <w:drawing>
          <wp:inline distT="0" distB="0" distL="0" distR="0" wp14:anchorId="2A9CB8AF" wp14:editId="280C41E2">
            <wp:extent cx="5748793" cy="3251835"/>
            <wp:effectExtent l="0" t="0" r="4445" b="5715"/>
            <wp:docPr id="7" name="Диагра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При осъществяван от Софийска градска прокуратура инстанционен контрол по реда на чл. 213, ал. 1 от НПК са потвърдени</w:t>
      </w:r>
      <w:r w:rsidRPr="00A17F5C">
        <w:rPr>
          <w:rFonts w:ascii="Times New Roman" w:hAnsi="Times New Roman"/>
          <w:b/>
          <w:sz w:val="28"/>
          <w:szCs w:val="28"/>
        </w:rPr>
        <w:t xml:space="preserve"> 670  </w:t>
      </w:r>
      <w:r w:rsidRPr="00A17F5C">
        <w:rPr>
          <w:rFonts w:ascii="Times New Roman" w:hAnsi="Times New Roman"/>
          <w:sz w:val="28"/>
          <w:szCs w:val="28"/>
        </w:rPr>
        <w:t xml:space="preserve">броя постановления за отказ да се образува ДП и </w:t>
      </w:r>
      <w:r w:rsidRPr="00A17F5C">
        <w:rPr>
          <w:rFonts w:ascii="Times New Roman" w:hAnsi="Times New Roman"/>
          <w:b/>
          <w:sz w:val="28"/>
          <w:szCs w:val="28"/>
        </w:rPr>
        <w:t xml:space="preserve">173 </w:t>
      </w:r>
      <w:r w:rsidRPr="00A17F5C">
        <w:rPr>
          <w:rFonts w:ascii="Times New Roman" w:hAnsi="Times New Roman"/>
          <w:sz w:val="28"/>
          <w:szCs w:val="28"/>
        </w:rPr>
        <w:t>броя са отменени, което се дължи преимуществено на произнасяне от прокурорите при непълнота на проверката и неизяснена фактическа обстановка.</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Продължава да е налице обстоятелството, че немалка част от преписките, приключващи с отказ да се образува досъдебно производство, </w:t>
      </w:r>
      <w:r w:rsidRPr="00A17F5C">
        <w:rPr>
          <w:rFonts w:ascii="Times New Roman" w:hAnsi="Times New Roman"/>
          <w:sz w:val="28"/>
          <w:szCs w:val="28"/>
        </w:rPr>
        <w:lastRenderedPageBreak/>
        <w:t>се отнасят до частни правоотношения. Спецификите на тези обществени отношения изключват намесата на прокуратурата за осъществяването на контрол във връзка и с оглед на гражданско-правни спорове чрез инструментите на наказателното право и процес.</w:t>
      </w:r>
    </w:p>
    <w:p w:rsidR="00A17F5C" w:rsidRPr="00A17F5C" w:rsidRDefault="00A17F5C" w:rsidP="004D24A1">
      <w:pPr>
        <w:ind w:firstLine="708"/>
        <w:jc w:val="both"/>
        <w:rPr>
          <w:rFonts w:ascii="Times New Roman" w:hAnsi="Times New Roman"/>
          <w:b/>
          <w:color w:val="000000"/>
          <w:sz w:val="28"/>
          <w:szCs w:val="28"/>
        </w:rPr>
      </w:pPr>
      <w:r w:rsidRPr="00A17F5C">
        <w:rPr>
          <w:rFonts w:ascii="Times New Roman" w:hAnsi="Times New Roman"/>
          <w:b/>
          <w:color w:val="000000"/>
          <w:sz w:val="28"/>
          <w:szCs w:val="28"/>
        </w:rPr>
        <w:t>Преписки, образувани след самосезиране и по сигнали на контролните органи и материали на ДАНС.</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отчетния период в Софийска градска прокуратура и Софийска районна прокуратура са наблюдавани общо </w:t>
      </w:r>
      <w:r w:rsidRPr="00A17F5C">
        <w:rPr>
          <w:rFonts w:ascii="Times New Roman" w:hAnsi="Times New Roman"/>
          <w:b/>
          <w:sz w:val="28"/>
          <w:szCs w:val="28"/>
        </w:rPr>
        <w:t xml:space="preserve">35 </w:t>
      </w:r>
      <w:r w:rsidRPr="00A17F5C">
        <w:rPr>
          <w:rFonts w:ascii="Times New Roman" w:hAnsi="Times New Roman"/>
          <w:sz w:val="28"/>
          <w:szCs w:val="28"/>
        </w:rPr>
        <w:t xml:space="preserve">броя преписки, образувани след самосезиране /за периода на 2020 г. те са били общо 28 броя, а през 2019 г. – 7 броя/, като  </w:t>
      </w:r>
      <w:r w:rsidRPr="00A17F5C">
        <w:rPr>
          <w:rFonts w:ascii="Times New Roman" w:hAnsi="Times New Roman"/>
          <w:b/>
          <w:sz w:val="28"/>
          <w:szCs w:val="28"/>
        </w:rPr>
        <w:t>15</w:t>
      </w:r>
      <w:r w:rsidRPr="00A17F5C">
        <w:rPr>
          <w:rFonts w:ascii="Times New Roman" w:hAnsi="Times New Roman"/>
          <w:sz w:val="28"/>
          <w:szCs w:val="28"/>
        </w:rPr>
        <w:t xml:space="preserve"> броя са образувани в Софийска районна прокуратура, а </w:t>
      </w:r>
      <w:r w:rsidRPr="00A17F5C">
        <w:rPr>
          <w:rFonts w:ascii="Times New Roman" w:hAnsi="Times New Roman"/>
          <w:b/>
          <w:sz w:val="28"/>
          <w:szCs w:val="28"/>
        </w:rPr>
        <w:t>20</w:t>
      </w:r>
      <w:r w:rsidRPr="00A17F5C">
        <w:rPr>
          <w:rFonts w:ascii="Times New Roman" w:hAnsi="Times New Roman"/>
          <w:sz w:val="28"/>
          <w:szCs w:val="28"/>
        </w:rPr>
        <w:t xml:space="preserve"> броя в Софийска градска прокуратура. Решени  с постановление за образуване на досъдебно производство преписки са общо </w:t>
      </w:r>
      <w:r w:rsidRPr="00A17F5C">
        <w:rPr>
          <w:rFonts w:ascii="Times New Roman" w:hAnsi="Times New Roman"/>
          <w:b/>
          <w:sz w:val="28"/>
          <w:szCs w:val="28"/>
        </w:rPr>
        <w:t>12</w:t>
      </w:r>
      <w:r w:rsidRPr="00A17F5C">
        <w:rPr>
          <w:rFonts w:ascii="Times New Roman" w:hAnsi="Times New Roman"/>
          <w:sz w:val="28"/>
          <w:szCs w:val="28"/>
        </w:rPr>
        <w:t xml:space="preserve"> броя - в СРП са </w:t>
      </w:r>
      <w:r w:rsidRPr="00A17F5C">
        <w:rPr>
          <w:rFonts w:ascii="Times New Roman" w:hAnsi="Times New Roman"/>
          <w:b/>
          <w:sz w:val="28"/>
          <w:szCs w:val="28"/>
        </w:rPr>
        <w:t xml:space="preserve">5 </w:t>
      </w:r>
      <w:r w:rsidRPr="00A17F5C">
        <w:rPr>
          <w:rFonts w:ascii="Times New Roman" w:hAnsi="Times New Roman"/>
          <w:sz w:val="28"/>
          <w:szCs w:val="28"/>
        </w:rPr>
        <w:t>броя, а в СГП</w:t>
      </w:r>
      <w:r w:rsidRPr="00A17F5C">
        <w:rPr>
          <w:rFonts w:ascii="Times New Roman" w:hAnsi="Times New Roman"/>
          <w:b/>
          <w:sz w:val="28"/>
          <w:szCs w:val="28"/>
        </w:rPr>
        <w:t xml:space="preserve"> 7</w:t>
      </w:r>
      <w:r w:rsidRPr="00A17F5C">
        <w:rPr>
          <w:rFonts w:ascii="Times New Roman" w:hAnsi="Times New Roman"/>
          <w:sz w:val="28"/>
          <w:szCs w:val="28"/>
        </w:rPr>
        <w:t xml:space="preserve"> броя /за 2020 г. са 15 броя, а за 2019 г. – 1 брой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Наблюдавани досъдебни производства, образувани след самосезиране са </w:t>
      </w:r>
      <w:r w:rsidRPr="00A17F5C">
        <w:rPr>
          <w:rFonts w:ascii="Times New Roman" w:hAnsi="Times New Roman"/>
          <w:b/>
          <w:sz w:val="28"/>
          <w:szCs w:val="28"/>
        </w:rPr>
        <w:t xml:space="preserve">23 </w:t>
      </w:r>
      <w:r w:rsidRPr="00A17F5C">
        <w:rPr>
          <w:rFonts w:ascii="Times New Roman" w:hAnsi="Times New Roman"/>
          <w:sz w:val="28"/>
          <w:szCs w:val="28"/>
        </w:rPr>
        <w:t>броя /за периода на 2020 г. – 16</w:t>
      </w:r>
      <w:r w:rsidRPr="00A17F5C">
        <w:rPr>
          <w:rFonts w:ascii="Times New Roman" w:hAnsi="Times New Roman"/>
          <w:b/>
          <w:sz w:val="28"/>
          <w:szCs w:val="28"/>
        </w:rPr>
        <w:t xml:space="preserve"> </w:t>
      </w:r>
      <w:r w:rsidRPr="00A17F5C">
        <w:rPr>
          <w:rFonts w:ascii="Times New Roman" w:hAnsi="Times New Roman"/>
          <w:sz w:val="28"/>
          <w:szCs w:val="28"/>
        </w:rPr>
        <w:t>броя, а 2019 г. – 7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Образувани по сигнали на контролните органи общо наблюдавани са </w:t>
      </w:r>
      <w:r w:rsidRPr="00A17F5C">
        <w:rPr>
          <w:rFonts w:ascii="Times New Roman" w:hAnsi="Times New Roman"/>
          <w:b/>
          <w:sz w:val="28"/>
          <w:szCs w:val="28"/>
        </w:rPr>
        <w:t>569</w:t>
      </w:r>
      <w:r w:rsidRPr="00A17F5C">
        <w:rPr>
          <w:rFonts w:ascii="Times New Roman" w:hAnsi="Times New Roman"/>
          <w:sz w:val="28"/>
          <w:szCs w:val="28"/>
        </w:rPr>
        <w:t xml:space="preserve"> преписки /за 2020 г. – 585 броя, а за 2019 г. – 738 броя/, от които решени с постановление за образуване на досъдебно производство са </w:t>
      </w:r>
      <w:r w:rsidRPr="00A17F5C">
        <w:rPr>
          <w:rFonts w:ascii="Times New Roman" w:hAnsi="Times New Roman"/>
          <w:b/>
          <w:sz w:val="28"/>
          <w:szCs w:val="28"/>
        </w:rPr>
        <w:t>300</w:t>
      </w:r>
      <w:r w:rsidRPr="00A17F5C">
        <w:rPr>
          <w:rFonts w:ascii="Times New Roman" w:hAnsi="Times New Roman"/>
          <w:sz w:val="28"/>
          <w:szCs w:val="28"/>
        </w:rPr>
        <w:t xml:space="preserve"> броя /през 2020 г. – 346 броя, а за 2019 г. – 324 броя /; наблюдаваните досъдебни производства са </w:t>
      </w:r>
      <w:r w:rsidRPr="00A17F5C">
        <w:rPr>
          <w:rFonts w:ascii="Times New Roman" w:hAnsi="Times New Roman"/>
          <w:b/>
          <w:sz w:val="28"/>
          <w:szCs w:val="28"/>
        </w:rPr>
        <w:t>1190</w:t>
      </w:r>
      <w:r w:rsidRPr="00A17F5C">
        <w:rPr>
          <w:rFonts w:ascii="Times New Roman" w:hAnsi="Times New Roman"/>
          <w:sz w:val="28"/>
          <w:szCs w:val="28"/>
        </w:rPr>
        <w:t xml:space="preserve"> броя /за периода на 2020 г. – 1140 броя, а за 2019 г. – 1153 броя/, от тях внесени в съда с прокурорски акт са </w:t>
      </w:r>
      <w:r w:rsidRPr="00A17F5C">
        <w:rPr>
          <w:rFonts w:ascii="Times New Roman" w:hAnsi="Times New Roman"/>
          <w:b/>
          <w:sz w:val="28"/>
          <w:szCs w:val="28"/>
        </w:rPr>
        <w:t>27</w:t>
      </w:r>
      <w:r w:rsidRPr="00A17F5C">
        <w:rPr>
          <w:rFonts w:ascii="Times New Roman" w:hAnsi="Times New Roman"/>
          <w:sz w:val="28"/>
          <w:szCs w:val="28"/>
        </w:rPr>
        <w:t xml:space="preserve"> броя /за 2020 г. –29 броя, а за 2019 г. – 19 броя/, а по отношение на </w:t>
      </w:r>
      <w:r w:rsidRPr="00A17F5C">
        <w:rPr>
          <w:rFonts w:ascii="Times New Roman" w:hAnsi="Times New Roman"/>
          <w:b/>
          <w:sz w:val="28"/>
          <w:szCs w:val="28"/>
        </w:rPr>
        <w:t>11</w:t>
      </w:r>
      <w:r w:rsidRPr="00A17F5C">
        <w:rPr>
          <w:rFonts w:ascii="Times New Roman" w:hAnsi="Times New Roman"/>
          <w:sz w:val="28"/>
          <w:szCs w:val="28"/>
        </w:rPr>
        <w:t xml:space="preserve"> броя осъдени лица е налице влязъл в сила съдебен акт /за 2020 г. – 15 лица, а за 2019 г. – 8 лица/.</w:t>
      </w:r>
    </w:p>
    <w:p w:rsidR="00A17F5C" w:rsidRPr="00A17F5C" w:rsidRDefault="00A17F5C" w:rsidP="004D24A1">
      <w:pPr>
        <w:ind w:firstLine="360"/>
        <w:jc w:val="both"/>
        <w:rPr>
          <w:rFonts w:ascii="Times New Roman" w:hAnsi="Times New Roman"/>
          <w:sz w:val="28"/>
          <w:szCs w:val="28"/>
        </w:rPr>
      </w:pPr>
      <w:r w:rsidRPr="00A17F5C">
        <w:rPr>
          <w:rFonts w:ascii="Times New Roman" w:hAnsi="Times New Roman"/>
          <w:sz w:val="28"/>
          <w:szCs w:val="28"/>
        </w:rPr>
        <w:t>От горепосочения общ брой наблюдавани преписки и досъдебни производства, образувани по сигнали на контролни органи са както следва:</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сигнал на Сметна палата няма образувани и наблюдавани преписки в СГП /като за 2020 г. са 1 брой, а за 2019 г. – 8 броя/,  </w:t>
      </w:r>
      <w:r w:rsidRPr="00A17F5C">
        <w:rPr>
          <w:rFonts w:ascii="Times New Roman" w:hAnsi="Times New Roman"/>
          <w:b/>
          <w:sz w:val="28"/>
          <w:szCs w:val="28"/>
        </w:rPr>
        <w:t xml:space="preserve">няма </w:t>
      </w:r>
      <w:r w:rsidRPr="00A17F5C">
        <w:rPr>
          <w:rFonts w:ascii="Times New Roman" w:hAnsi="Times New Roman"/>
          <w:sz w:val="28"/>
          <w:szCs w:val="28"/>
        </w:rPr>
        <w:t xml:space="preserve">преписки, решени с постановление за образуване на досъдебно производство /за 2020 г. няма преписки, решени с постановление за образуване на досъдебно производство, а за 2019 г. – 7бр./. За 2021 г. </w:t>
      </w:r>
      <w:r w:rsidRPr="00A17F5C">
        <w:rPr>
          <w:rFonts w:ascii="Times New Roman" w:hAnsi="Times New Roman"/>
          <w:b/>
          <w:sz w:val="28"/>
          <w:szCs w:val="28"/>
        </w:rPr>
        <w:t xml:space="preserve">няма </w:t>
      </w:r>
      <w:r w:rsidRPr="00A17F5C">
        <w:rPr>
          <w:rFonts w:ascii="Times New Roman" w:hAnsi="Times New Roman"/>
          <w:sz w:val="28"/>
          <w:szCs w:val="28"/>
        </w:rPr>
        <w:t>наблюдавани досъдебни производства, н</w:t>
      </w:r>
      <w:r w:rsidRPr="00A17F5C">
        <w:rPr>
          <w:rFonts w:ascii="Times New Roman" w:hAnsi="Times New Roman"/>
          <w:b/>
          <w:sz w:val="28"/>
          <w:szCs w:val="28"/>
        </w:rPr>
        <w:t>яма</w:t>
      </w:r>
      <w:r w:rsidRPr="00A17F5C">
        <w:rPr>
          <w:rFonts w:ascii="Times New Roman" w:hAnsi="Times New Roman"/>
          <w:sz w:val="28"/>
          <w:szCs w:val="28"/>
        </w:rPr>
        <w:t xml:space="preserve"> внесени прокурорски актове в съда и </w:t>
      </w:r>
      <w:r w:rsidRPr="00A17F5C">
        <w:rPr>
          <w:rFonts w:ascii="Times New Roman" w:hAnsi="Times New Roman"/>
          <w:b/>
          <w:sz w:val="28"/>
          <w:szCs w:val="28"/>
        </w:rPr>
        <w:t>няма</w:t>
      </w:r>
      <w:r w:rsidRPr="00A17F5C">
        <w:rPr>
          <w:rFonts w:ascii="Times New Roman" w:hAnsi="Times New Roman"/>
          <w:sz w:val="28"/>
          <w:szCs w:val="28"/>
        </w:rPr>
        <w:t xml:space="preserve"> осъдени лица с влязъл в сила съдебен акт.</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сигнал на Национална агенция по приходите са образувани и наблюдавани </w:t>
      </w:r>
      <w:r w:rsidRPr="00A17F5C">
        <w:rPr>
          <w:rFonts w:ascii="Times New Roman" w:hAnsi="Times New Roman"/>
          <w:b/>
          <w:sz w:val="28"/>
          <w:szCs w:val="28"/>
        </w:rPr>
        <w:t>542</w:t>
      </w:r>
      <w:r w:rsidRPr="00A17F5C">
        <w:rPr>
          <w:rFonts w:ascii="Times New Roman" w:hAnsi="Times New Roman"/>
          <w:sz w:val="28"/>
          <w:szCs w:val="28"/>
        </w:rPr>
        <w:t xml:space="preserve"> броя преписки /55 броя в СГП и 487 броя в СРП/, от </w:t>
      </w:r>
      <w:r w:rsidRPr="00A17F5C">
        <w:rPr>
          <w:rFonts w:ascii="Times New Roman" w:hAnsi="Times New Roman"/>
          <w:sz w:val="28"/>
          <w:szCs w:val="28"/>
        </w:rPr>
        <w:lastRenderedPageBreak/>
        <w:t xml:space="preserve">които решени с постановление за образуване на досъдебно производство – </w:t>
      </w:r>
      <w:r w:rsidRPr="00A17F5C">
        <w:rPr>
          <w:rFonts w:ascii="Times New Roman" w:hAnsi="Times New Roman"/>
          <w:b/>
          <w:sz w:val="28"/>
          <w:szCs w:val="28"/>
        </w:rPr>
        <w:t>294</w:t>
      </w:r>
      <w:r w:rsidRPr="00A17F5C">
        <w:rPr>
          <w:rFonts w:ascii="Times New Roman" w:hAnsi="Times New Roman"/>
          <w:sz w:val="28"/>
          <w:szCs w:val="28"/>
        </w:rPr>
        <w:t xml:space="preserve"> броя /26 броя в СГП и 268 броя в СРП/. Наблюдаваните досъдебни производства са </w:t>
      </w:r>
      <w:r w:rsidRPr="00A17F5C">
        <w:rPr>
          <w:rFonts w:ascii="Times New Roman" w:hAnsi="Times New Roman"/>
          <w:b/>
          <w:sz w:val="28"/>
          <w:szCs w:val="28"/>
        </w:rPr>
        <w:t>1091</w:t>
      </w:r>
      <w:r w:rsidRPr="00A17F5C">
        <w:rPr>
          <w:rFonts w:ascii="Times New Roman" w:hAnsi="Times New Roman"/>
          <w:sz w:val="28"/>
          <w:szCs w:val="28"/>
        </w:rPr>
        <w:t xml:space="preserve"> броя /от тях 333 броя в СГП и 758 броя в СРП/. СГП е внесла </w:t>
      </w:r>
      <w:r w:rsidRPr="00A17F5C">
        <w:rPr>
          <w:rFonts w:ascii="Times New Roman" w:hAnsi="Times New Roman"/>
          <w:b/>
          <w:sz w:val="28"/>
          <w:szCs w:val="28"/>
        </w:rPr>
        <w:t>11</w:t>
      </w:r>
      <w:r w:rsidRPr="00A17F5C">
        <w:rPr>
          <w:rFonts w:ascii="Times New Roman" w:hAnsi="Times New Roman"/>
          <w:sz w:val="28"/>
          <w:szCs w:val="28"/>
        </w:rPr>
        <w:t xml:space="preserve"> броя прокурорски акт в съда, СРП е внесла </w:t>
      </w:r>
      <w:r w:rsidRPr="00A17F5C">
        <w:rPr>
          <w:rFonts w:ascii="Times New Roman" w:hAnsi="Times New Roman"/>
          <w:b/>
          <w:sz w:val="28"/>
          <w:szCs w:val="28"/>
        </w:rPr>
        <w:t>10</w:t>
      </w:r>
      <w:r w:rsidRPr="00A17F5C">
        <w:rPr>
          <w:rFonts w:ascii="Times New Roman" w:hAnsi="Times New Roman"/>
          <w:sz w:val="28"/>
          <w:szCs w:val="28"/>
        </w:rPr>
        <w:t xml:space="preserve"> броя прокурорски актове в съда, като </w:t>
      </w:r>
      <w:r w:rsidRPr="00A17F5C">
        <w:rPr>
          <w:rFonts w:ascii="Times New Roman" w:hAnsi="Times New Roman"/>
          <w:b/>
          <w:sz w:val="28"/>
          <w:szCs w:val="28"/>
        </w:rPr>
        <w:t>3</w:t>
      </w:r>
      <w:r w:rsidRPr="00A17F5C">
        <w:rPr>
          <w:rFonts w:ascii="Times New Roman" w:hAnsi="Times New Roman"/>
          <w:sz w:val="28"/>
          <w:szCs w:val="28"/>
        </w:rPr>
        <w:t xml:space="preserve"> броя са осъдени лица с влязъл в сила съдебен акт в СРП и </w:t>
      </w:r>
      <w:r w:rsidRPr="00A17F5C">
        <w:rPr>
          <w:rFonts w:ascii="Times New Roman" w:hAnsi="Times New Roman"/>
          <w:b/>
          <w:sz w:val="28"/>
          <w:szCs w:val="28"/>
        </w:rPr>
        <w:t xml:space="preserve">1 </w:t>
      </w:r>
      <w:r w:rsidRPr="00A17F5C">
        <w:rPr>
          <w:rFonts w:ascii="Times New Roman" w:hAnsi="Times New Roman"/>
          <w:sz w:val="28"/>
          <w:szCs w:val="28"/>
        </w:rPr>
        <w:t>броя са осъдени лица с влязъл в сила съдебен акт в СГП.</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сигнал на Агенция за държавна и финансова инспекция са образувани и наблюдавани </w:t>
      </w:r>
      <w:r w:rsidRPr="00A17F5C">
        <w:rPr>
          <w:rFonts w:ascii="Times New Roman" w:hAnsi="Times New Roman"/>
          <w:b/>
          <w:sz w:val="28"/>
          <w:szCs w:val="28"/>
        </w:rPr>
        <w:t>9</w:t>
      </w:r>
      <w:r w:rsidRPr="00A17F5C">
        <w:rPr>
          <w:rFonts w:ascii="Times New Roman" w:hAnsi="Times New Roman"/>
          <w:sz w:val="28"/>
          <w:szCs w:val="28"/>
        </w:rPr>
        <w:t xml:space="preserve"> брой преписки</w:t>
      </w:r>
      <w:r w:rsidRPr="00A17F5C">
        <w:rPr>
          <w:rFonts w:ascii="Times New Roman" w:hAnsi="Times New Roman"/>
          <w:sz w:val="28"/>
          <w:szCs w:val="28"/>
          <w:lang w:val="en-US"/>
        </w:rPr>
        <w:t xml:space="preserve"> </w:t>
      </w:r>
      <w:r w:rsidRPr="00A17F5C">
        <w:rPr>
          <w:rFonts w:ascii="Times New Roman" w:hAnsi="Times New Roman"/>
          <w:sz w:val="28"/>
          <w:szCs w:val="28"/>
        </w:rPr>
        <w:t>- 5 преписка в СГП и 4 преписки в СРП, от които няма такива</w:t>
      </w:r>
      <w:r w:rsidRPr="00A17F5C">
        <w:rPr>
          <w:rFonts w:ascii="Times New Roman" w:hAnsi="Times New Roman"/>
          <w:b/>
          <w:sz w:val="28"/>
          <w:szCs w:val="28"/>
        </w:rPr>
        <w:t xml:space="preserve"> </w:t>
      </w:r>
      <w:r w:rsidRPr="00A17F5C">
        <w:rPr>
          <w:rFonts w:ascii="Times New Roman" w:hAnsi="Times New Roman"/>
          <w:sz w:val="28"/>
          <w:szCs w:val="28"/>
        </w:rPr>
        <w:t xml:space="preserve">решени с постановление за образуване на досъдебно производство. Наблюдаваните досъдебни производства са </w:t>
      </w:r>
      <w:r w:rsidRPr="00A17F5C">
        <w:rPr>
          <w:rFonts w:ascii="Times New Roman" w:hAnsi="Times New Roman"/>
          <w:b/>
          <w:sz w:val="28"/>
          <w:szCs w:val="28"/>
        </w:rPr>
        <w:t xml:space="preserve">4 </w:t>
      </w:r>
      <w:r w:rsidRPr="00A17F5C">
        <w:rPr>
          <w:rFonts w:ascii="Times New Roman" w:hAnsi="Times New Roman"/>
          <w:sz w:val="28"/>
          <w:szCs w:val="28"/>
        </w:rPr>
        <w:t>броя / 2 броя в СГП и</w:t>
      </w:r>
      <w:r w:rsidRPr="00A17F5C">
        <w:rPr>
          <w:rFonts w:ascii="Times New Roman" w:hAnsi="Times New Roman"/>
          <w:b/>
          <w:sz w:val="28"/>
          <w:szCs w:val="28"/>
        </w:rPr>
        <w:t xml:space="preserve"> </w:t>
      </w:r>
      <w:r w:rsidRPr="00A17F5C">
        <w:rPr>
          <w:rFonts w:ascii="Times New Roman" w:hAnsi="Times New Roman"/>
          <w:sz w:val="28"/>
          <w:szCs w:val="28"/>
        </w:rPr>
        <w:t>2 броя в СРП/, от които няма прокурорски актове внесени в съда.</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сигнал на Дирекция за национален строителен контрол </w:t>
      </w:r>
      <w:r w:rsidRPr="00A17F5C">
        <w:rPr>
          <w:rFonts w:ascii="Times New Roman" w:hAnsi="Times New Roman"/>
          <w:b/>
          <w:sz w:val="28"/>
          <w:szCs w:val="28"/>
        </w:rPr>
        <w:t>няма</w:t>
      </w:r>
      <w:r w:rsidRPr="00A17F5C">
        <w:rPr>
          <w:rFonts w:ascii="Times New Roman" w:hAnsi="Times New Roman"/>
          <w:sz w:val="28"/>
          <w:szCs w:val="28"/>
        </w:rPr>
        <w:t xml:space="preserve"> образувани и наблюдавани преписки и досъдебни производства.</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сигнал на Агенция за следприватизационен контрол </w:t>
      </w:r>
      <w:r w:rsidRPr="00A17F5C">
        <w:rPr>
          <w:rFonts w:ascii="Times New Roman" w:hAnsi="Times New Roman"/>
          <w:b/>
          <w:sz w:val="28"/>
          <w:szCs w:val="28"/>
        </w:rPr>
        <w:t>няма</w:t>
      </w:r>
      <w:r w:rsidRPr="00A17F5C">
        <w:rPr>
          <w:rFonts w:ascii="Times New Roman" w:hAnsi="Times New Roman"/>
          <w:sz w:val="28"/>
          <w:szCs w:val="28"/>
        </w:rPr>
        <w:t xml:space="preserve"> образувани и наблюдавани преписки и досъдебни производства. </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сигнал на Агенция „Митници“ са образувани и наблюдавани </w:t>
      </w:r>
      <w:r w:rsidRPr="00A17F5C">
        <w:rPr>
          <w:rFonts w:ascii="Times New Roman" w:hAnsi="Times New Roman"/>
          <w:b/>
          <w:sz w:val="28"/>
          <w:szCs w:val="28"/>
        </w:rPr>
        <w:t xml:space="preserve">18 </w:t>
      </w:r>
      <w:r w:rsidRPr="00A17F5C">
        <w:rPr>
          <w:rFonts w:ascii="Times New Roman" w:hAnsi="Times New Roman"/>
          <w:sz w:val="28"/>
          <w:szCs w:val="28"/>
        </w:rPr>
        <w:t xml:space="preserve">броя преписки /18 броя в СГП/, от които решени с постановление за образуване на досъдебно производство – </w:t>
      </w:r>
      <w:r w:rsidRPr="00A17F5C">
        <w:rPr>
          <w:rFonts w:ascii="Times New Roman" w:hAnsi="Times New Roman"/>
          <w:b/>
          <w:sz w:val="28"/>
          <w:szCs w:val="28"/>
        </w:rPr>
        <w:t>6</w:t>
      </w:r>
      <w:r w:rsidRPr="00A17F5C">
        <w:rPr>
          <w:rFonts w:ascii="Times New Roman" w:hAnsi="Times New Roman"/>
          <w:sz w:val="28"/>
          <w:szCs w:val="28"/>
        </w:rPr>
        <w:t xml:space="preserve"> броя /6 броя от СГП/. Наблюдаваните досъдебни производства са</w:t>
      </w:r>
      <w:r w:rsidRPr="00A17F5C">
        <w:rPr>
          <w:rFonts w:ascii="Times New Roman" w:hAnsi="Times New Roman"/>
          <w:b/>
          <w:sz w:val="28"/>
          <w:szCs w:val="28"/>
        </w:rPr>
        <w:t xml:space="preserve"> 95</w:t>
      </w:r>
      <w:r w:rsidRPr="00A17F5C">
        <w:rPr>
          <w:rFonts w:ascii="Times New Roman" w:hAnsi="Times New Roman"/>
          <w:sz w:val="28"/>
          <w:szCs w:val="28"/>
        </w:rPr>
        <w:t xml:space="preserve"> броя /71 броя от СГП и 24 броя от СРП/, от които с внесени прокурорски актове в съда – </w:t>
      </w:r>
      <w:r w:rsidRPr="00A17F5C">
        <w:rPr>
          <w:rFonts w:ascii="Times New Roman" w:hAnsi="Times New Roman"/>
          <w:b/>
          <w:sz w:val="28"/>
          <w:szCs w:val="28"/>
        </w:rPr>
        <w:t>6</w:t>
      </w:r>
      <w:r w:rsidRPr="00A17F5C">
        <w:rPr>
          <w:rFonts w:ascii="Times New Roman" w:hAnsi="Times New Roman"/>
          <w:sz w:val="28"/>
          <w:szCs w:val="28"/>
        </w:rPr>
        <w:t xml:space="preserve"> броя /2 броя от СГП и 4 брой от СРП/. По внесените актове в съда по отношение на </w:t>
      </w:r>
      <w:r w:rsidRPr="00A17F5C">
        <w:rPr>
          <w:rFonts w:ascii="Times New Roman" w:hAnsi="Times New Roman"/>
          <w:b/>
          <w:sz w:val="28"/>
          <w:szCs w:val="28"/>
        </w:rPr>
        <w:t>7</w:t>
      </w:r>
      <w:r w:rsidRPr="00A17F5C">
        <w:rPr>
          <w:rFonts w:ascii="Times New Roman" w:hAnsi="Times New Roman"/>
          <w:sz w:val="28"/>
          <w:szCs w:val="28"/>
        </w:rPr>
        <w:t xml:space="preserve"> осъдени лица е налице влязъл в сила съдебен акт /1брой от СГП и 6 броя от СРП/.</w:t>
      </w:r>
    </w:p>
    <w:p w:rsidR="00A17F5C" w:rsidRPr="00A17F5C" w:rsidRDefault="00A17F5C" w:rsidP="004D24A1">
      <w:pPr>
        <w:numPr>
          <w:ilvl w:val="0"/>
          <w:numId w:val="2"/>
        </w:numPr>
        <w:jc w:val="both"/>
        <w:rPr>
          <w:rFonts w:ascii="Times New Roman" w:hAnsi="Times New Roman"/>
          <w:color w:val="000000"/>
          <w:sz w:val="28"/>
          <w:szCs w:val="28"/>
          <w:lang w:val="en-US"/>
        </w:rPr>
      </w:pPr>
      <w:r w:rsidRPr="00A17F5C">
        <w:rPr>
          <w:rFonts w:ascii="Times New Roman" w:hAnsi="Times New Roman"/>
          <w:color w:val="000000"/>
          <w:sz w:val="28"/>
          <w:szCs w:val="28"/>
        </w:rPr>
        <w:t>з</w:t>
      </w:r>
      <w:r w:rsidRPr="00A17F5C">
        <w:rPr>
          <w:rFonts w:ascii="Times New Roman" w:hAnsi="Times New Roman"/>
          <w:color w:val="000000"/>
          <w:sz w:val="28"/>
          <w:szCs w:val="28"/>
          <w:lang w:val="en-US"/>
        </w:rPr>
        <w:t xml:space="preserve">а отчетния период образувани по материали на ДАНС в СГП са общо </w:t>
      </w:r>
      <w:r w:rsidRPr="00A17F5C">
        <w:rPr>
          <w:rFonts w:ascii="Times New Roman" w:hAnsi="Times New Roman"/>
          <w:b/>
          <w:color w:val="000000"/>
          <w:sz w:val="28"/>
          <w:szCs w:val="28"/>
        </w:rPr>
        <w:t>32</w:t>
      </w:r>
      <w:r w:rsidRPr="00A17F5C">
        <w:rPr>
          <w:rFonts w:ascii="Times New Roman" w:hAnsi="Times New Roman"/>
          <w:color w:val="000000"/>
          <w:sz w:val="28"/>
          <w:szCs w:val="28"/>
          <w:lang w:val="en-US"/>
        </w:rPr>
        <w:t xml:space="preserve"> броя наблюдавани преписки, от които решени с постановление за образуване на ДП са </w:t>
      </w:r>
      <w:r w:rsidRPr="00A17F5C">
        <w:rPr>
          <w:rFonts w:ascii="Times New Roman" w:hAnsi="Times New Roman"/>
          <w:b/>
          <w:color w:val="000000"/>
          <w:sz w:val="28"/>
          <w:szCs w:val="28"/>
        </w:rPr>
        <w:t>5</w:t>
      </w:r>
      <w:r w:rsidRPr="00A17F5C">
        <w:rPr>
          <w:rFonts w:ascii="Times New Roman" w:hAnsi="Times New Roman"/>
          <w:color w:val="000000"/>
          <w:sz w:val="28"/>
          <w:szCs w:val="28"/>
          <w:lang w:val="en-US"/>
        </w:rPr>
        <w:t xml:space="preserve"> броя, наблюдавани досъдебни производства – </w:t>
      </w:r>
      <w:r w:rsidRPr="00A17F5C">
        <w:rPr>
          <w:rFonts w:ascii="Times New Roman" w:hAnsi="Times New Roman"/>
          <w:b/>
          <w:color w:val="000000"/>
          <w:sz w:val="28"/>
          <w:szCs w:val="28"/>
        </w:rPr>
        <w:t>53</w:t>
      </w:r>
      <w:r w:rsidRPr="00A17F5C">
        <w:rPr>
          <w:rFonts w:ascii="Times New Roman" w:hAnsi="Times New Roman"/>
          <w:color w:val="000000"/>
          <w:sz w:val="28"/>
          <w:szCs w:val="28"/>
          <w:lang w:val="en-US"/>
        </w:rPr>
        <w:t xml:space="preserve"> броя, </w:t>
      </w:r>
      <w:r w:rsidRPr="00A17F5C">
        <w:rPr>
          <w:rFonts w:ascii="Times New Roman" w:hAnsi="Times New Roman"/>
          <w:color w:val="000000"/>
          <w:sz w:val="28"/>
          <w:szCs w:val="28"/>
        </w:rPr>
        <w:t>прокурорски актвове,</w:t>
      </w:r>
      <w:r w:rsidRPr="00A17F5C">
        <w:rPr>
          <w:rFonts w:ascii="Times New Roman" w:hAnsi="Times New Roman"/>
          <w:color w:val="000000"/>
          <w:sz w:val="28"/>
          <w:szCs w:val="28"/>
          <w:lang w:val="en-US"/>
        </w:rPr>
        <w:t xml:space="preserve"> внесен</w:t>
      </w:r>
      <w:r w:rsidRPr="00A17F5C">
        <w:rPr>
          <w:rFonts w:ascii="Times New Roman" w:hAnsi="Times New Roman"/>
          <w:color w:val="000000"/>
          <w:sz w:val="28"/>
          <w:szCs w:val="28"/>
        </w:rPr>
        <w:t>и</w:t>
      </w:r>
      <w:r w:rsidRPr="00A17F5C">
        <w:rPr>
          <w:rFonts w:ascii="Times New Roman" w:hAnsi="Times New Roman"/>
          <w:color w:val="000000"/>
          <w:sz w:val="28"/>
          <w:szCs w:val="28"/>
          <w:lang w:val="en-US"/>
        </w:rPr>
        <w:t xml:space="preserve"> в съда</w:t>
      </w:r>
      <w:r w:rsidRPr="00A17F5C">
        <w:rPr>
          <w:rFonts w:ascii="Times New Roman" w:hAnsi="Times New Roman"/>
          <w:color w:val="000000"/>
          <w:sz w:val="28"/>
          <w:szCs w:val="28"/>
        </w:rPr>
        <w:t xml:space="preserve"> – </w:t>
      </w:r>
      <w:r w:rsidRPr="00A17F5C">
        <w:rPr>
          <w:rFonts w:ascii="Times New Roman" w:hAnsi="Times New Roman"/>
          <w:b/>
          <w:color w:val="000000"/>
          <w:sz w:val="28"/>
          <w:szCs w:val="28"/>
        </w:rPr>
        <w:t>1</w:t>
      </w:r>
      <w:r w:rsidRPr="00A17F5C">
        <w:rPr>
          <w:rFonts w:ascii="Times New Roman" w:hAnsi="Times New Roman"/>
          <w:color w:val="000000"/>
          <w:sz w:val="28"/>
          <w:szCs w:val="28"/>
        </w:rPr>
        <w:t xml:space="preserve"> брой, осъдени лица с влязъл в сила съдебен акт – </w:t>
      </w:r>
      <w:r w:rsidRPr="00A17F5C">
        <w:rPr>
          <w:rFonts w:ascii="Times New Roman" w:hAnsi="Times New Roman"/>
          <w:b/>
          <w:color w:val="000000"/>
          <w:sz w:val="28"/>
          <w:szCs w:val="28"/>
        </w:rPr>
        <w:t>1</w:t>
      </w:r>
      <w:r w:rsidRPr="00A17F5C">
        <w:rPr>
          <w:rFonts w:ascii="Times New Roman" w:hAnsi="Times New Roman"/>
          <w:color w:val="000000"/>
          <w:sz w:val="28"/>
          <w:szCs w:val="28"/>
        </w:rPr>
        <w:t xml:space="preserve"> брой /1брой за СРП/</w:t>
      </w:r>
      <w:r w:rsidRPr="00A17F5C">
        <w:rPr>
          <w:rFonts w:ascii="Times New Roman" w:hAnsi="Times New Roman"/>
          <w:color w:val="000000"/>
          <w:sz w:val="28"/>
          <w:szCs w:val="28"/>
          <w:lang w:val="en-US"/>
        </w:rPr>
        <w:t>.</w:t>
      </w:r>
      <w:r w:rsidRPr="00A17F5C">
        <w:rPr>
          <w:rFonts w:ascii="Times New Roman" w:hAnsi="Times New Roman"/>
          <w:color w:val="000000"/>
          <w:sz w:val="28"/>
          <w:szCs w:val="28"/>
        </w:rPr>
        <w:t xml:space="preserve"> От общо наблюдаваните преписки </w:t>
      </w:r>
      <w:r w:rsidRPr="00A17F5C">
        <w:rPr>
          <w:rFonts w:ascii="Times New Roman" w:hAnsi="Times New Roman"/>
          <w:b/>
          <w:color w:val="000000"/>
          <w:sz w:val="28"/>
          <w:szCs w:val="28"/>
        </w:rPr>
        <w:t>16</w:t>
      </w:r>
      <w:r w:rsidRPr="00A17F5C">
        <w:rPr>
          <w:rFonts w:ascii="Times New Roman" w:hAnsi="Times New Roman"/>
          <w:color w:val="000000"/>
          <w:sz w:val="28"/>
          <w:szCs w:val="28"/>
        </w:rPr>
        <w:t xml:space="preserve"> броя са образувани по материали на Дирекция за финансово разузнаване при ДАНС, като </w:t>
      </w:r>
      <w:r w:rsidRPr="00A17F5C">
        <w:rPr>
          <w:rFonts w:ascii="Times New Roman" w:hAnsi="Times New Roman"/>
          <w:b/>
          <w:color w:val="000000"/>
          <w:sz w:val="28"/>
          <w:szCs w:val="28"/>
        </w:rPr>
        <w:t>2</w:t>
      </w:r>
      <w:r w:rsidRPr="00A17F5C">
        <w:rPr>
          <w:rFonts w:ascii="Times New Roman" w:hAnsi="Times New Roman"/>
          <w:color w:val="000000"/>
          <w:sz w:val="28"/>
          <w:szCs w:val="28"/>
        </w:rPr>
        <w:t xml:space="preserve"> броя са решени с образуване на досъдебно производство, наблюдавани ДП – </w:t>
      </w:r>
      <w:r w:rsidRPr="00A17F5C">
        <w:rPr>
          <w:rFonts w:ascii="Times New Roman" w:hAnsi="Times New Roman"/>
          <w:b/>
          <w:color w:val="000000"/>
          <w:sz w:val="28"/>
          <w:szCs w:val="28"/>
        </w:rPr>
        <w:t>22</w:t>
      </w:r>
      <w:r w:rsidRPr="00A17F5C">
        <w:rPr>
          <w:rFonts w:ascii="Times New Roman" w:hAnsi="Times New Roman"/>
          <w:color w:val="000000"/>
          <w:sz w:val="28"/>
          <w:szCs w:val="28"/>
        </w:rPr>
        <w:t xml:space="preserve"> броя,</w:t>
      </w:r>
      <w:r w:rsidRPr="00A17F5C">
        <w:rPr>
          <w:rFonts w:ascii="Times New Roman" w:hAnsi="Times New Roman"/>
          <w:b/>
          <w:color w:val="000000"/>
          <w:sz w:val="28"/>
          <w:szCs w:val="28"/>
        </w:rPr>
        <w:t xml:space="preserve"> няма</w:t>
      </w:r>
      <w:r w:rsidRPr="00A17F5C">
        <w:rPr>
          <w:rFonts w:ascii="Times New Roman" w:hAnsi="Times New Roman"/>
          <w:color w:val="000000"/>
          <w:sz w:val="28"/>
          <w:szCs w:val="28"/>
          <w:lang w:val="en-US"/>
        </w:rPr>
        <w:t xml:space="preserve"> внесен</w:t>
      </w:r>
      <w:r w:rsidRPr="00A17F5C">
        <w:rPr>
          <w:rFonts w:ascii="Times New Roman" w:hAnsi="Times New Roman"/>
          <w:color w:val="000000"/>
          <w:sz w:val="28"/>
          <w:szCs w:val="28"/>
        </w:rPr>
        <w:t>и</w:t>
      </w:r>
      <w:r w:rsidRPr="00A17F5C">
        <w:rPr>
          <w:rFonts w:ascii="Times New Roman" w:hAnsi="Times New Roman"/>
          <w:color w:val="000000"/>
          <w:sz w:val="28"/>
          <w:szCs w:val="28"/>
          <w:lang w:val="en-US"/>
        </w:rPr>
        <w:t xml:space="preserve"> в съда с прокурорски акт.</w:t>
      </w:r>
    </w:p>
    <w:p w:rsidR="00A17F5C" w:rsidRPr="00A17F5C" w:rsidRDefault="00A17F5C" w:rsidP="004D24A1">
      <w:pPr>
        <w:numPr>
          <w:ilvl w:val="0"/>
          <w:numId w:val="2"/>
        </w:numPr>
        <w:jc w:val="both"/>
        <w:rPr>
          <w:rFonts w:ascii="Times New Roman" w:hAnsi="Times New Roman"/>
          <w:sz w:val="28"/>
          <w:szCs w:val="28"/>
        </w:rPr>
      </w:pPr>
      <w:r w:rsidRPr="00A17F5C">
        <w:rPr>
          <w:rFonts w:ascii="Times New Roman" w:hAnsi="Times New Roman"/>
          <w:sz w:val="28"/>
          <w:szCs w:val="28"/>
        </w:rPr>
        <w:t xml:space="preserve">по материали на Дирекция „Вътрешна сигурност“ – МВР са образувани и наблюдавани общо </w:t>
      </w:r>
      <w:r w:rsidRPr="00A17F5C">
        <w:rPr>
          <w:rFonts w:ascii="Times New Roman" w:hAnsi="Times New Roman"/>
          <w:b/>
          <w:sz w:val="28"/>
          <w:szCs w:val="28"/>
        </w:rPr>
        <w:t xml:space="preserve">25 </w:t>
      </w:r>
      <w:r w:rsidRPr="00A17F5C">
        <w:rPr>
          <w:rFonts w:ascii="Times New Roman" w:hAnsi="Times New Roman"/>
          <w:sz w:val="28"/>
          <w:szCs w:val="28"/>
        </w:rPr>
        <w:t xml:space="preserve">броя преписки /10 броя в СГП и </w:t>
      </w:r>
      <w:r w:rsidRPr="00A17F5C">
        <w:rPr>
          <w:rFonts w:ascii="Times New Roman" w:hAnsi="Times New Roman"/>
          <w:sz w:val="28"/>
          <w:szCs w:val="28"/>
        </w:rPr>
        <w:lastRenderedPageBreak/>
        <w:t xml:space="preserve">15 броя в СРП/, от които решени с постановление за образуване на досъдебно производство – </w:t>
      </w:r>
      <w:r w:rsidRPr="00A17F5C">
        <w:rPr>
          <w:rFonts w:ascii="Times New Roman" w:hAnsi="Times New Roman"/>
          <w:b/>
          <w:sz w:val="28"/>
          <w:szCs w:val="28"/>
        </w:rPr>
        <w:t>7</w:t>
      </w:r>
      <w:r w:rsidRPr="00A17F5C">
        <w:rPr>
          <w:rFonts w:ascii="Times New Roman" w:hAnsi="Times New Roman"/>
          <w:sz w:val="28"/>
          <w:szCs w:val="28"/>
        </w:rPr>
        <w:t xml:space="preserve"> броя /5 броя от СГП и 2 броя от СРП/. Наблюдавани досъдебни производства </w:t>
      </w:r>
      <w:r w:rsidRPr="00A17F5C">
        <w:rPr>
          <w:rFonts w:ascii="Times New Roman" w:hAnsi="Times New Roman"/>
          <w:b/>
          <w:sz w:val="28"/>
          <w:szCs w:val="28"/>
        </w:rPr>
        <w:t>22</w:t>
      </w:r>
      <w:r w:rsidRPr="00A17F5C">
        <w:rPr>
          <w:rFonts w:ascii="Times New Roman" w:hAnsi="Times New Roman"/>
          <w:sz w:val="28"/>
          <w:szCs w:val="28"/>
        </w:rPr>
        <w:t xml:space="preserve"> броя /от тях 18 броя в СГП  и 4 брой в СРП/.Прокурорски актове внесени в съда –</w:t>
      </w:r>
      <w:r w:rsidRPr="00A17F5C">
        <w:rPr>
          <w:rFonts w:ascii="Times New Roman" w:hAnsi="Times New Roman"/>
          <w:b/>
          <w:sz w:val="28"/>
          <w:szCs w:val="28"/>
        </w:rPr>
        <w:t xml:space="preserve"> 2</w:t>
      </w:r>
      <w:r w:rsidRPr="00A17F5C">
        <w:rPr>
          <w:rFonts w:ascii="Times New Roman" w:hAnsi="Times New Roman"/>
          <w:sz w:val="28"/>
          <w:szCs w:val="28"/>
        </w:rPr>
        <w:t xml:space="preserve"> броя /1 брой за СГП и 1 брой за СРП/. Няма осъдени лица с влязъл в сила съдебен акт.</w:t>
      </w:r>
    </w:p>
    <w:p w:rsidR="00A17F5C" w:rsidRDefault="00A17F5C" w:rsidP="004D24A1">
      <w:pPr>
        <w:ind w:firstLine="360"/>
        <w:jc w:val="both"/>
        <w:rPr>
          <w:rFonts w:ascii="Times New Roman" w:hAnsi="Times New Roman"/>
          <w:color w:val="000000"/>
          <w:sz w:val="28"/>
          <w:szCs w:val="28"/>
        </w:rPr>
      </w:pPr>
      <w:r w:rsidRPr="00A17F5C">
        <w:rPr>
          <w:rFonts w:ascii="Times New Roman" w:hAnsi="Times New Roman"/>
          <w:color w:val="000000"/>
          <w:sz w:val="28"/>
          <w:szCs w:val="28"/>
        </w:rPr>
        <w:t>От всички изброени сигнали от контролни органи, по които са образувани и наблюдавани преписки, най – голяма активност се наблюдава от страна на Националната агенция по приходите, ДАНС,</w:t>
      </w:r>
      <w:r w:rsidRPr="00A17F5C">
        <w:rPr>
          <w:rFonts w:ascii="Times New Roman" w:hAnsi="Times New Roman"/>
          <w:sz w:val="28"/>
          <w:szCs w:val="28"/>
        </w:rPr>
        <w:t xml:space="preserve"> Дирекция „Вътрешна сигурност“ – МВР</w:t>
      </w:r>
      <w:r w:rsidRPr="00A17F5C">
        <w:rPr>
          <w:rFonts w:ascii="Times New Roman" w:hAnsi="Times New Roman"/>
          <w:color w:val="000000"/>
          <w:sz w:val="28"/>
          <w:szCs w:val="28"/>
        </w:rPr>
        <w:t xml:space="preserve">  и от Агенция „Митници“.</w:t>
      </w:r>
    </w:p>
    <w:p w:rsidR="00F83E52" w:rsidRPr="00A17F5C" w:rsidRDefault="00F83E52" w:rsidP="004D24A1">
      <w:pPr>
        <w:ind w:firstLine="360"/>
        <w:jc w:val="both"/>
        <w:rPr>
          <w:rFonts w:ascii="Times New Roman" w:hAnsi="Times New Roman"/>
          <w:color w:val="000000"/>
          <w:sz w:val="28"/>
          <w:szCs w:val="28"/>
        </w:rPr>
      </w:pPr>
    </w:p>
    <w:p w:rsidR="00A17F5C" w:rsidRPr="00A17F5C" w:rsidRDefault="00A17F5C" w:rsidP="004D24A1">
      <w:pPr>
        <w:ind w:firstLine="360"/>
        <w:jc w:val="both"/>
        <w:rPr>
          <w:rFonts w:ascii="Times New Roman" w:hAnsi="Times New Roman"/>
          <w:b/>
          <w:color w:val="000000"/>
          <w:sz w:val="28"/>
          <w:szCs w:val="28"/>
        </w:rPr>
      </w:pPr>
      <w:r w:rsidRPr="00A17F5C">
        <w:rPr>
          <w:rFonts w:ascii="Times New Roman" w:hAnsi="Times New Roman"/>
          <w:b/>
          <w:color w:val="000000"/>
          <w:sz w:val="28"/>
          <w:szCs w:val="28"/>
        </w:rPr>
        <w:t>2. СЛЕДСТВЕН НАДЗОР</w:t>
      </w:r>
    </w:p>
    <w:p w:rsidR="00A17F5C" w:rsidRPr="00A17F5C" w:rsidRDefault="00A17F5C" w:rsidP="004D24A1">
      <w:pPr>
        <w:ind w:firstLine="360"/>
        <w:jc w:val="both"/>
        <w:rPr>
          <w:rFonts w:ascii="Times New Roman" w:hAnsi="Times New Roman"/>
          <w:b/>
          <w:color w:val="000000"/>
          <w:sz w:val="28"/>
          <w:szCs w:val="28"/>
        </w:rPr>
      </w:pPr>
      <w:r w:rsidRPr="00A17F5C">
        <w:rPr>
          <w:rFonts w:ascii="Times New Roman" w:hAnsi="Times New Roman"/>
          <w:b/>
          <w:color w:val="000000"/>
          <w:sz w:val="28"/>
          <w:szCs w:val="28"/>
        </w:rPr>
        <w:t>2.1. Обобщени данни по видове досъдебни производства и съобразно систематиката на НК, включително по отношение на пострадалите лица и на ощетените юридически лица от престъпления.</w:t>
      </w:r>
    </w:p>
    <w:p w:rsidR="00A17F5C" w:rsidRPr="00A17F5C" w:rsidRDefault="00A17F5C" w:rsidP="004D24A1">
      <w:pPr>
        <w:ind w:firstLine="360"/>
        <w:jc w:val="both"/>
        <w:rPr>
          <w:rFonts w:ascii="Times New Roman" w:hAnsi="Times New Roman"/>
          <w:b/>
          <w:color w:val="000000"/>
          <w:sz w:val="28"/>
          <w:szCs w:val="28"/>
        </w:rPr>
      </w:pPr>
      <w:r w:rsidRPr="00A17F5C">
        <w:rPr>
          <w:rFonts w:ascii="Times New Roman" w:hAnsi="Times New Roman"/>
          <w:b/>
          <w:color w:val="000000"/>
          <w:sz w:val="28"/>
          <w:szCs w:val="28"/>
        </w:rPr>
        <w:t>Обобщени данни по видове досъдебни производства.</w:t>
      </w:r>
    </w:p>
    <w:p w:rsidR="00A17F5C" w:rsidRPr="00A17F5C" w:rsidRDefault="00A17F5C" w:rsidP="004D24A1">
      <w:pPr>
        <w:ind w:firstLine="360"/>
        <w:jc w:val="both"/>
        <w:rPr>
          <w:rFonts w:ascii="Times New Roman" w:hAnsi="Times New Roman"/>
          <w:sz w:val="28"/>
          <w:szCs w:val="28"/>
        </w:rPr>
      </w:pPr>
      <w:r w:rsidRPr="00A17F5C">
        <w:rPr>
          <w:rFonts w:ascii="Times New Roman" w:hAnsi="Times New Roman"/>
          <w:sz w:val="28"/>
          <w:szCs w:val="28"/>
        </w:rPr>
        <w:t xml:space="preserve">През 2021 г. прокурорите в Софийска градска прокуратура и Софийска районна прокуратура са наблюдавали общо </w:t>
      </w:r>
      <w:r w:rsidRPr="00A17F5C">
        <w:rPr>
          <w:rFonts w:ascii="Times New Roman" w:hAnsi="Times New Roman"/>
          <w:b/>
          <w:sz w:val="28"/>
          <w:szCs w:val="28"/>
        </w:rPr>
        <w:t>60732</w:t>
      </w:r>
      <w:r w:rsidRPr="00A17F5C">
        <w:rPr>
          <w:rFonts w:ascii="Times New Roman" w:hAnsi="Times New Roman"/>
          <w:sz w:val="28"/>
          <w:szCs w:val="28"/>
        </w:rPr>
        <w:t xml:space="preserve"> броя досъдебни производства, в които се включват образуваните по общия ред досъдебни производства и бързи, както и производствата, спрени от предходни години и прекратени по давност или </w:t>
      </w:r>
      <w:r w:rsidRPr="00A17F5C">
        <w:rPr>
          <w:rFonts w:ascii="Times New Roman" w:hAnsi="Times New Roman"/>
          <w:b/>
          <w:sz w:val="28"/>
          <w:szCs w:val="28"/>
        </w:rPr>
        <w:t>35526</w:t>
      </w:r>
      <w:r w:rsidRPr="00A17F5C">
        <w:rPr>
          <w:rFonts w:ascii="Times New Roman" w:hAnsi="Times New Roman"/>
          <w:sz w:val="28"/>
          <w:szCs w:val="28"/>
        </w:rPr>
        <w:t xml:space="preserve"> броя досъдебни производства /без прекратените по давност/.</w:t>
      </w:r>
    </w:p>
    <w:p w:rsidR="00A17F5C" w:rsidRPr="00A17F5C" w:rsidRDefault="00A17F5C" w:rsidP="004D24A1">
      <w:pPr>
        <w:ind w:firstLine="360"/>
        <w:jc w:val="both"/>
        <w:rPr>
          <w:rFonts w:ascii="Times New Roman" w:hAnsi="Times New Roman"/>
          <w:b/>
          <w:sz w:val="28"/>
          <w:szCs w:val="28"/>
        </w:rPr>
      </w:pPr>
      <w:r w:rsidRPr="00A17F5C">
        <w:rPr>
          <w:rFonts w:ascii="Times New Roman" w:hAnsi="Times New Roman"/>
          <w:sz w:val="28"/>
          <w:szCs w:val="28"/>
        </w:rPr>
        <w:t xml:space="preserve">От тях новообразуваните досъдебни производства са </w:t>
      </w:r>
      <w:r w:rsidRPr="00A17F5C">
        <w:rPr>
          <w:rFonts w:ascii="Times New Roman" w:hAnsi="Times New Roman"/>
          <w:b/>
          <w:sz w:val="28"/>
          <w:szCs w:val="28"/>
        </w:rPr>
        <w:t xml:space="preserve">17868 </w:t>
      </w:r>
      <w:r w:rsidRPr="00A17F5C">
        <w:rPr>
          <w:rFonts w:ascii="Times New Roman" w:hAnsi="Times New Roman"/>
          <w:sz w:val="28"/>
          <w:szCs w:val="28"/>
        </w:rPr>
        <w:t>броя /при 19287</w:t>
      </w:r>
      <w:r w:rsidRPr="00A17F5C">
        <w:rPr>
          <w:rFonts w:ascii="Times New Roman" w:hAnsi="Times New Roman"/>
          <w:b/>
          <w:sz w:val="28"/>
          <w:szCs w:val="28"/>
        </w:rPr>
        <w:t xml:space="preserve"> </w:t>
      </w:r>
      <w:r w:rsidRPr="00A17F5C">
        <w:rPr>
          <w:rFonts w:ascii="Times New Roman" w:hAnsi="Times New Roman"/>
          <w:sz w:val="28"/>
          <w:szCs w:val="28"/>
        </w:rPr>
        <w:t>броя за 2020 г., а  за 2019 г. 22682 броя/. Новообразуваните дела са от наблюдаваните 29, 42% /за 2020 г. –42.69  %</w:t>
      </w:r>
      <w:r w:rsidRPr="00A17F5C">
        <w:rPr>
          <w:rFonts w:ascii="Times New Roman" w:hAnsi="Times New Roman"/>
          <w:b/>
          <w:sz w:val="28"/>
          <w:szCs w:val="28"/>
        </w:rPr>
        <w:t xml:space="preserve"> </w:t>
      </w:r>
      <w:r w:rsidRPr="00A17F5C">
        <w:rPr>
          <w:rFonts w:ascii="Times New Roman" w:hAnsi="Times New Roman"/>
          <w:sz w:val="28"/>
          <w:szCs w:val="28"/>
        </w:rPr>
        <w:t>, а за 2019 г. – 50,24 %/.</w:t>
      </w:r>
      <w:r w:rsidRPr="00A17F5C">
        <w:rPr>
          <w:rFonts w:ascii="Times New Roman" w:hAnsi="Times New Roman"/>
          <w:b/>
          <w:sz w:val="28"/>
          <w:szCs w:val="28"/>
        </w:rPr>
        <w:t xml:space="preserve"> </w:t>
      </w:r>
    </w:p>
    <w:p w:rsidR="00A17F5C" w:rsidRPr="00A17F5C" w:rsidRDefault="00A17F5C" w:rsidP="004D24A1">
      <w:pPr>
        <w:ind w:firstLine="360"/>
        <w:jc w:val="both"/>
        <w:rPr>
          <w:rFonts w:ascii="Times New Roman" w:hAnsi="Times New Roman"/>
          <w:sz w:val="28"/>
          <w:szCs w:val="28"/>
        </w:rPr>
      </w:pPr>
      <w:r w:rsidRPr="00A17F5C">
        <w:rPr>
          <w:rFonts w:ascii="Times New Roman" w:hAnsi="Times New Roman"/>
          <w:sz w:val="28"/>
          <w:szCs w:val="28"/>
        </w:rPr>
        <w:t xml:space="preserve">По-голям е броят на новообразуваните досъдебни производства в Софийска районна прокуратура – 16369 броя, при 1499 броя в Софийска градска прокуратура. </w:t>
      </w:r>
    </w:p>
    <w:p w:rsidR="00A17F5C" w:rsidRPr="00A17F5C" w:rsidRDefault="00A17F5C" w:rsidP="004D24A1">
      <w:pPr>
        <w:jc w:val="both"/>
        <w:rPr>
          <w:rFonts w:ascii="Times New Roman" w:hAnsi="Times New Roman"/>
          <w:sz w:val="28"/>
          <w:szCs w:val="28"/>
        </w:rPr>
      </w:pPr>
    </w:p>
    <w:p w:rsidR="00A17F5C" w:rsidRPr="00A17F5C" w:rsidRDefault="003515B0" w:rsidP="004D24A1">
      <w:pPr>
        <w:jc w:val="both"/>
        <w:rPr>
          <w:rFonts w:ascii="Times New Roman" w:hAnsi="Times New Roman"/>
          <w:sz w:val="28"/>
          <w:szCs w:val="28"/>
        </w:rPr>
      </w:pPr>
      <w:r w:rsidRPr="00A17F5C">
        <w:rPr>
          <w:rFonts w:ascii="Times New Roman" w:hAnsi="Times New Roman"/>
          <w:noProof/>
          <w:sz w:val="28"/>
          <w:szCs w:val="28"/>
          <w:lang w:eastAsia="bg-BG"/>
        </w:rPr>
        <w:lastRenderedPageBreak/>
        <w:drawing>
          <wp:inline distT="0" distB="0" distL="0" distR="0" wp14:anchorId="5965E4BE" wp14:editId="50309B21">
            <wp:extent cx="5526405" cy="2734945"/>
            <wp:effectExtent l="0" t="0" r="0" b="0"/>
            <wp:docPr id="8" name="Ди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7F5C" w:rsidRPr="00A17F5C" w:rsidRDefault="00A17F5C" w:rsidP="004D24A1">
      <w:pPr>
        <w:jc w:val="both"/>
        <w:rPr>
          <w:rFonts w:ascii="Times New Roman" w:hAnsi="Times New Roman"/>
          <w:sz w:val="28"/>
          <w:szCs w:val="28"/>
        </w:rPr>
      </w:pP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Традиционно най–голям дял от новообразуваните дела съставляват тези по глава V от НК „Престъпления против собствеността“ – </w:t>
      </w:r>
      <w:r w:rsidRPr="00A17F5C">
        <w:rPr>
          <w:rFonts w:ascii="Times New Roman" w:hAnsi="Times New Roman"/>
          <w:b/>
          <w:sz w:val="28"/>
          <w:szCs w:val="28"/>
        </w:rPr>
        <w:t>7595</w:t>
      </w:r>
      <w:r w:rsidRPr="00A17F5C">
        <w:rPr>
          <w:rFonts w:ascii="Times New Roman" w:hAnsi="Times New Roman"/>
          <w:sz w:val="28"/>
          <w:szCs w:val="28"/>
        </w:rPr>
        <w:t xml:space="preserve"> броя /за 2020 г. – 9059</w:t>
      </w:r>
      <w:r w:rsidRPr="00A17F5C">
        <w:rPr>
          <w:rFonts w:ascii="Times New Roman" w:hAnsi="Times New Roman"/>
          <w:b/>
          <w:sz w:val="28"/>
          <w:szCs w:val="28"/>
        </w:rPr>
        <w:t xml:space="preserve"> </w:t>
      </w:r>
      <w:r w:rsidRPr="00A17F5C">
        <w:rPr>
          <w:rFonts w:ascii="Times New Roman" w:hAnsi="Times New Roman"/>
          <w:sz w:val="28"/>
          <w:szCs w:val="28"/>
        </w:rPr>
        <w:t xml:space="preserve">броя, а за 2019 г. – 10916 броя/.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На второ място са престъпленията по глава ХІ „Общоопасни престъпления“ – </w:t>
      </w:r>
      <w:r w:rsidRPr="00A17F5C">
        <w:rPr>
          <w:rFonts w:ascii="Times New Roman" w:hAnsi="Times New Roman"/>
          <w:b/>
          <w:sz w:val="28"/>
          <w:szCs w:val="28"/>
        </w:rPr>
        <w:t xml:space="preserve">4709 </w:t>
      </w:r>
      <w:r w:rsidRPr="00A17F5C">
        <w:rPr>
          <w:rFonts w:ascii="Times New Roman" w:hAnsi="Times New Roman"/>
          <w:sz w:val="28"/>
          <w:szCs w:val="28"/>
        </w:rPr>
        <w:t>броя /за 2020 г. са  4785 броя, а за 2019 г. – 5957 броя/. От тях най-голям дял заемат тези с предмет наркотични вещества, следвани от престъпленията по транспорта.</w:t>
      </w:r>
    </w:p>
    <w:p w:rsidR="00A17F5C" w:rsidRPr="00A17F5C" w:rsidRDefault="00A17F5C" w:rsidP="004D24A1">
      <w:pPr>
        <w:ind w:firstLine="708"/>
        <w:jc w:val="both"/>
        <w:rPr>
          <w:rFonts w:ascii="Times New Roman" w:hAnsi="Times New Roman"/>
          <w:color w:val="000000"/>
          <w:sz w:val="28"/>
          <w:szCs w:val="28"/>
        </w:rPr>
      </w:pPr>
      <w:r w:rsidRPr="00A17F5C">
        <w:rPr>
          <w:rFonts w:ascii="Times New Roman" w:hAnsi="Times New Roman"/>
          <w:color w:val="000000"/>
          <w:sz w:val="28"/>
          <w:szCs w:val="28"/>
        </w:rPr>
        <w:t xml:space="preserve">На трето място са престъпленията по глава ІІ „Престъпления против личността“ – </w:t>
      </w:r>
      <w:r w:rsidRPr="00A17F5C">
        <w:rPr>
          <w:rFonts w:ascii="Times New Roman" w:hAnsi="Times New Roman"/>
          <w:b/>
          <w:color w:val="000000"/>
          <w:sz w:val="28"/>
          <w:szCs w:val="28"/>
        </w:rPr>
        <w:t>2234</w:t>
      </w:r>
      <w:r w:rsidRPr="00A17F5C">
        <w:rPr>
          <w:rFonts w:ascii="Times New Roman" w:hAnsi="Times New Roman"/>
          <w:color w:val="000000"/>
          <w:sz w:val="28"/>
          <w:szCs w:val="28"/>
        </w:rPr>
        <w:t xml:space="preserve"> броя /за 2020 г. – 2015 броя, а за 2019 г. – 2044 броя/ като най-голям дял от тях заемат престъпленията по чл. 127 от НК.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Изложените данни сочат на сравнително константна величина на образуваните досъдебни производства за видовете престъпления през сравняваните периоди за района на Софийска градска прокуратура.</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отчетния период са приключили </w:t>
      </w:r>
      <w:r w:rsidRPr="00A17F5C">
        <w:rPr>
          <w:rFonts w:ascii="Times New Roman" w:hAnsi="Times New Roman"/>
          <w:b/>
          <w:sz w:val="28"/>
          <w:szCs w:val="28"/>
        </w:rPr>
        <w:t>21778</w:t>
      </w:r>
      <w:r w:rsidRPr="00A17F5C">
        <w:rPr>
          <w:rFonts w:ascii="Times New Roman" w:hAnsi="Times New Roman"/>
          <w:sz w:val="28"/>
          <w:szCs w:val="28"/>
        </w:rPr>
        <w:t xml:space="preserve"> броя досъдебни производства, които спрямо наблюдаваните </w:t>
      </w:r>
      <w:r w:rsidRPr="00A17F5C">
        <w:rPr>
          <w:rFonts w:ascii="Times New Roman" w:hAnsi="Times New Roman"/>
          <w:b/>
          <w:sz w:val="28"/>
          <w:szCs w:val="28"/>
        </w:rPr>
        <w:t>35526</w:t>
      </w:r>
      <w:r w:rsidRPr="00A17F5C">
        <w:rPr>
          <w:rFonts w:ascii="Times New Roman" w:hAnsi="Times New Roman"/>
          <w:sz w:val="28"/>
          <w:szCs w:val="28"/>
        </w:rPr>
        <w:t xml:space="preserve"> броя ДП /без прекратените по давност/ съставляват дял от </w:t>
      </w:r>
      <w:r w:rsidRPr="00A17F5C">
        <w:rPr>
          <w:rFonts w:ascii="Times New Roman" w:hAnsi="Times New Roman"/>
          <w:b/>
          <w:sz w:val="28"/>
          <w:szCs w:val="28"/>
        </w:rPr>
        <w:t>61.30 %.</w:t>
      </w:r>
      <w:r w:rsidRPr="00A17F5C">
        <w:rPr>
          <w:rFonts w:ascii="Times New Roman" w:hAnsi="Times New Roman"/>
          <w:sz w:val="28"/>
          <w:szCs w:val="28"/>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В края на отчетния период неприключените досъдебни производства са </w:t>
      </w:r>
      <w:r w:rsidRPr="00A17F5C">
        <w:rPr>
          <w:rFonts w:ascii="Times New Roman" w:hAnsi="Times New Roman"/>
          <w:b/>
          <w:sz w:val="28"/>
          <w:szCs w:val="28"/>
        </w:rPr>
        <w:t>13878</w:t>
      </w:r>
      <w:r w:rsidRPr="00A17F5C">
        <w:rPr>
          <w:rFonts w:ascii="Times New Roman" w:hAnsi="Times New Roman"/>
          <w:sz w:val="28"/>
          <w:szCs w:val="28"/>
        </w:rPr>
        <w:t xml:space="preserve"> броя, като в законов срок са </w:t>
      </w:r>
      <w:r w:rsidRPr="00A17F5C">
        <w:rPr>
          <w:rFonts w:ascii="Times New Roman" w:hAnsi="Times New Roman"/>
          <w:b/>
          <w:sz w:val="28"/>
          <w:szCs w:val="28"/>
        </w:rPr>
        <w:t>13835</w:t>
      </w:r>
      <w:r w:rsidRPr="00A17F5C">
        <w:rPr>
          <w:rFonts w:ascii="Times New Roman" w:hAnsi="Times New Roman"/>
          <w:sz w:val="28"/>
          <w:szCs w:val="28"/>
        </w:rPr>
        <w:t xml:space="preserve"> броя /което съставлява </w:t>
      </w:r>
      <w:r w:rsidRPr="00A17F5C">
        <w:rPr>
          <w:rFonts w:ascii="Times New Roman" w:hAnsi="Times New Roman"/>
          <w:b/>
          <w:sz w:val="28"/>
          <w:szCs w:val="28"/>
        </w:rPr>
        <w:t>99.69 %</w:t>
      </w:r>
      <w:r w:rsidRPr="00A17F5C">
        <w:rPr>
          <w:rFonts w:ascii="Times New Roman" w:hAnsi="Times New Roman"/>
          <w:sz w:val="28"/>
          <w:szCs w:val="28"/>
        </w:rPr>
        <w:t xml:space="preserve">/, останалите </w:t>
      </w:r>
      <w:r w:rsidRPr="00A17F5C">
        <w:rPr>
          <w:rFonts w:ascii="Times New Roman" w:hAnsi="Times New Roman"/>
          <w:b/>
          <w:sz w:val="28"/>
          <w:szCs w:val="28"/>
        </w:rPr>
        <w:t>43</w:t>
      </w:r>
      <w:r w:rsidRPr="00A17F5C">
        <w:rPr>
          <w:rFonts w:ascii="Times New Roman" w:hAnsi="Times New Roman"/>
          <w:sz w:val="28"/>
          <w:szCs w:val="28"/>
        </w:rPr>
        <w:t xml:space="preserve"> броя са извън законовия срок.</w:t>
      </w:r>
    </w:p>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 xml:space="preserve"> </w:t>
      </w:r>
      <w:r>
        <w:rPr>
          <w:rFonts w:ascii="Times New Roman" w:hAnsi="Times New Roman"/>
          <w:sz w:val="28"/>
          <w:szCs w:val="28"/>
        </w:rPr>
        <w:tab/>
      </w:r>
      <w:r w:rsidRPr="00A17F5C">
        <w:rPr>
          <w:rFonts w:ascii="Times New Roman" w:hAnsi="Times New Roman"/>
          <w:sz w:val="28"/>
          <w:szCs w:val="28"/>
        </w:rPr>
        <w:t xml:space="preserve">В СГП и СРП са наблюдавани общо  </w:t>
      </w:r>
      <w:r w:rsidRPr="00A17F5C">
        <w:rPr>
          <w:rFonts w:ascii="Times New Roman" w:hAnsi="Times New Roman"/>
          <w:b/>
          <w:sz w:val="28"/>
          <w:szCs w:val="28"/>
        </w:rPr>
        <w:t>2019</w:t>
      </w:r>
      <w:r w:rsidRPr="00A17F5C">
        <w:rPr>
          <w:rFonts w:ascii="Times New Roman" w:hAnsi="Times New Roman"/>
          <w:sz w:val="28"/>
          <w:szCs w:val="28"/>
        </w:rPr>
        <w:t xml:space="preserve"> броя бързи производства, от които </w:t>
      </w:r>
      <w:r w:rsidRPr="00A17F5C">
        <w:rPr>
          <w:rFonts w:ascii="Times New Roman" w:hAnsi="Times New Roman"/>
          <w:b/>
          <w:sz w:val="28"/>
          <w:szCs w:val="28"/>
        </w:rPr>
        <w:t xml:space="preserve">1992 </w:t>
      </w:r>
      <w:r w:rsidRPr="00A17F5C">
        <w:rPr>
          <w:rFonts w:ascii="Times New Roman" w:hAnsi="Times New Roman"/>
          <w:sz w:val="28"/>
          <w:szCs w:val="28"/>
        </w:rPr>
        <w:t xml:space="preserve">броя са новообразувани  /в СРП – 1992 броя/. Бързи </w:t>
      </w:r>
      <w:r w:rsidRPr="00A17F5C">
        <w:rPr>
          <w:rFonts w:ascii="Times New Roman" w:hAnsi="Times New Roman"/>
          <w:sz w:val="28"/>
          <w:szCs w:val="28"/>
        </w:rPr>
        <w:lastRenderedPageBreak/>
        <w:t xml:space="preserve">производства, по които прокурорът е разпоредил разследване по общия ред поради фактическа и правна сложност общ </w:t>
      </w:r>
      <w:r w:rsidRPr="00A17F5C">
        <w:rPr>
          <w:rFonts w:ascii="Times New Roman" w:hAnsi="Times New Roman"/>
          <w:b/>
          <w:sz w:val="28"/>
          <w:szCs w:val="28"/>
        </w:rPr>
        <w:t>620</w:t>
      </w:r>
      <w:r w:rsidRPr="00A17F5C">
        <w:rPr>
          <w:rFonts w:ascii="Times New Roman" w:hAnsi="Times New Roman"/>
          <w:sz w:val="28"/>
          <w:szCs w:val="28"/>
        </w:rPr>
        <w:t xml:space="preserve"> броя /620 броя в СРП/.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1516"/>
        <w:gridCol w:w="1483"/>
        <w:gridCol w:w="1483"/>
      </w:tblGrid>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shd w:val="clear" w:color="auto" w:fill="00FF99"/>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Показатели</w:t>
            </w:r>
          </w:p>
        </w:tc>
        <w:tc>
          <w:tcPr>
            <w:tcW w:w="1516" w:type="dxa"/>
            <w:tcBorders>
              <w:top w:val="single" w:sz="4" w:space="0" w:color="auto"/>
              <w:left w:val="single" w:sz="4" w:space="0" w:color="auto"/>
              <w:bottom w:val="single" w:sz="4" w:space="0" w:color="auto"/>
              <w:right w:val="single" w:sz="4" w:space="0" w:color="auto"/>
            </w:tcBorders>
            <w:shd w:val="clear" w:color="auto" w:fill="00FF99"/>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2019 г.</w:t>
            </w:r>
          </w:p>
        </w:tc>
        <w:tc>
          <w:tcPr>
            <w:tcW w:w="1483" w:type="dxa"/>
            <w:tcBorders>
              <w:top w:val="single" w:sz="4" w:space="0" w:color="auto"/>
              <w:left w:val="single" w:sz="4" w:space="0" w:color="auto"/>
              <w:bottom w:val="single" w:sz="4" w:space="0" w:color="auto"/>
              <w:right w:val="single" w:sz="4" w:space="0" w:color="auto"/>
            </w:tcBorders>
            <w:shd w:val="clear" w:color="auto" w:fill="00FF99"/>
            <w:vAlign w:val="center"/>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2020 г.</w:t>
            </w:r>
          </w:p>
        </w:tc>
        <w:tc>
          <w:tcPr>
            <w:tcW w:w="1483" w:type="dxa"/>
            <w:tcBorders>
              <w:top w:val="single" w:sz="4" w:space="0" w:color="auto"/>
              <w:left w:val="single" w:sz="4" w:space="0" w:color="auto"/>
              <w:bottom w:val="single" w:sz="4" w:space="0" w:color="auto"/>
              <w:right w:val="single" w:sz="4" w:space="0" w:color="auto"/>
            </w:tcBorders>
            <w:shd w:val="clear" w:color="auto" w:fill="00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2021 г.</w:t>
            </w:r>
          </w:p>
        </w:tc>
      </w:tr>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Приключени ДП</w:t>
            </w:r>
          </w:p>
        </w:tc>
        <w:tc>
          <w:tcPr>
            <w:tcW w:w="1516"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24184</w:t>
            </w:r>
          </w:p>
        </w:tc>
        <w:tc>
          <w:tcPr>
            <w:tcW w:w="148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19754</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21778</w:t>
            </w:r>
          </w:p>
        </w:tc>
      </w:tr>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Приключени в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24072</w:t>
            </w:r>
          </w:p>
        </w:tc>
        <w:tc>
          <w:tcPr>
            <w:tcW w:w="148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19629</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21708</w:t>
            </w:r>
          </w:p>
        </w:tc>
      </w:tr>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Приключени извън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112</w:t>
            </w:r>
          </w:p>
        </w:tc>
        <w:tc>
          <w:tcPr>
            <w:tcW w:w="148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125</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70</w:t>
            </w:r>
          </w:p>
        </w:tc>
      </w:tr>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Неприключени ДП</w:t>
            </w:r>
          </w:p>
        </w:tc>
        <w:tc>
          <w:tcPr>
            <w:tcW w:w="1516"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13118</w:t>
            </w:r>
          </w:p>
        </w:tc>
        <w:tc>
          <w:tcPr>
            <w:tcW w:w="148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14154</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13878</w:t>
            </w:r>
          </w:p>
        </w:tc>
      </w:tr>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Неприключени в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13067</w:t>
            </w:r>
          </w:p>
        </w:tc>
        <w:tc>
          <w:tcPr>
            <w:tcW w:w="148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14078</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13835</w:t>
            </w:r>
          </w:p>
        </w:tc>
      </w:tr>
      <w:tr w:rsidR="00A17F5C" w:rsidRPr="00A17F5C" w:rsidTr="00A17F5C">
        <w:trPr>
          <w:jc w:val="center"/>
        </w:trPr>
        <w:tc>
          <w:tcPr>
            <w:tcW w:w="405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Неприключени извън законов срок</w:t>
            </w:r>
          </w:p>
        </w:tc>
        <w:tc>
          <w:tcPr>
            <w:tcW w:w="1516"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51</w:t>
            </w:r>
          </w:p>
        </w:tc>
        <w:tc>
          <w:tcPr>
            <w:tcW w:w="1483" w:type="dxa"/>
            <w:tcBorders>
              <w:top w:val="single" w:sz="4" w:space="0" w:color="auto"/>
              <w:left w:val="single" w:sz="4" w:space="0" w:color="auto"/>
              <w:bottom w:val="single" w:sz="4" w:space="0" w:color="auto"/>
              <w:right w:val="single" w:sz="4" w:space="0" w:color="auto"/>
            </w:tcBorders>
            <w:hideMark/>
          </w:tcPr>
          <w:p w:rsidR="00A17F5C" w:rsidRPr="00A17F5C" w:rsidRDefault="00A17F5C" w:rsidP="004D24A1">
            <w:pPr>
              <w:jc w:val="both"/>
              <w:rPr>
                <w:rFonts w:ascii="Times New Roman" w:hAnsi="Times New Roman"/>
                <w:sz w:val="28"/>
                <w:szCs w:val="28"/>
              </w:rPr>
            </w:pPr>
            <w:r w:rsidRPr="00A17F5C">
              <w:rPr>
                <w:rFonts w:ascii="Times New Roman" w:hAnsi="Times New Roman"/>
                <w:b/>
                <w:sz w:val="28"/>
                <w:szCs w:val="28"/>
              </w:rPr>
              <w:t>76</w:t>
            </w:r>
          </w:p>
        </w:tc>
        <w:tc>
          <w:tcPr>
            <w:tcW w:w="1483" w:type="dxa"/>
            <w:tcBorders>
              <w:top w:val="single" w:sz="4" w:space="0" w:color="auto"/>
              <w:left w:val="single" w:sz="4" w:space="0" w:color="auto"/>
              <w:bottom w:val="single" w:sz="4" w:space="0" w:color="auto"/>
              <w:right w:val="single" w:sz="4" w:space="0" w:color="auto"/>
            </w:tcBorders>
            <w:shd w:val="clear" w:color="auto" w:fill="66FF99"/>
            <w:hideMark/>
          </w:tcPr>
          <w:p w:rsidR="00A17F5C" w:rsidRPr="00A17F5C" w:rsidRDefault="00A17F5C" w:rsidP="004D24A1">
            <w:pPr>
              <w:jc w:val="both"/>
              <w:rPr>
                <w:rFonts w:ascii="Times New Roman" w:hAnsi="Times New Roman"/>
                <w:b/>
                <w:sz w:val="28"/>
                <w:szCs w:val="28"/>
              </w:rPr>
            </w:pPr>
            <w:r w:rsidRPr="00A17F5C">
              <w:rPr>
                <w:rFonts w:ascii="Times New Roman" w:hAnsi="Times New Roman"/>
                <w:b/>
                <w:sz w:val="28"/>
                <w:szCs w:val="28"/>
              </w:rPr>
              <w:t>43</w:t>
            </w:r>
          </w:p>
        </w:tc>
      </w:tr>
    </w:tbl>
    <w:p w:rsidR="00A17F5C" w:rsidRPr="00A17F5C" w:rsidRDefault="00A17F5C" w:rsidP="004D24A1">
      <w:pPr>
        <w:jc w:val="both"/>
        <w:rPr>
          <w:rFonts w:ascii="Times New Roman" w:hAnsi="Times New Roman"/>
          <w:b/>
          <w:sz w:val="28"/>
          <w:szCs w:val="28"/>
        </w:rPr>
      </w:pPr>
    </w:p>
    <w:p w:rsidR="00A17F5C" w:rsidRPr="00A17F5C" w:rsidRDefault="003515B0" w:rsidP="004D24A1">
      <w:pPr>
        <w:jc w:val="both"/>
        <w:rPr>
          <w:rFonts w:ascii="Times New Roman" w:hAnsi="Times New Roman"/>
          <w:b/>
          <w:sz w:val="28"/>
          <w:szCs w:val="28"/>
        </w:rPr>
      </w:pPr>
      <w:r w:rsidRPr="00A17F5C">
        <w:rPr>
          <w:rFonts w:ascii="Times New Roman" w:hAnsi="Times New Roman"/>
          <w:b/>
          <w:noProof/>
          <w:sz w:val="28"/>
          <w:szCs w:val="28"/>
          <w:lang w:eastAsia="bg-BG"/>
        </w:rPr>
        <w:drawing>
          <wp:inline distT="0" distB="0" distL="0" distR="0" wp14:anchorId="35053EB1" wp14:editId="265CB9FC">
            <wp:extent cx="5812404" cy="3155950"/>
            <wp:effectExtent l="0" t="0" r="17145" b="6350"/>
            <wp:docPr id="9" name="Об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17F5C" w:rsidRPr="00A17F5C" w:rsidRDefault="00A17F5C" w:rsidP="004D24A1">
      <w:pPr>
        <w:tabs>
          <w:tab w:val="left" w:pos="3111"/>
        </w:tabs>
        <w:jc w:val="both"/>
        <w:rPr>
          <w:rFonts w:ascii="Times New Roman" w:hAnsi="Times New Roman"/>
          <w:b/>
          <w:sz w:val="28"/>
          <w:szCs w:val="28"/>
        </w:rPr>
      </w:pPr>
      <w:r w:rsidRPr="00A17F5C">
        <w:rPr>
          <w:rFonts w:ascii="Times New Roman" w:hAnsi="Times New Roman"/>
          <w:b/>
          <w:sz w:val="28"/>
          <w:szCs w:val="28"/>
        </w:rPr>
        <w:tab/>
      </w:r>
    </w:p>
    <w:p w:rsidR="00A17F5C" w:rsidRPr="00A17F5C" w:rsidRDefault="00A17F5C" w:rsidP="004D24A1">
      <w:pPr>
        <w:tabs>
          <w:tab w:val="left" w:pos="3111"/>
        </w:tabs>
        <w:jc w:val="both"/>
        <w:rPr>
          <w:rFonts w:ascii="Times New Roman" w:hAnsi="Times New Roman"/>
          <w:b/>
          <w:sz w:val="28"/>
          <w:szCs w:val="28"/>
        </w:rPr>
      </w:pPr>
    </w:p>
    <w:p w:rsidR="00A17F5C" w:rsidRPr="00A17F5C" w:rsidRDefault="00A17F5C" w:rsidP="004D24A1">
      <w:pPr>
        <w:tabs>
          <w:tab w:val="left" w:pos="3111"/>
        </w:tabs>
        <w:jc w:val="both"/>
        <w:rPr>
          <w:rFonts w:ascii="Times New Roman" w:hAnsi="Times New Roman"/>
          <w:b/>
          <w:sz w:val="28"/>
          <w:szCs w:val="28"/>
        </w:rPr>
      </w:pPr>
    </w:p>
    <w:p w:rsidR="00A17F5C" w:rsidRPr="00A17F5C" w:rsidRDefault="003515B0" w:rsidP="004D24A1">
      <w:pPr>
        <w:jc w:val="both"/>
        <w:rPr>
          <w:rFonts w:ascii="Times New Roman" w:hAnsi="Times New Roman"/>
          <w:b/>
          <w:sz w:val="28"/>
          <w:szCs w:val="28"/>
        </w:rPr>
      </w:pPr>
      <w:r w:rsidRPr="00A17F5C">
        <w:rPr>
          <w:rFonts w:ascii="Times New Roman" w:hAnsi="Times New Roman"/>
          <w:b/>
          <w:noProof/>
          <w:sz w:val="28"/>
          <w:szCs w:val="28"/>
          <w:lang w:eastAsia="bg-BG"/>
        </w:rPr>
        <w:lastRenderedPageBreak/>
        <w:drawing>
          <wp:inline distT="0" distB="0" distL="0" distR="0" wp14:anchorId="247B991E" wp14:editId="5DBA0ADD">
            <wp:extent cx="5939625" cy="3251835"/>
            <wp:effectExtent l="0" t="0" r="4445" b="5715"/>
            <wp:docPr id="58" name="Ди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663A" w:rsidRDefault="0058663A" w:rsidP="004D24A1">
      <w:pPr>
        <w:jc w:val="both"/>
        <w:rPr>
          <w:rFonts w:ascii="Times New Roman" w:hAnsi="Times New Roman"/>
          <w:b/>
          <w:sz w:val="28"/>
          <w:szCs w:val="28"/>
        </w:rPr>
      </w:pPr>
    </w:p>
    <w:p w:rsidR="00A17F5C" w:rsidRPr="00A17F5C" w:rsidRDefault="00A17F5C" w:rsidP="004D24A1">
      <w:pPr>
        <w:ind w:firstLine="708"/>
        <w:jc w:val="both"/>
        <w:rPr>
          <w:rFonts w:ascii="Times New Roman" w:hAnsi="Times New Roman"/>
          <w:b/>
          <w:color w:val="000000"/>
          <w:sz w:val="28"/>
          <w:szCs w:val="28"/>
        </w:rPr>
      </w:pPr>
      <w:r w:rsidRPr="00A17F5C">
        <w:rPr>
          <w:rFonts w:ascii="Times New Roman" w:hAnsi="Times New Roman"/>
          <w:b/>
          <w:color w:val="000000"/>
          <w:sz w:val="28"/>
          <w:szCs w:val="28"/>
        </w:rPr>
        <w:t>Организация и дейност при използването на СРС за района на Софийска градска прокуратура 2021 г.</w:t>
      </w:r>
    </w:p>
    <w:p w:rsidR="00A17F5C" w:rsidRPr="00A17F5C" w:rsidRDefault="00A17F5C" w:rsidP="004D24A1">
      <w:pPr>
        <w:jc w:val="both"/>
        <w:rPr>
          <w:rFonts w:ascii="Times New Roman" w:hAnsi="Times New Roman"/>
          <w:b/>
          <w:i/>
          <w:sz w:val="28"/>
          <w:szCs w:val="28"/>
          <w:u w:val="singl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234"/>
        <w:gridCol w:w="2093"/>
        <w:gridCol w:w="2382"/>
      </w:tblGrid>
      <w:tr w:rsidR="00A17F5C" w:rsidRPr="00A17F5C" w:rsidTr="00A01EC6">
        <w:tc>
          <w:tcPr>
            <w:tcW w:w="26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lang w:val="en-US"/>
              </w:rPr>
            </w:pPr>
            <w:r w:rsidRPr="00A17F5C">
              <w:rPr>
                <w:rFonts w:ascii="Times New Roman" w:hAnsi="Times New Roman"/>
                <w:b/>
                <w:sz w:val="28"/>
                <w:szCs w:val="28"/>
                <w:lang w:val="en-US"/>
              </w:rPr>
              <w:t>Показатели</w:t>
            </w:r>
          </w:p>
        </w:tc>
        <w:tc>
          <w:tcPr>
            <w:tcW w:w="2234"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lang w:val="en-US"/>
              </w:rPr>
            </w:pPr>
            <w:r w:rsidRPr="00A17F5C">
              <w:rPr>
                <w:rFonts w:ascii="Times New Roman" w:hAnsi="Times New Roman"/>
                <w:b/>
                <w:sz w:val="28"/>
                <w:szCs w:val="28"/>
                <w:lang w:val="en-US"/>
              </w:rPr>
              <w:t>2019 г.</w:t>
            </w:r>
          </w:p>
        </w:tc>
        <w:tc>
          <w:tcPr>
            <w:tcW w:w="2093"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jc w:val="both"/>
              <w:rPr>
                <w:rFonts w:ascii="Times New Roman" w:hAnsi="Times New Roman"/>
                <w:b/>
                <w:sz w:val="28"/>
                <w:szCs w:val="28"/>
                <w:lang w:val="en-US"/>
              </w:rPr>
            </w:pPr>
            <w:r w:rsidRPr="00A17F5C">
              <w:rPr>
                <w:rFonts w:ascii="Times New Roman" w:hAnsi="Times New Roman"/>
                <w:b/>
                <w:sz w:val="28"/>
                <w:szCs w:val="28"/>
                <w:lang w:val="en-US"/>
              </w:rPr>
              <w:t>2020 г.</w:t>
            </w:r>
          </w:p>
        </w:tc>
        <w:tc>
          <w:tcPr>
            <w:tcW w:w="2382" w:type="dxa"/>
            <w:tcBorders>
              <w:top w:val="single" w:sz="4" w:space="0" w:color="auto"/>
              <w:left w:val="single" w:sz="4" w:space="0" w:color="auto"/>
              <w:bottom w:val="single" w:sz="4" w:space="0" w:color="auto"/>
              <w:right w:val="single" w:sz="4" w:space="0" w:color="auto"/>
            </w:tcBorders>
            <w:shd w:val="clear" w:color="auto" w:fill="B6DDE8"/>
            <w:hideMark/>
          </w:tcPr>
          <w:p w:rsidR="00A17F5C" w:rsidRPr="00A17F5C" w:rsidRDefault="00A17F5C" w:rsidP="004D24A1">
            <w:pPr>
              <w:jc w:val="both"/>
              <w:rPr>
                <w:rFonts w:ascii="Times New Roman" w:hAnsi="Times New Roman"/>
                <w:b/>
                <w:sz w:val="28"/>
                <w:szCs w:val="28"/>
                <w:lang w:val="en-US"/>
              </w:rPr>
            </w:pPr>
            <w:r w:rsidRPr="00A17F5C">
              <w:rPr>
                <w:rFonts w:ascii="Times New Roman" w:hAnsi="Times New Roman"/>
                <w:b/>
                <w:sz w:val="28"/>
                <w:szCs w:val="28"/>
                <w:lang w:val="en-US"/>
              </w:rPr>
              <w:t xml:space="preserve">2021 г. </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Наблюдавани ДП с използвани 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10</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7</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6</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Брой на лицата, спрямо които са изготвени искания за прилагане на 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21</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11</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16</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Брой направени искания за експлоатация на 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33</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29</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26</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Брой първоначални искания</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30</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14</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9</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Брой искания-продължения</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3</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15</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8</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lastRenderedPageBreak/>
              <w:t>Получени откази на искания за прилагане на 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9</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7</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10</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чл.5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23</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29</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13</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чл.6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23</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29</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16</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чл.7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22</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29</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15</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чл.8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5</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3</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чл.9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5</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2</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1</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чл.10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1</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чл.10а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b/>
                <w:sz w:val="28"/>
                <w:szCs w:val="28"/>
                <w:lang w:val="en-US"/>
              </w:rPr>
              <w:t>–</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чл.10б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b/>
                <w:sz w:val="28"/>
                <w:szCs w:val="28"/>
                <w:lang w:val="en-US"/>
              </w:rPr>
              <w:t>–</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w:t>
            </w:r>
          </w:p>
        </w:tc>
      </w:tr>
      <w:tr w:rsidR="00A17F5C" w:rsidRPr="00A17F5C" w:rsidTr="00A01EC6">
        <w:tc>
          <w:tcPr>
            <w:tcW w:w="2642"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Използвани способи по чл.10в ЗСРС</w:t>
            </w:r>
          </w:p>
        </w:tc>
        <w:tc>
          <w:tcPr>
            <w:tcW w:w="2234"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sz w:val="28"/>
                <w:szCs w:val="28"/>
                <w:lang w:val="en-US"/>
              </w:rPr>
              <w:t>-</w:t>
            </w:r>
          </w:p>
        </w:tc>
        <w:tc>
          <w:tcPr>
            <w:tcW w:w="2093" w:type="dxa"/>
            <w:tcBorders>
              <w:top w:val="single" w:sz="4" w:space="0" w:color="auto"/>
              <w:left w:val="single" w:sz="4" w:space="0" w:color="auto"/>
              <w:bottom w:val="single" w:sz="4" w:space="0" w:color="auto"/>
              <w:right w:val="single" w:sz="4" w:space="0" w:color="auto"/>
            </w:tcBorders>
            <w:vAlign w:val="center"/>
            <w:hideMark/>
          </w:tcPr>
          <w:p w:rsidR="00A17F5C" w:rsidRPr="00A17F5C" w:rsidRDefault="00A17F5C" w:rsidP="004D24A1">
            <w:pPr>
              <w:jc w:val="both"/>
              <w:rPr>
                <w:rFonts w:ascii="Times New Roman" w:hAnsi="Times New Roman"/>
                <w:sz w:val="28"/>
                <w:szCs w:val="28"/>
                <w:lang w:val="en-US"/>
              </w:rPr>
            </w:pPr>
            <w:r w:rsidRPr="00A17F5C">
              <w:rPr>
                <w:rFonts w:ascii="Times New Roman" w:hAnsi="Times New Roman"/>
                <w:b/>
                <w:sz w:val="28"/>
                <w:szCs w:val="28"/>
                <w:lang w:val="en-US"/>
              </w:rPr>
              <w:t>–</w:t>
            </w:r>
          </w:p>
        </w:tc>
        <w:tc>
          <w:tcPr>
            <w:tcW w:w="238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A17F5C" w:rsidRPr="00A17F5C" w:rsidRDefault="00A17F5C" w:rsidP="004D24A1">
            <w:pPr>
              <w:spacing w:after="0"/>
              <w:rPr>
                <w:rFonts w:ascii="Times New Roman" w:hAnsi="Times New Roman"/>
                <w:sz w:val="28"/>
                <w:szCs w:val="28"/>
                <w:lang w:val="en-US"/>
              </w:rPr>
            </w:pPr>
            <w:r w:rsidRPr="00A17F5C">
              <w:rPr>
                <w:rFonts w:ascii="Times New Roman" w:hAnsi="Times New Roman"/>
                <w:sz w:val="28"/>
                <w:szCs w:val="28"/>
                <w:lang w:val="en-US"/>
              </w:rPr>
              <w:t>-</w:t>
            </w:r>
          </w:p>
        </w:tc>
      </w:tr>
    </w:tbl>
    <w:p w:rsidR="00A17F5C" w:rsidRPr="00A17F5C" w:rsidRDefault="00A17F5C" w:rsidP="004D24A1">
      <w:pPr>
        <w:jc w:val="both"/>
        <w:rPr>
          <w:rFonts w:ascii="Times New Roman" w:hAnsi="Times New Roman"/>
          <w:b/>
          <w:i/>
          <w:sz w:val="28"/>
          <w:szCs w:val="28"/>
          <w:u w:val="single"/>
        </w:rPr>
      </w:pPr>
    </w:p>
    <w:p w:rsidR="00A17F5C" w:rsidRPr="0058663A"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Видно от изнесените статистически данни се наблюдава увеличаване на броя на постановените откази от съда по искания за експлоатация на СРС. </w:t>
      </w:r>
      <w:r w:rsidRPr="00A17F5C">
        <w:rPr>
          <w:rFonts w:ascii="Times New Roman" w:hAnsi="Times New Roman"/>
          <w:sz w:val="28"/>
          <w:szCs w:val="28"/>
        </w:rPr>
        <w:lastRenderedPageBreak/>
        <w:t xml:space="preserve">В съотношение с изготвените искания за използването на СРС постановените откази от страна съда в процентно съотношение са както следва: за 2021 г. е </w:t>
      </w:r>
      <w:r w:rsidRPr="00A17F5C">
        <w:rPr>
          <w:rFonts w:ascii="Times New Roman" w:hAnsi="Times New Roman"/>
          <w:b/>
          <w:sz w:val="28"/>
          <w:szCs w:val="28"/>
        </w:rPr>
        <w:t>38.46 % /</w:t>
      </w:r>
      <w:r w:rsidRPr="00A17F5C">
        <w:rPr>
          <w:rFonts w:ascii="Times New Roman" w:hAnsi="Times New Roman"/>
          <w:sz w:val="28"/>
          <w:szCs w:val="28"/>
        </w:rPr>
        <w:t xml:space="preserve">за 2020 г.  24.14 %, а за 2019 г. – 27,27 %/. Този количествен показател сочи увеличаване на процента на постановените от съда откази по внесените искания за експлоатация на СРС. </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Мерки за неотклонение.</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отчетния период от Софийска градска прокуратура и Софийска районна прокуратура са изготвени и внесени </w:t>
      </w:r>
      <w:r w:rsidRPr="00A17F5C">
        <w:rPr>
          <w:rFonts w:ascii="Times New Roman" w:hAnsi="Times New Roman"/>
          <w:b/>
          <w:sz w:val="28"/>
          <w:szCs w:val="28"/>
        </w:rPr>
        <w:t xml:space="preserve">718 </w:t>
      </w:r>
      <w:r w:rsidRPr="00A17F5C">
        <w:rPr>
          <w:rFonts w:ascii="Times New Roman" w:hAnsi="Times New Roman"/>
          <w:sz w:val="28"/>
          <w:szCs w:val="28"/>
        </w:rPr>
        <w:t xml:space="preserve">броя искания за вземане на мярка за неотклонение „Задържане под стража” /при 798 броя за 2020 г., а за 2019 г. 747 броя/. От тях са уважени </w:t>
      </w:r>
      <w:r w:rsidRPr="00A17F5C">
        <w:rPr>
          <w:rFonts w:ascii="Times New Roman" w:hAnsi="Times New Roman"/>
          <w:b/>
          <w:sz w:val="28"/>
          <w:szCs w:val="28"/>
        </w:rPr>
        <w:t>541</w:t>
      </w:r>
      <w:r w:rsidRPr="00A17F5C">
        <w:rPr>
          <w:rFonts w:ascii="Times New Roman" w:hAnsi="Times New Roman"/>
          <w:sz w:val="28"/>
          <w:szCs w:val="28"/>
        </w:rPr>
        <w:t xml:space="preserve"> </w:t>
      </w:r>
      <w:r w:rsidRPr="00A17F5C">
        <w:rPr>
          <w:rFonts w:ascii="Times New Roman" w:hAnsi="Times New Roman"/>
          <w:b/>
          <w:sz w:val="28"/>
          <w:szCs w:val="28"/>
        </w:rPr>
        <w:t xml:space="preserve"> </w:t>
      </w:r>
      <w:r w:rsidRPr="00A17F5C">
        <w:rPr>
          <w:rFonts w:ascii="Times New Roman" w:hAnsi="Times New Roman"/>
          <w:sz w:val="28"/>
          <w:szCs w:val="28"/>
        </w:rPr>
        <w:t xml:space="preserve">броя искания или </w:t>
      </w:r>
      <w:r w:rsidRPr="00A17F5C">
        <w:rPr>
          <w:rFonts w:ascii="Times New Roman" w:hAnsi="Times New Roman"/>
          <w:b/>
          <w:sz w:val="28"/>
          <w:szCs w:val="28"/>
        </w:rPr>
        <w:t>75.35 %</w:t>
      </w:r>
      <w:r w:rsidRPr="00A17F5C">
        <w:rPr>
          <w:rFonts w:ascii="Times New Roman" w:hAnsi="Times New Roman"/>
          <w:sz w:val="28"/>
          <w:szCs w:val="28"/>
        </w:rPr>
        <w:t xml:space="preserve"> от всички внесени искания. Този показател говори, че прокурорите са изготвяли мотивирани искания и при правилна и законосъобразна преценка на предпоставките, визирани в чл.64 от НПК, което представлява запазване на тенденцията от предходния отчетен период.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Неуважените искания са общо </w:t>
      </w:r>
      <w:r w:rsidRPr="00A17F5C">
        <w:rPr>
          <w:rFonts w:ascii="Times New Roman" w:hAnsi="Times New Roman"/>
          <w:b/>
          <w:sz w:val="28"/>
          <w:szCs w:val="28"/>
        </w:rPr>
        <w:t>154</w:t>
      </w:r>
      <w:r w:rsidRPr="00A17F5C">
        <w:rPr>
          <w:rFonts w:ascii="Times New Roman" w:hAnsi="Times New Roman"/>
          <w:sz w:val="28"/>
          <w:szCs w:val="28"/>
        </w:rPr>
        <w:t xml:space="preserve"> броя, като от тях по </w:t>
      </w:r>
      <w:r w:rsidRPr="00A17F5C">
        <w:rPr>
          <w:rFonts w:ascii="Times New Roman" w:hAnsi="Times New Roman"/>
          <w:b/>
          <w:sz w:val="28"/>
          <w:szCs w:val="28"/>
        </w:rPr>
        <w:t>26</w:t>
      </w:r>
      <w:r w:rsidRPr="00A17F5C">
        <w:rPr>
          <w:rFonts w:ascii="Times New Roman" w:hAnsi="Times New Roman"/>
          <w:sz w:val="28"/>
          <w:szCs w:val="28"/>
        </w:rPr>
        <w:t xml:space="preserve"> броя е наложена мярка за неотклонение „Домашен арест” и по </w:t>
      </w:r>
      <w:r w:rsidRPr="00A17F5C">
        <w:rPr>
          <w:rFonts w:ascii="Times New Roman" w:hAnsi="Times New Roman"/>
          <w:b/>
          <w:sz w:val="28"/>
          <w:szCs w:val="28"/>
        </w:rPr>
        <w:t>98</w:t>
      </w:r>
      <w:r w:rsidRPr="00A17F5C">
        <w:rPr>
          <w:rFonts w:ascii="Times New Roman" w:hAnsi="Times New Roman"/>
          <w:sz w:val="28"/>
          <w:szCs w:val="28"/>
        </w:rPr>
        <w:t xml:space="preserve"> броя – друг вид мярка. Срещу определенията на съда са подадени </w:t>
      </w:r>
      <w:r w:rsidRPr="00A17F5C">
        <w:rPr>
          <w:rFonts w:ascii="Times New Roman" w:hAnsi="Times New Roman"/>
          <w:b/>
          <w:sz w:val="28"/>
          <w:szCs w:val="28"/>
        </w:rPr>
        <w:t xml:space="preserve">64 </w:t>
      </w:r>
      <w:r w:rsidRPr="00A17F5C">
        <w:rPr>
          <w:rFonts w:ascii="Times New Roman" w:hAnsi="Times New Roman"/>
          <w:sz w:val="28"/>
          <w:szCs w:val="28"/>
        </w:rPr>
        <w:t xml:space="preserve">броя протести, от които </w:t>
      </w:r>
      <w:r w:rsidRPr="00A17F5C">
        <w:rPr>
          <w:rFonts w:ascii="Times New Roman" w:hAnsi="Times New Roman"/>
          <w:b/>
          <w:sz w:val="28"/>
          <w:szCs w:val="28"/>
        </w:rPr>
        <w:t>27</w:t>
      </w:r>
      <w:r w:rsidRPr="00A17F5C">
        <w:rPr>
          <w:rFonts w:ascii="Times New Roman" w:hAnsi="Times New Roman"/>
          <w:sz w:val="28"/>
          <w:szCs w:val="28"/>
        </w:rPr>
        <w:t xml:space="preserve"> броя са уважени, а </w:t>
      </w:r>
      <w:r w:rsidRPr="00A17F5C">
        <w:rPr>
          <w:rFonts w:ascii="Times New Roman" w:hAnsi="Times New Roman"/>
          <w:b/>
          <w:sz w:val="28"/>
          <w:szCs w:val="28"/>
        </w:rPr>
        <w:t xml:space="preserve">35 </w:t>
      </w:r>
      <w:r w:rsidRPr="00A17F5C">
        <w:rPr>
          <w:rFonts w:ascii="Times New Roman" w:hAnsi="Times New Roman"/>
          <w:sz w:val="28"/>
          <w:szCs w:val="28"/>
        </w:rPr>
        <w:t>броя не са уважени.</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отчетния период </w:t>
      </w:r>
      <w:r w:rsidRPr="00A17F5C">
        <w:rPr>
          <w:rFonts w:ascii="Times New Roman" w:hAnsi="Times New Roman"/>
          <w:b/>
          <w:sz w:val="28"/>
          <w:szCs w:val="28"/>
        </w:rPr>
        <w:t xml:space="preserve">629 </w:t>
      </w:r>
      <w:r w:rsidRPr="00A17F5C">
        <w:rPr>
          <w:rFonts w:ascii="Times New Roman" w:hAnsi="Times New Roman"/>
          <w:sz w:val="28"/>
          <w:szCs w:val="28"/>
        </w:rPr>
        <w:t xml:space="preserve">обвиняеми лица са били с мярка за неотклонение „Задържане под стража” и </w:t>
      </w:r>
      <w:r w:rsidRPr="00A17F5C">
        <w:rPr>
          <w:rFonts w:ascii="Times New Roman" w:hAnsi="Times New Roman"/>
          <w:b/>
          <w:sz w:val="28"/>
          <w:szCs w:val="28"/>
        </w:rPr>
        <w:t>53</w:t>
      </w:r>
      <w:r w:rsidRPr="00A17F5C">
        <w:rPr>
          <w:rFonts w:ascii="Times New Roman" w:hAnsi="Times New Roman"/>
          <w:sz w:val="28"/>
          <w:szCs w:val="28"/>
        </w:rPr>
        <w:t xml:space="preserve"> обвиняеми лица - с мярка за неотклонение „Домашен арест”.</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В края на отчетния период по неприключени досъдебни производства с мярка за неотклонение „Задържане под стража” са били </w:t>
      </w:r>
      <w:r w:rsidRPr="00A17F5C">
        <w:rPr>
          <w:rFonts w:ascii="Times New Roman" w:hAnsi="Times New Roman"/>
          <w:b/>
          <w:sz w:val="28"/>
          <w:szCs w:val="28"/>
        </w:rPr>
        <w:t xml:space="preserve">146 </w:t>
      </w:r>
      <w:r w:rsidRPr="00A17F5C">
        <w:rPr>
          <w:rFonts w:ascii="Times New Roman" w:hAnsi="Times New Roman"/>
          <w:sz w:val="28"/>
          <w:szCs w:val="28"/>
        </w:rPr>
        <w:t>обвиняеми лица. Срочността на задържане на лицата е, както следва:</w:t>
      </w:r>
    </w:p>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 xml:space="preserve">     </w:t>
      </w:r>
      <w:r w:rsidRPr="00A17F5C">
        <w:rPr>
          <w:rFonts w:ascii="Times New Roman" w:hAnsi="Times New Roman"/>
          <w:sz w:val="28"/>
          <w:szCs w:val="28"/>
        </w:rPr>
        <w:tab/>
        <w:t xml:space="preserve">- в срок до 2 месеца - </w:t>
      </w:r>
      <w:r w:rsidRPr="00A17F5C">
        <w:rPr>
          <w:rFonts w:ascii="Times New Roman" w:hAnsi="Times New Roman"/>
          <w:b/>
          <w:sz w:val="28"/>
          <w:szCs w:val="28"/>
        </w:rPr>
        <w:t xml:space="preserve">60 </w:t>
      </w:r>
      <w:r w:rsidRPr="00A17F5C">
        <w:rPr>
          <w:rFonts w:ascii="Times New Roman" w:hAnsi="Times New Roman"/>
          <w:sz w:val="28"/>
          <w:szCs w:val="28"/>
        </w:rPr>
        <w:t>лица;</w:t>
      </w:r>
    </w:p>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 xml:space="preserve">     </w:t>
      </w:r>
      <w:r w:rsidRPr="00A17F5C">
        <w:rPr>
          <w:rFonts w:ascii="Times New Roman" w:hAnsi="Times New Roman"/>
          <w:sz w:val="28"/>
          <w:szCs w:val="28"/>
        </w:rPr>
        <w:tab/>
        <w:t xml:space="preserve">- в срок до 8 месеца - </w:t>
      </w:r>
      <w:r w:rsidRPr="00A17F5C">
        <w:rPr>
          <w:rFonts w:ascii="Times New Roman" w:hAnsi="Times New Roman"/>
          <w:b/>
          <w:sz w:val="28"/>
          <w:szCs w:val="28"/>
        </w:rPr>
        <w:t xml:space="preserve">85 </w:t>
      </w:r>
      <w:r w:rsidRPr="00A17F5C">
        <w:rPr>
          <w:rFonts w:ascii="Times New Roman" w:hAnsi="Times New Roman"/>
          <w:sz w:val="28"/>
          <w:szCs w:val="28"/>
        </w:rPr>
        <w:t>лица;</w:t>
      </w:r>
    </w:p>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 xml:space="preserve">     </w:t>
      </w:r>
      <w:r w:rsidRPr="00A17F5C">
        <w:rPr>
          <w:rFonts w:ascii="Times New Roman" w:hAnsi="Times New Roman"/>
          <w:sz w:val="28"/>
          <w:szCs w:val="28"/>
        </w:rPr>
        <w:tab/>
        <w:t>- в срок до 18 месеца -</w:t>
      </w:r>
      <w:r w:rsidRPr="00A17F5C">
        <w:rPr>
          <w:rFonts w:ascii="Times New Roman" w:hAnsi="Times New Roman"/>
          <w:b/>
          <w:sz w:val="28"/>
          <w:szCs w:val="28"/>
        </w:rPr>
        <w:t xml:space="preserve"> 1 </w:t>
      </w:r>
      <w:r w:rsidRPr="00A17F5C">
        <w:rPr>
          <w:rFonts w:ascii="Times New Roman" w:hAnsi="Times New Roman"/>
          <w:sz w:val="28"/>
          <w:szCs w:val="28"/>
        </w:rPr>
        <w:t>лице.</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отчетния период прокурорите при Софийска градска прокуратура и Софийска районна прокуратура са участвали в </w:t>
      </w:r>
      <w:r w:rsidRPr="00A17F5C">
        <w:rPr>
          <w:rFonts w:ascii="Times New Roman" w:hAnsi="Times New Roman"/>
          <w:b/>
          <w:sz w:val="28"/>
          <w:szCs w:val="28"/>
        </w:rPr>
        <w:t xml:space="preserve">1418 </w:t>
      </w:r>
      <w:r w:rsidRPr="00A17F5C">
        <w:rPr>
          <w:rFonts w:ascii="Times New Roman" w:hAnsi="Times New Roman"/>
          <w:sz w:val="28"/>
          <w:szCs w:val="28"/>
        </w:rPr>
        <w:t>броя съдебни заседания по мерки за неотклонение.</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2021 г. са изменени на основание чл. 63, ал. 5 от НПК – </w:t>
      </w:r>
      <w:r w:rsidRPr="00A17F5C">
        <w:rPr>
          <w:rFonts w:ascii="Times New Roman" w:hAnsi="Times New Roman"/>
          <w:b/>
          <w:sz w:val="28"/>
          <w:szCs w:val="28"/>
        </w:rPr>
        <w:t>7</w:t>
      </w:r>
      <w:r w:rsidRPr="00A17F5C">
        <w:rPr>
          <w:rFonts w:ascii="Times New Roman" w:hAnsi="Times New Roman"/>
          <w:sz w:val="28"/>
          <w:szCs w:val="28"/>
        </w:rPr>
        <w:t xml:space="preserve"> броя мерки за неотклонение „Задържане под стража“ и на основание чл. 63, ал. 6 от НПК – </w:t>
      </w:r>
      <w:r w:rsidRPr="00A17F5C">
        <w:rPr>
          <w:rFonts w:ascii="Times New Roman" w:hAnsi="Times New Roman"/>
          <w:b/>
          <w:sz w:val="28"/>
          <w:szCs w:val="28"/>
        </w:rPr>
        <w:t>13</w:t>
      </w:r>
      <w:r w:rsidRPr="00A17F5C">
        <w:rPr>
          <w:rFonts w:ascii="Times New Roman" w:hAnsi="Times New Roman"/>
          <w:sz w:val="28"/>
          <w:szCs w:val="28"/>
        </w:rPr>
        <w:t xml:space="preserve">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lastRenderedPageBreak/>
        <w:t xml:space="preserve">Съгласно чл.234, ал.8 от НПК отменени мерки за процесуална принуда от прокурор са </w:t>
      </w:r>
      <w:r w:rsidRPr="00A17F5C">
        <w:rPr>
          <w:rFonts w:ascii="Times New Roman" w:hAnsi="Times New Roman"/>
          <w:b/>
          <w:sz w:val="28"/>
          <w:szCs w:val="28"/>
        </w:rPr>
        <w:t>274</w:t>
      </w:r>
      <w:r w:rsidRPr="00A17F5C">
        <w:rPr>
          <w:rFonts w:ascii="Times New Roman" w:hAnsi="Times New Roman"/>
          <w:sz w:val="28"/>
          <w:szCs w:val="28"/>
        </w:rPr>
        <w:t xml:space="preserve">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b/>
          <w:sz w:val="28"/>
          <w:szCs w:val="28"/>
        </w:rPr>
        <w:t>Няма</w:t>
      </w:r>
      <w:r w:rsidRPr="00A17F5C">
        <w:rPr>
          <w:rFonts w:ascii="Times New Roman" w:hAnsi="Times New Roman"/>
          <w:sz w:val="28"/>
          <w:szCs w:val="28"/>
        </w:rPr>
        <w:t xml:space="preserve"> отменени мерки за процесуална принуда от съда на основание чл.234, ал.9 от НПК.</w:t>
      </w:r>
    </w:p>
    <w:p w:rsid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Изложените данни сочат както на спазване на максимално допустимите процесуални срокове на продължителност на наложените мерки за неотклонение „Задържане под стража“ и „Домашен арест“, така и на приоритетен надзор върху разследванията по тези дела с оглед постигане на максимално възможното спазване на установените срокове за разследване. Това се дължи и на създадената организация за засилен контрол над досъдебните производства, по които има задържани лица. Същите се взимат на приоритетен надзор, като веднъж седмично в СРП и в СГП на вниманието на наблюдаващите прокурори се изпраща справка за делата, по които има взета мярка за неотклонение „Задържане под стража“ или „Домашен арест”, с продължителност повече от два месеца /при СРП/, съответно 4 месеца /при СГП/. Ресорните заместник-градски прокурори изискват съвместен доклад от наблюдаващия прокурор и разследващия орган, относно предприетите и предстоящи процесуално - следствени действия по тези досъдебни производства. Контрол се упражнява и текущо от ръководителите на отдели, при удължаване на сроковете на разследване. </w:t>
      </w:r>
    </w:p>
    <w:p w:rsidR="0058663A" w:rsidRPr="00A17F5C" w:rsidRDefault="0058663A" w:rsidP="004D24A1">
      <w:pPr>
        <w:ind w:firstLine="708"/>
        <w:jc w:val="both"/>
        <w:rPr>
          <w:rFonts w:ascii="Times New Roman" w:hAnsi="Times New Roman"/>
          <w:sz w:val="28"/>
          <w:szCs w:val="28"/>
        </w:rPr>
      </w:pP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ДОСЪДЕБНИ ПРОИЗВОДСТВА ПО ВИДОВЕ РАЗСЛЕДВАЩИ ОРГАНИ. НАТОВАРЕНОСТ.</w:t>
      </w: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Досъдебни производства, разследвани по общия ред от разследващи полицаи.</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2021 г. прокурорите в Софийска градска прокуратура и Софийска районна прокуратура са наблюдавали </w:t>
      </w:r>
      <w:r w:rsidRPr="00A17F5C">
        <w:rPr>
          <w:rFonts w:ascii="Times New Roman" w:hAnsi="Times New Roman"/>
          <w:b/>
          <w:sz w:val="28"/>
          <w:szCs w:val="28"/>
        </w:rPr>
        <w:t>34127</w:t>
      </w:r>
      <w:r w:rsidRPr="00A17F5C">
        <w:rPr>
          <w:rFonts w:ascii="Times New Roman" w:hAnsi="Times New Roman"/>
          <w:sz w:val="28"/>
          <w:szCs w:val="28"/>
        </w:rPr>
        <w:t xml:space="preserve"> броя досъдебни производства, разследвани по общия ред /без прекратените по давност, но с включени преобразувани бързи производства/. От общия брой наблюдавани досъдебни производства, новообразувани са </w:t>
      </w:r>
      <w:r w:rsidRPr="00A17F5C">
        <w:rPr>
          <w:rFonts w:ascii="Times New Roman" w:hAnsi="Times New Roman"/>
          <w:b/>
          <w:sz w:val="28"/>
          <w:szCs w:val="28"/>
        </w:rPr>
        <w:t>15876</w:t>
      </w:r>
      <w:r w:rsidRPr="00A17F5C">
        <w:rPr>
          <w:rFonts w:ascii="Times New Roman" w:hAnsi="Times New Roman"/>
          <w:sz w:val="28"/>
          <w:szCs w:val="28"/>
        </w:rPr>
        <w:t xml:space="preserve"> броя досъдебни производства /при 17348 броя за 2020 г. и 19553 броя за 2019 г./.</w:t>
      </w:r>
    </w:p>
    <w:p w:rsidR="00A17F5C" w:rsidRPr="00A17F5C" w:rsidRDefault="00A17F5C" w:rsidP="004D24A1">
      <w:pPr>
        <w:jc w:val="both"/>
        <w:rPr>
          <w:rFonts w:ascii="Times New Roman" w:hAnsi="Times New Roman"/>
          <w:sz w:val="28"/>
          <w:szCs w:val="28"/>
        </w:rPr>
      </w:pPr>
      <w:r w:rsidRPr="00A17F5C">
        <w:rPr>
          <w:rFonts w:ascii="Times New Roman" w:hAnsi="Times New Roman"/>
          <w:sz w:val="28"/>
          <w:szCs w:val="28"/>
        </w:rPr>
        <w:t xml:space="preserve"> </w:t>
      </w:r>
      <w:r w:rsidR="0058663A">
        <w:rPr>
          <w:rFonts w:ascii="Times New Roman" w:hAnsi="Times New Roman"/>
          <w:sz w:val="28"/>
          <w:szCs w:val="28"/>
        </w:rPr>
        <w:tab/>
      </w:r>
      <w:r w:rsidRPr="00A17F5C">
        <w:rPr>
          <w:rFonts w:ascii="Times New Roman" w:hAnsi="Times New Roman"/>
          <w:sz w:val="28"/>
          <w:szCs w:val="28"/>
        </w:rPr>
        <w:t xml:space="preserve">От общо наблюдаваните досъдебни производства </w:t>
      </w:r>
      <w:r w:rsidRPr="00A17F5C">
        <w:rPr>
          <w:rFonts w:ascii="Times New Roman" w:hAnsi="Times New Roman"/>
          <w:b/>
          <w:sz w:val="28"/>
          <w:szCs w:val="28"/>
        </w:rPr>
        <w:t>32133</w:t>
      </w:r>
      <w:r w:rsidRPr="00A17F5C">
        <w:rPr>
          <w:rFonts w:ascii="Times New Roman" w:hAnsi="Times New Roman"/>
          <w:sz w:val="28"/>
          <w:szCs w:val="28"/>
        </w:rPr>
        <w:t xml:space="preserve"> броя производства са разследвани по общия ред от</w:t>
      </w:r>
      <w:r w:rsidRPr="00A17F5C">
        <w:rPr>
          <w:rFonts w:ascii="Times New Roman" w:hAnsi="Times New Roman"/>
          <w:i/>
          <w:sz w:val="28"/>
          <w:szCs w:val="28"/>
        </w:rPr>
        <w:t xml:space="preserve"> </w:t>
      </w:r>
      <w:r w:rsidRPr="00A17F5C">
        <w:rPr>
          <w:rFonts w:ascii="Times New Roman" w:hAnsi="Times New Roman"/>
          <w:sz w:val="28"/>
          <w:szCs w:val="28"/>
        </w:rPr>
        <w:t>разследващи полицаи</w:t>
      </w:r>
      <w:r w:rsidRPr="00A17F5C">
        <w:rPr>
          <w:rFonts w:ascii="Times New Roman" w:hAnsi="Times New Roman"/>
          <w:i/>
          <w:sz w:val="28"/>
          <w:szCs w:val="28"/>
        </w:rPr>
        <w:t xml:space="preserve">. </w:t>
      </w:r>
      <w:r w:rsidRPr="00A17F5C">
        <w:rPr>
          <w:rFonts w:ascii="Times New Roman" w:hAnsi="Times New Roman"/>
          <w:sz w:val="28"/>
          <w:szCs w:val="28"/>
        </w:rPr>
        <w:t xml:space="preserve">От тях новообразувани досъдебни производства разследвани по общия ред от разследващ полицай са </w:t>
      </w:r>
      <w:r w:rsidRPr="00A17F5C">
        <w:rPr>
          <w:rFonts w:ascii="Times New Roman" w:hAnsi="Times New Roman"/>
          <w:b/>
          <w:sz w:val="28"/>
          <w:szCs w:val="28"/>
        </w:rPr>
        <w:t>15453</w:t>
      </w:r>
      <w:r w:rsidRPr="00A17F5C">
        <w:rPr>
          <w:rFonts w:ascii="Times New Roman" w:hAnsi="Times New Roman"/>
          <w:sz w:val="28"/>
          <w:szCs w:val="28"/>
        </w:rPr>
        <w:t xml:space="preserve">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lastRenderedPageBreak/>
        <w:t>П</w:t>
      </w:r>
      <w:r w:rsidRPr="00A17F5C">
        <w:rPr>
          <w:rFonts w:ascii="Times New Roman" w:hAnsi="Times New Roman"/>
          <w:sz w:val="28"/>
          <w:szCs w:val="28"/>
          <w:lang w:val="en-US"/>
        </w:rPr>
        <w:t>рез 2021 г. щатната численост на разследващите полицаи в СДВР е 328, заетият щат е 306, а реално работилите през годината разследващи полицаи са 276. Общо разследваните дела през годината са 30767. Средната натовареност е по 111 дела на разследващ полицай.</w:t>
      </w:r>
    </w:p>
    <w:p w:rsidR="00A17F5C" w:rsidRPr="00A17F5C" w:rsidRDefault="00A17F5C" w:rsidP="004D24A1">
      <w:pPr>
        <w:ind w:firstLine="708"/>
        <w:jc w:val="both"/>
        <w:rPr>
          <w:rFonts w:ascii="Times New Roman" w:hAnsi="Times New Roman"/>
          <w:color w:val="000000"/>
          <w:sz w:val="28"/>
          <w:szCs w:val="28"/>
        </w:rPr>
      </w:pPr>
      <w:r w:rsidRPr="00A17F5C">
        <w:rPr>
          <w:rFonts w:ascii="Times New Roman" w:hAnsi="Times New Roman"/>
          <w:color w:val="000000"/>
          <w:sz w:val="28"/>
          <w:szCs w:val="28"/>
        </w:rPr>
        <w:t>През 2021 г. в Столична дирекция на вътрешните работи щатната численост, реалната заетост и натовареност на разследващите органи е както следва:</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01 РУ-СДВР щатната численост на разследващите полицаи е общо 3</w:t>
      </w:r>
      <w:r w:rsidRPr="00A17F5C">
        <w:rPr>
          <w:rFonts w:ascii="Times New Roman" w:hAnsi="Times New Roman"/>
          <w:sz w:val="28"/>
          <w:szCs w:val="28"/>
        </w:rPr>
        <w:t>5</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32,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2</w:t>
      </w:r>
      <w:r w:rsidRPr="00A17F5C">
        <w:rPr>
          <w:rFonts w:ascii="Times New Roman" w:hAnsi="Times New Roman"/>
          <w:sz w:val="28"/>
          <w:szCs w:val="28"/>
        </w:rPr>
        <w:t>3.</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3592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156</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2</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29</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29,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2</w:t>
      </w:r>
      <w:r w:rsidRPr="00A17F5C">
        <w:rPr>
          <w:rFonts w:ascii="Times New Roman" w:hAnsi="Times New Roman"/>
          <w:sz w:val="28"/>
          <w:szCs w:val="28"/>
        </w:rPr>
        <w:t>9.</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3607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124</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3</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31</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31,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2</w:t>
      </w:r>
      <w:r w:rsidRPr="00A17F5C">
        <w:rPr>
          <w:rFonts w:ascii="Times New Roman" w:hAnsi="Times New Roman"/>
          <w:sz w:val="28"/>
          <w:szCs w:val="28"/>
        </w:rPr>
        <w:t>8.</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3598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129</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4</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32</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30,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30.</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2759 със</w:t>
      </w:r>
      <w:r w:rsidRPr="00A17F5C">
        <w:rPr>
          <w:rFonts w:ascii="Times New Roman" w:hAnsi="Times New Roman"/>
          <w:sz w:val="28"/>
          <w:szCs w:val="28"/>
          <w:lang w:val="en-US"/>
        </w:rPr>
        <w:t xml:space="preserve"> 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92</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5</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28</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26,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24.</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2920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122</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6</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34</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28,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25.</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4139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166</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7</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30</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29,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26.</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производство</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2868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110</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lastRenderedPageBreak/>
        <w:t>В 0</w:t>
      </w:r>
      <w:r w:rsidRPr="00A17F5C">
        <w:rPr>
          <w:rFonts w:ascii="Times New Roman" w:hAnsi="Times New Roman"/>
          <w:sz w:val="28"/>
          <w:szCs w:val="28"/>
        </w:rPr>
        <w:t>8</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18</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16,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16.</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1945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122</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В 0</w:t>
      </w:r>
      <w:r w:rsidRPr="00A17F5C">
        <w:rPr>
          <w:rFonts w:ascii="Times New Roman" w:hAnsi="Times New Roman"/>
          <w:sz w:val="28"/>
          <w:szCs w:val="28"/>
        </w:rPr>
        <w:t>9</w:t>
      </w:r>
      <w:r w:rsidRPr="00A17F5C">
        <w:rPr>
          <w:rFonts w:ascii="Times New Roman" w:hAnsi="Times New Roman"/>
          <w:sz w:val="28"/>
          <w:szCs w:val="28"/>
          <w:lang w:val="en-US"/>
        </w:rPr>
        <w:t xml:space="preserve"> РУ-СДВР щатната численост на разследващите полицаи е общо </w:t>
      </w:r>
      <w:r w:rsidRPr="00A17F5C">
        <w:rPr>
          <w:rFonts w:ascii="Times New Roman" w:hAnsi="Times New Roman"/>
          <w:sz w:val="28"/>
          <w:szCs w:val="28"/>
        </w:rPr>
        <w:t>31</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28,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24.</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2587 със </w:t>
      </w:r>
      <w:r w:rsidRPr="00A17F5C">
        <w:rPr>
          <w:rFonts w:ascii="Times New Roman" w:hAnsi="Times New Roman"/>
          <w:sz w:val="28"/>
          <w:szCs w:val="28"/>
          <w:lang w:val="en-US"/>
        </w:rPr>
        <w:t xml:space="preserve">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108</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 xml:space="preserve">В </w:t>
      </w:r>
      <w:r w:rsidRPr="00A17F5C">
        <w:rPr>
          <w:rFonts w:ascii="Times New Roman" w:hAnsi="Times New Roman"/>
          <w:sz w:val="28"/>
          <w:szCs w:val="28"/>
        </w:rPr>
        <w:t>отдел „Разследване“</w:t>
      </w:r>
      <w:r w:rsidRPr="00A17F5C">
        <w:rPr>
          <w:rFonts w:ascii="Times New Roman" w:hAnsi="Times New Roman"/>
          <w:sz w:val="28"/>
          <w:szCs w:val="28"/>
          <w:lang w:val="en-US"/>
        </w:rPr>
        <w:t xml:space="preserve"> щатната численост на разследващите полицаи е общо </w:t>
      </w:r>
      <w:r w:rsidRPr="00A17F5C">
        <w:rPr>
          <w:rFonts w:ascii="Times New Roman" w:hAnsi="Times New Roman"/>
          <w:sz w:val="28"/>
          <w:szCs w:val="28"/>
        </w:rPr>
        <w:t>60</w:t>
      </w:r>
      <w:r w:rsidRPr="00A17F5C">
        <w:rPr>
          <w:rFonts w:ascii="Times New Roman" w:hAnsi="Times New Roman"/>
          <w:sz w:val="28"/>
          <w:szCs w:val="28"/>
          <w:lang w:val="en-US"/>
        </w:rPr>
        <w:t xml:space="preserve">, </w:t>
      </w:r>
      <w:r w:rsidRPr="00A17F5C">
        <w:rPr>
          <w:rFonts w:ascii="Times New Roman" w:hAnsi="Times New Roman"/>
          <w:sz w:val="28"/>
          <w:szCs w:val="28"/>
        </w:rPr>
        <w:t xml:space="preserve">зает щат 57, </w:t>
      </w:r>
      <w:r w:rsidRPr="00A17F5C">
        <w:rPr>
          <w:rFonts w:ascii="Times New Roman" w:hAnsi="Times New Roman"/>
          <w:sz w:val="28"/>
          <w:szCs w:val="28"/>
          <w:lang w:val="en-US"/>
        </w:rPr>
        <w:t>реално</w:t>
      </w:r>
      <w:r w:rsidRPr="00A17F5C">
        <w:rPr>
          <w:rFonts w:ascii="Times New Roman" w:hAnsi="Times New Roman"/>
          <w:sz w:val="28"/>
          <w:szCs w:val="28"/>
        </w:rPr>
        <w:t xml:space="preserve"> работещи разследващи полицаи са</w:t>
      </w:r>
      <w:r w:rsidRPr="00A17F5C">
        <w:rPr>
          <w:rFonts w:ascii="Times New Roman" w:hAnsi="Times New Roman"/>
          <w:sz w:val="28"/>
          <w:szCs w:val="28"/>
          <w:lang w:val="en-US"/>
        </w:rPr>
        <w:t xml:space="preserve"> </w:t>
      </w:r>
      <w:r w:rsidRPr="00A17F5C">
        <w:rPr>
          <w:rFonts w:ascii="Times New Roman" w:hAnsi="Times New Roman"/>
          <w:sz w:val="28"/>
          <w:szCs w:val="28"/>
        </w:rPr>
        <w:t>51.</w:t>
      </w:r>
      <w:r w:rsidRPr="00A17F5C">
        <w:rPr>
          <w:rFonts w:ascii="Times New Roman" w:hAnsi="Times New Roman"/>
          <w:sz w:val="28"/>
          <w:szCs w:val="28"/>
          <w:lang w:val="en-US"/>
        </w:rPr>
        <w:t xml:space="preserve"> </w:t>
      </w:r>
      <w:r w:rsidRPr="00A17F5C">
        <w:rPr>
          <w:rFonts w:ascii="Times New Roman" w:hAnsi="Times New Roman"/>
          <w:sz w:val="28"/>
          <w:szCs w:val="28"/>
        </w:rPr>
        <w:t>О</w:t>
      </w:r>
      <w:r w:rsidRPr="00A17F5C">
        <w:rPr>
          <w:rFonts w:ascii="Times New Roman" w:hAnsi="Times New Roman"/>
          <w:sz w:val="28"/>
          <w:szCs w:val="28"/>
          <w:lang w:val="en-US"/>
        </w:rPr>
        <w:t>бщ</w:t>
      </w:r>
      <w:r w:rsidRPr="00A17F5C">
        <w:rPr>
          <w:rFonts w:ascii="Times New Roman" w:hAnsi="Times New Roman"/>
          <w:sz w:val="28"/>
          <w:szCs w:val="28"/>
        </w:rPr>
        <w:t>ият брой водени досъдебни производства</w:t>
      </w:r>
      <w:r w:rsidRPr="00A17F5C">
        <w:rPr>
          <w:rFonts w:ascii="Times New Roman" w:hAnsi="Times New Roman"/>
          <w:sz w:val="28"/>
          <w:szCs w:val="28"/>
          <w:lang w:val="en-US"/>
        </w:rPr>
        <w:t xml:space="preserve"> през годината са </w:t>
      </w:r>
      <w:r w:rsidRPr="00A17F5C">
        <w:rPr>
          <w:rFonts w:ascii="Times New Roman" w:hAnsi="Times New Roman"/>
          <w:sz w:val="28"/>
          <w:szCs w:val="28"/>
        </w:rPr>
        <w:t xml:space="preserve">2752 със </w:t>
      </w:r>
      <w:r w:rsidRPr="00A17F5C">
        <w:rPr>
          <w:rFonts w:ascii="Times New Roman" w:hAnsi="Times New Roman"/>
          <w:sz w:val="28"/>
          <w:szCs w:val="28"/>
          <w:lang w:val="en-US"/>
        </w:rPr>
        <w:t xml:space="preserve"> средна натовареност </w:t>
      </w:r>
      <w:r w:rsidRPr="00A17F5C">
        <w:rPr>
          <w:rFonts w:ascii="Times New Roman" w:hAnsi="Times New Roman"/>
          <w:sz w:val="28"/>
          <w:szCs w:val="28"/>
        </w:rPr>
        <w:t>на разследващ полицай</w:t>
      </w:r>
      <w:r w:rsidRPr="00A17F5C">
        <w:rPr>
          <w:rFonts w:ascii="Times New Roman" w:hAnsi="Times New Roman"/>
          <w:sz w:val="28"/>
          <w:szCs w:val="28"/>
          <w:lang w:val="en-US"/>
        </w:rPr>
        <w:t xml:space="preserve"> </w:t>
      </w:r>
      <w:r w:rsidRPr="00A17F5C">
        <w:rPr>
          <w:rFonts w:ascii="Times New Roman" w:hAnsi="Times New Roman"/>
          <w:sz w:val="28"/>
          <w:szCs w:val="28"/>
        </w:rPr>
        <w:t xml:space="preserve"> 54</w:t>
      </w:r>
      <w:r w:rsidRPr="00A17F5C">
        <w:rPr>
          <w:rFonts w:ascii="Times New Roman" w:hAnsi="Times New Roman"/>
          <w:sz w:val="28"/>
          <w:szCs w:val="28"/>
          <w:lang w:val="en-US"/>
        </w:rPr>
        <w:t xml:space="preserve">.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 xml:space="preserve">През периода 01.01.2021 г. до 14.12.2021 г. утвърдената щатна структура на отдел “Разследване” </w:t>
      </w:r>
      <w:r w:rsidRPr="00A17F5C">
        <w:rPr>
          <w:rFonts w:ascii="Times New Roman" w:hAnsi="Times New Roman"/>
          <w:sz w:val="28"/>
          <w:szCs w:val="28"/>
        </w:rPr>
        <w:t>при ГД„НП“- МВР</w:t>
      </w:r>
      <w:r w:rsidRPr="00A17F5C">
        <w:rPr>
          <w:rFonts w:ascii="Times New Roman" w:hAnsi="Times New Roman"/>
          <w:sz w:val="28"/>
          <w:szCs w:val="28"/>
          <w:lang w:val="en-US"/>
        </w:rPr>
        <w:t xml:space="preserve"> била 54 щатни бройки. В същата се включва един главен разследващ полицай - началник на отдел, 19 държавни инспектори - главни разследващи полицаи в отдел, 32 инспектори - младши разследващ - старши разследващ полицай в отдел, 1 младши специалист - завеждащ веществени доказателства и 1 технически сътрудник.</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До средата на 2021 г. 15 служители, заемащи длъжност държавен инспектор - главен разследващ полицай, са били включени в Специализирано звено за подпомагане на разследването на престъпления по чл. 411а, ал. 1 от НПК и са изпълнявали служебните си задължения в Специализираната прокуратура, в изпълнение на Споразумение вх. №</w:t>
      </w:r>
      <w:r w:rsidRPr="00A17F5C">
        <w:rPr>
          <w:rFonts w:ascii="Times New Roman" w:hAnsi="Times New Roman"/>
          <w:sz w:val="28"/>
          <w:szCs w:val="28"/>
        </w:rPr>
        <w:t xml:space="preserve"> </w:t>
      </w:r>
      <w:r w:rsidRPr="00A17F5C">
        <w:rPr>
          <w:rFonts w:ascii="Times New Roman" w:hAnsi="Times New Roman"/>
          <w:sz w:val="28"/>
          <w:szCs w:val="28"/>
          <w:lang w:val="en-US"/>
        </w:rPr>
        <w:t>812100</w:t>
      </w:r>
      <w:r w:rsidRPr="00A17F5C">
        <w:rPr>
          <w:rFonts w:ascii="Times New Roman" w:hAnsi="Times New Roman"/>
          <w:sz w:val="28"/>
          <w:szCs w:val="28"/>
        </w:rPr>
        <w:t xml:space="preserve"> </w:t>
      </w:r>
      <w:r w:rsidRPr="00A17F5C">
        <w:rPr>
          <w:rFonts w:ascii="Times New Roman" w:hAnsi="Times New Roman"/>
          <w:sz w:val="28"/>
          <w:szCs w:val="28"/>
          <w:lang w:val="en-US"/>
        </w:rPr>
        <w:t>- 22512/17.12.2018 г. между Прокуратурата на Република България и МВР.</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През 2021 г. реално работещите служители в отдела по линия на разследване на досъдебни производства са били 35.</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t>Поради наложени кадрови промени в ГДНП, със заповед № 3286з-4527/15.12.2021 г. на директора на ГДНП-МВР служителите от отдел „Разследване“ и отдел “Методическо ръководство на дейността по разследване“ при ГДНП са преназначени в отдел „Разследване и методическо ръководство по разследването“.</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lang w:val="en-US"/>
        </w:rPr>
        <w:lastRenderedPageBreak/>
        <w:t>Новосформираният отдел е с пълна щатна численост от 47 служители, от които - началник на отдел, 44 разследващи полицаи, 1 отговорник веществени доказателства и 1 технически сътрудник.</w:t>
      </w:r>
    </w:p>
    <w:p w:rsidR="00A17F5C" w:rsidRPr="00A17F5C" w:rsidRDefault="00A17F5C" w:rsidP="004D24A1">
      <w:pPr>
        <w:widowControl w:val="0"/>
        <w:spacing w:after="0"/>
        <w:ind w:firstLine="708"/>
        <w:jc w:val="both"/>
        <w:rPr>
          <w:rFonts w:ascii="Times New Roman" w:eastAsia="Times New Roman" w:hAnsi="Times New Roman"/>
          <w:sz w:val="28"/>
          <w:szCs w:val="28"/>
          <w:lang w:val="en-US"/>
        </w:rPr>
      </w:pPr>
      <w:r w:rsidRPr="00A17F5C">
        <w:rPr>
          <w:rFonts w:ascii="Times New Roman" w:eastAsia="Times New Roman" w:hAnsi="Times New Roman"/>
          <w:sz w:val="28"/>
          <w:szCs w:val="28"/>
          <w:lang w:val="en-US"/>
        </w:rPr>
        <w:t>На шестнадесет от разследващите полицаи са възложени и функции по контрол и методическо ръководство на дейността по разследване.</w:t>
      </w:r>
    </w:p>
    <w:p w:rsidR="00A17F5C" w:rsidRPr="00A17F5C" w:rsidRDefault="00A17F5C" w:rsidP="004D24A1">
      <w:pPr>
        <w:widowControl w:val="0"/>
        <w:spacing w:after="0"/>
        <w:jc w:val="both"/>
        <w:rPr>
          <w:rFonts w:ascii="Times New Roman" w:eastAsia="Times New Roman" w:hAnsi="Times New Roman"/>
          <w:sz w:val="28"/>
          <w:szCs w:val="28"/>
        </w:rPr>
      </w:pPr>
    </w:p>
    <w:p w:rsidR="00A17F5C" w:rsidRPr="00A17F5C" w:rsidRDefault="00A17F5C" w:rsidP="004D24A1">
      <w:pPr>
        <w:widowControl w:val="0"/>
        <w:spacing w:after="0"/>
        <w:ind w:firstLine="708"/>
        <w:jc w:val="both"/>
        <w:rPr>
          <w:rFonts w:ascii="Times New Roman" w:eastAsia="Times New Roman" w:hAnsi="Times New Roman"/>
          <w:sz w:val="28"/>
          <w:szCs w:val="28"/>
        </w:rPr>
      </w:pPr>
      <w:r w:rsidRPr="00A17F5C">
        <w:rPr>
          <w:rFonts w:ascii="Times New Roman" w:eastAsia="Times New Roman" w:hAnsi="Times New Roman"/>
          <w:sz w:val="28"/>
          <w:szCs w:val="28"/>
          <w:lang w:val="en-US"/>
        </w:rPr>
        <w:t>През 2021 г. средната натовареност на служителите от отдела е била 23,4 досъдебни производства. За същия период през 2020 г. е 22 дела, като се наблюдава минимален ръст в натовареността на разследващите полицаи, дължащ се на увеличения общ брой на разследвани дела.</w:t>
      </w:r>
    </w:p>
    <w:p w:rsidR="00A17F5C" w:rsidRPr="00A17F5C" w:rsidRDefault="00A17F5C" w:rsidP="004D24A1">
      <w:pPr>
        <w:widowControl w:val="0"/>
        <w:spacing w:after="0"/>
        <w:jc w:val="both"/>
        <w:rPr>
          <w:rFonts w:ascii="Times New Roman" w:eastAsia="Times New Roman" w:hAnsi="Times New Roman"/>
          <w:sz w:val="28"/>
          <w:szCs w:val="28"/>
        </w:rPr>
      </w:pPr>
    </w:p>
    <w:p w:rsidR="00A17F5C" w:rsidRPr="00A17F5C" w:rsidRDefault="00A17F5C" w:rsidP="004D24A1">
      <w:pPr>
        <w:widowControl w:val="0"/>
        <w:spacing w:after="0"/>
        <w:ind w:firstLine="708"/>
        <w:jc w:val="both"/>
        <w:rPr>
          <w:rFonts w:ascii="Times New Roman" w:eastAsia="Times New Roman" w:hAnsi="Times New Roman"/>
          <w:sz w:val="28"/>
          <w:szCs w:val="28"/>
          <w:lang w:val="en-US"/>
        </w:rPr>
      </w:pPr>
      <w:r w:rsidRPr="00A17F5C">
        <w:rPr>
          <w:rFonts w:ascii="Times New Roman" w:eastAsia="Times New Roman" w:hAnsi="Times New Roman"/>
          <w:sz w:val="28"/>
          <w:szCs w:val="28"/>
          <w:lang w:val="en-US"/>
        </w:rPr>
        <w:t>Общият брой разследвани в отдела досъдебни производства е 818. Сред тях са досъдебни производства под надзора на Софийска градска прокуратура</w:t>
      </w:r>
      <w:r w:rsidRPr="00A17F5C">
        <w:rPr>
          <w:rFonts w:ascii="Times New Roman" w:eastAsia="Times New Roman" w:hAnsi="Times New Roman"/>
          <w:sz w:val="28"/>
          <w:szCs w:val="28"/>
        </w:rPr>
        <w:t>,</w:t>
      </w:r>
      <w:r w:rsidRPr="00A17F5C">
        <w:rPr>
          <w:rFonts w:ascii="Times New Roman" w:eastAsia="Times New Roman" w:hAnsi="Times New Roman"/>
          <w:sz w:val="28"/>
          <w:szCs w:val="28"/>
          <w:lang w:val="en-US"/>
        </w:rPr>
        <w:t xml:space="preserve"> Софийска окръжна прокуратура, Окръжна прокуратура - Перник, Специализираната прокуратура и Европейската прокуратура.</w:t>
      </w:r>
    </w:p>
    <w:p w:rsidR="00A17F5C" w:rsidRPr="00A17F5C" w:rsidRDefault="00A17F5C" w:rsidP="004D24A1">
      <w:pPr>
        <w:spacing w:after="0"/>
        <w:ind w:firstLine="720"/>
        <w:jc w:val="both"/>
        <w:rPr>
          <w:rFonts w:ascii="Times New Roman" w:hAnsi="Times New Roman"/>
          <w:sz w:val="28"/>
          <w:szCs w:val="28"/>
        </w:rPr>
      </w:pPr>
    </w:p>
    <w:p w:rsidR="00A17F5C" w:rsidRPr="00A17F5C" w:rsidRDefault="00A17F5C" w:rsidP="004D24A1">
      <w:pPr>
        <w:spacing w:after="0"/>
        <w:jc w:val="both"/>
        <w:rPr>
          <w:rFonts w:ascii="Times New Roman" w:hAnsi="Times New Roman"/>
          <w:sz w:val="28"/>
          <w:szCs w:val="28"/>
        </w:rPr>
      </w:pPr>
    </w:p>
    <w:p w:rsidR="00A17F5C" w:rsidRPr="00A17F5C" w:rsidRDefault="00A17F5C" w:rsidP="004D24A1">
      <w:pPr>
        <w:ind w:firstLine="708"/>
        <w:jc w:val="both"/>
        <w:rPr>
          <w:rFonts w:ascii="Times New Roman" w:hAnsi="Times New Roman"/>
          <w:b/>
          <w:sz w:val="28"/>
          <w:szCs w:val="28"/>
        </w:rPr>
      </w:pPr>
      <w:r w:rsidRPr="00A17F5C">
        <w:rPr>
          <w:rFonts w:ascii="Times New Roman" w:hAnsi="Times New Roman"/>
          <w:b/>
          <w:sz w:val="28"/>
          <w:szCs w:val="28"/>
        </w:rPr>
        <w:t>Досъдебни производства, разследвани по общия ред от следовател.</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2021 г. Софийска градска прокуратура и Софийска районна прокуратура са наблюдавали общо </w:t>
      </w:r>
      <w:r w:rsidRPr="00A17F5C">
        <w:rPr>
          <w:rFonts w:ascii="Times New Roman" w:hAnsi="Times New Roman"/>
          <w:b/>
          <w:sz w:val="28"/>
          <w:szCs w:val="28"/>
          <w:lang w:val="en-US"/>
        </w:rPr>
        <w:t>1</w:t>
      </w:r>
      <w:r w:rsidRPr="00A17F5C">
        <w:rPr>
          <w:rFonts w:ascii="Times New Roman" w:hAnsi="Times New Roman"/>
          <w:b/>
          <w:sz w:val="28"/>
          <w:szCs w:val="28"/>
        </w:rPr>
        <w:t>875</w:t>
      </w:r>
      <w:r w:rsidRPr="00A17F5C">
        <w:rPr>
          <w:rFonts w:ascii="Times New Roman" w:hAnsi="Times New Roman"/>
          <w:sz w:val="28"/>
          <w:szCs w:val="28"/>
        </w:rPr>
        <w:t xml:space="preserve"> броя досъдебни производства, разследвани по общия ред от следовател /в посочения показател не се включват прекратените по давност/. За сравнение през 2020  г. са наблюдавани общо 1861 броя и за 2019 г. – 1749 броя досъдебни производства разследвани по общия ред от следовател.</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Новообразуваните досъдебни производства, разследвани по общия ред от следовател, са </w:t>
      </w:r>
      <w:r w:rsidRPr="00A17F5C">
        <w:rPr>
          <w:rFonts w:ascii="Times New Roman" w:hAnsi="Times New Roman"/>
          <w:b/>
          <w:sz w:val="28"/>
          <w:szCs w:val="28"/>
        </w:rPr>
        <w:t>373</w:t>
      </w:r>
      <w:r w:rsidRPr="00A17F5C">
        <w:rPr>
          <w:rFonts w:ascii="Times New Roman" w:hAnsi="Times New Roman"/>
          <w:sz w:val="28"/>
          <w:szCs w:val="28"/>
        </w:rPr>
        <w:t xml:space="preserve"> броя /при 447 броя за 2020 г. и 396 броя за 2019 г./.</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През 2021 г. са възложени с постановление по реда на чл. 194, ал. 1, т. 4  от НПК на следовател </w:t>
      </w:r>
      <w:r w:rsidRPr="00A17F5C">
        <w:rPr>
          <w:rFonts w:ascii="Times New Roman" w:hAnsi="Times New Roman"/>
          <w:b/>
          <w:sz w:val="28"/>
          <w:szCs w:val="28"/>
        </w:rPr>
        <w:t>153</w:t>
      </w:r>
      <w:r w:rsidRPr="00A17F5C">
        <w:rPr>
          <w:rFonts w:ascii="Times New Roman" w:hAnsi="Times New Roman"/>
          <w:sz w:val="28"/>
          <w:szCs w:val="28"/>
        </w:rPr>
        <w:t xml:space="preserve"> броя ДП /при 218 броя за 2020 г. и 196 броя за 2019 г. /.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Делът на възложените за разследване от следовател дела по реда на чл. 194, ал. 1, т. 4 от НПК съставлява </w:t>
      </w:r>
      <w:r w:rsidRPr="00A17F5C">
        <w:rPr>
          <w:rFonts w:ascii="Times New Roman" w:hAnsi="Times New Roman"/>
          <w:b/>
          <w:sz w:val="28"/>
          <w:szCs w:val="28"/>
        </w:rPr>
        <w:t>0.45 %</w:t>
      </w:r>
      <w:r w:rsidRPr="00A17F5C">
        <w:rPr>
          <w:rFonts w:ascii="Times New Roman" w:hAnsi="Times New Roman"/>
          <w:sz w:val="28"/>
          <w:szCs w:val="28"/>
        </w:rPr>
        <w:t xml:space="preserve"> от общия брой наблюдавани досъдебни производства, разследвани по общия ред вкл. преобразуваните бързи производства /при 0,63 % за 2020 г. и 0,54 % за 2019 г./. </w:t>
      </w:r>
    </w:p>
    <w:p w:rsidR="00A17F5C" w:rsidRPr="00A17F5C" w:rsidRDefault="00A17F5C" w:rsidP="004D24A1">
      <w:pPr>
        <w:ind w:firstLine="708"/>
        <w:jc w:val="both"/>
        <w:rPr>
          <w:rFonts w:ascii="Times New Roman" w:hAnsi="Times New Roman"/>
          <w:color w:val="000000"/>
          <w:sz w:val="28"/>
          <w:szCs w:val="28"/>
        </w:rPr>
      </w:pPr>
      <w:r w:rsidRPr="00A17F5C">
        <w:rPr>
          <w:rFonts w:ascii="Times New Roman" w:hAnsi="Times New Roman"/>
          <w:color w:val="000000"/>
          <w:sz w:val="28"/>
          <w:szCs w:val="28"/>
        </w:rPr>
        <w:t xml:space="preserve">През 2021 г. следователите при Отдел „Следствен“ на СГП за отчетния период са разследвали общо </w:t>
      </w:r>
      <w:r w:rsidRPr="00A17F5C">
        <w:rPr>
          <w:rFonts w:ascii="Times New Roman" w:hAnsi="Times New Roman"/>
          <w:b/>
          <w:color w:val="000000"/>
          <w:sz w:val="28"/>
          <w:szCs w:val="28"/>
        </w:rPr>
        <w:t>1567</w:t>
      </w:r>
      <w:r w:rsidRPr="00A17F5C">
        <w:rPr>
          <w:rFonts w:ascii="Times New Roman" w:hAnsi="Times New Roman"/>
          <w:color w:val="000000"/>
          <w:sz w:val="28"/>
          <w:szCs w:val="28"/>
        </w:rPr>
        <w:t xml:space="preserve"> броя досъдебни производства. От тях са </w:t>
      </w:r>
      <w:r w:rsidRPr="00A17F5C">
        <w:rPr>
          <w:rFonts w:ascii="Times New Roman" w:hAnsi="Times New Roman"/>
          <w:color w:val="000000"/>
          <w:sz w:val="28"/>
          <w:szCs w:val="28"/>
        </w:rPr>
        <w:lastRenderedPageBreak/>
        <w:t xml:space="preserve">приключили </w:t>
      </w:r>
      <w:r w:rsidRPr="00A17F5C">
        <w:rPr>
          <w:rFonts w:ascii="Times New Roman" w:hAnsi="Times New Roman"/>
          <w:b/>
          <w:color w:val="000000"/>
          <w:sz w:val="28"/>
          <w:szCs w:val="28"/>
        </w:rPr>
        <w:t>522</w:t>
      </w:r>
      <w:r w:rsidRPr="00A17F5C">
        <w:rPr>
          <w:rFonts w:ascii="Times New Roman" w:hAnsi="Times New Roman"/>
          <w:color w:val="000000"/>
          <w:sz w:val="28"/>
          <w:szCs w:val="28"/>
        </w:rPr>
        <w:t xml:space="preserve"> броя досъдебни производства, разследвани по общия ред, като </w:t>
      </w:r>
      <w:r w:rsidRPr="00A17F5C">
        <w:rPr>
          <w:rFonts w:ascii="Times New Roman" w:hAnsi="Times New Roman"/>
          <w:b/>
          <w:color w:val="000000"/>
          <w:sz w:val="28"/>
          <w:szCs w:val="28"/>
        </w:rPr>
        <w:t>95</w:t>
      </w:r>
      <w:r w:rsidRPr="00A17F5C">
        <w:rPr>
          <w:rFonts w:ascii="Times New Roman" w:hAnsi="Times New Roman"/>
          <w:color w:val="000000"/>
          <w:sz w:val="28"/>
          <w:szCs w:val="28"/>
        </w:rPr>
        <w:t xml:space="preserve"> броя досъдебни производства са срещу известен извършител, приключени с мнение за съд – </w:t>
      </w:r>
      <w:r w:rsidRPr="00A17F5C">
        <w:rPr>
          <w:rFonts w:ascii="Times New Roman" w:hAnsi="Times New Roman"/>
          <w:b/>
          <w:color w:val="000000"/>
          <w:sz w:val="28"/>
          <w:szCs w:val="28"/>
        </w:rPr>
        <w:t>44</w:t>
      </w:r>
      <w:r w:rsidRPr="00A17F5C">
        <w:rPr>
          <w:rFonts w:ascii="Times New Roman" w:hAnsi="Times New Roman"/>
          <w:color w:val="000000"/>
          <w:sz w:val="28"/>
          <w:szCs w:val="28"/>
        </w:rPr>
        <w:t xml:space="preserve"> броя</w:t>
      </w:r>
      <w:r w:rsidRPr="00A17F5C">
        <w:rPr>
          <w:rFonts w:ascii="Times New Roman" w:hAnsi="Times New Roman"/>
          <w:color w:val="000000"/>
          <w:sz w:val="28"/>
          <w:szCs w:val="28"/>
          <w:lang w:val="en-US"/>
        </w:rPr>
        <w:t xml:space="preserve"> по отношение на </w:t>
      </w:r>
      <w:r w:rsidRPr="00A17F5C">
        <w:rPr>
          <w:rFonts w:ascii="Times New Roman" w:hAnsi="Times New Roman"/>
          <w:b/>
          <w:color w:val="000000"/>
          <w:sz w:val="28"/>
          <w:szCs w:val="28"/>
        </w:rPr>
        <w:t>51</w:t>
      </w:r>
      <w:r w:rsidRPr="00A17F5C">
        <w:rPr>
          <w:rFonts w:ascii="Times New Roman" w:hAnsi="Times New Roman"/>
          <w:color w:val="000000"/>
          <w:sz w:val="28"/>
          <w:szCs w:val="28"/>
          <w:lang w:val="en-US"/>
        </w:rPr>
        <w:t xml:space="preserve"> лица</w:t>
      </w:r>
      <w:r w:rsidRPr="00A17F5C">
        <w:rPr>
          <w:rFonts w:ascii="Times New Roman" w:hAnsi="Times New Roman"/>
          <w:color w:val="000000"/>
          <w:sz w:val="28"/>
          <w:szCs w:val="28"/>
        </w:rPr>
        <w:t xml:space="preserve">. През отчетния период са възложени за изпълнение поръчки за международна правна помощ  </w:t>
      </w:r>
      <w:r w:rsidRPr="00A17F5C">
        <w:rPr>
          <w:rFonts w:ascii="Times New Roman" w:hAnsi="Times New Roman"/>
          <w:b/>
          <w:color w:val="000000"/>
          <w:sz w:val="28"/>
          <w:szCs w:val="28"/>
        </w:rPr>
        <w:t>393</w:t>
      </w:r>
      <w:r w:rsidRPr="00A17F5C">
        <w:rPr>
          <w:rFonts w:ascii="Times New Roman" w:hAnsi="Times New Roman"/>
          <w:color w:val="000000"/>
          <w:sz w:val="28"/>
          <w:szCs w:val="28"/>
        </w:rPr>
        <w:t xml:space="preserve"> броя. Следователите при СО – СГП са работили по </w:t>
      </w:r>
      <w:r w:rsidRPr="00A17F5C">
        <w:rPr>
          <w:rFonts w:ascii="Times New Roman" w:hAnsi="Times New Roman"/>
          <w:b/>
          <w:color w:val="000000"/>
          <w:sz w:val="28"/>
          <w:szCs w:val="28"/>
        </w:rPr>
        <w:t xml:space="preserve">1436 </w:t>
      </w:r>
      <w:r w:rsidRPr="00A17F5C">
        <w:rPr>
          <w:rFonts w:ascii="Times New Roman" w:hAnsi="Times New Roman"/>
          <w:color w:val="000000"/>
          <w:sz w:val="28"/>
          <w:szCs w:val="28"/>
        </w:rPr>
        <w:t xml:space="preserve">броя следствени поръчки. </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Приключени досъдебни производства от следовател:</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 с мнение за прекратяване на основание чл. 24, ал. 1, т. 1 от НПК са били </w:t>
      </w:r>
      <w:r w:rsidRPr="00A17F5C">
        <w:rPr>
          <w:rFonts w:ascii="Times New Roman" w:hAnsi="Times New Roman"/>
          <w:b/>
          <w:sz w:val="28"/>
          <w:szCs w:val="28"/>
        </w:rPr>
        <w:t>151</w:t>
      </w:r>
      <w:r w:rsidRPr="00A17F5C">
        <w:rPr>
          <w:rFonts w:ascii="Times New Roman" w:hAnsi="Times New Roman"/>
          <w:sz w:val="28"/>
          <w:szCs w:val="28"/>
        </w:rPr>
        <w:t xml:space="preserve">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 с мнение за прекратяване на друго основание – </w:t>
      </w:r>
      <w:r w:rsidRPr="00A17F5C">
        <w:rPr>
          <w:rFonts w:ascii="Times New Roman" w:hAnsi="Times New Roman"/>
          <w:b/>
          <w:sz w:val="28"/>
          <w:szCs w:val="28"/>
        </w:rPr>
        <w:t xml:space="preserve">100 </w:t>
      </w:r>
      <w:r w:rsidRPr="00A17F5C">
        <w:rPr>
          <w:rFonts w:ascii="Times New Roman" w:hAnsi="Times New Roman"/>
          <w:sz w:val="28"/>
          <w:szCs w:val="28"/>
        </w:rPr>
        <w:t>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 с мнение за спиране на основание чл. 244, ал. 1, т. 2 от НПК – </w:t>
      </w:r>
      <w:r w:rsidRPr="00A17F5C">
        <w:rPr>
          <w:rFonts w:ascii="Times New Roman" w:hAnsi="Times New Roman"/>
          <w:b/>
          <w:sz w:val="28"/>
          <w:szCs w:val="28"/>
        </w:rPr>
        <w:t>120</w:t>
      </w:r>
      <w:r w:rsidRPr="00A17F5C">
        <w:rPr>
          <w:rFonts w:ascii="Times New Roman" w:hAnsi="Times New Roman"/>
          <w:sz w:val="28"/>
          <w:szCs w:val="28"/>
        </w:rPr>
        <w:t xml:space="preserve">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 с мнение за спиране на друго основание – </w:t>
      </w:r>
      <w:r w:rsidRPr="00A17F5C">
        <w:rPr>
          <w:rFonts w:ascii="Times New Roman" w:hAnsi="Times New Roman"/>
          <w:b/>
          <w:sz w:val="28"/>
          <w:szCs w:val="28"/>
        </w:rPr>
        <w:t>70</w:t>
      </w:r>
      <w:r w:rsidRPr="00A17F5C">
        <w:rPr>
          <w:rFonts w:ascii="Times New Roman" w:hAnsi="Times New Roman"/>
          <w:sz w:val="28"/>
          <w:szCs w:val="28"/>
        </w:rPr>
        <w:t xml:space="preserve"> броя;</w:t>
      </w:r>
    </w:p>
    <w:p w:rsidR="00A17F5C" w:rsidRPr="00A17F5C" w:rsidRDefault="00A17F5C" w:rsidP="004D24A1">
      <w:pPr>
        <w:ind w:firstLine="708"/>
        <w:jc w:val="both"/>
        <w:rPr>
          <w:rFonts w:ascii="Times New Roman" w:hAnsi="Times New Roman"/>
          <w:sz w:val="28"/>
          <w:szCs w:val="28"/>
        </w:rPr>
      </w:pPr>
      <w:r w:rsidRPr="00A17F5C">
        <w:rPr>
          <w:rFonts w:ascii="Times New Roman" w:hAnsi="Times New Roman"/>
          <w:sz w:val="28"/>
          <w:szCs w:val="28"/>
        </w:rPr>
        <w:t xml:space="preserve">- с мнение за изпращане на друга служба – </w:t>
      </w:r>
      <w:r w:rsidRPr="00A17F5C">
        <w:rPr>
          <w:rFonts w:ascii="Times New Roman" w:hAnsi="Times New Roman"/>
          <w:b/>
          <w:sz w:val="28"/>
          <w:szCs w:val="28"/>
        </w:rPr>
        <w:t>34</w:t>
      </w:r>
      <w:r w:rsidRPr="00A17F5C">
        <w:rPr>
          <w:rFonts w:ascii="Times New Roman" w:hAnsi="Times New Roman"/>
          <w:sz w:val="28"/>
          <w:szCs w:val="28"/>
        </w:rPr>
        <w:t xml:space="preserve"> броя;</w:t>
      </w:r>
    </w:p>
    <w:p w:rsid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 xml:space="preserve">- с мнение за присъединяване – </w:t>
      </w:r>
      <w:r w:rsidRPr="00A17F5C">
        <w:rPr>
          <w:rFonts w:ascii="Times New Roman" w:hAnsi="Times New Roman"/>
          <w:b/>
          <w:sz w:val="28"/>
          <w:szCs w:val="28"/>
        </w:rPr>
        <w:t>3</w:t>
      </w:r>
      <w:r w:rsidRPr="00A17F5C">
        <w:rPr>
          <w:rFonts w:ascii="Times New Roman" w:hAnsi="Times New Roman"/>
          <w:sz w:val="28"/>
          <w:szCs w:val="28"/>
        </w:rPr>
        <w:t xml:space="preserve"> броя.</w:t>
      </w:r>
    </w:p>
    <w:p w:rsidR="0058663A" w:rsidRPr="00A17F5C" w:rsidRDefault="0058663A" w:rsidP="004D24A1">
      <w:pPr>
        <w:spacing w:after="0"/>
        <w:ind w:firstLine="708"/>
        <w:jc w:val="both"/>
        <w:rPr>
          <w:rFonts w:ascii="Times New Roman" w:hAnsi="Times New Roman"/>
          <w:sz w:val="28"/>
          <w:szCs w:val="28"/>
        </w:rPr>
      </w:pPr>
    </w:p>
    <w:p w:rsidR="00A17F5C" w:rsidRPr="00A17F5C" w:rsidRDefault="0058663A" w:rsidP="004D24A1">
      <w:pPr>
        <w:tabs>
          <w:tab w:val="left" w:pos="1267"/>
        </w:tabs>
        <w:spacing w:after="0"/>
        <w:ind w:right="1464"/>
        <w:jc w:val="both"/>
        <w:rPr>
          <w:rFonts w:ascii="Times New Roman" w:eastAsia="Times New Roman" w:hAnsi="Times New Roman"/>
          <w:sz w:val="28"/>
          <w:szCs w:val="28"/>
        </w:rPr>
      </w:pPr>
      <w:r>
        <w:rPr>
          <w:rFonts w:ascii="Times New Roman" w:eastAsia="Times New Roman" w:hAnsi="Times New Roman"/>
          <w:sz w:val="28"/>
          <w:szCs w:val="28"/>
        </w:rPr>
        <w:tab/>
      </w:r>
      <w:r w:rsidR="00A17F5C" w:rsidRPr="00A17F5C">
        <w:rPr>
          <w:rFonts w:ascii="Times New Roman" w:eastAsia="Times New Roman" w:hAnsi="Times New Roman"/>
          <w:sz w:val="28"/>
          <w:szCs w:val="28"/>
        </w:rPr>
        <w:t xml:space="preserve">На производство неприключени са </w:t>
      </w:r>
      <w:r w:rsidR="00A17F5C" w:rsidRPr="00A17F5C">
        <w:rPr>
          <w:rFonts w:ascii="Times New Roman" w:eastAsia="Times New Roman" w:hAnsi="Times New Roman"/>
          <w:b/>
          <w:sz w:val="28"/>
          <w:szCs w:val="28"/>
        </w:rPr>
        <w:t>1045</w:t>
      </w:r>
      <w:r w:rsidR="00A17F5C" w:rsidRPr="00A17F5C">
        <w:rPr>
          <w:rFonts w:ascii="Times New Roman" w:eastAsia="Times New Roman" w:hAnsi="Times New Roman"/>
          <w:sz w:val="28"/>
          <w:szCs w:val="28"/>
        </w:rPr>
        <w:t xml:space="preserve"> броя досъдебни производства.</w:t>
      </w:r>
    </w:p>
    <w:p w:rsidR="00A17F5C" w:rsidRPr="00A17F5C" w:rsidRDefault="0058663A" w:rsidP="004D24A1">
      <w:pPr>
        <w:tabs>
          <w:tab w:val="left" w:pos="1267"/>
        </w:tabs>
        <w:spacing w:after="0"/>
        <w:ind w:right="1464"/>
        <w:jc w:val="both"/>
        <w:rPr>
          <w:rFonts w:ascii="Times New Roman" w:eastAsia="Times New Roman" w:hAnsi="Times New Roman"/>
          <w:b/>
          <w:bCs/>
          <w:spacing w:val="2"/>
          <w:sz w:val="28"/>
          <w:szCs w:val="28"/>
          <w:shd w:val="clear" w:color="auto" w:fill="FFFFFF"/>
        </w:rPr>
      </w:pPr>
      <w:r>
        <w:rPr>
          <w:rFonts w:ascii="Times New Roman" w:eastAsia="Times New Roman" w:hAnsi="Times New Roman"/>
          <w:sz w:val="28"/>
          <w:szCs w:val="28"/>
        </w:rPr>
        <w:tab/>
      </w:r>
      <w:r w:rsidR="00A17F5C" w:rsidRPr="00A17F5C">
        <w:rPr>
          <w:rFonts w:ascii="Times New Roman" w:eastAsia="Times New Roman" w:hAnsi="Times New Roman"/>
          <w:sz w:val="28"/>
          <w:szCs w:val="28"/>
          <w:lang w:val="en-US"/>
        </w:rPr>
        <w:t>Поръчките за МПП/ЕЗР са</w:t>
      </w:r>
      <w:r w:rsidR="00A17F5C" w:rsidRPr="00A17F5C">
        <w:rPr>
          <w:rFonts w:ascii="Times New Roman" w:eastAsia="Times New Roman" w:hAnsi="Times New Roman"/>
          <w:b/>
          <w:bCs/>
          <w:spacing w:val="2"/>
          <w:sz w:val="28"/>
          <w:szCs w:val="28"/>
          <w:shd w:val="clear" w:color="auto" w:fill="FFFFFF"/>
          <w:lang w:val="en-US"/>
        </w:rPr>
        <w:t xml:space="preserve"> </w:t>
      </w:r>
      <w:r w:rsidR="00A17F5C" w:rsidRPr="00A17F5C">
        <w:rPr>
          <w:rFonts w:ascii="Times New Roman" w:eastAsia="Times New Roman" w:hAnsi="Times New Roman"/>
          <w:b/>
          <w:bCs/>
          <w:spacing w:val="2"/>
          <w:sz w:val="28"/>
          <w:szCs w:val="28"/>
          <w:shd w:val="clear" w:color="auto" w:fill="FFFFFF"/>
        </w:rPr>
        <w:t>393</w:t>
      </w:r>
      <w:r w:rsidR="00A17F5C" w:rsidRPr="00A17F5C">
        <w:rPr>
          <w:rFonts w:ascii="Times New Roman" w:eastAsia="Times New Roman" w:hAnsi="Times New Roman"/>
          <w:b/>
          <w:bCs/>
          <w:spacing w:val="2"/>
          <w:sz w:val="28"/>
          <w:szCs w:val="28"/>
          <w:shd w:val="clear" w:color="auto" w:fill="FFFFFF"/>
          <w:lang w:val="en-US"/>
        </w:rPr>
        <w:t>.</w:t>
      </w:r>
      <w:r w:rsidR="00A17F5C" w:rsidRPr="00A17F5C">
        <w:rPr>
          <w:rFonts w:ascii="Times New Roman" w:eastAsia="Times New Roman" w:hAnsi="Times New Roman"/>
          <w:sz w:val="28"/>
          <w:szCs w:val="28"/>
        </w:rPr>
        <w:t xml:space="preserve"> </w:t>
      </w:r>
      <w:r w:rsidR="00A17F5C" w:rsidRPr="00A17F5C">
        <w:rPr>
          <w:rFonts w:ascii="Times New Roman" w:eastAsia="Times New Roman" w:hAnsi="Times New Roman"/>
          <w:sz w:val="28"/>
          <w:szCs w:val="28"/>
          <w:lang w:val="en-US"/>
        </w:rPr>
        <w:t>Следствените поръчки от страната /делегации/ са</w:t>
      </w:r>
      <w:r w:rsidR="00A17F5C" w:rsidRPr="00A17F5C">
        <w:rPr>
          <w:rFonts w:ascii="Times New Roman" w:eastAsia="Times New Roman" w:hAnsi="Times New Roman"/>
          <w:b/>
          <w:bCs/>
          <w:spacing w:val="2"/>
          <w:sz w:val="28"/>
          <w:szCs w:val="28"/>
          <w:shd w:val="clear" w:color="auto" w:fill="FFFFFF"/>
          <w:lang w:val="en-US"/>
        </w:rPr>
        <w:t xml:space="preserve"> 1</w:t>
      </w:r>
      <w:r w:rsidR="00A17F5C" w:rsidRPr="00A17F5C">
        <w:rPr>
          <w:rFonts w:ascii="Times New Roman" w:eastAsia="Times New Roman" w:hAnsi="Times New Roman"/>
          <w:b/>
          <w:bCs/>
          <w:spacing w:val="2"/>
          <w:sz w:val="28"/>
          <w:szCs w:val="28"/>
          <w:shd w:val="clear" w:color="auto" w:fill="FFFFFF"/>
        </w:rPr>
        <w:t>436</w:t>
      </w:r>
      <w:r w:rsidR="00A17F5C" w:rsidRPr="00A17F5C">
        <w:rPr>
          <w:rFonts w:ascii="Times New Roman" w:eastAsia="Times New Roman" w:hAnsi="Times New Roman"/>
          <w:b/>
          <w:bCs/>
          <w:spacing w:val="2"/>
          <w:sz w:val="28"/>
          <w:szCs w:val="28"/>
          <w:shd w:val="clear" w:color="auto" w:fill="FFFFFF"/>
          <w:lang w:val="en-US"/>
        </w:rPr>
        <w:t>.</w:t>
      </w:r>
    </w:p>
    <w:p w:rsidR="00A17F5C" w:rsidRPr="00A17F5C" w:rsidRDefault="00A17F5C" w:rsidP="004D24A1">
      <w:pPr>
        <w:tabs>
          <w:tab w:val="left" w:pos="1267"/>
        </w:tabs>
        <w:spacing w:after="0"/>
        <w:ind w:right="1464"/>
        <w:jc w:val="both"/>
        <w:rPr>
          <w:rFonts w:ascii="Times New Roman" w:eastAsia="Times New Roman" w:hAnsi="Times New Roman"/>
          <w:b/>
          <w:bCs/>
          <w:spacing w:val="2"/>
          <w:sz w:val="28"/>
          <w:szCs w:val="28"/>
          <w:shd w:val="clear" w:color="auto" w:fill="FFFFFF"/>
        </w:rPr>
      </w:pP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За 2021г. утвърдения щат за СО-СГП е 72 щ. бр. съответно – 1 завеждащ СО-СГП, 62 следователи и 9 младши следователи.</w:t>
      </w: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Към 31.12.2021 г. заетия щат на СО-СГП е както следва: 1 завеждащ СО-СГП, 56 следователи и 7 младши следователи.</w:t>
      </w: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Незаети бройки в рамките на щатната численост към същата дата са 6 щ. бр. следовател и 2 щ. бр. младши следовател.</w:t>
      </w:r>
    </w:p>
    <w:p w:rsidR="00A17F5C" w:rsidRPr="00A17F5C" w:rsidRDefault="00A17F5C" w:rsidP="004D24A1">
      <w:pPr>
        <w:spacing w:after="0"/>
        <w:jc w:val="both"/>
        <w:rPr>
          <w:rFonts w:ascii="Times New Roman" w:hAnsi="Times New Roman"/>
          <w:sz w:val="28"/>
          <w:szCs w:val="28"/>
        </w:rPr>
      </w:pPr>
      <w:r w:rsidRPr="00A17F5C">
        <w:rPr>
          <w:rFonts w:ascii="Times New Roman" w:hAnsi="Times New Roman"/>
          <w:sz w:val="28"/>
          <w:szCs w:val="28"/>
        </w:rPr>
        <w:t>Реално работили следователи за 2021 г. – 52.</w:t>
      </w:r>
    </w:p>
    <w:p w:rsidR="00A17F5C" w:rsidRPr="00A17F5C" w:rsidRDefault="00A17F5C" w:rsidP="004D24A1">
      <w:pPr>
        <w:spacing w:after="0"/>
        <w:jc w:val="both"/>
        <w:rPr>
          <w:rFonts w:ascii="Times New Roman" w:hAnsi="Times New Roman"/>
          <w:b/>
          <w:sz w:val="28"/>
          <w:szCs w:val="28"/>
        </w:rPr>
      </w:pPr>
    </w:p>
    <w:p w:rsidR="00A17F5C" w:rsidRPr="00A17F5C" w:rsidRDefault="00A17F5C" w:rsidP="004D24A1">
      <w:pPr>
        <w:spacing w:after="0"/>
        <w:ind w:firstLine="708"/>
        <w:jc w:val="both"/>
        <w:rPr>
          <w:rFonts w:ascii="Times New Roman" w:hAnsi="Times New Roman"/>
          <w:b/>
          <w:color w:val="000000"/>
          <w:sz w:val="28"/>
          <w:szCs w:val="28"/>
        </w:rPr>
      </w:pPr>
      <w:r w:rsidRPr="00A17F5C">
        <w:rPr>
          <w:rFonts w:ascii="Times New Roman" w:hAnsi="Times New Roman"/>
          <w:b/>
          <w:color w:val="000000"/>
          <w:sz w:val="28"/>
          <w:szCs w:val="28"/>
        </w:rPr>
        <w:t>Досъдебни производства, разследвани по общия ред от митнически инспектор.</w:t>
      </w:r>
    </w:p>
    <w:p w:rsidR="00A17F5C" w:rsidRPr="00A17F5C" w:rsidRDefault="00A17F5C" w:rsidP="004D24A1">
      <w:pPr>
        <w:spacing w:after="0"/>
        <w:jc w:val="both"/>
        <w:rPr>
          <w:rFonts w:ascii="Times New Roman" w:hAnsi="Times New Roman"/>
          <w:b/>
          <w:sz w:val="28"/>
          <w:szCs w:val="28"/>
        </w:rPr>
      </w:pP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 xml:space="preserve">През 2021 г. са наблюдавани </w:t>
      </w:r>
      <w:r w:rsidRPr="00A17F5C">
        <w:rPr>
          <w:rFonts w:ascii="Times New Roman" w:hAnsi="Times New Roman"/>
          <w:b/>
          <w:sz w:val="28"/>
          <w:szCs w:val="28"/>
        </w:rPr>
        <w:t xml:space="preserve">104 </w:t>
      </w:r>
      <w:r w:rsidRPr="00A17F5C">
        <w:rPr>
          <w:rFonts w:ascii="Times New Roman" w:hAnsi="Times New Roman"/>
          <w:sz w:val="28"/>
          <w:szCs w:val="28"/>
        </w:rPr>
        <w:t xml:space="preserve">броя досъдебни производства, разследвани по общия ред от разследващ митнически инспектор /в посочения показател не се включват прекратените по давност/. За сравнение </w:t>
      </w:r>
      <w:r w:rsidRPr="00A17F5C">
        <w:rPr>
          <w:rFonts w:ascii="Times New Roman" w:hAnsi="Times New Roman"/>
          <w:sz w:val="28"/>
          <w:szCs w:val="28"/>
        </w:rPr>
        <w:lastRenderedPageBreak/>
        <w:t>с предходните отчетни периоди, където са наблюдавани общо 132 броя за 2020 г. и 235 броя за 2019 г.</w:t>
      </w:r>
      <w:r w:rsidRPr="00A17F5C">
        <w:rPr>
          <w:rFonts w:ascii="Times New Roman" w:hAnsi="Times New Roman"/>
          <w:i/>
          <w:sz w:val="28"/>
          <w:szCs w:val="28"/>
        </w:rPr>
        <w:t xml:space="preserve"> </w:t>
      </w:r>
      <w:r w:rsidRPr="00A17F5C">
        <w:rPr>
          <w:rFonts w:ascii="Times New Roman" w:hAnsi="Times New Roman"/>
          <w:sz w:val="28"/>
          <w:szCs w:val="28"/>
        </w:rPr>
        <w:t xml:space="preserve">От тях новообразувани са </w:t>
      </w:r>
      <w:r w:rsidRPr="00A17F5C">
        <w:rPr>
          <w:rFonts w:ascii="Times New Roman" w:hAnsi="Times New Roman"/>
          <w:b/>
          <w:sz w:val="28"/>
          <w:szCs w:val="28"/>
        </w:rPr>
        <w:t>43</w:t>
      </w:r>
      <w:r w:rsidRPr="00A17F5C">
        <w:rPr>
          <w:rFonts w:ascii="Times New Roman" w:hAnsi="Times New Roman"/>
          <w:sz w:val="28"/>
          <w:szCs w:val="28"/>
        </w:rPr>
        <w:t xml:space="preserve"> броя досъдебни производства /при 79 броя за 2020 г. и 134 броя за 2019 г./.</w:t>
      </w:r>
    </w:p>
    <w:p w:rsidR="00A17F5C" w:rsidRPr="00A17F5C" w:rsidRDefault="00A17F5C" w:rsidP="004D24A1">
      <w:pPr>
        <w:spacing w:after="0"/>
        <w:jc w:val="both"/>
        <w:rPr>
          <w:rFonts w:ascii="Times New Roman" w:hAnsi="Times New Roman"/>
          <w:sz w:val="28"/>
          <w:szCs w:val="28"/>
        </w:rPr>
      </w:pP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 xml:space="preserve">Най-голям брой са наблюдавани от Софийска градска прокуратура </w:t>
      </w:r>
      <w:r w:rsidRPr="00A17F5C">
        <w:rPr>
          <w:rFonts w:ascii="Times New Roman" w:hAnsi="Times New Roman"/>
          <w:b/>
          <w:sz w:val="28"/>
          <w:szCs w:val="28"/>
        </w:rPr>
        <w:t>80</w:t>
      </w:r>
      <w:r w:rsidRPr="00A17F5C">
        <w:rPr>
          <w:rFonts w:ascii="Times New Roman" w:hAnsi="Times New Roman"/>
          <w:sz w:val="28"/>
          <w:szCs w:val="28"/>
        </w:rPr>
        <w:t xml:space="preserve"> броя досъдебни производства, а от Софийска районна прокуратура - </w:t>
      </w:r>
      <w:r w:rsidRPr="00A17F5C">
        <w:rPr>
          <w:rFonts w:ascii="Times New Roman" w:hAnsi="Times New Roman"/>
          <w:b/>
          <w:sz w:val="28"/>
          <w:szCs w:val="28"/>
        </w:rPr>
        <w:t>24</w:t>
      </w:r>
      <w:r w:rsidRPr="00A17F5C">
        <w:rPr>
          <w:rFonts w:ascii="Times New Roman" w:hAnsi="Times New Roman"/>
          <w:sz w:val="28"/>
          <w:szCs w:val="28"/>
        </w:rPr>
        <w:t xml:space="preserve"> броя досъдебни производства.</w:t>
      </w:r>
    </w:p>
    <w:p w:rsidR="00A17F5C" w:rsidRPr="00A17F5C" w:rsidRDefault="00A17F5C" w:rsidP="004D24A1">
      <w:pPr>
        <w:spacing w:after="0"/>
        <w:jc w:val="both"/>
        <w:rPr>
          <w:rFonts w:ascii="Times New Roman" w:hAnsi="Times New Roman"/>
          <w:sz w:val="28"/>
          <w:szCs w:val="28"/>
        </w:rPr>
      </w:pP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 xml:space="preserve">Териториалната </w:t>
      </w:r>
      <w:r w:rsidRPr="00A17F5C">
        <w:rPr>
          <w:rFonts w:ascii="Times New Roman" w:hAnsi="Times New Roman"/>
          <w:sz w:val="28"/>
          <w:szCs w:val="28"/>
          <w:lang w:val="en-US"/>
        </w:rPr>
        <w:t>компетентност на разследващите органи към ТД Митница София е съответна на структурата на Агенцията, организирана в Централно митническо управление (ЦМУ) и пет териториални дирекции. Разследващите митнически инспектори към ТД Митница София, в чийто обхват попада и гр. София (вкл. Аерогара София), имат компетентност да разследват освен престъпления, извършени на територията на столицата, и такива извършени в областите София, Благоевград, Кюстендил и Перник.</w:t>
      </w: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lang w:val="en-US"/>
        </w:rPr>
        <w:t>Разследващият митнически инспектор към ЦМУ има компетентност да разследва престъпления, извършени на територията на цялата страна.</w:t>
      </w:r>
    </w:p>
    <w:p w:rsidR="00A17F5C" w:rsidRPr="00A17F5C" w:rsidRDefault="00A17F5C" w:rsidP="004D24A1">
      <w:pPr>
        <w:spacing w:after="0"/>
        <w:ind w:firstLine="708"/>
        <w:jc w:val="both"/>
        <w:rPr>
          <w:rFonts w:ascii="Times New Roman" w:hAnsi="Times New Roman"/>
          <w:bCs/>
          <w:iCs/>
          <w:color w:val="000000"/>
          <w:sz w:val="28"/>
          <w:szCs w:val="28"/>
          <w:lang w:eastAsia="bg-BG" w:bidi="bg-BG"/>
        </w:rPr>
      </w:pPr>
      <w:r w:rsidRPr="00A17F5C">
        <w:rPr>
          <w:rFonts w:ascii="Times New Roman" w:hAnsi="Times New Roman"/>
          <w:sz w:val="28"/>
          <w:szCs w:val="28"/>
          <w:lang w:val="en-US"/>
        </w:rPr>
        <w:t>Утвърдена</w:t>
      </w:r>
      <w:r w:rsidRPr="00A17F5C">
        <w:rPr>
          <w:rFonts w:ascii="Times New Roman" w:hAnsi="Times New Roman"/>
          <w:sz w:val="28"/>
          <w:szCs w:val="28"/>
        </w:rPr>
        <w:t>та</w:t>
      </w:r>
      <w:r w:rsidRPr="00A17F5C">
        <w:rPr>
          <w:rFonts w:ascii="Times New Roman" w:hAnsi="Times New Roman"/>
          <w:sz w:val="28"/>
          <w:szCs w:val="28"/>
          <w:lang w:val="en-US"/>
        </w:rPr>
        <w:t xml:space="preserve"> </w:t>
      </w:r>
      <w:r w:rsidRPr="00A17F5C">
        <w:rPr>
          <w:rFonts w:ascii="Times New Roman" w:hAnsi="Times New Roman"/>
          <w:bCs/>
          <w:color w:val="000000"/>
          <w:sz w:val="28"/>
          <w:szCs w:val="28"/>
          <w:lang w:eastAsia="bg-BG" w:bidi="bg-BG"/>
        </w:rPr>
        <w:t>щатна бройка</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 xml:space="preserve">за разследващи митнически инспектори към </w:t>
      </w:r>
      <w:r w:rsidRPr="00A17F5C">
        <w:rPr>
          <w:rFonts w:ascii="Times New Roman" w:hAnsi="Times New Roman"/>
          <w:bCs/>
          <w:color w:val="000000"/>
          <w:sz w:val="28"/>
          <w:szCs w:val="28"/>
          <w:lang w:eastAsia="bg-BG" w:bidi="bg-BG"/>
        </w:rPr>
        <w:t>ТД Митница София е 9 броя.</w:t>
      </w:r>
      <w:r w:rsidRPr="00A17F5C">
        <w:rPr>
          <w:rFonts w:ascii="Times New Roman" w:hAnsi="Times New Roman"/>
          <w:b/>
          <w:sz w:val="28"/>
          <w:szCs w:val="28"/>
        </w:rPr>
        <w:t xml:space="preserve"> </w:t>
      </w:r>
      <w:r w:rsidRPr="00A17F5C">
        <w:rPr>
          <w:rFonts w:ascii="Times New Roman" w:hAnsi="Times New Roman"/>
          <w:bCs/>
          <w:color w:val="000000"/>
          <w:sz w:val="28"/>
          <w:szCs w:val="28"/>
          <w:lang w:eastAsia="bg-BG" w:bidi="bg-BG"/>
        </w:rPr>
        <w:t>Заетите щатни бройки</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 xml:space="preserve">към края на отчетния период </w:t>
      </w:r>
      <w:r w:rsidRPr="00A17F5C">
        <w:rPr>
          <w:rFonts w:ascii="Times New Roman" w:hAnsi="Times New Roman"/>
          <w:sz w:val="28"/>
          <w:szCs w:val="28"/>
        </w:rPr>
        <w:t>са</w:t>
      </w:r>
      <w:r w:rsidRPr="00A17F5C">
        <w:rPr>
          <w:rFonts w:ascii="Times New Roman" w:hAnsi="Times New Roman"/>
          <w:sz w:val="28"/>
          <w:szCs w:val="28"/>
          <w:lang w:val="en-US"/>
        </w:rPr>
        <w:t xml:space="preserve"> 9 броя.</w:t>
      </w:r>
      <w:r w:rsidRPr="00A17F5C">
        <w:rPr>
          <w:rFonts w:ascii="Times New Roman" w:hAnsi="Times New Roman"/>
          <w:sz w:val="28"/>
          <w:szCs w:val="28"/>
        </w:rPr>
        <w:t xml:space="preserve"> </w:t>
      </w:r>
      <w:r w:rsidRPr="00A17F5C">
        <w:rPr>
          <w:rFonts w:ascii="Times New Roman" w:hAnsi="Times New Roman"/>
          <w:sz w:val="28"/>
          <w:szCs w:val="28"/>
          <w:lang w:val="en-US"/>
        </w:rPr>
        <w:t xml:space="preserve">Реално работили към края на отчетния период </w:t>
      </w:r>
      <w:r w:rsidRPr="00A17F5C">
        <w:rPr>
          <w:rFonts w:ascii="Times New Roman" w:hAnsi="Times New Roman"/>
          <w:sz w:val="28"/>
          <w:szCs w:val="28"/>
        </w:rPr>
        <w:t>са</w:t>
      </w:r>
      <w:r w:rsidRPr="00A17F5C">
        <w:rPr>
          <w:rFonts w:ascii="Times New Roman" w:hAnsi="Times New Roman"/>
          <w:sz w:val="28"/>
          <w:szCs w:val="28"/>
          <w:lang w:val="en-US"/>
        </w:rPr>
        <w:t xml:space="preserve"> 9 броя.</w:t>
      </w:r>
      <w:r w:rsidRPr="00A17F5C">
        <w:rPr>
          <w:rFonts w:ascii="Times New Roman" w:hAnsi="Times New Roman"/>
          <w:b/>
          <w:sz w:val="28"/>
          <w:szCs w:val="28"/>
        </w:rPr>
        <w:t xml:space="preserve"> </w:t>
      </w:r>
      <w:r w:rsidRPr="00A17F5C">
        <w:rPr>
          <w:rFonts w:ascii="Times New Roman" w:hAnsi="Times New Roman"/>
          <w:sz w:val="28"/>
          <w:szCs w:val="28"/>
          <w:lang w:val="en-US"/>
        </w:rPr>
        <w:t>Утвърдена</w:t>
      </w:r>
      <w:r w:rsidRPr="00A17F5C">
        <w:rPr>
          <w:rFonts w:ascii="Times New Roman" w:hAnsi="Times New Roman"/>
          <w:sz w:val="28"/>
          <w:szCs w:val="28"/>
        </w:rPr>
        <w:t>та</w:t>
      </w:r>
      <w:r w:rsidRPr="00A17F5C">
        <w:rPr>
          <w:rFonts w:ascii="Times New Roman" w:hAnsi="Times New Roman"/>
          <w:sz w:val="28"/>
          <w:szCs w:val="28"/>
          <w:lang w:val="en-US"/>
        </w:rPr>
        <w:t xml:space="preserve"> </w:t>
      </w:r>
      <w:r w:rsidRPr="00A17F5C">
        <w:rPr>
          <w:rFonts w:ascii="Times New Roman" w:hAnsi="Times New Roman"/>
          <w:bCs/>
          <w:color w:val="000000"/>
          <w:sz w:val="28"/>
          <w:szCs w:val="28"/>
          <w:lang w:eastAsia="bg-BG" w:bidi="bg-BG"/>
        </w:rPr>
        <w:t>щатна бройка</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 xml:space="preserve">за разследващи митнически инспектори към </w:t>
      </w:r>
      <w:r w:rsidRPr="00A17F5C">
        <w:rPr>
          <w:rFonts w:ascii="Times New Roman" w:hAnsi="Times New Roman"/>
          <w:bCs/>
          <w:color w:val="000000"/>
          <w:sz w:val="28"/>
          <w:szCs w:val="28"/>
          <w:lang w:eastAsia="bg-BG" w:bidi="bg-BG"/>
        </w:rPr>
        <w:t xml:space="preserve">ЦМУ </w:t>
      </w:r>
      <w:r w:rsidRPr="00A17F5C">
        <w:rPr>
          <w:rFonts w:ascii="Times New Roman" w:hAnsi="Times New Roman"/>
          <w:sz w:val="28"/>
          <w:szCs w:val="28"/>
        </w:rPr>
        <w:t>е</w:t>
      </w:r>
      <w:r w:rsidRPr="00A17F5C">
        <w:rPr>
          <w:rFonts w:ascii="Times New Roman" w:hAnsi="Times New Roman"/>
          <w:b/>
          <w:sz w:val="28"/>
          <w:szCs w:val="28"/>
          <w:lang w:val="en-US"/>
        </w:rPr>
        <w:t xml:space="preserve"> </w:t>
      </w:r>
      <w:r w:rsidRPr="00A17F5C">
        <w:rPr>
          <w:rFonts w:ascii="Times New Roman" w:hAnsi="Times New Roman"/>
          <w:bCs/>
          <w:color w:val="000000"/>
          <w:sz w:val="28"/>
          <w:szCs w:val="28"/>
          <w:lang w:eastAsia="bg-BG" w:bidi="bg-BG"/>
        </w:rPr>
        <w:t>1</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брой.</w:t>
      </w:r>
      <w:r w:rsidRPr="00A17F5C">
        <w:rPr>
          <w:rFonts w:ascii="Times New Roman" w:hAnsi="Times New Roman"/>
          <w:b/>
          <w:sz w:val="28"/>
          <w:szCs w:val="28"/>
        </w:rPr>
        <w:t xml:space="preserve"> </w:t>
      </w:r>
      <w:r w:rsidRPr="00A17F5C">
        <w:rPr>
          <w:rFonts w:ascii="Times New Roman" w:hAnsi="Times New Roman"/>
          <w:bCs/>
          <w:color w:val="000000"/>
          <w:sz w:val="28"/>
          <w:szCs w:val="28"/>
          <w:lang w:eastAsia="bg-BG" w:bidi="bg-BG"/>
        </w:rPr>
        <w:t>Заетите щатни бройки</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 xml:space="preserve">към края на отчетния период </w:t>
      </w:r>
      <w:r w:rsidRPr="00A17F5C">
        <w:rPr>
          <w:rFonts w:ascii="Times New Roman" w:hAnsi="Times New Roman"/>
          <w:sz w:val="28"/>
          <w:szCs w:val="28"/>
        </w:rPr>
        <w:t>са</w:t>
      </w:r>
      <w:r w:rsidRPr="00A17F5C">
        <w:rPr>
          <w:rFonts w:ascii="Times New Roman" w:hAnsi="Times New Roman"/>
          <w:sz w:val="28"/>
          <w:szCs w:val="28"/>
          <w:lang w:val="en-US"/>
        </w:rPr>
        <w:t xml:space="preserve"> 1 брой. Реално работили към края на отчетния период </w:t>
      </w:r>
      <w:r w:rsidRPr="00A17F5C">
        <w:rPr>
          <w:rFonts w:ascii="Times New Roman" w:hAnsi="Times New Roman"/>
          <w:sz w:val="28"/>
          <w:szCs w:val="28"/>
        </w:rPr>
        <w:t>са</w:t>
      </w:r>
      <w:r w:rsidRPr="00A17F5C">
        <w:rPr>
          <w:rFonts w:ascii="Times New Roman" w:hAnsi="Times New Roman"/>
          <w:sz w:val="28"/>
          <w:szCs w:val="28"/>
          <w:lang w:val="en-US"/>
        </w:rPr>
        <w:t xml:space="preserve"> 1 брой.</w:t>
      </w:r>
      <w:r w:rsidRPr="00A17F5C">
        <w:rPr>
          <w:rFonts w:ascii="Times New Roman" w:hAnsi="Times New Roman"/>
          <w:b/>
          <w:sz w:val="28"/>
          <w:szCs w:val="28"/>
        </w:rPr>
        <w:t xml:space="preserve"> </w:t>
      </w:r>
      <w:r w:rsidRPr="00A17F5C">
        <w:rPr>
          <w:rFonts w:ascii="Times New Roman" w:hAnsi="Times New Roman"/>
          <w:bCs/>
          <w:iCs/>
          <w:color w:val="000000"/>
          <w:sz w:val="28"/>
          <w:szCs w:val="28"/>
          <w:lang w:eastAsia="bg-BG" w:bidi="bg-BG"/>
        </w:rPr>
        <w:t xml:space="preserve">Реално работили разследващи митнически инспектори </w:t>
      </w:r>
      <w:r w:rsidRPr="00A17F5C">
        <w:rPr>
          <w:rFonts w:ascii="Times New Roman" w:hAnsi="Times New Roman"/>
          <w:sz w:val="28"/>
          <w:szCs w:val="28"/>
          <w:lang w:val="en-US"/>
        </w:rPr>
        <w:t>с</w:t>
      </w:r>
      <w:r w:rsidRPr="00A17F5C">
        <w:rPr>
          <w:rFonts w:ascii="Times New Roman" w:hAnsi="Times New Roman"/>
          <w:sz w:val="28"/>
          <w:szCs w:val="28"/>
        </w:rPr>
        <w:t xml:space="preserve"> </w:t>
      </w:r>
      <w:r w:rsidRPr="00A17F5C">
        <w:rPr>
          <w:rFonts w:ascii="Times New Roman" w:hAnsi="Times New Roman"/>
          <w:sz w:val="28"/>
          <w:szCs w:val="28"/>
          <w:lang w:val="en-US"/>
        </w:rPr>
        <w:t>месторабота в гр.</w:t>
      </w:r>
      <w:r w:rsidRPr="00A17F5C">
        <w:rPr>
          <w:rFonts w:ascii="Times New Roman" w:hAnsi="Times New Roman"/>
          <w:b/>
          <w:i/>
          <w:sz w:val="28"/>
          <w:szCs w:val="28"/>
          <w:lang w:val="en-US"/>
        </w:rPr>
        <w:t xml:space="preserve"> </w:t>
      </w:r>
      <w:r w:rsidRPr="00A17F5C">
        <w:rPr>
          <w:rFonts w:ascii="Times New Roman" w:hAnsi="Times New Roman"/>
          <w:bCs/>
          <w:color w:val="000000"/>
          <w:sz w:val="28"/>
          <w:szCs w:val="28"/>
          <w:lang w:eastAsia="bg-BG" w:bidi="bg-BG"/>
        </w:rPr>
        <w:t>София (ЦМУ и ТД Митница София)</w:t>
      </w:r>
      <w:r w:rsidRPr="00A17F5C">
        <w:rPr>
          <w:rFonts w:ascii="Times New Roman" w:hAnsi="Times New Roman"/>
          <w:b/>
          <w:bCs/>
          <w:i/>
          <w:color w:val="000000"/>
          <w:sz w:val="28"/>
          <w:szCs w:val="28"/>
          <w:lang w:eastAsia="bg-BG" w:bidi="bg-BG"/>
        </w:rPr>
        <w:t xml:space="preserve"> </w:t>
      </w:r>
      <w:r w:rsidRPr="00A17F5C">
        <w:rPr>
          <w:rFonts w:ascii="Times New Roman" w:hAnsi="Times New Roman"/>
          <w:sz w:val="28"/>
          <w:szCs w:val="28"/>
          <w:lang w:val="en-US"/>
        </w:rPr>
        <w:t>и извършвали дейност по разследване по дела, наблюдавани от СГП</w:t>
      </w:r>
      <w:r w:rsidRPr="00A17F5C">
        <w:rPr>
          <w:rFonts w:ascii="Times New Roman" w:hAnsi="Times New Roman"/>
          <w:b/>
          <w:i/>
          <w:iCs/>
          <w:color w:val="000000"/>
          <w:sz w:val="28"/>
          <w:szCs w:val="28"/>
          <w:lang w:eastAsia="bg-BG" w:bidi="bg-BG"/>
        </w:rPr>
        <w:t xml:space="preserve"> </w:t>
      </w:r>
      <w:r w:rsidRPr="00A17F5C">
        <w:rPr>
          <w:rFonts w:ascii="Times New Roman" w:hAnsi="Times New Roman"/>
          <w:bCs/>
          <w:iCs/>
          <w:color w:val="000000"/>
          <w:sz w:val="28"/>
          <w:szCs w:val="28"/>
          <w:lang w:eastAsia="bg-BG" w:bidi="bg-BG"/>
        </w:rPr>
        <w:t>са 7 броя.</w:t>
      </w:r>
    </w:p>
    <w:p w:rsidR="00A17F5C" w:rsidRPr="00A17F5C" w:rsidRDefault="00A17F5C" w:rsidP="004D24A1">
      <w:pPr>
        <w:spacing w:after="0"/>
        <w:ind w:firstLine="708"/>
        <w:jc w:val="both"/>
        <w:rPr>
          <w:rFonts w:ascii="Times New Roman" w:hAnsi="Times New Roman"/>
          <w:bCs/>
          <w:color w:val="000000"/>
          <w:sz w:val="28"/>
          <w:szCs w:val="28"/>
          <w:lang w:eastAsia="bg-BG" w:bidi="bg-BG"/>
        </w:rPr>
      </w:pPr>
      <w:r w:rsidRPr="00A17F5C">
        <w:rPr>
          <w:rFonts w:ascii="Times New Roman" w:hAnsi="Times New Roman"/>
          <w:bCs/>
          <w:color w:val="000000"/>
          <w:sz w:val="28"/>
          <w:szCs w:val="28"/>
          <w:lang w:eastAsia="bg-BG" w:bidi="bg-BG"/>
        </w:rPr>
        <w:t>Общо разследвани досъдебни</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 xml:space="preserve">производства през отчетния период от разследващите митнически инспектори в ТД Митница София и ЦМУ </w:t>
      </w:r>
      <w:r w:rsidRPr="00A17F5C">
        <w:rPr>
          <w:rFonts w:ascii="Times New Roman" w:hAnsi="Times New Roman"/>
          <w:sz w:val="28"/>
          <w:szCs w:val="28"/>
        </w:rPr>
        <w:t>са</w:t>
      </w:r>
      <w:r w:rsidRPr="00A17F5C">
        <w:rPr>
          <w:rFonts w:ascii="Times New Roman" w:hAnsi="Times New Roman"/>
          <w:sz w:val="28"/>
          <w:szCs w:val="28"/>
          <w:lang w:val="en-US"/>
        </w:rPr>
        <w:t xml:space="preserve"> </w:t>
      </w:r>
      <w:r w:rsidRPr="00A17F5C">
        <w:rPr>
          <w:rFonts w:ascii="Times New Roman" w:hAnsi="Times New Roman"/>
          <w:bCs/>
          <w:color w:val="000000"/>
          <w:sz w:val="28"/>
          <w:szCs w:val="28"/>
          <w:lang w:eastAsia="bg-BG" w:bidi="bg-BG"/>
        </w:rPr>
        <w:t>132 броя.</w:t>
      </w:r>
    </w:p>
    <w:p w:rsidR="00A17F5C" w:rsidRPr="00A17F5C" w:rsidRDefault="00A17F5C" w:rsidP="004D24A1">
      <w:pPr>
        <w:spacing w:after="0"/>
        <w:ind w:firstLine="708"/>
        <w:jc w:val="both"/>
        <w:rPr>
          <w:rFonts w:ascii="Times New Roman" w:hAnsi="Times New Roman"/>
          <w:bCs/>
          <w:iCs/>
          <w:color w:val="000000"/>
          <w:sz w:val="28"/>
          <w:szCs w:val="28"/>
          <w:lang w:eastAsia="bg-BG" w:bidi="bg-BG"/>
        </w:rPr>
      </w:pPr>
      <w:r w:rsidRPr="00A17F5C">
        <w:rPr>
          <w:rFonts w:ascii="Times New Roman" w:hAnsi="Times New Roman"/>
          <w:sz w:val="28"/>
          <w:szCs w:val="28"/>
          <w:lang w:val="en-US"/>
        </w:rPr>
        <w:t xml:space="preserve">Производства, наблюдавани от СГП </w:t>
      </w:r>
      <w:r w:rsidRPr="00A17F5C">
        <w:rPr>
          <w:rFonts w:ascii="Times New Roman" w:hAnsi="Times New Roman"/>
          <w:sz w:val="28"/>
          <w:szCs w:val="28"/>
        </w:rPr>
        <w:t>са</w:t>
      </w:r>
      <w:r w:rsidRPr="00A17F5C">
        <w:rPr>
          <w:rFonts w:ascii="Times New Roman" w:hAnsi="Times New Roman"/>
          <w:sz w:val="28"/>
          <w:szCs w:val="28"/>
          <w:lang w:val="en-US"/>
        </w:rPr>
        <w:t xml:space="preserve"> </w:t>
      </w:r>
      <w:r w:rsidRPr="00A17F5C">
        <w:rPr>
          <w:rFonts w:ascii="Times New Roman" w:hAnsi="Times New Roman"/>
          <w:bCs/>
          <w:color w:val="000000"/>
          <w:sz w:val="28"/>
          <w:szCs w:val="28"/>
          <w:lang w:eastAsia="bg-BG" w:bidi="bg-BG"/>
        </w:rPr>
        <w:t>87 броя.</w:t>
      </w:r>
      <w:r w:rsidRPr="00A17F5C">
        <w:rPr>
          <w:rFonts w:ascii="Times New Roman" w:hAnsi="Times New Roman"/>
          <w:bCs/>
          <w:iCs/>
          <w:color w:val="000000"/>
          <w:sz w:val="28"/>
          <w:szCs w:val="28"/>
          <w:lang w:eastAsia="bg-BG" w:bidi="bg-BG"/>
        </w:rPr>
        <w:t xml:space="preserve"> </w:t>
      </w:r>
      <w:r w:rsidRPr="00A17F5C">
        <w:rPr>
          <w:rFonts w:ascii="Times New Roman" w:hAnsi="Times New Roman"/>
          <w:bCs/>
          <w:color w:val="000000"/>
          <w:sz w:val="28"/>
          <w:szCs w:val="28"/>
          <w:lang w:eastAsia="bg-BG" w:bidi="bg-BG"/>
        </w:rPr>
        <w:t>Новообразувани</w:t>
      </w:r>
      <w:r w:rsidRPr="00A17F5C">
        <w:rPr>
          <w:rFonts w:ascii="Times New Roman" w:hAnsi="Times New Roman"/>
          <w:b/>
          <w:bCs/>
          <w:color w:val="000000"/>
          <w:sz w:val="28"/>
          <w:szCs w:val="28"/>
          <w:lang w:eastAsia="bg-BG" w:bidi="bg-BG"/>
        </w:rPr>
        <w:t xml:space="preserve"> </w:t>
      </w:r>
      <w:r w:rsidRPr="00A17F5C">
        <w:rPr>
          <w:rFonts w:ascii="Times New Roman" w:hAnsi="Times New Roman"/>
          <w:sz w:val="28"/>
          <w:szCs w:val="28"/>
          <w:lang w:val="en-US"/>
        </w:rPr>
        <w:t>през периода</w:t>
      </w:r>
      <w:r w:rsidRPr="00A17F5C">
        <w:rPr>
          <w:rFonts w:ascii="Times New Roman" w:hAnsi="Times New Roman"/>
          <w:sz w:val="28"/>
          <w:szCs w:val="28"/>
        </w:rPr>
        <w:t xml:space="preserve"> са </w:t>
      </w:r>
      <w:r w:rsidRPr="00A17F5C">
        <w:rPr>
          <w:rFonts w:ascii="Times New Roman" w:hAnsi="Times New Roman"/>
          <w:sz w:val="28"/>
          <w:szCs w:val="28"/>
          <w:lang w:val="en-US"/>
        </w:rPr>
        <w:t xml:space="preserve">33 </w:t>
      </w:r>
      <w:r w:rsidRPr="00A17F5C">
        <w:rPr>
          <w:rFonts w:ascii="Times New Roman" w:hAnsi="Times New Roman"/>
          <w:bCs/>
          <w:color w:val="000000"/>
          <w:sz w:val="28"/>
          <w:szCs w:val="28"/>
          <w:lang w:eastAsia="bg-BG" w:bidi="bg-BG"/>
        </w:rPr>
        <w:t>броя.</w:t>
      </w:r>
      <w:r w:rsidRPr="00A17F5C">
        <w:rPr>
          <w:rFonts w:ascii="Times New Roman" w:hAnsi="Times New Roman"/>
          <w:bCs/>
          <w:iCs/>
          <w:color w:val="000000"/>
          <w:sz w:val="28"/>
          <w:szCs w:val="28"/>
          <w:lang w:eastAsia="bg-BG" w:bidi="bg-BG"/>
        </w:rPr>
        <w:t xml:space="preserve"> Останали на разследване от минал период са 49 броя.</w:t>
      </w:r>
    </w:p>
    <w:p w:rsidR="00A17F5C" w:rsidRPr="0058663A" w:rsidRDefault="00A17F5C" w:rsidP="004D24A1">
      <w:pPr>
        <w:spacing w:after="0"/>
        <w:ind w:firstLine="708"/>
        <w:jc w:val="both"/>
        <w:rPr>
          <w:rFonts w:ascii="Times New Roman" w:hAnsi="Times New Roman"/>
          <w:sz w:val="28"/>
          <w:szCs w:val="28"/>
        </w:rPr>
      </w:pPr>
      <w:r w:rsidRPr="00A17F5C">
        <w:rPr>
          <w:rFonts w:ascii="Times New Roman" w:hAnsi="Times New Roman"/>
          <w:bCs/>
          <w:iCs/>
          <w:color w:val="000000"/>
          <w:sz w:val="28"/>
          <w:szCs w:val="28"/>
          <w:lang w:eastAsia="bg-BG" w:bidi="bg-BG"/>
        </w:rPr>
        <w:t>Видове престъпления, за които са образувани и водени наказателни производства от компетентността на СГП.</w:t>
      </w:r>
    </w:p>
    <w:p w:rsidR="00A17F5C" w:rsidRPr="00A17F5C" w:rsidRDefault="0058663A" w:rsidP="004D24A1">
      <w:pPr>
        <w:widowControl w:val="0"/>
        <w:tabs>
          <w:tab w:val="left" w:pos="1050"/>
        </w:tabs>
        <w:spacing w:after="0"/>
        <w:jc w:val="both"/>
        <w:rPr>
          <w:rFonts w:ascii="Times New Roman" w:eastAsia="Times New Roman" w:hAnsi="Times New Roman"/>
          <w:bCs/>
          <w:iCs/>
          <w:color w:val="000000"/>
          <w:sz w:val="28"/>
          <w:szCs w:val="28"/>
          <w:lang w:eastAsia="bg-BG" w:bidi="bg-BG"/>
        </w:rPr>
      </w:pPr>
      <w:r>
        <w:rPr>
          <w:rFonts w:ascii="Times New Roman" w:eastAsia="Times New Roman" w:hAnsi="Times New Roman"/>
          <w:bCs/>
          <w:iCs/>
          <w:color w:val="000000"/>
          <w:sz w:val="28"/>
          <w:szCs w:val="28"/>
          <w:lang w:eastAsia="bg-BG" w:bidi="bg-BG"/>
        </w:rPr>
        <w:tab/>
      </w:r>
      <w:r w:rsidR="00A17F5C" w:rsidRPr="00A17F5C">
        <w:rPr>
          <w:rFonts w:ascii="Times New Roman" w:eastAsia="Times New Roman" w:hAnsi="Times New Roman"/>
          <w:bCs/>
          <w:iCs/>
          <w:color w:val="000000"/>
          <w:sz w:val="28"/>
          <w:szCs w:val="28"/>
          <w:lang w:eastAsia="bg-BG" w:bidi="bg-BG"/>
        </w:rPr>
        <w:t>За престъпления по чл. 242, ал. 1 от НК - 25 бр.</w:t>
      </w:r>
    </w:p>
    <w:p w:rsidR="00A17F5C" w:rsidRPr="00A17F5C" w:rsidRDefault="0058663A" w:rsidP="004D24A1">
      <w:pPr>
        <w:widowControl w:val="0"/>
        <w:tabs>
          <w:tab w:val="left" w:pos="1050"/>
        </w:tabs>
        <w:spacing w:after="0"/>
        <w:jc w:val="both"/>
        <w:rPr>
          <w:rFonts w:ascii="Times New Roman" w:eastAsia="Times New Roman" w:hAnsi="Times New Roman"/>
          <w:bCs/>
          <w:iCs/>
          <w:color w:val="000000"/>
          <w:sz w:val="28"/>
          <w:szCs w:val="28"/>
          <w:lang w:eastAsia="bg-BG" w:bidi="bg-BG"/>
        </w:rPr>
      </w:pPr>
      <w:r>
        <w:rPr>
          <w:rFonts w:ascii="Times New Roman" w:eastAsia="Times New Roman" w:hAnsi="Times New Roman"/>
          <w:bCs/>
          <w:iCs/>
          <w:color w:val="000000"/>
          <w:sz w:val="28"/>
          <w:szCs w:val="28"/>
          <w:lang w:eastAsia="bg-BG" w:bidi="bg-BG"/>
        </w:rPr>
        <w:tab/>
      </w:r>
      <w:r w:rsidR="00A17F5C" w:rsidRPr="00A17F5C">
        <w:rPr>
          <w:rFonts w:ascii="Times New Roman" w:eastAsia="Times New Roman" w:hAnsi="Times New Roman"/>
          <w:bCs/>
          <w:iCs/>
          <w:color w:val="000000"/>
          <w:sz w:val="28"/>
          <w:szCs w:val="28"/>
          <w:lang w:eastAsia="bg-BG" w:bidi="bg-BG"/>
        </w:rPr>
        <w:t>За престъпления по чл. 242, ал. 2 от НК - 59 бр.</w:t>
      </w:r>
    </w:p>
    <w:p w:rsidR="00A17F5C" w:rsidRPr="00A17F5C" w:rsidRDefault="0058663A" w:rsidP="004D24A1">
      <w:pPr>
        <w:widowControl w:val="0"/>
        <w:tabs>
          <w:tab w:val="left" w:pos="1050"/>
        </w:tabs>
        <w:spacing w:after="0"/>
        <w:jc w:val="both"/>
        <w:rPr>
          <w:rFonts w:ascii="Times New Roman" w:eastAsia="Times New Roman" w:hAnsi="Times New Roman"/>
          <w:bCs/>
          <w:iCs/>
          <w:color w:val="000000"/>
          <w:sz w:val="28"/>
          <w:szCs w:val="28"/>
          <w:lang w:eastAsia="bg-BG" w:bidi="bg-BG"/>
        </w:rPr>
      </w:pPr>
      <w:r>
        <w:rPr>
          <w:rFonts w:ascii="Times New Roman" w:eastAsia="Times New Roman" w:hAnsi="Times New Roman"/>
          <w:bCs/>
          <w:iCs/>
          <w:color w:val="000000"/>
          <w:sz w:val="28"/>
          <w:szCs w:val="28"/>
          <w:lang w:eastAsia="bg-BG" w:bidi="bg-BG"/>
        </w:rPr>
        <w:tab/>
      </w:r>
      <w:r w:rsidR="00A17F5C" w:rsidRPr="00A17F5C">
        <w:rPr>
          <w:rFonts w:ascii="Times New Roman" w:eastAsia="Times New Roman" w:hAnsi="Times New Roman"/>
          <w:bCs/>
          <w:iCs/>
          <w:color w:val="000000"/>
          <w:sz w:val="28"/>
          <w:szCs w:val="28"/>
          <w:lang w:eastAsia="bg-BG" w:bidi="bg-BG"/>
        </w:rPr>
        <w:t>За престъпления по чл. 242, ал. 3 от НК - 3 бр.</w:t>
      </w:r>
    </w:p>
    <w:p w:rsidR="00A17F5C" w:rsidRPr="00A17F5C" w:rsidRDefault="00A17F5C" w:rsidP="004D24A1">
      <w:pPr>
        <w:widowControl w:val="0"/>
        <w:tabs>
          <w:tab w:val="left" w:pos="1050"/>
        </w:tabs>
        <w:spacing w:after="0"/>
        <w:jc w:val="both"/>
        <w:rPr>
          <w:rFonts w:ascii="Times New Roman" w:eastAsia="Times New Roman" w:hAnsi="Times New Roman"/>
          <w:sz w:val="28"/>
          <w:szCs w:val="28"/>
          <w:lang w:val="en-US"/>
        </w:rPr>
      </w:pPr>
    </w:p>
    <w:p w:rsidR="00A17F5C" w:rsidRPr="00A17F5C" w:rsidRDefault="0058663A" w:rsidP="004D24A1">
      <w:pPr>
        <w:widowControl w:val="0"/>
        <w:shd w:val="clear" w:color="auto" w:fill="FFFFFF"/>
        <w:tabs>
          <w:tab w:val="left" w:pos="483"/>
        </w:tabs>
        <w:spacing w:before="60" w:after="237"/>
        <w:jc w:val="both"/>
        <w:rPr>
          <w:rFonts w:ascii="Times New Roman" w:eastAsia="Times New Roman" w:hAnsi="Times New Roman"/>
          <w:color w:val="000000"/>
          <w:sz w:val="28"/>
          <w:szCs w:val="28"/>
          <w:lang w:eastAsia="bg-BG" w:bidi="bg-BG"/>
        </w:rPr>
      </w:pPr>
      <w:r>
        <w:rPr>
          <w:rFonts w:ascii="Times New Roman" w:eastAsia="Times New Roman" w:hAnsi="Times New Roman"/>
          <w:color w:val="000000"/>
          <w:sz w:val="28"/>
          <w:szCs w:val="28"/>
          <w:lang w:eastAsia="bg-BG" w:bidi="bg-BG"/>
        </w:rPr>
        <w:tab/>
      </w:r>
      <w:r w:rsidR="00A17F5C" w:rsidRPr="00A17F5C">
        <w:rPr>
          <w:rFonts w:ascii="Times New Roman" w:eastAsia="Times New Roman" w:hAnsi="Times New Roman"/>
          <w:color w:val="000000"/>
          <w:sz w:val="28"/>
          <w:szCs w:val="28"/>
          <w:lang w:eastAsia="bg-BG" w:bidi="bg-BG"/>
        </w:rPr>
        <w:t>Средната натовареност на разследващите митнически инспектори към ТД Митница София и ЦМУ през 2021 г. е по 13,2 дела на човек.</w:t>
      </w:r>
    </w:p>
    <w:p w:rsidR="00A17F5C" w:rsidRPr="00A17F5C" w:rsidRDefault="0058663A" w:rsidP="004D24A1">
      <w:pPr>
        <w:widowControl w:val="0"/>
        <w:shd w:val="clear" w:color="auto" w:fill="FFFFFF"/>
        <w:tabs>
          <w:tab w:val="left" w:pos="483"/>
        </w:tabs>
        <w:spacing w:before="60" w:after="237"/>
        <w:jc w:val="both"/>
        <w:rPr>
          <w:rFonts w:ascii="Times New Roman" w:eastAsia="Times New Roman" w:hAnsi="Times New Roman"/>
          <w:color w:val="000000"/>
          <w:sz w:val="28"/>
          <w:szCs w:val="28"/>
          <w:lang w:eastAsia="bg-BG" w:bidi="bg-BG"/>
        </w:rPr>
      </w:pPr>
      <w:r>
        <w:rPr>
          <w:rFonts w:ascii="Times New Roman" w:eastAsia="Times New Roman" w:hAnsi="Times New Roman"/>
          <w:color w:val="000000"/>
          <w:sz w:val="28"/>
          <w:szCs w:val="28"/>
          <w:lang w:eastAsia="bg-BG" w:bidi="bg-BG"/>
        </w:rPr>
        <w:lastRenderedPageBreak/>
        <w:tab/>
      </w:r>
      <w:r w:rsidR="00A17F5C" w:rsidRPr="00A17F5C">
        <w:rPr>
          <w:rFonts w:ascii="Times New Roman" w:eastAsia="Times New Roman" w:hAnsi="Times New Roman"/>
          <w:color w:val="000000"/>
          <w:sz w:val="28"/>
          <w:szCs w:val="28"/>
          <w:lang w:eastAsia="bg-BG" w:bidi="bg-BG"/>
        </w:rPr>
        <w:t xml:space="preserve">Средната натовареност на разследващите митнически инспектори с месторабота в гр. София е по 15,57 дела на човек. </w:t>
      </w:r>
    </w:p>
    <w:p w:rsidR="00A17F5C" w:rsidRPr="00A17F5C" w:rsidRDefault="00A17F5C" w:rsidP="004D24A1">
      <w:pPr>
        <w:spacing w:after="0"/>
        <w:ind w:left="20" w:firstLine="688"/>
        <w:jc w:val="both"/>
        <w:rPr>
          <w:rFonts w:ascii="Times New Roman" w:eastAsia="Times New Roman" w:hAnsi="Times New Roman"/>
          <w:sz w:val="28"/>
          <w:szCs w:val="28"/>
        </w:rPr>
      </w:pPr>
      <w:r w:rsidRPr="00A17F5C">
        <w:rPr>
          <w:rFonts w:ascii="Times New Roman" w:eastAsia="Times New Roman" w:hAnsi="Times New Roman"/>
          <w:sz w:val="28"/>
          <w:szCs w:val="28"/>
        </w:rPr>
        <w:t>В ГДБОП – МВР през 2021 г. о</w:t>
      </w:r>
      <w:r w:rsidRPr="00A17F5C">
        <w:rPr>
          <w:rFonts w:ascii="Times New Roman" w:eastAsia="Times New Roman" w:hAnsi="Times New Roman"/>
          <w:sz w:val="28"/>
          <w:szCs w:val="28"/>
          <w:lang w:val="en-US"/>
        </w:rPr>
        <w:t>бщата численост, като щатни бройки на разследващи полицаи е 37, като 3 щатни бройки са на ръководна длъжност, 34 щатни бройки са на изпълнителска длъжност, от които 3 новоназначени /стажанти/, две незаети вакантни длъжности и двама служители в дългосрочен отпуск. Реално работилите през периода са 27.</w:t>
      </w:r>
    </w:p>
    <w:p w:rsidR="00A17F5C" w:rsidRPr="0058663A" w:rsidRDefault="00A17F5C" w:rsidP="004D24A1">
      <w:pPr>
        <w:spacing w:after="0"/>
        <w:ind w:left="20"/>
        <w:jc w:val="both"/>
        <w:rPr>
          <w:rFonts w:ascii="Times New Roman" w:eastAsia="Times New Roman" w:hAnsi="Times New Roman"/>
          <w:sz w:val="28"/>
          <w:szCs w:val="28"/>
        </w:rPr>
      </w:pPr>
      <w:r w:rsidRPr="00A17F5C">
        <w:rPr>
          <w:rFonts w:ascii="Times New Roman" w:eastAsia="Times New Roman" w:hAnsi="Times New Roman"/>
          <w:sz w:val="28"/>
          <w:szCs w:val="28"/>
          <w:lang w:val="en-US"/>
        </w:rPr>
        <w:t>Общият брой на досъдебни производства</w:t>
      </w:r>
      <w:r w:rsidRPr="00A17F5C">
        <w:rPr>
          <w:rFonts w:ascii="Times New Roman" w:eastAsia="Times New Roman" w:hAnsi="Times New Roman"/>
          <w:sz w:val="28"/>
          <w:szCs w:val="28"/>
        </w:rPr>
        <w:t>,</w:t>
      </w:r>
      <w:r w:rsidRPr="00A17F5C">
        <w:rPr>
          <w:rFonts w:ascii="Times New Roman" w:eastAsia="Times New Roman" w:hAnsi="Times New Roman"/>
          <w:sz w:val="28"/>
          <w:szCs w:val="28"/>
          <w:lang w:val="en-US"/>
        </w:rPr>
        <w:t xml:space="preserve"> разследвани в ГДБОП, наблюдавани от СГП са 25, като</w:t>
      </w:r>
      <w:r w:rsidRPr="00A17F5C">
        <w:rPr>
          <w:rFonts w:ascii="Times New Roman" w:eastAsia="Times New Roman" w:hAnsi="Times New Roman"/>
          <w:sz w:val="28"/>
          <w:szCs w:val="28"/>
        </w:rPr>
        <w:t xml:space="preserve"> </w:t>
      </w:r>
      <w:r w:rsidRPr="00A17F5C">
        <w:rPr>
          <w:rFonts w:ascii="Times New Roman" w:eastAsia="Times New Roman" w:hAnsi="Times New Roman"/>
          <w:sz w:val="28"/>
          <w:szCs w:val="28"/>
          <w:lang w:val="en-US"/>
        </w:rPr>
        <w:t>разследващите полицаи са работили и работят по дела наблюдавани и от други прокуратури, което също е опре</w:t>
      </w:r>
      <w:r w:rsidR="0058663A">
        <w:rPr>
          <w:rFonts w:ascii="Times New Roman" w:eastAsia="Times New Roman" w:hAnsi="Times New Roman"/>
          <w:sz w:val="28"/>
          <w:szCs w:val="28"/>
          <w:lang w:val="en-US"/>
        </w:rPr>
        <w:t>делящо за тяхната натовареност.</w:t>
      </w:r>
    </w:p>
    <w:p w:rsidR="00A17F5C" w:rsidRPr="00A17F5C" w:rsidRDefault="00A17F5C" w:rsidP="004D24A1">
      <w:pPr>
        <w:spacing w:after="0"/>
        <w:ind w:firstLine="708"/>
        <w:jc w:val="both"/>
        <w:rPr>
          <w:rFonts w:ascii="Times New Roman" w:hAnsi="Times New Roman"/>
          <w:sz w:val="28"/>
          <w:szCs w:val="28"/>
        </w:rPr>
      </w:pPr>
      <w:r w:rsidRPr="00A17F5C">
        <w:rPr>
          <w:rFonts w:ascii="Times New Roman" w:hAnsi="Times New Roman"/>
          <w:sz w:val="28"/>
          <w:szCs w:val="28"/>
        </w:rPr>
        <w:t>По данни от Комисията за противодействие на корупцията и за отнемане на незаконно придобитото имущество (КПКОНПИ) през 2021 г. КПКОНПИ е приела на свои заседания общо 5 (пет) Решения на основание чл. 47, ал. 5 от ЗПКОНПИ, за препращане на Софийска градска прокуратура по компетентност на сигнали, по които дирекция „Противодействие на корупцията” - КПКОНПИ е извършила съответните проверки по компетентност:</w:t>
      </w:r>
    </w:p>
    <w:p w:rsidR="00A17F5C" w:rsidRPr="00A17F5C" w:rsidRDefault="00A17F5C" w:rsidP="004D24A1">
      <w:pPr>
        <w:spacing w:after="0"/>
        <w:jc w:val="both"/>
        <w:rPr>
          <w:rFonts w:ascii="Times New Roman" w:hAnsi="Times New Roman"/>
          <w:sz w:val="28"/>
          <w:szCs w:val="28"/>
        </w:rPr>
      </w:pPr>
      <w:r w:rsidRPr="00A17F5C">
        <w:rPr>
          <w:rFonts w:ascii="Times New Roman" w:hAnsi="Times New Roman"/>
          <w:sz w:val="28"/>
          <w:szCs w:val="28"/>
        </w:rPr>
        <w:t xml:space="preserve">- Решение на КПКОНПИ № 284-К/09.06.2021 г. за препращане на СГП на сигнал, вх. № ЦУ01 /С-283/26.03.2021 г. по описа на КПКОНПИ. </w:t>
      </w:r>
    </w:p>
    <w:p w:rsidR="00A17F5C" w:rsidRPr="00A17F5C" w:rsidRDefault="00A17F5C" w:rsidP="004D24A1">
      <w:pPr>
        <w:spacing w:after="0"/>
        <w:jc w:val="both"/>
        <w:rPr>
          <w:rFonts w:ascii="Times New Roman" w:hAnsi="Times New Roman"/>
          <w:sz w:val="28"/>
          <w:szCs w:val="28"/>
        </w:rPr>
      </w:pPr>
      <w:r w:rsidRPr="00A17F5C">
        <w:rPr>
          <w:rFonts w:ascii="Times New Roman" w:hAnsi="Times New Roman"/>
          <w:sz w:val="28"/>
          <w:szCs w:val="28"/>
        </w:rPr>
        <w:t xml:space="preserve">- Решение на КПКОНПИ № 304-К/23.06.2021 г. за препращане на СГП на сигнал, вх. № ЦУ01/С-171/22.02.2021 г. по описа на КПКОНПИ. </w:t>
      </w:r>
    </w:p>
    <w:p w:rsidR="00A17F5C" w:rsidRPr="00A17F5C" w:rsidRDefault="00A17F5C" w:rsidP="004D24A1">
      <w:pPr>
        <w:spacing w:after="0"/>
        <w:jc w:val="both"/>
        <w:rPr>
          <w:rFonts w:ascii="Times New Roman" w:hAnsi="Times New Roman"/>
          <w:sz w:val="28"/>
          <w:szCs w:val="28"/>
        </w:rPr>
      </w:pPr>
      <w:r w:rsidRPr="00A17F5C">
        <w:rPr>
          <w:rFonts w:ascii="Times New Roman" w:hAnsi="Times New Roman"/>
          <w:sz w:val="28"/>
          <w:szCs w:val="28"/>
        </w:rPr>
        <w:t xml:space="preserve">- Решение на КПКОНПИ № 451-К/29.09.2021 г. за препращане на СГП на сигнал, вх. № ЦУ01/С-743/24.11.2020 г. по описа на КПКОНПИ. </w:t>
      </w:r>
    </w:p>
    <w:p w:rsidR="00A17F5C" w:rsidRPr="00A17F5C" w:rsidRDefault="00A17F5C" w:rsidP="004D24A1">
      <w:pPr>
        <w:spacing w:after="0"/>
        <w:jc w:val="both"/>
        <w:rPr>
          <w:rFonts w:ascii="Times New Roman" w:hAnsi="Times New Roman"/>
          <w:sz w:val="28"/>
          <w:szCs w:val="28"/>
        </w:rPr>
      </w:pPr>
      <w:r w:rsidRPr="00A17F5C">
        <w:rPr>
          <w:rFonts w:ascii="Times New Roman" w:hAnsi="Times New Roman"/>
          <w:sz w:val="28"/>
          <w:szCs w:val="28"/>
        </w:rPr>
        <w:t>- Решение на КПКОНПИ № 593-К/01.12.2021 г. за препращане на СГП на сигнал, вх. № ЦУ01/С-712/25.08.2021 г. по описа на КПКОНПИ.</w:t>
      </w:r>
    </w:p>
    <w:p w:rsidR="00A17F5C" w:rsidRPr="00A17F5C" w:rsidRDefault="00A17F5C" w:rsidP="004D24A1">
      <w:pPr>
        <w:spacing w:after="0"/>
        <w:jc w:val="both"/>
        <w:rPr>
          <w:rFonts w:ascii="Times New Roman" w:hAnsi="Times New Roman"/>
          <w:sz w:val="28"/>
          <w:szCs w:val="28"/>
        </w:rPr>
      </w:pPr>
      <w:r w:rsidRPr="00A17F5C">
        <w:rPr>
          <w:rFonts w:ascii="Times New Roman" w:hAnsi="Times New Roman"/>
          <w:sz w:val="28"/>
          <w:szCs w:val="28"/>
        </w:rPr>
        <w:t xml:space="preserve">- Решение на КПКОНПИ № 615-К/08.12.2021 г. за препращане на СГП на сигнал, вх. № ЦУ01/С-1007/01.12.2021 г. по описа на КПКОНПИ. </w:t>
      </w:r>
    </w:p>
    <w:p w:rsidR="00A17F5C" w:rsidRPr="00A17F5C" w:rsidRDefault="00A17F5C" w:rsidP="004D24A1">
      <w:pPr>
        <w:spacing w:after="0"/>
        <w:jc w:val="both"/>
        <w:rPr>
          <w:rFonts w:ascii="Times New Roman" w:hAnsi="Times New Roman"/>
          <w:b/>
          <w:sz w:val="24"/>
          <w:szCs w:val="24"/>
        </w:rPr>
      </w:pPr>
    </w:p>
    <w:p w:rsidR="009802BD" w:rsidRPr="009802BD" w:rsidRDefault="009802BD" w:rsidP="004D24A1">
      <w:pPr>
        <w:spacing w:after="0"/>
        <w:ind w:firstLine="708"/>
        <w:jc w:val="both"/>
        <w:rPr>
          <w:rFonts w:ascii="Times New Roman" w:hAnsi="Times New Roman"/>
          <w:b/>
          <w:sz w:val="28"/>
          <w:szCs w:val="28"/>
        </w:rPr>
      </w:pPr>
      <w:r w:rsidRPr="009802BD">
        <w:rPr>
          <w:rFonts w:ascii="Times New Roman" w:hAnsi="Times New Roman"/>
          <w:b/>
          <w:sz w:val="28"/>
          <w:szCs w:val="28"/>
        </w:rPr>
        <w:t>Досъдебни производства, разсле</w:t>
      </w:r>
      <w:r w:rsidR="00867DD0">
        <w:rPr>
          <w:rFonts w:ascii="Times New Roman" w:hAnsi="Times New Roman"/>
          <w:b/>
          <w:sz w:val="28"/>
          <w:szCs w:val="28"/>
        </w:rPr>
        <w:t>двани по общия ред от прокурор.</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прокурорите при Софийска градска прокуратура и Софийска районна прокуратура са наблюдавали и разследвали по общия ред </w:t>
      </w:r>
      <w:r w:rsidRPr="009802BD">
        <w:rPr>
          <w:rFonts w:ascii="Times New Roman" w:hAnsi="Times New Roman"/>
          <w:b/>
          <w:sz w:val="28"/>
          <w:szCs w:val="28"/>
          <w:lang w:val="en-US"/>
        </w:rPr>
        <w:t xml:space="preserve">15 </w:t>
      </w:r>
      <w:r w:rsidRPr="009802BD">
        <w:rPr>
          <w:rFonts w:ascii="Times New Roman" w:hAnsi="Times New Roman"/>
          <w:sz w:val="28"/>
          <w:szCs w:val="28"/>
        </w:rPr>
        <w:t xml:space="preserve">броя досъдебни производства, новообразуваните са </w:t>
      </w:r>
      <w:r w:rsidRPr="009802BD">
        <w:rPr>
          <w:rFonts w:ascii="Times New Roman" w:hAnsi="Times New Roman"/>
          <w:b/>
          <w:sz w:val="28"/>
          <w:szCs w:val="28"/>
          <w:lang w:val="en-US"/>
        </w:rPr>
        <w:t>7</w:t>
      </w:r>
      <w:r w:rsidRPr="009802BD">
        <w:rPr>
          <w:rFonts w:ascii="Times New Roman" w:hAnsi="Times New Roman"/>
          <w:b/>
          <w:sz w:val="28"/>
          <w:szCs w:val="28"/>
        </w:rPr>
        <w:t xml:space="preserve"> </w:t>
      </w:r>
      <w:r w:rsidRPr="009802BD">
        <w:rPr>
          <w:rFonts w:ascii="Times New Roman" w:hAnsi="Times New Roman"/>
          <w:sz w:val="28"/>
          <w:szCs w:val="28"/>
        </w:rPr>
        <w:t>броя.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Относителният дял на разследваните по общия ред от прокурор досъдебни производства спрямо общия брой наблюдавани досъдебни производства, разследвани по общия ред е </w:t>
      </w:r>
      <w:r w:rsidRPr="009802BD">
        <w:rPr>
          <w:rFonts w:ascii="Times New Roman" w:hAnsi="Times New Roman"/>
          <w:b/>
          <w:sz w:val="28"/>
          <w:szCs w:val="28"/>
        </w:rPr>
        <w:t>0,04 %</w:t>
      </w:r>
      <w:r w:rsidRPr="009802BD">
        <w:rPr>
          <w:rFonts w:ascii="Times New Roman" w:hAnsi="Times New Roman"/>
          <w:sz w:val="28"/>
          <w:szCs w:val="28"/>
        </w:rPr>
        <w:t xml:space="preserve"> /като за 2019 г. – 0,08 %, а за 2020 г. е бил 0,05%/, като се наблюдава намаление в сравнение с 2020 г.   </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lastRenderedPageBreak/>
        <w:t>Бързи производства.</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2021 г. Софийска районна прокуратура е наблюдавала общо </w:t>
      </w:r>
      <w:r w:rsidRPr="009802BD">
        <w:rPr>
          <w:rFonts w:ascii="Times New Roman" w:hAnsi="Times New Roman"/>
          <w:b/>
          <w:sz w:val="28"/>
          <w:szCs w:val="28"/>
        </w:rPr>
        <w:t>2019</w:t>
      </w:r>
      <w:r w:rsidRPr="009802BD">
        <w:rPr>
          <w:rFonts w:ascii="Times New Roman" w:hAnsi="Times New Roman"/>
          <w:sz w:val="28"/>
          <w:szCs w:val="28"/>
        </w:rPr>
        <w:t xml:space="preserve"> броя бързи производства /при 3162 броя за 2019 г. и 1976 броя за 2020 г./ или </w:t>
      </w:r>
      <w:r w:rsidRPr="009802BD">
        <w:rPr>
          <w:rFonts w:ascii="Times New Roman" w:hAnsi="Times New Roman"/>
          <w:b/>
          <w:sz w:val="28"/>
          <w:szCs w:val="28"/>
        </w:rPr>
        <w:t xml:space="preserve">5,68 % </w:t>
      </w:r>
      <w:r w:rsidRPr="009802BD">
        <w:rPr>
          <w:rFonts w:ascii="Times New Roman" w:hAnsi="Times New Roman"/>
          <w:sz w:val="28"/>
          <w:szCs w:val="28"/>
        </w:rPr>
        <w:t xml:space="preserve">спрямо наблюдаваните досъдебни производства /без прекратените по давност/. За отчетния период Софийска градска прокуратура е наблюдавала </w:t>
      </w:r>
      <w:r w:rsidRPr="009802BD">
        <w:rPr>
          <w:rFonts w:ascii="Times New Roman" w:hAnsi="Times New Roman"/>
          <w:b/>
          <w:sz w:val="28"/>
          <w:szCs w:val="28"/>
        </w:rPr>
        <w:t>0</w:t>
      </w:r>
      <w:r w:rsidRPr="009802BD">
        <w:rPr>
          <w:rFonts w:ascii="Times New Roman" w:hAnsi="Times New Roman"/>
          <w:sz w:val="28"/>
          <w:szCs w:val="28"/>
        </w:rPr>
        <w:t xml:space="preserve"> броя бързи производства.</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Налице е увеличение на броя на наблюдаваните от Софийска районна прокуратура бързи производства в сравнение с 2020 г. </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От общия брой наблюдавани бързи производства новообразувани са </w:t>
      </w:r>
      <w:r w:rsidRPr="009802BD">
        <w:rPr>
          <w:rFonts w:ascii="Times New Roman" w:hAnsi="Times New Roman"/>
          <w:b/>
          <w:sz w:val="28"/>
          <w:szCs w:val="28"/>
        </w:rPr>
        <w:t>1992</w:t>
      </w:r>
      <w:r w:rsidRPr="009802BD">
        <w:rPr>
          <w:rFonts w:ascii="Times New Roman" w:hAnsi="Times New Roman"/>
          <w:sz w:val="28"/>
          <w:szCs w:val="28"/>
        </w:rPr>
        <w:t xml:space="preserve"> броя бързи производства, които спрямо общия брой новообразувани досъдебни производства /</w:t>
      </w:r>
      <w:r w:rsidRPr="009802BD">
        <w:rPr>
          <w:rFonts w:ascii="Times New Roman" w:hAnsi="Times New Roman"/>
          <w:b/>
          <w:sz w:val="28"/>
          <w:szCs w:val="28"/>
        </w:rPr>
        <w:t xml:space="preserve">17868 </w:t>
      </w:r>
      <w:r w:rsidRPr="009802BD">
        <w:rPr>
          <w:rFonts w:ascii="Times New Roman" w:hAnsi="Times New Roman"/>
          <w:sz w:val="28"/>
          <w:szCs w:val="28"/>
        </w:rPr>
        <w:t xml:space="preserve">броя/ представлява дял от </w:t>
      </w:r>
      <w:r w:rsidRPr="009802BD">
        <w:rPr>
          <w:rFonts w:ascii="Times New Roman" w:hAnsi="Times New Roman"/>
          <w:b/>
          <w:sz w:val="28"/>
          <w:szCs w:val="28"/>
        </w:rPr>
        <w:t>11.15 %.</w:t>
      </w:r>
    </w:p>
    <w:p w:rsid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по </w:t>
      </w:r>
      <w:r w:rsidRPr="009802BD">
        <w:rPr>
          <w:rFonts w:ascii="Times New Roman" w:hAnsi="Times New Roman"/>
          <w:b/>
          <w:sz w:val="28"/>
          <w:szCs w:val="28"/>
        </w:rPr>
        <w:t xml:space="preserve">620 </w:t>
      </w:r>
      <w:r w:rsidRPr="009802BD">
        <w:rPr>
          <w:rFonts w:ascii="Times New Roman" w:hAnsi="Times New Roman"/>
          <w:sz w:val="28"/>
          <w:szCs w:val="28"/>
        </w:rPr>
        <w:t>броя бързи производства прокурор е постановил извършването на разследването по общия ред, поради фактическа и правна сложност.</w:t>
      </w:r>
    </w:p>
    <w:p w:rsidR="00A957DF" w:rsidRPr="009802BD" w:rsidRDefault="00A957DF" w:rsidP="004D24A1">
      <w:pPr>
        <w:ind w:firstLine="708"/>
        <w:jc w:val="both"/>
        <w:rPr>
          <w:rFonts w:ascii="Times New Roman" w:hAnsi="Times New Roman"/>
          <w:sz w:val="28"/>
          <w:szCs w:val="28"/>
        </w:rPr>
      </w:pP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Видове досъдебни производства съобразно систематиката на НК, включително по отношение на пострадалите лица и на ощетени юридически лица от престъпления.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са новообразувани </w:t>
      </w:r>
      <w:r w:rsidRPr="009802BD">
        <w:rPr>
          <w:rFonts w:ascii="Times New Roman" w:hAnsi="Times New Roman"/>
          <w:b/>
          <w:sz w:val="28"/>
          <w:szCs w:val="28"/>
        </w:rPr>
        <w:t>17868</w:t>
      </w:r>
      <w:r w:rsidRPr="009802BD">
        <w:rPr>
          <w:rFonts w:ascii="Times New Roman" w:hAnsi="Times New Roman"/>
          <w:sz w:val="28"/>
          <w:szCs w:val="28"/>
        </w:rPr>
        <w:t xml:space="preserve"> броя досъдебни производства с пострадали </w:t>
      </w:r>
      <w:r w:rsidRPr="009802BD">
        <w:rPr>
          <w:rFonts w:ascii="Times New Roman" w:hAnsi="Times New Roman"/>
          <w:b/>
          <w:sz w:val="28"/>
          <w:szCs w:val="28"/>
        </w:rPr>
        <w:t>13313</w:t>
      </w:r>
      <w:r w:rsidRPr="009802BD">
        <w:rPr>
          <w:rFonts w:ascii="Times New Roman" w:hAnsi="Times New Roman"/>
          <w:sz w:val="28"/>
          <w:szCs w:val="28"/>
        </w:rPr>
        <w:t xml:space="preserve"> физически лица</w:t>
      </w:r>
      <w:r w:rsidRPr="009802BD">
        <w:rPr>
          <w:rFonts w:ascii="Times New Roman" w:hAnsi="Times New Roman"/>
          <w:i/>
          <w:sz w:val="28"/>
          <w:szCs w:val="28"/>
        </w:rPr>
        <w:t xml:space="preserve">, </w:t>
      </w:r>
      <w:r w:rsidRPr="009802BD">
        <w:rPr>
          <w:rFonts w:ascii="Times New Roman" w:hAnsi="Times New Roman"/>
          <w:sz w:val="28"/>
          <w:szCs w:val="28"/>
        </w:rPr>
        <w:t xml:space="preserve">от които </w:t>
      </w:r>
      <w:r w:rsidRPr="009802BD">
        <w:rPr>
          <w:rFonts w:ascii="Times New Roman" w:hAnsi="Times New Roman"/>
          <w:b/>
          <w:sz w:val="28"/>
          <w:szCs w:val="28"/>
        </w:rPr>
        <w:t>221</w:t>
      </w:r>
      <w:r w:rsidRPr="009802BD">
        <w:rPr>
          <w:rFonts w:ascii="Times New Roman" w:hAnsi="Times New Roman"/>
          <w:sz w:val="28"/>
          <w:szCs w:val="28"/>
        </w:rPr>
        <w:t xml:space="preserve"> малолетни лица /при 286 за 2019 г. и 216 за 2020 г./ и </w:t>
      </w:r>
      <w:r w:rsidRPr="009802BD">
        <w:rPr>
          <w:rFonts w:ascii="Times New Roman" w:hAnsi="Times New Roman"/>
          <w:b/>
          <w:sz w:val="28"/>
          <w:szCs w:val="28"/>
        </w:rPr>
        <w:t xml:space="preserve">213 </w:t>
      </w:r>
      <w:r w:rsidRPr="009802BD">
        <w:rPr>
          <w:rFonts w:ascii="Times New Roman" w:hAnsi="Times New Roman"/>
          <w:sz w:val="28"/>
          <w:szCs w:val="28"/>
        </w:rPr>
        <w:t>непълнолетни лица /при 253 за 2019 г.</w:t>
      </w:r>
      <w:r w:rsidRPr="009802BD">
        <w:rPr>
          <w:rFonts w:ascii="Times New Roman" w:hAnsi="Times New Roman"/>
          <w:b/>
          <w:sz w:val="28"/>
          <w:szCs w:val="28"/>
        </w:rPr>
        <w:t xml:space="preserve"> </w:t>
      </w:r>
      <w:r w:rsidRPr="009802BD">
        <w:rPr>
          <w:rFonts w:ascii="Times New Roman" w:hAnsi="Times New Roman"/>
          <w:sz w:val="28"/>
          <w:szCs w:val="28"/>
        </w:rPr>
        <w:t>и</w:t>
      </w:r>
      <w:r w:rsidRPr="009802BD">
        <w:rPr>
          <w:rFonts w:ascii="Times New Roman" w:hAnsi="Times New Roman"/>
          <w:b/>
          <w:sz w:val="28"/>
          <w:szCs w:val="28"/>
        </w:rPr>
        <w:t xml:space="preserve"> </w:t>
      </w:r>
      <w:r w:rsidRPr="009802BD">
        <w:rPr>
          <w:rFonts w:ascii="Times New Roman" w:hAnsi="Times New Roman"/>
          <w:sz w:val="28"/>
          <w:szCs w:val="28"/>
        </w:rPr>
        <w:t xml:space="preserve">194 за 2020 г./. Ощетените юридически лица са </w:t>
      </w:r>
      <w:r w:rsidRPr="009802BD">
        <w:rPr>
          <w:rFonts w:ascii="Times New Roman" w:hAnsi="Times New Roman"/>
          <w:b/>
          <w:sz w:val="28"/>
          <w:szCs w:val="28"/>
        </w:rPr>
        <w:t xml:space="preserve">1029 </w:t>
      </w:r>
      <w:r w:rsidRPr="009802BD">
        <w:rPr>
          <w:rFonts w:ascii="Times New Roman" w:hAnsi="Times New Roman"/>
          <w:sz w:val="28"/>
          <w:szCs w:val="28"/>
        </w:rPr>
        <w:t xml:space="preserve">броя. </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Според систематиката на НК, включително и по отношение на пострадалите от престъпления, се разпределят както следва:</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ІІ от НК – „Престъпления против личността”</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2021 г. по Глава ІІ от НК са новообразувани </w:t>
      </w:r>
      <w:r w:rsidRPr="009802BD">
        <w:rPr>
          <w:rFonts w:ascii="Times New Roman" w:hAnsi="Times New Roman"/>
          <w:b/>
          <w:sz w:val="28"/>
          <w:szCs w:val="28"/>
        </w:rPr>
        <w:t>2234</w:t>
      </w:r>
      <w:r w:rsidRPr="009802BD">
        <w:rPr>
          <w:rFonts w:ascii="Times New Roman" w:hAnsi="Times New Roman"/>
          <w:sz w:val="28"/>
          <w:szCs w:val="28"/>
        </w:rPr>
        <w:t xml:space="preserve"> броя досъдебни производства /при 2044  за 2019 г. и 2015 бр. за 2020 г./.</w:t>
      </w:r>
      <w:r w:rsidRPr="009802BD">
        <w:rPr>
          <w:rFonts w:ascii="Times New Roman" w:hAnsi="Times New Roman"/>
          <w:i/>
          <w:sz w:val="28"/>
          <w:szCs w:val="28"/>
        </w:rPr>
        <w:t xml:space="preserve"> </w:t>
      </w:r>
      <w:r w:rsidRPr="009802BD">
        <w:rPr>
          <w:rFonts w:ascii="Times New Roman" w:hAnsi="Times New Roman"/>
          <w:sz w:val="28"/>
          <w:szCs w:val="28"/>
        </w:rPr>
        <w:t xml:space="preserve">От тях най-висок дял заемат престъпленията по чл. 127 от НК – 844 бр. следвани от тези по Раздел II / чл. 128 до чл. 135 от НК/ – образувани са </w:t>
      </w:r>
      <w:r w:rsidRPr="009802BD">
        <w:rPr>
          <w:rFonts w:ascii="Times New Roman" w:hAnsi="Times New Roman"/>
          <w:b/>
          <w:sz w:val="28"/>
          <w:szCs w:val="28"/>
        </w:rPr>
        <w:t>746</w:t>
      </w:r>
      <w:r w:rsidRPr="009802BD">
        <w:rPr>
          <w:rFonts w:ascii="Times New Roman" w:hAnsi="Times New Roman"/>
          <w:sz w:val="28"/>
          <w:szCs w:val="28"/>
        </w:rPr>
        <w:t xml:space="preserve">  броя досъдебни производства /при 712 броя за 2019 г. и 687 броя за 2020 г./.</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Пострадалите физически лица от престъпления против личността са </w:t>
      </w:r>
      <w:r w:rsidRPr="009802BD">
        <w:rPr>
          <w:rFonts w:ascii="Times New Roman" w:hAnsi="Times New Roman"/>
          <w:b/>
          <w:sz w:val="28"/>
          <w:szCs w:val="28"/>
        </w:rPr>
        <w:t>2315</w:t>
      </w:r>
      <w:r w:rsidRPr="009802BD">
        <w:rPr>
          <w:rFonts w:ascii="Times New Roman" w:hAnsi="Times New Roman"/>
          <w:sz w:val="28"/>
          <w:szCs w:val="28"/>
        </w:rPr>
        <w:t xml:space="preserve">, от които мъже </w:t>
      </w:r>
      <w:r w:rsidRPr="009802BD">
        <w:rPr>
          <w:rFonts w:ascii="Times New Roman" w:hAnsi="Times New Roman"/>
          <w:b/>
          <w:sz w:val="28"/>
          <w:szCs w:val="28"/>
        </w:rPr>
        <w:t>1379</w:t>
      </w:r>
      <w:r w:rsidRPr="009802BD">
        <w:rPr>
          <w:rFonts w:ascii="Times New Roman" w:hAnsi="Times New Roman"/>
          <w:sz w:val="28"/>
          <w:szCs w:val="28"/>
        </w:rPr>
        <w:t xml:space="preserve"> и </w:t>
      </w:r>
      <w:r w:rsidRPr="009802BD">
        <w:rPr>
          <w:rFonts w:ascii="Times New Roman" w:hAnsi="Times New Roman"/>
          <w:b/>
          <w:sz w:val="28"/>
          <w:szCs w:val="28"/>
        </w:rPr>
        <w:t>936</w:t>
      </w:r>
      <w:r w:rsidRPr="009802BD">
        <w:rPr>
          <w:rFonts w:ascii="Times New Roman" w:hAnsi="Times New Roman"/>
          <w:sz w:val="28"/>
          <w:szCs w:val="28"/>
        </w:rPr>
        <w:t xml:space="preserve"> жени. От общия брой пострадали лица </w:t>
      </w:r>
      <w:r w:rsidRPr="009802BD">
        <w:rPr>
          <w:rFonts w:ascii="Times New Roman" w:hAnsi="Times New Roman"/>
          <w:b/>
          <w:sz w:val="28"/>
          <w:szCs w:val="28"/>
        </w:rPr>
        <w:t xml:space="preserve">88 </w:t>
      </w:r>
      <w:r w:rsidRPr="009802BD">
        <w:rPr>
          <w:rFonts w:ascii="Times New Roman" w:hAnsi="Times New Roman"/>
          <w:sz w:val="28"/>
          <w:szCs w:val="28"/>
        </w:rPr>
        <w:t xml:space="preserve">са непълнолетни лица и </w:t>
      </w:r>
      <w:r w:rsidRPr="009802BD">
        <w:rPr>
          <w:rFonts w:ascii="Times New Roman" w:hAnsi="Times New Roman"/>
          <w:b/>
          <w:sz w:val="28"/>
          <w:szCs w:val="28"/>
        </w:rPr>
        <w:t>66</w:t>
      </w:r>
      <w:r w:rsidRPr="009802BD">
        <w:rPr>
          <w:rFonts w:ascii="Times New Roman" w:hAnsi="Times New Roman"/>
          <w:sz w:val="28"/>
          <w:szCs w:val="28"/>
        </w:rPr>
        <w:t xml:space="preserve"> малолетни лица.</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lastRenderedPageBreak/>
        <w:t xml:space="preserve">Глава ІІІ от НК – „Престъпления против правата на гражданите” </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са новообразувани </w:t>
      </w:r>
      <w:r w:rsidRPr="009802BD">
        <w:rPr>
          <w:rFonts w:ascii="Times New Roman" w:hAnsi="Times New Roman"/>
          <w:b/>
          <w:sz w:val="28"/>
          <w:szCs w:val="28"/>
        </w:rPr>
        <w:t xml:space="preserve">184 </w:t>
      </w:r>
      <w:r w:rsidRPr="009802BD">
        <w:rPr>
          <w:rFonts w:ascii="Times New Roman" w:hAnsi="Times New Roman"/>
          <w:sz w:val="28"/>
          <w:szCs w:val="28"/>
        </w:rPr>
        <w:t>броя досъдебни производства /при 97 броя за 2019 г. и 225 броя за 2020 г./ по Глава ІІІ от НК.</w:t>
      </w:r>
      <w:r w:rsidRPr="009802BD">
        <w:rPr>
          <w:rFonts w:ascii="Times New Roman" w:hAnsi="Times New Roman"/>
          <w:i/>
          <w:sz w:val="28"/>
          <w:szCs w:val="28"/>
        </w:rPr>
        <w:t xml:space="preserve"> </w:t>
      </w:r>
      <w:r w:rsidRPr="009802BD">
        <w:rPr>
          <w:rFonts w:ascii="Times New Roman" w:hAnsi="Times New Roman"/>
          <w:sz w:val="28"/>
          <w:szCs w:val="28"/>
        </w:rPr>
        <w:t xml:space="preserve">От тях с най-голям дял са образуваните и разследвани за престъпленията по чл.  168 от НК – </w:t>
      </w:r>
      <w:r w:rsidRPr="009802BD">
        <w:rPr>
          <w:rFonts w:ascii="Times New Roman" w:hAnsi="Times New Roman"/>
          <w:b/>
          <w:sz w:val="28"/>
          <w:szCs w:val="28"/>
        </w:rPr>
        <w:t xml:space="preserve">93 </w:t>
      </w:r>
      <w:r w:rsidRPr="009802BD">
        <w:rPr>
          <w:rFonts w:ascii="Times New Roman" w:hAnsi="Times New Roman"/>
          <w:sz w:val="28"/>
          <w:szCs w:val="28"/>
        </w:rPr>
        <w:t>броя досъдебни производства.</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Пострадали физически лица са </w:t>
      </w:r>
      <w:r w:rsidRPr="009802BD">
        <w:rPr>
          <w:rFonts w:ascii="Times New Roman" w:hAnsi="Times New Roman"/>
          <w:b/>
          <w:sz w:val="28"/>
          <w:szCs w:val="28"/>
        </w:rPr>
        <w:t>29</w:t>
      </w:r>
      <w:r w:rsidRPr="009802BD">
        <w:rPr>
          <w:rFonts w:ascii="Times New Roman" w:hAnsi="Times New Roman"/>
          <w:sz w:val="28"/>
          <w:szCs w:val="28"/>
        </w:rPr>
        <w:t xml:space="preserve">, от които </w:t>
      </w:r>
      <w:r w:rsidRPr="009802BD">
        <w:rPr>
          <w:rFonts w:ascii="Times New Roman" w:hAnsi="Times New Roman"/>
          <w:b/>
          <w:sz w:val="28"/>
          <w:szCs w:val="28"/>
        </w:rPr>
        <w:t xml:space="preserve">19 </w:t>
      </w:r>
      <w:r w:rsidRPr="009802BD">
        <w:rPr>
          <w:rFonts w:ascii="Times New Roman" w:hAnsi="Times New Roman"/>
          <w:sz w:val="28"/>
          <w:szCs w:val="28"/>
        </w:rPr>
        <w:t xml:space="preserve">мъже и </w:t>
      </w:r>
      <w:r w:rsidRPr="009802BD">
        <w:rPr>
          <w:rFonts w:ascii="Times New Roman" w:hAnsi="Times New Roman"/>
          <w:b/>
          <w:sz w:val="28"/>
          <w:szCs w:val="28"/>
        </w:rPr>
        <w:t>10</w:t>
      </w:r>
      <w:r w:rsidRPr="009802BD">
        <w:rPr>
          <w:rFonts w:ascii="Times New Roman" w:hAnsi="Times New Roman"/>
          <w:sz w:val="28"/>
          <w:szCs w:val="28"/>
        </w:rPr>
        <w:t xml:space="preserve"> жени. Ощетени юридически лица са </w:t>
      </w:r>
      <w:r w:rsidRPr="009802BD">
        <w:rPr>
          <w:rFonts w:ascii="Times New Roman" w:hAnsi="Times New Roman"/>
          <w:b/>
          <w:sz w:val="28"/>
          <w:szCs w:val="28"/>
        </w:rPr>
        <w:t>43</w:t>
      </w:r>
      <w:r w:rsidRPr="009802BD">
        <w:rPr>
          <w:rFonts w:ascii="Times New Roman" w:hAnsi="Times New Roman"/>
          <w:sz w:val="28"/>
          <w:szCs w:val="28"/>
        </w:rPr>
        <w:t xml:space="preserve"> броя.</w:t>
      </w:r>
    </w:p>
    <w:p w:rsidR="009802BD" w:rsidRPr="009802BD" w:rsidRDefault="009802BD" w:rsidP="004D24A1">
      <w:pPr>
        <w:ind w:firstLine="708"/>
        <w:jc w:val="both"/>
        <w:rPr>
          <w:rFonts w:ascii="Times New Roman" w:hAnsi="Times New Roman"/>
          <w:b/>
          <w:color w:val="000000"/>
          <w:sz w:val="28"/>
          <w:szCs w:val="28"/>
        </w:rPr>
      </w:pPr>
      <w:r w:rsidRPr="009802BD">
        <w:rPr>
          <w:rFonts w:ascii="Times New Roman" w:hAnsi="Times New Roman"/>
          <w:b/>
          <w:color w:val="000000"/>
          <w:sz w:val="28"/>
          <w:szCs w:val="28"/>
        </w:rPr>
        <w:t>Глава ІV от НК – „Престъпления против брака и семейството”</w:t>
      </w:r>
    </w:p>
    <w:p w:rsidR="009802BD" w:rsidRPr="009802BD" w:rsidRDefault="009802BD" w:rsidP="004D24A1">
      <w:pPr>
        <w:ind w:firstLine="708"/>
        <w:jc w:val="both"/>
        <w:rPr>
          <w:rFonts w:ascii="Times New Roman" w:hAnsi="Times New Roman"/>
          <w:color w:val="000000"/>
          <w:sz w:val="28"/>
          <w:szCs w:val="28"/>
        </w:rPr>
      </w:pPr>
      <w:r w:rsidRPr="009802BD">
        <w:rPr>
          <w:rFonts w:ascii="Times New Roman" w:hAnsi="Times New Roman"/>
          <w:color w:val="000000"/>
          <w:sz w:val="28"/>
          <w:szCs w:val="28"/>
        </w:rPr>
        <w:t xml:space="preserve">През 2021 г. по Глава ІV от НК са новообразувани </w:t>
      </w:r>
      <w:r w:rsidRPr="009802BD">
        <w:rPr>
          <w:rFonts w:ascii="Times New Roman" w:hAnsi="Times New Roman"/>
          <w:b/>
          <w:color w:val="000000"/>
          <w:sz w:val="28"/>
          <w:szCs w:val="28"/>
        </w:rPr>
        <w:t>188</w:t>
      </w:r>
      <w:r w:rsidRPr="009802BD">
        <w:rPr>
          <w:rFonts w:ascii="Times New Roman" w:hAnsi="Times New Roman"/>
          <w:color w:val="000000"/>
          <w:sz w:val="28"/>
          <w:szCs w:val="28"/>
        </w:rPr>
        <w:t xml:space="preserve"> броя </w:t>
      </w:r>
      <w:r w:rsidRPr="009802BD">
        <w:rPr>
          <w:rFonts w:ascii="Times New Roman" w:hAnsi="Times New Roman"/>
          <w:b/>
          <w:color w:val="000000"/>
          <w:sz w:val="28"/>
          <w:szCs w:val="28"/>
        </w:rPr>
        <w:t xml:space="preserve"> </w:t>
      </w:r>
      <w:r w:rsidRPr="009802BD">
        <w:rPr>
          <w:rFonts w:ascii="Times New Roman" w:hAnsi="Times New Roman"/>
          <w:color w:val="000000"/>
          <w:sz w:val="28"/>
          <w:szCs w:val="28"/>
        </w:rPr>
        <w:t>досъдебни производства /при 255 броя за 2019 г. и</w:t>
      </w:r>
      <w:r w:rsidRPr="009802BD">
        <w:rPr>
          <w:rFonts w:ascii="Times New Roman" w:hAnsi="Times New Roman"/>
          <w:b/>
          <w:color w:val="000000"/>
          <w:sz w:val="28"/>
          <w:szCs w:val="28"/>
        </w:rPr>
        <w:t xml:space="preserve"> </w:t>
      </w:r>
      <w:r w:rsidRPr="009802BD">
        <w:rPr>
          <w:rFonts w:ascii="Times New Roman" w:hAnsi="Times New Roman"/>
          <w:color w:val="000000"/>
          <w:sz w:val="28"/>
          <w:szCs w:val="28"/>
        </w:rPr>
        <w:t xml:space="preserve">182 броя за 2020 г./. С най-голям дял са образуваните по чл.183 от НК – </w:t>
      </w:r>
      <w:r w:rsidRPr="009802BD">
        <w:rPr>
          <w:rFonts w:ascii="Times New Roman" w:hAnsi="Times New Roman"/>
          <w:b/>
          <w:color w:val="000000"/>
          <w:sz w:val="28"/>
          <w:szCs w:val="28"/>
        </w:rPr>
        <w:t>138</w:t>
      </w:r>
      <w:r w:rsidRPr="009802BD">
        <w:rPr>
          <w:rFonts w:ascii="Times New Roman" w:hAnsi="Times New Roman"/>
          <w:color w:val="000000"/>
          <w:sz w:val="28"/>
          <w:szCs w:val="28"/>
        </w:rPr>
        <w:t xml:space="preserve"> досъдебни производства. Пострадали лица от престъпления по Глава ІV от НК са общо </w:t>
      </w:r>
      <w:r w:rsidRPr="009802BD">
        <w:rPr>
          <w:rFonts w:ascii="Times New Roman" w:hAnsi="Times New Roman"/>
          <w:b/>
          <w:color w:val="000000"/>
          <w:sz w:val="28"/>
          <w:szCs w:val="28"/>
        </w:rPr>
        <w:t>262</w:t>
      </w:r>
      <w:r w:rsidRPr="009802BD">
        <w:rPr>
          <w:rFonts w:ascii="Times New Roman" w:hAnsi="Times New Roman"/>
          <w:color w:val="000000"/>
          <w:sz w:val="28"/>
          <w:szCs w:val="28"/>
        </w:rPr>
        <w:t xml:space="preserve">, от които </w:t>
      </w:r>
      <w:r w:rsidRPr="009802BD">
        <w:rPr>
          <w:rFonts w:ascii="Times New Roman" w:hAnsi="Times New Roman"/>
          <w:b/>
          <w:color w:val="000000"/>
          <w:sz w:val="28"/>
          <w:szCs w:val="28"/>
        </w:rPr>
        <w:t>53</w:t>
      </w:r>
      <w:r w:rsidRPr="009802BD">
        <w:rPr>
          <w:rFonts w:ascii="Times New Roman" w:hAnsi="Times New Roman"/>
          <w:color w:val="000000"/>
          <w:sz w:val="28"/>
          <w:szCs w:val="28"/>
        </w:rPr>
        <w:t xml:space="preserve"> непълнолетни и </w:t>
      </w:r>
      <w:r w:rsidRPr="009802BD">
        <w:rPr>
          <w:rFonts w:ascii="Times New Roman" w:hAnsi="Times New Roman"/>
          <w:b/>
          <w:color w:val="000000"/>
          <w:sz w:val="28"/>
          <w:szCs w:val="28"/>
        </w:rPr>
        <w:t>82</w:t>
      </w:r>
      <w:r w:rsidRPr="009802BD">
        <w:rPr>
          <w:rFonts w:ascii="Times New Roman" w:hAnsi="Times New Roman"/>
          <w:color w:val="000000"/>
          <w:sz w:val="28"/>
          <w:szCs w:val="28"/>
        </w:rPr>
        <w:t xml:space="preserve"> малолетни лица.</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V от НК – „Престъпления против собствеността”</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са новообразувани по Глава V от НК – </w:t>
      </w:r>
      <w:r w:rsidRPr="009802BD">
        <w:rPr>
          <w:rFonts w:ascii="Times New Roman" w:hAnsi="Times New Roman"/>
          <w:b/>
          <w:sz w:val="28"/>
          <w:szCs w:val="28"/>
        </w:rPr>
        <w:t xml:space="preserve">7595  </w:t>
      </w:r>
      <w:r w:rsidRPr="009802BD">
        <w:rPr>
          <w:rFonts w:ascii="Times New Roman" w:hAnsi="Times New Roman"/>
          <w:sz w:val="28"/>
          <w:szCs w:val="28"/>
        </w:rPr>
        <w:t xml:space="preserve">броя досъдебни производства /при 10916 броя за 2019 г. и 9059 броя за 2020 г./ с пострадали </w:t>
      </w:r>
      <w:r w:rsidRPr="009802BD">
        <w:rPr>
          <w:rFonts w:ascii="Times New Roman" w:hAnsi="Times New Roman"/>
          <w:b/>
          <w:sz w:val="28"/>
          <w:szCs w:val="28"/>
        </w:rPr>
        <w:t>7571</w:t>
      </w:r>
      <w:r w:rsidRPr="009802BD">
        <w:rPr>
          <w:rFonts w:ascii="Times New Roman" w:hAnsi="Times New Roman"/>
          <w:sz w:val="28"/>
          <w:szCs w:val="28"/>
        </w:rPr>
        <w:t xml:space="preserve"> лица.</w:t>
      </w:r>
      <w:r w:rsidRPr="009802BD">
        <w:rPr>
          <w:rFonts w:ascii="Times New Roman" w:hAnsi="Times New Roman"/>
          <w:i/>
          <w:sz w:val="28"/>
          <w:szCs w:val="28"/>
        </w:rPr>
        <w:t xml:space="preserve"> </w:t>
      </w:r>
      <w:r w:rsidRPr="009802BD">
        <w:rPr>
          <w:rFonts w:ascii="Times New Roman" w:hAnsi="Times New Roman"/>
          <w:sz w:val="28"/>
          <w:szCs w:val="28"/>
        </w:rPr>
        <w:t>Най-голям е делът на образуваните досъдебни производства и пострадали физически лица по тази глава</w:t>
      </w:r>
      <w:r w:rsidRPr="009802BD">
        <w:rPr>
          <w:rFonts w:ascii="Times New Roman" w:hAnsi="Times New Roman"/>
          <w:i/>
          <w:sz w:val="28"/>
          <w:szCs w:val="28"/>
        </w:rPr>
        <w:t xml:space="preserve"> – </w:t>
      </w:r>
      <w:r w:rsidRPr="009802BD">
        <w:rPr>
          <w:rFonts w:ascii="Times New Roman" w:hAnsi="Times New Roman"/>
          <w:b/>
          <w:sz w:val="28"/>
          <w:szCs w:val="28"/>
        </w:rPr>
        <w:t>42,51 %</w:t>
      </w:r>
      <w:r w:rsidRPr="009802BD">
        <w:rPr>
          <w:rFonts w:ascii="Times New Roman" w:hAnsi="Times New Roman"/>
          <w:sz w:val="28"/>
          <w:szCs w:val="28"/>
        </w:rPr>
        <w:t xml:space="preserve"> от общия брой новообразувани дела /</w:t>
      </w:r>
      <w:r w:rsidRPr="009802BD">
        <w:rPr>
          <w:rFonts w:ascii="Times New Roman" w:hAnsi="Times New Roman"/>
          <w:b/>
          <w:sz w:val="28"/>
          <w:szCs w:val="28"/>
        </w:rPr>
        <w:t>17868</w:t>
      </w:r>
      <w:r w:rsidRPr="009802BD">
        <w:rPr>
          <w:rFonts w:ascii="Times New Roman" w:hAnsi="Times New Roman"/>
          <w:sz w:val="28"/>
          <w:szCs w:val="28"/>
        </w:rPr>
        <w:t xml:space="preserve"> броя/ и </w:t>
      </w:r>
      <w:r w:rsidRPr="009802BD">
        <w:rPr>
          <w:rFonts w:ascii="Times New Roman" w:hAnsi="Times New Roman"/>
          <w:b/>
          <w:sz w:val="28"/>
          <w:szCs w:val="28"/>
        </w:rPr>
        <w:t>56,87 %</w:t>
      </w:r>
      <w:r w:rsidRPr="009802BD">
        <w:rPr>
          <w:rFonts w:ascii="Times New Roman" w:hAnsi="Times New Roman"/>
          <w:sz w:val="28"/>
          <w:szCs w:val="28"/>
        </w:rPr>
        <w:t xml:space="preserve"> от общия брой пострадали физически лица /</w:t>
      </w:r>
      <w:r w:rsidRPr="009802BD">
        <w:rPr>
          <w:rFonts w:ascii="Times New Roman" w:hAnsi="Times New Roman"/>
          <w:b/>
          <w:sz w:val="28"/>
          <w:szCs w:val="28"/>
        </w:rPr>
        <w:t>13313</w:t>
      </w:r>
      <w:r w:rsidRPr="009802BD">
        <w:rPr>
          <w:rFonts w:ascii="Times New Roman" w:hAnsi="Times New Roman"/>
          <w:sz w:val="28"/>
          <w:szCs w:val="28"/>
        </w:rPr>
        <w:t xml:space="preserve"> броя/. Ощетени са </w:t>
      </w:r>
      <w:r w:rsidRPr="009802BD">
        <w:rPr>
          <w:rFonts w:ascii="Times New Roman" w:hAnsi="Times New Roman"/>
          <w:b/>
          <w:sz w:val="28"/>
          <w:szCs w:val="28"/>
        </w:rPr>
        <w:t xml:space="preserve">457 </w:t>
      </w:r>
      <w:r w:rsidRPr="009802BD">
        <w:rPr>
          <w:rFonts w:ascii="Times New Roman" w:hAnsi="Times New Roman"/>
          <w:sz w:val="28"/>
          <w:szCs w:val="28"/>
        </w:rPr>
        <w:t>юридически лица.</w:t>
      </w:r>
    </w:p>
    <w:p w:rsidR="009802BD" w:rsidRPr="009802BD" w:rsidRDefault="009802BD" w:rsidP="004D24A1">
      <w:pPr>
        <w:ind w:firstLine="708"/>
        <w:jc w:val="both"/>
        <w:rPr>
          <w:rFonts w:ascii="Times New Roman" w:hAnsi="Times New Roman"/>
          <w:sz w:val="28"/>
          <w:szCs w:val="28"/>
          <w:lang w:val="en-US"/>
        </w:rPr>
      </w:pPr>
      <w:r w:rsidRPr="009802BD">
        <w:rPr>
          <w:rFonts w:ascii="Times New Roman" w:hAnsi="Times New Roman"/>
          <w:sz w:val="28"/>
          <w:szCs w:val="28"/>
        </w:rPr>
        <w:t xml:space="preserve">От общия брой образувани по Глава V от НК за престъпление кражба по смисъла на чл. 194 до чл. 197 от НК са образувани </w:t>
      </w:r>
      <w:r w:rsidRPr="009802BD">
        <w:rPr>
          <w:rFonts w:ascii="Times New Roman" w:hAnsi="Times New Roman"/>
          <w:b/>
          <w:sz w:val="28"/>
          <w:szCs w:val="28"/>
        </w:rPr>
        <w:t>5465</w:t>
      </w:r>
      <w:r w:rsidRPr="009802BD">
        <w:rPr>
          <w:rFonts w:ascii="Times New Roman" w:hAnsi="Times New Roman"/>
          <w:sz w:val="28"/>
          <w:szCs w:val="28"/>
        </w:rPr>
        <w:t xml:space="preserve"> броя досъдебни производства /при 8107 броя за 2019 г. и 6665 броя за 2020 г./, за грабеж по чл. 198 и чл. 199 от НК са образувани </w:t>
      </w:r>
      <w:r w:rsidRPr="009802BD">
        <w:rPr>
          <w:rFonts w:ascii="Times New Roman" w:hAnsi="Times New Roman"/>
          <w:b/>
          <w:sz w:val="28"/>
          <w:szCs w:val="28"/>
        </w:rPr>
        <w:t>379</w:t>
      </w:r>
      <w:r w:rsidRPr="009802BD">
        <w:rPr>
          <w:rFonts w:ascii="Times New Roman" w:hAnsi="Times New Roman"/>
          <w:i/>
          <w:sz w:val="28"/>
          <w:szCs w:val="28"/>
        </w:rPr>
        <w:t xml:space="preserve"> </w:t>
      </w:r>
      <w:r w:rsidRPr="009802BD">
        <w:rPr>
          <w:rFonts w:ascii="Times New Roman" w:hAnsi="Times New Roman"/>
          <w:sz w:val="28"/>
          <w:szCs w:val="28"/>
        </w:rPr>
        <w:t xml:space="preserve"> броя досъдебни производства /при 543 броя за 2019 г. и</w:t>
      </w:r>
      <w:r w:rsidRPr="009802BD">
        <w:rPr>
          <w:rFonts w:ascii="Times New Roman" w:hAnsi="Times New Roman"/>
          <w:b/>
          <w:sz w:val="28"/>
          <w:szCs w:val="28"/>
        </w:rPr>
        <w:t xml:space="preserve"> </w:t>
      </w:r>
      <w:r w:rsidRPr="009802BD">
        <w:rPr>
          <w:rFonts w:ascii="Times New Roman" w:hAnsi="Times New Roman"/>
          <w:sz w:val="28"/>
          <w:szCs w:val="28"/>
        </w:rPr>
        <w:t xml:space="preserve">472 броя за 2020 г./. За измама по смисъла на чл. 209 до чл. 212 от НК са образувани </w:t>
      </w:r>
      <w:r w:rsidRPr="009802BD">
        <w:rPr>
          <w:rFonts w:ascii="Times New Roman" w:hAnsi="Times New Roman"/>
          <w:b/>
          <w:sz w:val="28"/>
          <w:szCs w:val="28"/>
        </w:rPr>
        <w:t>578</w:t>
      </w:r>
      <w:r w:rsidRPr="009802BD">
        <w:rPr>
          <w:rFonts w:ascii="Times New Roman" w:hAnsi="Times New Roman"/>
          <w:sz w:val="28"/>
          <w:szCs w:val="28"/>
        </w:rPr>
        <w:t xml:space="preserve"> броя</w:t>
      </w:r>
      <w:r w:rsidRPr="009802BD">
        <w:rPr>
          <w:rFonts w:ascii="Times New Roman" w:hAnsi="Times New Roman"/>
          <w:i/>
          <w:sz w:val="28"/>
          <w:szCs w:val="28"/>
        </w:rPr>
        <w:t xml:space="preserve"> </w:t>
      </w:r>
      <w:r w:rsidRPr="009802BD">
        <w:rPr>
          <w:rFonts w:ascii="Times New Roman" w:hAnsi="Times New Roman"/>
          <w:sz w:val="28"/>
          <w:szCs w:val="28"/>
        </w:rPr>
        <w:t xml:space="preserve">досъдебни производства /при 790 броя за 2019 г. и 646  броя за 2020 г. /, а за противозаконно унищожаване и повреждане по чл. 216 от НК – </w:t>
      </w:r>
      <w:r w:rsidRPr="009802BD">
        <w:rPr>
          <w:rFonts w:ascii="Times New Roman" w:hAnsi="Times New Roman"/>
          <w:b/>
          <w:sz w:val="28"/>
          <w:szCs w:val="28"/>
        </w:rPr>
        <w:t>553</w:t>
      </w:r>
      <w:r w:rsidRPr="009802BD">
        <w:rPr>
          <w:rFonts w:ascii="Times New Roman" w:hAnsi="Times New Roman"/>
          <w:sz w:val="28"/>
          <w:szCs w:val="28"/>
        </w:rPr>
        <w:t xml:space="preserve"> броя досъдебни производства /при 734 броя за 2019 г. и 552 броя за 2020 г./.</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VІ от НК – „Престъпления против стопанството”</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2021 г. са новообразувани по Глава VІ от НК – </w:t>
      </w:r>
      <w:r w:rsidRPr="009802BD">
        <w:rPr>
          <w:rFonts w:ascii="Times New Roman" w:hAnsi="Times New Roman"/>
          <w:b/>
          <w:sz w:val="28"/>
          <w:szCs w:val="28"/>
        </w:rPr>
        <w:t>1132</w:t>
      </w:r>
      <w:r w:rsidRPr="009802BD">
        <w:rPr>
          <w:rFonts w:ascii="Times New Roman" w:hAnsi="Times New Roman"/>
          <w:sz w:val="28"/>
          <w:szCs w:val="28"/>
        </w:rPr>
        <w:t xml:space="preserve"> броя досъдебни производства /при 1301 броя за 2019 г. и 1177 броя за 2020 г./, с най-голям дял са както следва:</w:t>
      </w:r>
      <w:r w:rsidRPr="009802BD">
        <w:rPr>
          <w:rFonts w:ascii="Times New Roman" w:hAnsi="Times New Roman"/>
          <w:i/>
          <w:sz w:val="28"/>
          <w:szCs w:val="28"/>
        </w:rPr>
        <w:t xml:space="preserve"> </w:t>
      </w:r>
      <w:r w:rsidRPr="009802BD">
        <w:rPr>
          <w:rFonts w:ascii="Times New Roman" w:hAnsi="Times New Roman"/>
          <w:sz w:val="28"/>
          <w:szCs w:val="28"/>
        </w:rPr>
        <w:t xml:space="preserve">чл.249 от НК- </w:t>
      </w:r>
      <w:r w:rsidRPr="009802BD">
        <w:rPr>
          <w:rFonts w:ascii="Times New Roman" w:hAnsi="Times New Roman"/>
          <w:b/>
          <w:sz w:val="28"/>
          <w:szCs w:val="28"/>
        </w:rPr>
        <w:t xml:space="preserve">507 </w:t>
      </w:r>
      <w:r w:rsidRPr="009802BD">
        <w:rPr>
          <w:rFonts w:ascii="Times New Roman" w:hAnsi="Times New Roman"/>
          <w:sz w:val="28"/>
          <w:szCs w:val="28"/>
        </w:rPr>
        <w:t xml:space="preserve">броя; чл.227б от НК – </w:t>
      </w:r>
      <w:r w:rsidRPr="009802BD">
        <w:rPr>
          <w:rFonts w:ascii="Times New Roman" w:hAnsi="Times New Roman"/>
          <w:b/>
          <w:sz w:val="28"/>
          <w:szCs w:val="28"/>
        </w:rPr>
        <w:t>327</w:t>
      </w:r>
      <w:r w:rsidRPr="009802BD">
        <w:rPr>
          <w:rFonts w:ascii="Times New Roman" w:hAnsi="Times New Roman"/>
          <w:sz w:val="28"/>
          <w:szCs w:val="28"/>
        </w:rPr>
        <w:t xml:space="preserve"> броя;  чл.234в от НК – </w:t>
      </w:r>
      <w:r w:rsidRPr="009802BD">
        <w:rPr>
          <w:rFonts w:ascii="Times New Roman" w:hAnsi="Times New Roman"/>
          <w:b/>
          <w:sz w:val="28"/>
          <w:szCs w:val="28"/>
        </w:rPr>
        <w:t>128</w:t>
      </w:r>
      <w:r w:rsidRPr="009802BD">
        <w:rPr>
          <w:rFonts w:ascii="Times New Roman" w:hAnsi="Times New Roman"/>
          <w:sz w:val="28"/>
          <w:szCs w:val="28"/>
        </w:rPr>
        <w:t xml:space="preserve"> броя;  чл.234 от НК – </w:t>
      </w:r>
      <w:r w:rsidRPr="009802BD">
        <w:rPr>
          <w:rFonts w:ascii="Times New Roman" w:hAnsi="Times New Roman"/>
          <w:b/>
          <w:sz w:val="28"/>
          <w:szCs w:val="28"/>
        </w:rPr>
        <w:t>37</w:t>
      </w:r>
      <w:r w:rsidRPr="009802BD">
        <w:rPr>
          <w:rFonts w:ascii="Times New Roman" w:hAnsi="Times New Roman"/>
          <w:sz w:val="28"/>
          <w:szCs w:val="28"/>
        </w:rPr>
        <w:t xml:space="preserve"> броя, чл.242 от НК – </w:t>
      </w:r>
      <w:r w:rsidRPr="009802BD">
        <w:rPr>
          <w:rFonts w:ascii="Times New Roman" w:hAnsi="Times New Roman"/>
          <w:b/>
          <w:sz w:val="28"/>
          <w:szCs w:val="28"/>
        </w:rPr>
        <w:t xml:space="preserve">34 </w:t>
      </w:r>
      <w:r w:rsidRPr="009802BD">
        <w:rPr>
          <w:rFonts w:ascii="Times New Roman" w:hAnsi="Times New Roman"/>
          <w:sz w:val="28"/>
          <w:szCs w:val="28"/>
        </w:rPr>
        <w:lastRenderedPageBreak/>
        <w:t xml:space="preserve">броя; </w:t>
      </w:r>
      <w:r w:rsidRPr="009802BD">
        <w:rPr>
          <w:rFonts w:ascii="Times New Roman" w:hAnsi="Times New Roman"/>
          <w:i/>
          <w:sz w:val="28"/>
          <w:szCs w:val="28"/>
        </w:rPr>
        <w:t xml:space="preserve"> </w:t>
      </w:r>
      <w:r w:rsidRPr="009802BD">
        <w:rPr>
          <w:rFonts w:ascii="Times New Roman" w:hAnsi="Times New Roman"/>
          <w:sz w:val="28"/>
          <w:szCs w:val="28"/>
        </w:rPr>
        <w:t xml:space="preserve">чл.248а от НК – </w:t>
      </w:r>
      <w:r w:rsidRPr="009802BD">
        <w:rPr>
          <w:rFonts w:ascii="Times New Roman" w:hAnsi="Times New Roman"/>
          <w:b/>
          <w:sz w:val="28"/>
          <w:szCs w:val="28"/>
        </w:rPr>
        <w:t>27</w:t>
      </w:r>
      <w:r w:rsidRPr="009802BD">
        <w:rPr>
          <w:rFonts w:ascii="Times New Roman" w:hAnsi="Times New Roman"/>
          <w:sz w:val="28"/>
          <w:szCs w:val="28"/>
        </w:rPr>
        <w:t xml:space="preserve"> броя; чл. 244 – </w:t>
      </w:r>
      <w:r w:rsidRPr="009802BD">
        <w:rPr>
          <w:rFonts w:ascii="Times New Roman" w:hAnsi="Times New Roman"/>
          <w:b/>
          <w:sz w:val="28"/>
          <w:szCs w:val="28"/>
        </w:rPr>
        <w:t>18</w:t>
      </w:r>
      <w:r w:rsidRPr="009802BD">
        <w:rPr>
          <w:rFonts w:ascii="Times New Roman" w:hAnsi="Times New Roman"/>
          <w:sz w:val="28"/>
          <w:szCs w:val="28"/>
        </w:rPr>
        <w:t xml:space="preserve"> броя,</w:t>
      </w:r>
      <w:r w:rsidRPr="009802BD">
        <w:rPr>
          <w:rFonts w:ascii="Times New Roman" w:hAnsi="Times New Roman"/>
          <w:i/>
          <w:sz w:val="28"/>
          <w:szCs w:val="28"/>
        </w:rPr>
        <w:t xml:space="preserve"> </w:t>
      </w:r>
      <w:r w:rsidRPr="009802BD">
        <w:rPr>
          <w:rFonts w:ascii="Times New Roman" w:hAnsi="Times New Roman"/>
          <w:sz w:val="28"/>
          <w:szCs w:val="28"/>
        </w:rPr>
        <w:t xml:space="preserve">чл.220 от НК – </w:t>
      </w:r>
      <w:r w:rsidRPr="009802BD">
        <w:rPr>
          <w:rFonts w:ascii="Times New Roman" w:hAnsi="Times New Roman"/>
          <w:b/>
          <w:sz w:val="28"/>
          <w:szCs w:val="28"/>
        </w:rPr>
        <w:t>10</w:t>
      </w:r>
      <w:r w:rsidRPr="009802BD">
        <w:rPr>
          <w:rFonts w:ascii="Times New Roman" w:hAnsi="Times New Roman"/>
          <w:sz w:val="28"/>
          <w:szCs w:val="28"/>
        </w:rPr>
        <w:t xml:space="preserve"> броя; чл.219 от НК – </w:t>
      </w:r>
      <w:r w:rsidRPr="009802BD">
        <w:rPr>
          <w:rFonts w:ascii="Times New Roman" w:hAnsi="Times New Roman"/>
          <w:b/>
          <w:sz w:val="28"/>
          <w:szCs w:val="28"/>
        </w:rPr>
        <w:t>11</w:t>
      </w:r>
      <w:r w:rsidRPr="009802BD">
        <w:rPr>
          <w:rFonts w:ascii="Times New Roman" w:hAnsi="Times New Roman"/>
          <w:sz w:val="28"/>
          <w:szCs w:val="28"/>
        </w:rPr>
        <w:t xml:space="preserve"> броя; чл. 235 – </w:t>
      </w:r>
      <w:r w:rsidRPr="009802BD">
        <w:rPr>
          <w:rFonts w:ascii="Times New Roman" w:hAnsi="Times New Roman"/>
          <w:b/>
          <w:sz w:val="28"/>
          <w:szCs w:val="28"/>
        </w:rPr>
        <w:t xml:space="preserve">9 </w:t>
      </w:r>
      <w:r w:rsidRPr="009802BD">
        <w:rPr>
          <w:rFonts w:ascii="Times New Roman" w:hAnsi="Times New Roman"/>
          <w:sz w:val="28"/>
          <w:szCs w:val="28"/>
        </w:rPr>
        <w:t xml:space="preserve">броя, чл. 234б – </w:t>
      </w:r>
      <w:r w:rsidRPr="009802BD">
        <w:rPr>
          <w:rFonts w:ascii="Times New Roman" w:hAnsi="Times New Roman"/>
          <w:b/>
          <w:sz w:val="28"/>
          <w:szCs w:val="28"/>
        </w:rPr>
        <w:t>2</w:t>
      </w:r>
      <w:r w:rsidRPr="009802BD">
        <w:rPr>
          <w:rFonts w:ascii="Times New Roman" w:hAnsi="Times New Roman"/>
          <w:sz w:val="28"/>
          <w:szCs w:val="28"/>
        </w:rPr>
        <w:t xml:space="preserve"> броя, чл.252 от НК – </w:t>
      </w:r>
      <w:r w:rsidRPr="009802BD">
        <w:rPr>
          <w:rFonts w:ascii="Times New Roman" w:hAnsi="Times New Roman"/>
          <w:b/>
          <w:sz w:val="28"/>
          <w:szCs w:val="28"/>
        </w:rPr>
        <w:t xml:space="preserve">6 </w:t>
      </w:r>
      <w:r w:rsidRPr="009802BD">
        <w:rPr>
          <w:rFonts w:ascii="Times New Roman" w:hAnsi="Times New Roman"/>
          <w:sz w:val="28"/>
          <w:szCs w:val="28"/>
        </w:rPr>
        <w:t xml:space="preserve">броя, чл. 246 – </w:t>
      </w:r>
      <w:r w:rsidRPr="009802BD">
        <w:rPr>
          <w:rFonts w:ascii="Times New Roman" w:hAnsi="Times New Roman"/>
          <w:b/>
          <w:sz w:val="28"/>
          <w:szCs w:val="28"/>
        </w:rPr>
        <w:t xml:space="preserve">0 </w:t>
      </w:r>
      <w:r w:rsidRPr="009802BD">
        <w:rPr>
          <w:rFonts w:ascii="Times New Roman" w:hAnsi="Times New Roman"/>
          <w:sz w:val="28"/>
          <w:szCs w:val="28"/>
        </w:rPr>
        <w:t xml:space="preserve">броя, чл. 233 – </w:t>
      </w:r>
      <w:r w:rsidRPr="009802BD">
        <w:rPr>
          <w:rFonts w:ascii="Times New Roman" w:hAnsi="Times New Roman"/>
          <w:b/>
          <w:sz w:val="28"/>
          <w:szCs w:val="28"/>
        </w:rPr>
        <w:t>0</w:t>
      </w:r>
      <w:r w:rsidRPr="009802BD">
        <w:rPr>
          <w:rFonts w:ascii="Times New Roman" w:hAnsi="Times New Roman"/>
          <w:sz w:val="28"/>
          <w:szCs w:val="28"/>
        </w:rPr>
        <w:t xml:space="preserve"> брой,  чл. 225 – </w:t>
      </w:r>
      <w:r w:rsidRPr="009802BD">
        <w:rPr>
          <w:rFonts w:ascii="Times New Roman" w:hAnsi="Times New Roman"/>
          <w:b/>
          <w:sz w:val="28"/>
          <w:szCs w:val="28"/>
        </w:rPr>
        <w:t xml:space="preserve">0 </w:t>
      </w:r>
      <w:r w:rsidRPr="009802BD">
        <w:rPr>
          <w:rFonts w:ascii="Times New Roman" w:hAnsi="Times New Roman"/>
          <w:sz w:val="28"/>
          <w:szCs w:val="28"/>
        </w:rPr>
        <w:t xml:space="preserve">броя, чл. 227в – </w:t>
      </w:r>
      <w:r w:rsidRPr="009802BD">
        <w:rPr>
          <w:rFonts w:ascii="Times New Roman" w:hAnsi="Times New Roman"/>
          <w:b/>
          <w:sz w:val="28"/>
          <w:szCs w:val="28"/>
        </w:rPr>
        <w:t>0</w:t>
      </w:r>
      <w:r w:rsidRPr="009802BD">
        <w:rPr>
          <w:rFonts w:ascii="Times New Roman" w:hAnsi="Times New Roman"/>
          <w:sz w:val="28"/>
          <w:szCs w:val="28"/>
        </w:rPr>
        <w:t xml:space="preserve"> брой, чл. 227е – </w:t>
      </w:r>
      <w:r w:rsidRPr="009802BD">
        <w:rPr>
          <w:rFonts w:ascii="Times New Roman" w:hAnsi="Times New Roman"/>
          <w:b/>
          <w:sz w:val="28"/>
          <w:szCs w:val="28"/>
        </w:rPr>
        <w:t>0</w:t>
      </w:r>
      <w:r w:rsidRPr="009802BD">
        <w:rPr>
          <w:rFonts w:ascii="Times New Roman" w:hAnsi="Times New Roman"/>
          <w:sz w:val="28"/>
          <w:szCs w:val="28"/>
        </w:rPr>
        <w:t xml:space="preserve"> брой, чл. 236 –</w:t>
      </w:r>
      <w:r w:rsidRPr="009802BD">
        <w:rPr>
          <w:rFonts w:ascii="Times New Roman" w:hAnsi="Times New Roman"/>
          <w:b/>
          <w:sz w:val="28"/>
          <w:szCs w:val="28"/>
        </w:rPr>
        <w:t xml:space="preserve"> 0</w:t>
      </w:r>
      <w:r w:rsidRPr="009802BD">
        <w:rPr>
          <w:rFonts w:ascii="Times New Roman" w:hAnsi="Times New Roman"/>
          <w:sz w:val="28"/>
          <w:szCs w:val="28"/>
        </w:rPr>
        <w:t xml:space="preserve"> брой, чл. 239 – </w:t>
      </w:r>
      <w:r w:rsidRPr="009802BD">
        <w:rPr>
          <w:rFonts w:ascii="Times New Roman" w:hAnsi="Times New Roman"/>
          <w:b/>
          <w:sz w:val="28"/>
          <w:szCs w:val="28"/>
        </w:rPr>
        <w:t>0</w:t>
      </w:r>
      <w:r w:rsidRPr="009802BD">
        <w:rPr>
          <w:rFonts w:ascii="Times New Roman" w:hAnsi="Times New Roman"/>
          <w:sz w:val="28"/>
          <w:szCs w:val="28"/>
        </w:rPr>
        <w:t xml:space="preserve"> брой, чл. 243 – </w:t>
      </w:r>
      <w:r w:rsidRPr="009802BD">
        <w:rPr>
          <w:rFonts w:ascii="Times New Roman" w:hAnsi="Times New Roman"/>
          <w:b/>
          <w:sz w:val="28"/>
          <w:szCs w:val="28"/>
        </w:rPr>
        <w:t>3</w:t>
      </w:r>
      <w:r w:rsidRPr="009802BD">
        <w:rPr>
          <w:rFonts w:ascii="Times New Roman" w:hAnsi="Times New Roman"/>
          <w:sz w:val="28"/>
          <w:szCs w:val="28"/>
        </w:rPr>
        <w:t xml:space="preserve"> брой, чл. 250 – </w:t>
      </w:r>
      <w:r w:rsidRPr="009802BD">
        <w:rPr>
          <w:rFonts w:ascii="Times New Roman" w:hAnsi="Times New Roman"/>
          <w:b/>
          <w:sz w:val="28"/>
          <w:szCs w:val="28"/>
        </w:rPr>
        <w:t>0</w:t>
      </w:r>
      <w:r w:rsidRPr="009802BD">
        <w:rPr>
          <w:rFonts w:ascii="Times New Roman" w:hAnsi="Times New Roman"/>
          <w:sz w:val="28"/>
          <w:szCs w:val="28"/>
        </w:rPr>
        <w:t xml:space="preserve"> брой, чл. 251 – </w:t>
      </w:r>
      <w:r w:rsidRPr="009802BD">
        <w:rPr>
          <w:rFonts w:ascii="Times New Roman" w:hAnsi="Times New Roman"/>
          <w:b/>
          <w:sz w:val="28"/>
          <w:szCs w:val="28"/>
        </w:rPr>
        <w:t>0</w:t>
      </w:r>
      <w:r w:rsidRPr="009802BD">
        <w:rPr>
          <w:rFonts w:ascii="Times New Roman" w:hAnsi="Times New Roman"/>
          <w:sz w:val="28"/>
          <w:szCs w:val="28"/>
        </w:rPr>
        <w:t xml:space="preserve"> брой. </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Пострадалите физически лица са </w:t>
      </w:r>
      <w:r w:rsidRPr="009802BD">
        <w:rPr>
          <w:rFonts w:ascii="Times New Roman" w:hAnsi="Times New Roman"/>
          <w:b/>
          <w:sz w:val="28"/>
          <w:szCs w:val="28"/>
        </w:rPr>
        <w:t>695</w:t>
      </w:r>
      <w:r w:rsidRPr="009802BD">
        <w:rPr>
          <w:rFonts w:ascii="Times New Roman" w:hAnsi="Times New Roman"/>
          <w:sz w:val="28"/>
          <w:szCs w:val="28"/>
        </w:rPr>
        <w:t xml:space="preserve">, от тях </w:t>
      </w:r>
      <w:r w:rsidRPr="009802BD">
        <w:rPr>
          <w:rFonts w:ascii="Times New Roman" w:hAnsi="Times New Roman"/>
          <w:b/>
          <w:sz w:val="28"/>
          <w:szCs w:val="28"/>
        </w:rPr>
        <w:t>325</w:t>
      </w:r>
      <w:r w:rsidRPr="009802BD">
        <w:rPr>
          <w:rFonts w:ascii="Times New Roman" w:hAnsi="Times New Roman"/>
          <w:sz w:val="28"/>
          <w:szCs w:val="28"/>
        </w:rPr>
        <w:t xml:space="preserve"> мъже и </w:t>
      </w:r>
      <w:r w:rsidRPr="009802BD">
        <w:rPr>
          <w:rFonts w:ascii="Times New Roman" w:hAnsi="Times New Roman"/>
          <w:b/>
          <w:sz w:val="28"/>
          <w:szCs w:val="28"/>
        </w:rPr>
        <w:t>370</w:t>
      </w:r>
      <w:r w:rsidRPr="009802BD">
        <w:rPr>
          <w:rFonts w:ascii="Times New Roman" w:hAnsi="Times New Roman"/>
          <w:sz w:val="28"/>
          <w:szCs w:val="28"/>
        </w:rPr>
        <w:t xml:space="preserve"> жени. Ощетени са </w:t>
      </w:r>
      <w:r w:rsidRPr="009802BD">
        <w:rPr>
          <w:rFonts w:ascii="Times New Roman" w:hAnsi="Times New Roman"/>
          <w:b/>
          <w:sz w:val="28"/>
          <w:szCs w:val="28"/>
        </w:rPr>
        <w:t xml:space="preserve">322 </w:t>
      </w:r>
      <w:r w:rsidRPr="009802BD">
        <w:rPr>
          <w:rFonts w:ascii="Times New Roman" w:hAnsi="Times New Roman"/>
          <w:sz w:val="28"/>
          <w:szCs w:val="28"/>
        </w:rPr>
        <w:t>юридически лица.</w:t>
      </w:r>
    </w:p>
    <w:p w:rsidR="009802BD" w:rsidRPr="009802BD" w:rsidRDefault="009802BD" w:rsidP="004D24A1">
      <w:pPr>
        <w:ind w:firstLine="708"/>
        <w:jc w:val="both"/>
        <w:rPr>
          <w:rFonts w:ascii="Times New Roman" w:hAnsi="Times New Roman"/>
          <w:b/>
          <w:color w:val="000000"/>
          <w:sz w:val="28"/>
          <w:szCs w:val="28"/>
        </w:rPr>
      </w:pPr>
      <w:r w:rsidRPr="009802BD">
        <w:rPr>
          <w:rFonts w:ascii="Times New Roman" w:hAnsi="Times New Roman"/>
          <w:b/>
          <w:color w:val="000000"/>
          <w:sz w:val="28"/>
          <w:szCs w:val="28"/>
        </w:rPr>
        <w:t>Глава VІІ от НК - „Престъпления против финансовата, данъчната и осигурителната системи”</w:t>
      </w:r>
    </w:p>
    <w:p w:rsidR="009802BD" w:rsidRPr="009802BD" w:rsidRDefault="009802BD" w:rsidP="004D24A1">
      <w:pPr>
        <w:ind w:firstLine="708"/>
        <w:jc w:val="both"/>
        <w:rPr>
          <w:rFonts w:ascii="Times New Roman" w:hAnsi="Times New Roman"/>
          <w:color w:val="000000"/>
          <w:sz w:val="28"/>
          <w:szCs w:val="28"/>
        </w:rPr>
      </w:pPr>
      <w:r w:rsidRPr="009802BD">
        <w:rPr>
          <w:rFonts w:ascii="Times New Roman" w:hAnsi="Times New Roman"/>
          <w:color w:val="000000"/>
          <w:sz w:val="28"/>
          <w:szCs w:val="28"/>
        </w:rPr>
        <w:t xml:space="preserve">През 2021 г. по Глава VІІ от НК са новообразувани </w:t>
      </w:r>
      <w:r w:rsidRPr="009802BD">
        <w:rPr>
          <w:rFonts w:ascii="Times New Roman" w:hAnsi="Times New Roman"/>
          <w:b/>
          <w:color w:val="000000"/>
          <w:sz w:val="28"/>
          <w:szCs w:val="28"/>
        </w:rPr>
        <w:t>309</w:t>
      </w:r>
      <w:r w:rsidRPr="009802BD">
        <w:rPr>
          <w:rFonts w:ascii="Times New Roman" w:hAnsi="Times New Roman"/>
          <w:color w:val="000000"/>
          <w:sz w:val="28"/>
          <w:szCs w:val="28"/>
        </w:rPr>
        <w:t xml:space="preserve"> броя</w:t>
      </w:r>
      <w:r w:rsidRPr="009802BD">
        <w:rPr>
          <w:rFonts w:ascii="Times New Roman" w:hAnsi="Times New Roman"/>
          <w:b/>
          <w:i/>
          <w:color w:val="000000"/>
          <w:sz w:val="28"/>
          <w:szCs w:val="28"/>
        </w:rPr>
        <w:t xml:space="preserve"> </w:t>
      </w:r>
      <w:r w:rsidRPr="009802BD">
        <w:rPr>
          <w:rFonts w:ascii="Times New Roman" w:hAnsi="Times New Roman"/>
          <w:color w:val="000000"/>
          <w:sz w:val="28"/>
          <w:szCs w:val="28"/>
        </w:rPr>
        <w:t xml:space="preserve"> досъдебни производства /при 348 броя за 2019 г. и  310 бр. за 2020 г./.</w:t>
      </w:r>
      <w:r w:rsidRPr="009802BD">
        <w:rPr>
          <w:rFonts w:ascii="Times New Roman" w:hAnsi="Times New Roman"/>
          <w:i/>
          <w:color w:val="000000"/>
          <w:sz w:val="28"/>
          <w:szCs w:val="28"/>
        </w:rPr>
        <w:t xml:space="preserve"> </w:t>
      </w:r>
      <w:r w:rsidRPr="009802BD">
        <w:rPr>
          <w:rFonts w:ascii="Times New Roman" w:hAnsi="Times New Roman"/>
          <w:color w:val="000000"/>
          <w:sz w:val="28"/>
          <w:szCs w:val="28"/>
        </w:rPr>
        <w:t xml:space="preserve">От тях най-голям дял имат престъпленията по чл.255 от НК – </w:t>
      </w:r>
      <w:r w:rsidRPr="009802BD">
        <w:rPr>
          <w:rFonts w:ascii="Times New Roman" w:hAnsi="Times New Roman"/>
          <w:b/>
          <w:color w:val="000000"/>
          <w:sz w:val="28"/>
          <w:szCs w:val="28"/>
        </w:rPr>
        <w:t>237</w:t>
      </w:r>
      <w:r w:rsidRPr="009802BD">
        <w:rPr>
          <w:rFonts w:ascii="Times New Roman" w:hAnsi="Times New Roman"/>
          <w:color w:val="000000"/>
          <w:sz w:val="28"/>
          <w:szCs w:val="28"/>
        </w:rPr>
        <w:t xml:space="preserve"> досъдебни производства. (след изм.ДВ 75/06г.), следвани от производства образувани по чл.253 от НК – </w:t>
      </w:r>
      <w:r w:rsidRPr="009802BD">
        <w:rPr>
          <w:rFonts w:ascii="Times New Roman" w:hAnsi="Times New Roman"/>
          <w:b/>
          <w:color w:val="000000"/>
          <w:sz w:val="28"/>
          <w:szCs w:val="28"/>
        </w:rPr>
        <w:t>62</w:t>
      </w:r>
      <w:r w:rsidRPr="009802BD">
        <w:rPr>
          <w:rFonts w:ascii="Times New Roman" w:hAnsi="Times New Roman"/>
          <w:color w:val="000000"/>
          <w:sz w:val="28"/>
          <w:szCs w:val="28"/>
        </w:rPr>
        <w:t xml:space="preserve"> броя.</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VІІІ от НК – „Престъпления против дейността на държавни органи и обществени организации и лица изпълняващи публични функции”</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sz w:val="28"/>
          <w:szCs w:val="28"/>
        </w:rPr>
        <w:t xml:space="preserve">През отчетния период са новообразувани </w:t>
      </w:r>
      <w:r w:rsidRPr="009802BD">
        <w:rPr>
          <w:rFonts w:ascii="Times New Roman" w:hAnsi="Times New Roman"/>
          <w:b/>
          <w:sz w:val="28"/>
          <w:szCs w:val="28"/>
        </w:rPr>
        <w:t>278</w:t>
      </w:r>
      <w:r w:rsidRPr="009802BD">
        <w:rPr>
          <w:rFonts w:ascii="Times New Roman" w:hAnsi="Times New Roman"/>
          <w:sz w:val="28"/>
          <w:szCs w:val="28"/>
        </w:rPr>
        <w:t xml:space="preserve"> броя /при 292 броя за 2019 г. и 267 бр. за 2020 г./ досъдебни производства за престъпления по Глава VIII от НК. Най-голям е броят на досъдебните производства за престъпления по чл.296 от НК – </w:t>
      </w:r>
      <w:r w:rsidRPr="009802BD">
        <w:rPr>
          <w:rFonts w:ascii="Times New Roman" w:hAnsi="Times New Roman"/>
          <w:b/>
          <w:sz w:val="28"/>
          <w:szCs w:val="28"/>
        </w:rPr>
        <w:t>83</w:t>
      </w:r>
      <w:r w:rsidRPr="009802BD">
        <w:rPr>
          <w:rFonts w:ascii="Times New Roman" w:hAnsi="Times New Roman"/>
          <w:sz w:val="28"/>
          <w:szCs w:val="28"/>
        </w:rPr>
        <w:t xml:space="preserve"> броя, чл. 270 – </w:t>
      </w:r>
      <w:r w:rsidRPr="009802BD">
        <w:rPr>
          <w:rFonts w:ascii="Times New Roman" w:hAnsi="Times New Roman"/>
          <w:b/>
          <w:sz w:val="28"/>
          <w:szCs w:val="28"/>
        </w:rPr>
        <w:t>25</w:t>
      </w:r>
      <w:r w:rsidRPr="009802BD">
        <w:rPr>
          <w:rFonts w:ascii="Times New Roman" w:hAnsi="Times New Roman"/>
          <w:sz w:val="28"/>
          <w:szCs w:val="28"/>
        </w:rPr>
        <w:t xml:space="preserve"> броя,  чл.290 от НК – </w:t>
      </w:r>
      <w:r w:rsidRPr="009802BD">
        <w:rPr>
          <w:rFonts w:ascii="Times New Roman" w:hAnsi="Times New Roman"/>
          <w:b/>
          <w:sz w:val="28"/>
          <w:szCs w:val="28"/>
        </w:rPr>
        <w:t>26</w:t>
      </w:r>
      <w:r w:rsidRPr="009802BD">
        <w:rPr>
          <w:rFonts w:ascii="Times New Roman" w:hAnsi="Times New Roman"/>
          <w:sz w:val="28"/>
          <w:szCs w:val="28"/>
        </w:rPr>
        <w:t xml:space="preserve"> броя; чл. 286 – </w:t>
      </w:r>
      <w:r w:rsidRPr="009802BD">
        <w:rPr>
          <w:rFonts w:ascii="Times New Roman" w:hAnsi="Times New Roman"/>
          <w:b/>
          <w:sz w:val="28"/>
          <w:szCs w:val="28"/>
        </w:rPr>
        <w:t>19</w:t>
      </w:r>
      <w:r w:rsidRPr="009802BD">
        <w:rPr>
          <w:rFonts w:ascii="Times New Roman" w:hAnsi="Times New Roman"/>
          <w:sz w:val="28"/>
          <w:szCs w:val="28"/>
        </w:rPr>
        <w:t xml:space="preserve"> броя, чл. 293а – </w:t>
      </w:r>
      <w:r w:rsidRPr="009802BD">
        <w:rPr>
          <w:rFonts w:ascii="Times New Roman" w:hAnsi="Times New Roman"/>
          <w:b/>
          <w:sz w:val="28"/>
          <w:szCs w:val="28"/>
        </w:rPr>
        <w:t>10</w:t>
      </w:r>
      <w:r w:rsidRPr="009802BD">
        <w:rPr>
          <w:rFonts w:ascii="Times New Roman" w:hAnsi="Times New Roman"/>
          <w:sz w:val="28"/>
          <w:szCs w:val="28"/>
        </w:rPr>
        <w:t xml:space="preserve"> броя, чл. 282 – </w:t>
      </w:r>
      <w:r w:rsidRPr="009802BD">
        <w:rPr>
          <w:rFonts w:ascii="Times New Roman" w:hAnsi="Times New Roman"/>
          <w:b/>
          <w:sz w:val="28"/>
          <w:szCs w:val="28"/>
        </w:rPr>
        <w:t>18</w:t>
      </w:r>
      <w:r w:rsidRPr="009802BD">
        <w:rPr>
          <w:rFonts w:ascii="Times New Roman" w:hAnsi="Times New Roman"/>
          <w:sz w:val="28"/>
          <w:szCs w:val="28"/>
        </w:rPr>
        <w:t xml:space="preserve"> броя, , чл. 281 – </w:t>
      </w:r>
      <w:r w:rsidRPr="009802BD">
        <w:rPr>
          <w:rFonts w:ascii="Times New Roman" w:hAnsi="Times New Roman"/>
          <w:b/>
          <w:sz w:val="28"/>
          <w:szCs w:val="28"/>
        </w:rPr>
        <w:t xml:space="preserve">38 </w:t>
      </w:r>
      <w:r w:rsidRPr="009802BD">
        <w:rPr>
          <w:rFonts w:ascii="Times New Roman" w:hAnsi="Times New Roman"/>
          <w:sz w:val="28"/>
          <w:szCs w:val="28"/>
        </w:rPr>
        <w:t xml:space="preserve">броя, чл. 291 – </w:t>
      </w:r>
      <w:r w:rsidRPr="009802BD">
        <w:rPr>
          <w:rFonts w:ascii="Times New Roman" w:hAnsi="Times New Roman"/>
          <w:b/>
          <w:sz w:val="28"/>
          <w:szCs w:val="28"/>
        </w:rPr>
        <w:t xml:space="preserve">10 </w:t>
      </w:r>
      <w:r w:rsidRPr="009802BD">
        <w:rPr>
          <w:rFonts w:ascii="Times New Roman" w:hAnsi="Times New Roman"/>
          <w:sz w:val="28"/>
          <w:szCs w:val="28"/>
        </w:rPr>
        <w:t xml:space="preserve">броя, чл. 277 – </w:t>
      </w:r>
      <w:r w:rsidRPr="009802BD">
        <w:rPr>
          <w:rFonts w:ascii="Times New Roman" w:hAnsi="Times New Roman"/>
          <w:b/>
          <w:sz w:val="28"/>
          <w:szCs w:val="28"/>
        </w:rPr>
        <w:t>3</w:t>
      </w:r>
      <w:r w:rsidRPr="009802BD">
        <w:rPr>
          <w:rFonts w:ascii="Times New Roman" w:hAnsi="Times New Roman"/>
          <w:sz w:val="28"/>
          <w:szCs w:val="28"/>
        </w:rPr>
        <w:t xml:space="preserve"> броя, чл. 278а </w:t>
      </w:r>
      <w:r w:rsidRPr="009802BD">
        <w:rPr>
          <w:rFonts w:ascii="Times New Roman" w:hAnsi="Times New Roman"/>
          <w:b/>
          <w:sz w:val="28"/>
          <w:szCs w:val="28"/>
        </w:rPr>
        <w:t xml:space="preserve">– 3 </w:t>
      </w:r>
      <w:r w:rsidRPr="009802BD">
        <w:rPr>
          <w:rFonts w:ascii="Times New Roman" w:hAnsi="Times New Roman"/>
          <w:sz w:val="28"/>
          <w:szCs w:val="28"/>
        </w:rPr>
        <w:t xml:space="preserve">броя, чл. 301 – </w:t>
      </w:r>
      <w:r w:rsidRPr="009802BD">
        <w:rPr>
          <w:rFonts w:ascii="Times New Roman" w:hAnsi="Times New Roman"/>
          <w:b/>
          <w:sz w:val="28"/>
          <w:szCs w:val="28"/>
        </w:rPr>
        <w:t>2</w:t>
      </w:r>
      <w:r w:rsidRPr="009802BD">
        <w:rPr>
          <w:rFonts w:ascii="Times New Roman" w:hAnsi="Times New Roman"/>
          <w:sz w:val="28"/>
          <w:szCs w:val="28"/>
        </w:rPr>
        <w:t xml:space="preserve"> броя,чл. 304</w:t>
      </w:r>
      <w:r w:rsidRPr="009802BD">
        <w:rPr>
          <w:rFonts w:ascii="Times New Roman" w:hAnsi="Times New Roman"/>
          <w:b/>
          <w:sz w:val="28"/>
          <w:szCs w:val="28"/>
        </w:rPr>
        <w:t xml:space="preserve"> -</w:t>
      </w:r>
      <w:r w:rsidRPr="009802BD">
        <w:rPr>
          <w:rFonts w:ascii="Times New Roman" w:hAnsi="Times New Roman"/>
          <w:sz w:val="28"/>
          <w:szCs w:val="28"/>
        </w:rPr>
        <w:t xml:space="preserve"> </w:t>
      </w:r>
      <w:r w:rsidRPr="009802BD">
        <w:rPr>
          <w:rFonts w:ascii="Times New Roman" w:hAnsi="Times New Roman"/>
          <w:b/>
          <w:sz w:val="28"/>
          <w:szCs w:val="28"/>
        </w:rPr>
        <w:t xml:space="preserve">2 </w:t>
      </w:r>
      <w:r w:rsidRPr="009802BD">
        <w:rPr>
          <w:rFonts w:ascii="Times New Roman" w:hAnsi="Times New Roman"/>
          <w:sz w:val="28"/>
          <w:szCs w:val="28"/>
        </w:rPr>
        <w:t xml:space="preserve">бр. чл. 304а –  </w:t>
      </w:r>
      <w:r w:rsidRPr="009802BD">
        <w:rPr>
          <w:rFonts w:ascii="Times New Roman" w:hAnsi="Times New Roman"/>
          <w:b/>
          <w:sz w:val="28"/>
          <w:szCs w:val="28"/>
        </w:rPr>
        <w:t>3</w:t>
      </w:r>
      <w:r w:rsidRPr="009802BD">
        <w:rPr>
          <w:rFonts w:ascii="Times New Roman" w:hAnsi="Times New Roman"/>
          <w:sz w:val="28"/>
          <w:szCs w:val="28"/>
        </w:rPr>
        <w:t xml:space="preserve"> броя.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Пострадали лица по Глава VІІІ от НК са</w:t>
      </w:r>
      <w:r w:rsidRPr="009802BD">
        <w:rPr>
          <w:rFonts w:ascii="Times New Roman" w:hAnsi="Times New Roman"/>
          <w:i/>
          <w:sz w:val="28"/>
          <w:szCs w:val="28"/>
        </w:rPr>
        <w:t xml:space="preserve"> </w:t>
      </w:r>
      <w:r w:rsidRPr="009802BD">
        <w:rPr>
          <w:rFonts w:ascii="Times New Roman" w:hAnsi="Times New Roman"/>
          <w:b/>
          <w:sz w:val="28"/>
          <w:szCs w:val="28"/>
        </w:rPr>
        <w:t xml:space="preserve">192 </w:t>
      </w:r>
      <w:r w:rsidRPr="009802BD">
        <w:rPr>
          <w:rFonts w:ascii="Times New Roman" w:hAnsi="Times New Roman"/>
          <w:sz w:val="28"/>
          <w:szCs w:val="28"/>
        </w:rPr>
        <w:t>физически лица</w:t>
      </w:r>
      <w:r w:rsidRPr="009802BD">
        <w:rPr>
          <w:rFonts w:ascii="Times New Roman" w:hAnsi="Times New Roman"/>
          <w:b/>
          <w:sz w:val="28"/>
          <w:szCs w:val="28"/>
        </w:rPr>
        <w:t>,</w:t>
      </w:r>
      <w:r w:rsidRPr="009802BD">
        <w:rPr>
          <w:rFonts w:ascii="Times New Roman" w:hAnsi="Times New Roman"/>
          <w:sz w:val="28"/>
          <w:szCs w:val="28"/>
        </w:rPr>
        <w:t xml:space="preserve"> от които </w:t>
      </w:r>
      <w:r w:rsidRPr="009802BD">
        <w:rPr>
          <w:rFonts w:ascii="Times New Roman" w:hAnsi="Times New Roman"/>
          <w:b/>
          <w:sz w:val="28"/>
          <w:szCs w:val="28"/>
        </w:rPr>
        <w:t>83</w:t>
      </w:r>
      <w:r w:rsidRPr="009802BD">
        <w:rPr>
          <w:rFonts w:ascii="Times New Roman" w:hAnsi="Times New Roman"/>
          <w:sz w:val="28"/>
          <w:szCs w:val="28"/>
        </w:rPr>
        <w:t xml:space="preserve"> броя мъже и </w:t>
      </w:r>
      <w:r w:rsidRPr="009802BD">
        <w:rPr>
          <w:rFonts w:ascii="Times New Roman" w:hAnsi="Times New Roman"/>
          <w:b/>
          <w:sz w:val="28"/>
          <w:szCs w:val="28"/>
        </w:rPr>
        <w:t>109</w:t>
      </w:r>
      <w:r w:rsidRPr="009802BD">
        <w:rPr>
          <w:rFonts w:ascii="Times New Roman" w:hAnsi="Times New Roman"/>
          <w:sz w:val="28"/>
          <w:szCs w:val="28"/>
        </w:rPr>
        <w:t xml:space="preserve"> броя жени. Ощетени юридически лица – </w:t>
      </w:r>
      <w:r w:rsidRPr="009802BD">
        <w:rPr>
          <w:rFonts w:ascii="Times New Roman" w:hAnsi="Times New Roman"/>
          <w:b/>
          <w:sz w:val="28"/>
          <w:szCs w:val="28"/>
        </w:rPr>
        <w:t>11</w:t>
      </w:r>
      <w:r w:rsidRPr="009802BD">
        <w:rPr>
          <w:rFonts w:ascii="Times New Roman" w:hAnsi="Times New Roman"/>
          <w:sz w:val="28"/>
          <w:szCs w:val="28"/>
        </w:rPr>
        <w:t xml:space="preserve"> броя.</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VIIIа от НК. – „Престъпления против спорта”</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w:t>
      </w:r>
      <w:r w:rsidRPr="009802BD">
        <w:rPr>
          <w:rFonts w:ascii="Times New Roman" w:hAnsi="Times New Roman"/>
          <w:b/>
          <w:sz w:val="28"/>
          <w:szCs w:val="28"/>
        </w:rPr>
        <w:t>няма</w:t>
      </w:r>
      <w:r w:rsidRPr="009802BD">
        <w:rPr>
          <w:rFonts w:ascii="Times New Roman" w:hAnsi="Times New Roman"/>
          <w:sz w:val="28"/>
          <w:szCs w:val="28"/>
        </w:rPr>
        <w:t xml:space="preserve"> новообразувани досъдебни производства за престъпления против спорта. </w:t>
      </w:r>
    </w:p>
    <w:p w:rsidR="009802BD" w:rsidRPr="009802BD" w:rsidRDefault="009802BD" w:rsidP="004D24A1">
      <w:pPr>
        <w:ind w:firstLine="708"/>
        <w:jc w:val="both"/>
        <w:rPr>
          <w:rFonts w:ascii="Times New Roman" w:hAnsi="Times New Roman"/>
          <w:b/>
          <w:color w:val="000000"/>
          <w:sz w:val="28"/>
          <w:szCs w:val="28"/>
        </w:rPr>
      </w:pPr>
      <w:r w:rsidRPr="009802BD">
        <w:rPr>
          <w:rFonts w:ascii="Times New Roman" w:hAnsi="Times New Roman"/>
          <w:b/>
          <w:color w:val="000000"/>
          <w:sz w:val="28"/>
          <w:szCs w:val="28"/>
        </w:rPr>
        <w:t>Глава ІХ от НК – „Документни престъпления”</w:t>
      </w:r>
    </w:p>
    <w:p w:rsidR="009802BD" w:rsidRPr="009802BD" w:rsidRDefault="009802BD" w:rsidP="004D24A1">
      <w:pPr>
        <w:ind w:firstLine="708"/>
        <w:jc w:val="both"/>
        <w:rPr>
          <w:rFonts w:ascii="Times New Roman" w:hAnsi="Times New Roman"/>
          <w:color w:val="000000"/>
          <w:sz w:val="28"/>
          <w:szCs w:val="28"/>
        </w:rPr>
      </w:pPr>
      <w:r w:rsidRPr="009802BD">
        <w:rPr>
          <w:rFonts w:ascii="Times New Roman" w:hAnsi="Times New Roman"/>
          <w:color w:val="000000"/>
          <w:sz w:val="28"/>
          <w:szCs w:val="28"/>
        </w:rPr>
        <w:t xml:space="preserve">През 2021 г. са новообразувани </w:t>
      </w:r>
      <w:r w:rsidRPr="009802BD">
        <w:rPr>
          <w:rFonts w:ascii="Times New Roman" w:hAnsi="Times New Roman"/>
          <w:b/>
          <w:color w:val="000000"/>
          <w:sz w:val="28"/>
          <w:szCs w:val="28"/>
        </w:rPr>
        <w:t>708</w:t>
      </w:r>
      <w:r w:rsidRPr="009802BD">
        <w:rPr>
          <w:rFonts w:ascii="Times New Roman" w:hAnsi="Times New Roman"/>
          <w:color w:val="000000"/>
          <w:sz w:val="28"/>
          <w:szCs w:val="28"/>
        </w:rPr>
        <w:t xml:space="preserve"> броя /при 850 броя за 2019 г. и 693 бр. за 2020 г./ досъдебни производства. С най-висок дял са образуваните производства по чл. 309 от НК – </w:t>
      </w:r>
      <w:r w:rsidRPr="009802BD">
        <w:rPr>
          <w:rFonts w:ascii="Times New Roman" w:hAnsi="Times New Roman"/>
          <w:b/>
          <w:color w:val="000000"/>
          <w:sz w:val="28"/>
          <w:szCs w:val="28"/>
        </w:rPr>
        <w:t>229</w:t>
      </w:r>
      <w:r w:rsidRPr="009802BD">
        <w:rPr>
          <w:rFonts w:ascii="Times New Roman" w:hAnsi="Times New Roman"/>
          <w:color w:val="000000"/>
          <w:sz w:val="28"/>
          <w:szCs w:val="28"/>
        </w:rPr>
        <w:t xml:space="preserve"> броя, следвани от тези по чл. 316 от НК </w:t>
      </w:r>
      <w:r w:rsidRPr="009802BD">
        <w:rPr>
          <w:rFonts w:ascii="Times New Roman" w:hAnsi="Times New Roman"/>
          <w:color w:val="000000"/>
          <w:sz w:val="28"/>
          <w:szCs w:val="28"/>
        </w:rPr>
        <w:lastRenderedPageBreak/>
        <w:t xml:space="preserve">– </w:t>
      </w:r>
      <w:r w:rsidRPr="009802BD">
        <w:rPr>
          <w:rFonts w:ascii="Times New Roman" w:hAnsi="Times New Roman"/>
          <w:b/>
          <w:color w:val="000000"/>
          <w:sz w:val="28"/>
          <w:szCs w:val="28"/>
        </w:rPr>
        <w:t>209</w:t>
      </w:r>
      <w:r w:rsidRPr="009802BD">
        <w:rPr>
          <w:rFonts w:ascii="Times New Roman" w:hAnsi="Times New Roman"/>
          <w:color w:val="000000"/>
          <w:sz w:val="28"/>
          <w:szCs w:val="28"/>
        </w:rPr>
        <w:t xml:space="preserve"> броя; по чл. 308 от НК – </w:t>
      </w:r>
      <w:r w:rsidRPr="009802BD">
        <w:rPr>
          <w:rFonts w:ascii="Times New Roman" w:hAnsi="Times New Roman"/>
          <w:b/>
          <w:color w:val="000000"/>
          <w:sz w:val="28"/>
          <w:szCs w:val="28"/>
        </w:rPr>
        <w:t>123</w:t>
      </w:r>
      <w:r w:rsidRPr="009802BD">
        <w:rPr>
          <w:rFonts w:ascii="Times New Roman" w:hAnsi="Times New Roman"/>
          <w:color w:val="000000"/>
          <w:sz w:val="28"/>
          <w:szCs w:val="28"/>
        </w:rPr>
        <w:t xml:space="preserve"> броя; по чл. 313 от НК – </w:t>
      </w:r>
      <w:r w:rsidRPr="009802BD">
        <w:rPr>
          <w:rFonts w:ascii="Times New Roman" w:hAnsi="Times New Roman"/>
          <w:b/>
          <w:color w:val="000000"/>
          <w:sz w:val="28"/>
          <w:szCs w:val="28"/>
        </w:rPr>
        <w:t>95</w:t>
      </w:r>
      <w:r w:rsidRPr="009802BD">
        <w:rPr>
          <w:rFonts w:ascii="Times New Roman" w:hAnsi="Times New Roman"/>
          <w:color w:val="000000"/>
          <w:sz w:val="28"/>
          <w:szCs w:val="28"/>
        </w:rPr>
        <w:t xml:space="preserve"> броя; по чл.319 от НК – </w:t>
      </w:r>
      <w:r w:rsidRPr="009802BD">
        <w:rPr>
          <w:rFonts w:ascii="Times New Roman" w:hAnsi="Times New Roman"/>
          <w:b/>
          <w:color w:val="000000"/>
          <w:sz w:val="28"/>
          <w:szCs w:val="28"/>
        </w:rPr>
        <w:t>26</w:t>
      </w:r>
      <w:r w:rsidRPr="009802BD">
        <w:rPr>
          <w:rFonts w:ascii="Times New Roman" w:hAnsi="Times New Roman"/>
          <w:color w:val="000000"/>
          <w:sz w:val="28"/>
          <w:szCs w:val="28"/>
        </w:rPr>
        <w:t xml:space="preserve"> броя.</w:t>
      </w:r>
    </w:p>
    <w:p w:rsidR="009802BD" w:rsidRPr="009802BD" w:rsidRDefault="009802BD" w:rsidP="004D24A1">
      <w:pPr>
        <w:ind w:firstLine="708"/>
        <w:jc w:val="both"/>
        <w:rPr>
          <w:rFonts w:ascii="Times New Roman" w:hAnsi="Times New Roman"/>
          <w:color w:val="000000"/>
          <w:sz w:val="28"/>
          <w:szCs w:val="28"/>
        </w:rPr>
      </w:pPr>
      <w:r w:rsidRPr="009802BD">
        <w:rPr>
          <w:rFonts w:ascii="Times New Roman" w:hAnsi="Times New Roman"/>
          <w:color w:val="000000"/>
          <w:sz w:val="28"/>
          <w:szCs w:val="28"/>
        </w:rPr>
        <w:t xml:space="preserve">Пострадали физически лица от документни престъпления са </w:t>
      </w:r>
      <w:r w:rsidRPr="009802BD">
        <w:rPr>
          <w:rFonts w:ascii="Times New Roman" w:hAnsi="Times New Roman"/>
          <w:b/>
          <w:color w:val="000000"/>
          <w:sz w:val="28"/>
          <w:szCs w:val="28"/>
        </w:rPr>
        <w:t>427</w:t>
      </w:r>
      <w:r w:rsidRPr="009802BD">
        <w:rPr>
          <w:rFonts w:ascii="Times New Roman" w:hAnsi="Times New Roman"/>
          <w:color w:val="000000"/>
          <w:sz w:val="28"/>
          <w:szCs w:val="28"/>
        </w:rPr>
        <w:t xml:space="preserve">, от тях </w:t>
      </w:r>
      <w:r w:rsidRPr="009802BD">
        <w:rPr>
          <w:rFonts w:ascii="Times New Roman" w:hAnsi="Times New Roman"/>
          <w:b/>
          <w:color w:val="000000"/>
          <w:sz w:val="28"/>
          <w:szCs w:val="28"/>
        </w:rPr>
        <w:t>286</w:t>
      </w:r>
      <w:r w:rsidRPr="009802BD">
        <w:rPr>
          <w:rFonts w:ascii="Times New Roman" w:hAnsi="Times New Roman"/>
          <w:color w:val="000000"/>
          <w:sz w:val="28"/>
          <w:szCs w:val="28"/>
        </w:rPr>
        <w:t xml:space="preserve"> мъже и </w:t>
      </w:r>
      <w:r w:rsidRPr="009802BD">
        <w:rPr>
          <w:rFonts w:ascii="Times New Roman" w:hAnsi="Times New Roman"/>
          <w:b/>
          <w:color w:val="000000"/>
          <w:sz w:val="28"/>
          <w:szCs w:val="28"/>
        </w:rPr>
        <w:t>141</w:t>
      </w:r>
      <w:r w:rsidRPr="009802BD">
        <w:rPr>
          <w:rFonts w:ascii="Times New Roman" w:hAnsi="Times New Roman"/>
          <w:color w:val="000000"/>
          <w:sz w:val="28"/>
          <w:szCs w:val="28"/>
        </w:rPr>
        <w:t xml:space="preserve"> жени.</w:t>
      </w:r>
      <w:r w:rsidRPr="009802BD">
        <w:rPr>
          <w:rFonts w:ascii="Times New Roman" w:hAnsi="Times New Roman"/>
          <w:i/>
          <w:color w:val="000000"/>
          <w:sz w:val="28"/>
          <w:szCs w:val="28"/>
        </w:rPr>
        <w:t xml:space="preserve"> </w:t>
      </w:r>
      <w:r w:rsidRPr="009802BD">
        <w:rPr>
          <w:rFonts w:ascii="Times New Roman" w:hAnsi="Times New Roman"/>
          <w:color w:val="000000"/>
          <w:sz w:val="28"/>
          <w:szCs w:val="28"/>
        </w:rPr>
        <w:t xml:space="preserve">Ощетени юридически лица – </w:t>
      </w:r>
      <w:r w:rsidRPr="009802BD">
        <w:rPr>
          <w:rFonts w:ascii="Times New Roman" w:hAnsi="Times New Roman"/>
          <w:b/>
          <w:color w:val="000000"/>
          <w:sz w:val="28"/>
          <w:szCs w:val="28"/>
        </w:rPr>
        <w:t>159</w:t>
      </w:r>
      <w:r w:rsidRPr="009802BD">
        <w:rPr>
          <w:rFonts w:ascii="Times New Roman" w:hAnsi="Times New Roman"/>
          <w:color w:val="000000"/>
          <w:sz w:val="28"/>
          <w:szCs w:val="28"/>
        </w:rPr>
        <w:t xml:space="preserve"> броя.</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ІХа от НК. –„Компютърни престъпления”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През отчетния период са новообразувани </w:t>
      </w:r>
      <w:r w:rsidRPr="009802BD">
        <w:rPr>
          <w:rFonts w:ascii="Times New Roman" w:hAnsi="Times New Roman"/>
          <w:b/>
          <w:sz w:val="28"/>
          <w:szCs w:val="28"/>
        </w:rPr>
        <w:t>51</w:t>
      </w:r>
      <w:r w:rsidRPr="009802BD">
        <w:rPr>
          <w:rFonts w:ascii="Times New Roman" w:hAnsi="Times New Roman"/>
          <w:sz w:val="28"/>
          <w:szCs w:val="28"/>
        </w:rPr>
        <w:t xml:space="preserve"> броя досъдебни производства за компютърни престъпления /при 22 броя за 2019 г. и  31 броя за 2020 г./. От тях с най- висок дял са образуваните досъдебни производства по чл.319б от НК – </w:t>
      </w:r>
      <w:r w:rsidRPr="009802BD">
        <w:rPr>
          <w:rFonts w:ascii="Times New Roman" w:hAnsi="Times New Roman"/>
          <w:b/>
          <w:sz w:val="28"/>
          <w:szCs w:val="28"/>
        </w:rPr>
        <w:t>29</w:t>
      </w:r>
      <w:r w:rsidRPr="009802BD">
        <w:rPr>
          <w:rFonts w:ascii="Times New Roman" w:hAnsi="Times New Roman"/>
          <w:sz w:val="28"/>
          <w:szCs w:val="28"/>
        </w:rPr>
        <w:t xml:space="preserve"> броя, следвани от тези по чл.319а от НК –</w:t>
      </w:r>
      <w:r w:rsidRPr="009802BD">
        <w:rPr>
          <w:rFonts w:ascii="Times New Roman" w:hAnsi="Times New Roman"/>
          <w:b/>
          <w:sz w:val="28"/>
          <w:szCs w:val="28"/>
        </w:rPr>
        <w:t xml:space="preserve">18 </w:t>
      </w:r>
      <w:r w:rsidRPr="009802BD">
        <w:rPr>
          <w:rFonts w:ascii="Times New Roman" w:hAnsi="Times New Roman"/>
          <w:sz w:val="28"/>
          <w:szCs w:val="28"/>
        </w:rPr>
        <w:t>броя.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Пострадали са </w:t>
      </w:r>
      <w:r w:rsidRPr="009802BD">
        <w:rPr>
          <w:rFonts w:ascii="Times New Roman" w:hAnsi="Times New Roman"/>
          <w:b/>
          <w:sz w:val="28"/>
          <w:szCs w:val="28"/>
        </w:rPr>
        <w:t xml:space="preserve">33 </w:t>
      </w:r>
      <w:r w:rsidRPr="009802BD">
        <w:rPr>
          <w:rFonts w:ascii="Times New Roman" w:hAnsi="Times New Roman"/>
          <w:sz w:val="28"/>
          <w:szCs w:val="28"/>
        </w:rPr>
        <w:t xml:space="preserve">физически лица, от които </w:t>
      </w:r>
      <w:r w:rsidRPr="009802BD">
        <w:rPr>
          <w:rFonts w:ascii="Times New Roman" w:hAnsi="Times New Roman"/>
          <w:b/>
          <w:sz w:val="28"/>
          <w:szCs w:val="28"/>
        </w:rPr>
        <w:t>14</w:t>
      </w:r>
      <w:r w:rsidRPr="009802BD">
        <w:rPr>
          <w:rFonts w:ascii="Times New Roman" w:hAnsi="Times New Roman"/>
          <w:sz w:val="28"/>
          <w:szCs w:val="28"/>
        </w:rPr>
        <w:t xml:space="preserve"> мъже и </w:t>
      </w:r>
      <w:r w:rsidRPr="009802BD">
        <w:rPr>
          <w:rFonts w:ascii="Times New Roman" w:hAnsi="Times New Roman"/>
          <w:b/>
          <w:sz w:val="28"/>
          <w:szCs w:val="28"/>
        </w:rPr>
        <w:t>19</w:t>
      </w:r>
      <w:r w:rsidRPr="009802BD">
        <w:rPr>
          <w:rFonts w:ascii="Times New Roman" w:hAnsi="Times New Roman"/>
          <w:sz w:val="28"/>
          <w:szCs w:val="28"/>
        </w:rPr>
        <w:t xml:space="preserve"> жени. Ощетени юридически лица – </w:t>
      </w:r>
      <w:r w:rsidRPr="009802BD">
        <w:rPr>
          <w:rFonts w:ascii="Times New Roman" w:hAnsi="Times New Roman"/>
          <w:b/>
          <w:sz w:val="28"/>
          <w:szCs w:val="28"/>
        </w:rPr>
        <w:t>19</w:t>
      </w:r>
      <w:r w:rsidRPr="009802BD">
        <w:rPr>
          <w:rFonts w:ascii="Times New Roman" w:hAnsi="Times New Roman"/>
          <w:sz w:val="28"/>
          <w:szCs w:val="28"/>
        </w:rPr>
        <w:t xml:space="preserve"> броя.</w:t>
      </w:r>
    </w:p>
    <w:p w:rsidR="009802BD" w:rsidRPr="009802BD" w:rsidRDefault="009802BD" w:rsidP="004D24A1">
      <w:pPr>
        <w:ind w:firstLine="708"/>
        <w:jc w:val="both"/>
        <w:rPr>
          <w:rFonts w:ascii="Times New Roman" w:hAnsi="Times New Roman"/>
          <w:b/>
          <w:color w:val="000000"/>
          <w:sz w:val="28"/>
          <w:szCs w:val="28"/>
        </w:rPr>
      </w:pPr>
      <w:r w:rsidRPr="009802BD">
        <w:rPr>
          <w:rFonts w:ascii="Times New Roman" w:hAnsi="Times New Roman"/>
          <w:b/>
          <w:color w:val="000000"/>
          <w:sz w:val="28"/>
          <w:szCs w:val="28"/>
        </w:rPr>
        <w:t>Глава Х от НК – „ Престъпления против реда и общественото спокойствие”</w:t>
      </w:r>
    </w:p>
    <w:p w:rsidR="009802BD" w:rsidRPr="009802BD" w:rsidRDefault="009802BD" w:rsidP="004D24A1">
      <w:pPr>
        <w:ind w:firstLine="708"/>
        <w:jc w:val="both"/>
        <w:rPr>
          <w:rFonts w:ascii="Times New Roman" w:hAnsi="Times New Roman"/>
          <w:color w:val="000000"/>
          <w:sz w:val="28"/>
          <w:szCs w:val="28"/>
        </w:rPr>
      </w:pPr>
      <w:r w:rsidRPr="009802BD">
        <w:rPr>
          <w:rFonts w:ascii="Times New Roman" w:hAnsi="Times New Roman"/>
          <w:color w:val="000000"/>
          <w:sz w:val="28"/>
          <w:szCs w:val="28"/>
        </w:rPr>
        <w:t xml:space="preserve">През 2021 г. по Глава Х от НК са новообразувани </w:t>
      </w:r>
      <w:r w:rsidRPr="009802BD">
        <w:rPr>
          <w:rFonts w:ascii="Times New Roman" w:hAnsi="Times New Roman"/>
          <w:b/>
          <w:color w:val="000000"/>
          <w:sz w:val="28"/>
          <w:szCs w:val="28"/>
        </w:rPr>
        <w:t>475</w:t>
      </w:r>
      <w:r w:rsidRPr="009802BD">
        <w:rPr>
          <w:rFonts w:ascii="Times New Roman" w:hAnsi="Times New Roman"/>
          <w:color w:val="000000"/>
          <w:sz w:val="28"/>
          <w:szCs w:val="28"/>
        </w:rPr>
        <w:t xml:space="preserve"> броя досъдебни производства /при 596 броя за 2019 г. и</w:t>
      </w:r>
      <w:r w:rsidRPr="009802BD">
        <w:rPr>
          <w:rFonts w:ascii="Times New Roman" w:hAnsi="Times New Roman"/>
          <w:b/>
          <w:color w:val="000000"/>
          <w:sz w:val="28"/>
          <w:szCs w:val="28"/>
        </w:rPr>
        <w:t xml:space="preserve"> </w:t>
      </w:r>
      <w:r w:rsidRPr="009802BD">
        <w:rPr>
          <w:rFonts w:ascii="Times New Roman" w:hAnsi="Times New Roman"/>
          <w:color w:val="000000"/>
          <w:sz w:val="28"/>
          <w:szCs w:val="28"/>
        </w:rPr>
        <w:t xml:space="preserve"> 543 броя за 2020 г./, от тях с най-висок дял са образуваните за престъпление по чл. 325 от НК – </w:t>
      </w:r>
      <w:r w:rsidRPr="009802BD">
        <w:rPr>
          <w:rFonts w:ascii="Times New Roman" w:hAnsi="Times New Roman"/>
          <w:b/>
          <w:color w:val="000000"/>
          <w:sz w:val="28"/>
          <w:szCs w:val="28"/>
        </w:rPr>
        <w:t>312</w:t>
      </w:r>
      <w:r w:rsidRPr="009802BD">
        <w:rPr>
          <w:rFonts w:ascii="Times New Roman" w:hAnsi="Times New Roman"/>
          <w:color w:val="000000"/>
          <w:sz w:val="28"/>
          <w:szCs w:val="28"/>
        </w:rPr>
        <w:t xml:space="preserve"> броя, чл. 323 от НК – </w:t>
      </w:r>
      <w:r w:rsidRPr="009802BD">
        <w:rPr>
          <w:rFonts w:ascii="Times New Roman" w:hAnsi="Times New Roman"/>
          <w:b/>
          <w:color w:val="000000"/>
          <w:sz w:val="28"/>
          <w:szCs w:val="28"/>
        </w:rPr>
        <w:t xml:space="preserve">69 </w:t>
      </w:r>
      <w:r w:rsidRPr="009802BD">
        <w:rPr>
          <w:rFonts w:ascii="Times New Roman" w:hAnsi="Times New Roman"/>
          <w:color w:val="000000"/>
          <w:sz w:val="28"/>
          <w:szCs w:val="28"/>
        </w:rPr>
        <w:t xml:space="preserve">броя, чл. 325б от НК – </w:t>
      </w:r>
      <w:r w:rsidRPr="009802BD">
        <w:rPr>
          <w:rFonts w:ascii="Times New Roman" w:hAnsi="Times New Roman"/>
          <w:b/>
          <w:color w:val="000000"/>
          <w:sz w:val="28"/>
          <w:szCs w:val="28"/>
        </w:rPr>
        <w:t>34</w:t>
      </w:r>
      <w:r w:rsidRPr="009802BD">
        <w:rPr>
          <w:rFonts w:ascii="Times New Roman" w:hAnsi="Times New Roman"/>
          <w:color w:val="000000"/>
          <w:sz w:val="28"/>
          <w:szCs w:val="28"/>
        </w:rPr>
        <w:t xml:space="preserve"> броя, чл. 326 от НК – </w:t>
      </w:r>
      <w:r w:rsidRPr="009802BD">
        <w:rPr>
          <w:rFonts w:ascii="Times New Roman" w:hAnsi="Times New Roman"/>
          <w:b/>
          <w:color w:val="000000"/>
          <w:sz w:val="28"/>
          <w:szCs w:val="28"/>
        </w:rPr>
        <w:t>13</w:t>
      </w:r>
      <w:r w:rsidRPr="009802BD">
        <w:rPr>
          <w:rFonts w:ascii="Times New Roman" w:hAnsi="Times New Roman"/>
          <w:color w:val="000000"/>
          <w:sz w:val="28"/>
          <w:szCs w:val="28"/>
        </w:rPr>
        <w:t xml:space="preserve"> броя.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Пострадали физически лица</w:t>
      </w:r>
      <w:r w:rsidRPr="009802BD">
        <w:rPr>
          <w:rFonts w:ascii="Times New Roman" w:hAnsi="Times New Roman"/>
          <w:i/>
          <w:sz w:val="28"/>
          <w:szCs w:val="28"/>
        </w:rPr>
        <w:t xml:space="preserve"> </w:t>
      </w:r>
      <w:r w:rsidRPr="009802BD">
        <w:rPr>
          <w:rFonts w:ascii="Times New Roman" w:hAnsi="Times New Roman"/>
          <w:sz w:val="28"/>
          <w:szCs w:val="28"/>
        </w:rPr>
        <w:t xml:space="preserve">са </w:t>
      </w:r>
      <w:r w:rsidRPr="009802BD">
        <w:rPr>
          <w:rFonts w:ascii="Times New Roman" w:hAnsi="Times New Roman"/>
          <w:b/>
          <w:sz w:val="28"/>
          <w:szCs w:val="28"/>
        </w:rPr>
        <w:t>401</w:t>
      </w:r>
      <w:r w:rsidRPr="009802BD">
        <w:rPr>
          <w:rFonts w:ascii="Times New Roman" w:hAnsi="Times New Roman"/>
          <w:sz w:val="28"/>
          <w:szCs w:val="28"/>
        </w:rPr>
        <w:t xml:space="preserve"> – от тях </w:t>
      </w:r>
      <w:r w:rsidRPr="009802BD">
        <w:rPr>
          <w:rFonts w:ascii="Times New Roman" w:hAnsi="Times New Roman"/>
          <w:b/>
          <w:sz w:val="28"/>
          <w:szCs w:val="28"/>
        </w:rPr>
        <w:t>230</w:t>
      </w:r>
      <w:r w:rsidRPr="009802BD">
        <w:rPr>
          <w:rFonts w:ascii="Times New Roman" w:hAnsi="Times New Roman"/>
          <w:sz w:val="28"/>
          <w:szCs w:val="28"/>
        </w:rPr>
        <w:t xml:space="preserve"> мъже и </w:t>
      </w:r>
      <w:r w:rsidRPr="009802BD">
        <w:rPr>
          <w:rFonts w:ascii="Times New Roman" w:hAnsi="Times New Roman"/>
          <w:b/>
          <w:sz w:val="28"/>
          <w:szCs w:val="28"/>
        </w:rPr>
        <w:t xml:space="preserve">171 </w:t>
      </w:r>
      <w:r w:rsidRPr="009802BD">
        <w:rPr>
          <w:rFonts w:ascii="Times New Roman" w:hAnsi="Times New Roman"/>
          <w:sz w:val="28"/>
          <w:szCs w:val="28"/>
        </w:rPr>
        <w:t xml:space="preserve">жени. Пострадали  са </w:t>
      </w:r>
      <w:r w:rsidRPr="009802BD">
        <w:rPr>
          <w:rFonts w:ascii="Times New Roman" w:hAnsi="Times New Roman"/>
          <w:b/>
          <w:sz w:val="28"/>
          <w:szCs w:val="28"/>
          <w:lang w:val="en-US"/>
        </w:rPr>
        <w:t>6</w:t>
      </w:r>
      <w:r w:rsidRPr="009802BD">
        <w:rPr>
          <w:rFonts w:ascii="Times New Roman" w:hAnsi="Times New Roman"/>
          <w:b/>
          <w:sz w:val="28"/>
          <w:szCs w:val="28"/>
        </w:rPr>
        <w:t xml:space="preserve"> </w:t>
      </w:r>
      <w:r w:rsidRPr="009802BD">
        <w:rPr>
          <w:rFonts w:ascii="Times New Roman" w:hAnsi="Times New Roman"/>
          <w:sz w:val="28"/>
          <w:szCs w:val="28"/>
        </w:rPr>
        <w:t xml:space="preserve">малолетни и </w:t>
      </w:r>
      <w:r w:rsidRPr="009802BD">
        <w:rPr>
          <w:rFonts w:ascii="Times New Roman" w:hAnsi="Times New Roman"/>
          <w:b/>
          <w:sz w:val="28"/>
          <w:szCs w:val="28"/>
          <w:lang w:val="en-US"/>
        </w:rPr>
        <w:t>2</w:t>
      </w:r>
      <w:r w:rsidRPr="009802BD">
        <w:rPr>
          <w:rFonts w:ascii="Times New Roman" w:hAnsi="Times New Roman"/>
          <w:sz w:val="28"/>
          <w:szCs w:val="28"/>
        </w:rPr>
        <w:t xml:space="preserve"> непълнолетни лица.</w:t>
      </w:r>
      <w:r w:rsidRPr="009802BD">
        <w:rPr>
          <w:rFonts w:ascii="Times New Roman" w:hAnsi="Times New Roman"/>
          <w:i/>
          <w:sz w:val="28"/>
          <w:szCs w:val="28"/>
        </w:rPr>
        <w:t xml:space="preserve"> </w:t>
      </w:r>
      <w:r w:rsidRPr="009802BD">
        <w:rPr>
          <w:rFonts w:ascii="Times New Roman" w:hAnsi="Times New Roman"/>
          <w:sz w:val="28"/>
          <w:szCs w:val="28"/>
        </w:rPr>
        <w:t xml:space="preserve">Ощетени са  </w:t>
      </w:r>
      <w:r w:rsidRPr="009802BD">
        <w:rPr>
          <w:rFonts w:ascii="Times New Roman" w:hAnsi="Times New Roman"/>
          <w:b/>
          <w:sz w:val="28"/>
          <w:szCs w:val="28"/>
        </w:rPr>
        <w:t>0</w:t>
      </w:r>
      <w:r w:rsidRPr="009802BD">
        <w:rPr>
          <w:rFonts w:ascii="Times New Roman" w:hAnsi="Times New Roman"/>
          <w:sz w:val="28"/>
          <w:szCs w:val="28"/>
        </w:rPr>
        <w:t xml:space="preserve"> юридически лица.</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ХІ от НК – „Общоопасни престъпления”</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sz w:val="28"/>
          <w:szCs w:val="28"/>
        </w:rPr>
        <w:t xml:space="preserve">През отчетния период са новообразувани </w:t>
      </w:r>
      <w:r w:rsidRPr="009802BD">
        <w:rPr>
          <w:rFonts w:ascii="Times New Roman" w:hAnsi="Times New Roman"/>
          <w:b/>
          <w:sz w:val="28"/>
          <w:szCs w:val="28"/>
        </w:rPr>
        <w:t>4709</w:t>
      </w:r>
      <w:r w:rsidRPr="009802BD">
        <w:rPr>
          <w:rFonts w:ascii="Times New Roman" w:hAnsi="Times New Roman"/>
          <w:sz w:val="28"/>
          <w:szCs w:val="28"/>
        </w:rPr>
        <w:t xml:space="preserve"> броя досъдебни производства /при 5957 броя за 2019 г. и  4785 бр. за 2020 г./. След образуваните досъдебни производства по Глава V от НК, най - голям дял заемат образуваните досъдебни производства за общоопасни престъпления. Делът им спрямо общия брой новообразувани /17868 броя/ е </w:t>
      </w:r>
      <w:r w:rsidRPr="009802BD">
        <w:rPr>
          <w:rFonts w:ascii="Times New Roman" w:hAnsi="Times New Roman"/>
          <w:b/>
          <w:sz w:val="28"/>
          <w:szCs w:val="28"/>
        </w:rPr>
        <w:t>26,35 %.</w:t>
      </w:r>
      <w:r w:rsidRPr="009802BD">
        <w:rPr>
          <w:rFonts w:ascii="Times New Roman" w:hAnsi="Times New Roman"/>
          <w:sz w:val="28"/>
          <w:szCs w:val="28"/>
        </w:rPr>
        <w:t xml:space="preserve"> От общия брой образувани по Глава ХІ от НК, най - много досъдебни производства са за престъпление по  чл. 354а от НК– </w:t>
      </w:r>
      <w:r w:rsidRPr="009802BD">
        <w:rPr>
          <w:rFonts w:ascii="Times New Roman" w:hAnsi="Times New Roman"/>
          <w:b/>
          <w:sz w:val="28"/>
          <w:szCs w:val="28"/>
        </w:rPr>
        <w:t>2194</w:t>
      </w:r>
      <w:r w:rsidRPr="009802BD">
        <w:rPr>
          <w:rFonts w:ascii="Times New Roman" w:hAnsi="Times New Roman"/>
          <w:sz w:val="28"/>
          <w:szCs w:val="28"/>
        </w:rPr>
        <w:t xml:space="preserve"> броя /при 3265 броя за 2019 г. и  2449 бр. за 2020 г. /, по чл. 343б от НК </w:t>
      </w:r>
      <w:r w:rsidRPr="009802BD">
        <w:rPr>
          <w:rFonts w:ascii="Times New Roman" w:hAnsi="Times New Roman"/>
          <w:b/>
          <w:sz w:val="28"/>
          <w:szCs w:val="28"/>
        </w:rPr>
        <w:t>– 762</w:t>
      </w:r>
      <w:r w:rsidRPr="009802BD">
        <w:rPr>
          <w:rFonts w:ascii="Times New Roman" w:hAnsi="Times New Roman"/>
          <w:sz w:val="28"/>
          <w:szCs w:val="28"/>
        </w:rPr>
        <w:t xml:space="preserve"> броя /при 497 броя за 2019 г. и 526 бр. за 2020 г./, следвани от престъпленията по чл. 346 от НК – </w:t>
      </w:r>
      <w:r w:rsidRPr="009802BD">
        <w:rPr>
          <w:rFonts w:ascii="Times New Roman" w:hAnsi="Times New Roman"/>
          <w:b/>
          <w:sz w:val="28"/>
          <w:szCs w:val="28"/>
        </w:rPr>
        <w:t>683</w:t>
      </w:r>
      <w:r w:rsidRPr="009802BD">
        <w:rPr>
          <w:rFonts w:ascii="Times New Roman" w:hAnsi="Times New Roman"/>
          <w:sz w:val="28"/>
          <w:szCs w:val="28"/>
        </w:rPr>
        <w:t xml:space="preserve">  броя / при 875 броя за 2019 г. и 730 бр. за 2020 г. /, по чл. 343 от НК – </w:t>
      </w:r>
      <w:r w:rsidRPr="009802BD">
        <w:rPr>
          <w:rFonts w:ascii="Times New Roman" w:hAnsi="Times New Roman"/>
          <w:b/>
          <w:sz w:val="28"/>
          <w:szCs w:val="28"/>
        </w:rPr>
        <w:t>408</w:t>
      </w:r>
      <w:r w:rsidRPr="009802BD">
        <w:rPr>
          <w:rFonts w:ascii="Times New Roman" w:hAnsi="Times New Roman"/>
          <w:sz w:val="28"/>
          <w:szCs w:val="28"/>
        </w:rPr>
        <w:t xml:space="preserve">  броя /при 491 броя за 2019 г. и 351 броя за 2020 г./, чл. 330 – </w:t>
      </w:r>
      <w:r w:rsidRPr="009802BD">
        <w:rPr>
          <w:rFonts w:ascii="Times New Roman" w:hAnsi="Times New Roman"/>
          <w:b/>
          <w:sz w:val="28"/>
          <w:szCs w:val="28"/>
        </w:rPr>
        <w:t>194</w:t>
      </w:r>
      <w:r w:rsidRPr="009802BD">
        <w:rPr>
          <w:rFonts w:ascii="Times New Roman" w:hAnsi="Times New Roman"/>
          <w:sz w:val="28"/>
          <w:szCs w:val="28"/>
        </w:rPr>
        <w:t xml:space="preserve">, по чл. 345 от НК – </w:t>
      </w:r>
      <w:r w:rsidRPr="009802BD">
        <w:rPr>
          <w:rFonts w:ascii="Times New Roman" w:hAnsi="Times New Roman"/>
          <w:b/>
          <w:sz w:val="28"/>
          <w:szCs w:val="28"/>
        </w:rPr>
        <w:t>190</w:t>
      </w:r>
      <w:r w:rsidRPr="009802BD">
        <w:rPr>
          <w:rFonts w:ascii="Times New Roman" w:hAnsi="Times New Roman"/>
          <w:sz w:val="28"/>
          <w:szCs w:val="28"/>
        </w:rPr>
        <w:t xml:space="preserve"> броя.</w:t>
      </w:r>
    </w:p>
    <w:p w:rsidR="009802BD" w:rsidRPr="009802BD" w:rsidRDefault="009802BD" w:rsidP="004D24A1">
      <w:pPr>
        <w:jc w:val="both"/>
        <w:rPr>
          <w:rFonts w:ascii="Times New Roman" w:hAnsi="Times New Roman"/>
          <w:sz w:val="28"/>
          <w:szCs w:val="28"/>
        </w:rPr>
      </w:pPr>
      <w:r w:rsidRPr="009802BD">
        <w:rPr>
          <w:rFonts w:ascii="Times New Roman" w:hAnsi="Times New Roman"/>
          <w:sz w:val="28"/>
          <w:szCs w:val="28"/>
        </w:rPr>
        <w:lastRenderedPageBreak/>
        <w:t xml:space="preserve"> </w:t>
      </w:r>
      <w:r w:rsidR="00F362E6">
        <w:rPr>
          <w:rFonts w:ascii="Times New Roman" w:hAnsi="Times New Roman"/>
          <w:sz w:val="28"/>
          <w:szCs w:val="28"/>
        </w:rPr>
        <w:tab/>
      </w:r>
      <w:r w:rsidRPr="009802BD">
        <w:rPr>
          <w:rFonts w:ascii="Times New Roman" w:hAnsi="Times New Roman"/>
          <w:sz w:val="28"/>
          <w:szCs w:val="28"/>
        </w:rPr>
        <w:t>Пострадали физически лица са</w:t>
      </w:r>
      <w:r w:rsidRPr="009802BD">
        <w:rPr>
          <w:rFonts w:ascii="Times New Roman" w:hAnsi="Times New Roman"/>
          <w:b/>
          <w:sz w:val="28"/>
          <w:szCs w:val="28"/>
        </w:rPr>
        <w:t xml:space="preserve"> 1379   /</w:t>
      </w:r>
      <w:r w:rsidRPr="009802BD">
        <w:rPr>
          <w:rFonts w:ascii="Times New Roman" w:hAnsi="Times New Roman"/>
          <w:sz w:val="28"/>
          <w:szCs w:val="28"/>
        </w:rPr>
        <w:t>при 1702 за 2019 г. и</w:t>
      </w:r>
      <w:r w:rsidRPr="009802BD">
        <w:rPr>
          <w:rFonts w:ascii="Times New Roman" w:hAnsi="Times New Roman"/>
          <w:b/>
          <w:sz w:val="28"/>
          <w:szCs w:val="28"/>
        </w:rPr>
        <w:t xml:space="preserve"> </w:t>
      </w:r>
      <w:r w:rsidRPr="009802BD">
        <w:rPr>
          <w:rFonts w:ascii="Times New Roman" w:hAnsi="Times New Roman"/>
          <w:sz w:val="28"/>
          <w:szCs w:val="28"/>
        </w:rPr>
        <w:t xml:space="preserve">1332 за 2020 г. /, от тях </w:t>
      </w:r>
      <w:r w:rsidRPr="009802BD">
        <w:rPr>
          <w:rFonts w:ascii="Times New Roman" w:hAnsi="Times New Roman"/>
          <w:b/>
          <w:sz w:val="28"/>
          <w:szCs w:val="28"/>
        </w:rPr>
        <w:t>883</w:t>
      </w:r>
      <w:r w:rsidRPr="009802BD">
        <w:rPr>
          <w:rFonts w:ascii="Times New Roman" w:hAnsi="Times New Roman"/>
          <w:sz w:val="28"/>
          <w:szCs w:val="28"/>
        </w:rPr>
        <w:t xml:space="preserve"> мъже, </w:t>
      </w:r>
      <w:r w:rsidRPr="009802BD">
        <w:rPr>
          <w:rFonts w:ascii="Times New Roman" w:hAnsi="Times New Roman"/>
          <w:b/>
          <w:sz w:val="28"/>
          <w:szCs w:val="28"/>
        </w:rPr>
        <w:t>496</w:t>
      </w:r>
      <w:r w:rsidRPr="009802BD">
        <w:rPr>
          <w:rFonts w:ascii="Times New Roman" w:hAnsi="Times New Roman"/>
          <w:sz w:val="28"/>
          <w:szCs w:val="28"/>
        </w:rPr>
        <w:t xml:space="preserve"> жени, </w:t>
      </w:r>
      <w:r w:rsidRPr="009802BD">
        <w:rPr>
          <w:rFonts w:ascii="Times New Roman" w:hAnsi="Times New Roman"/>
          <w:b/>
          <w:sz w:val="28"/>
          <w:szCs w:val="28"/>
        </w:rPr>
        <w:t xml:space="preserve">18 </w:t>
      </w:r>
      <w:r w:rsidRPr="009802BD">
        <w:rPr>
          <w:rFonts w:ascii="Times New Roman" w:hAnsi="Times New Roman"/>
          <w:sz w:val="28"/>
          <w:szCs w:val="28"/>
        </w:rPr>
        <w:t xml:space="preserve">малолетни лица и </w:t>
      </w:r>
      <w:r w:rsidRPr="009802BD">
        <w:rPr>
          <w:rFonts w:ascii="Times New Roman" w:hAnsi="Times New Roman"/>
          <w:b/>
          <w:sz w:val="28"/>
          <w:szCs w:val="28"/>
        </w:rPr>
        <w:t>10</w:t>
      </w:r>
      <w:r w:rsidRPr="009802BD">
        <w:rPr>
          <w:rFonts w:ascii="Times New Roman" w:hAnsi="Times New Roman"/>
          <w:sz w:val="28"/>
          <w:szCs w:val="28"/>
        </w:rPr>
        <w:t xml:space="preserve"> непълнолетни лица. Ощетените юридически лица са </w:t>
      </w:r>
      <w:r w:rsidRPr="009802BD">
        <w:rPr>
          <w:rFonts w:ascii="Times New Roman" w:hAnsi="Times New Roman"/>
          <w:b/>
          <w:sz w:val="28"/>
          <w:szCs w:val="28"/>
        </w:rPr>
        <w:t>16</w:t>
      </w:r>
      <w:r w:rsidRPr="009802BD">
        <w:rPr>
          <w:rFonts w:ascii="Times New Roman" w:hAnsi="Times New Roman"/>
          <w:sz w:val="28"/>
          <w:szCs w:val="28"/>
        </w:rPr>
        <w:t xml:space="preserve"> броя.</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ХІI от НК –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p w:rsidR="009802BD" w:rsidRP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За отчетния период</w:t>
      </w:r>
      <w:r w:rsidRPr="009802BD">
        <w:rPr>
          <w:rFonts w:ascii="Times New Roman" w:hAnsi="Times New Roman"/>
          <w:b/>
          <w:sz w:val="28"/>
          <w:szCs w:val="28"/>
        </w:rPr>
        <w:t xml:space="preserve"> няма </w:t>
      </w:r>
      <w:r w:rsidRPr="009802BD">
        <w:rPr>
          <w:rFonts w:ascii="Times New Roman" w:hAnsi="Times New Roman"/>
          <w:sz w:val="28"/>
          <w:szCs w:val="28"/>
        </w:rPr>
        <w:t>новообразувани досъдебни производства /при 4 броя за 2019 г. и 0 броя за 2020 г. /.</w:t>
      </w:r>
    </w:p>
    <w:p w:rsidR="009802BD" w:rsidRPr="009802BD" w:rsidRDefault="009802BD" w:rsidP="004D24A1">
      <w:pPr>
        <w:ind w:firstLine="708"/>
        <w:jc w:val="both"/>
        <w:rPr>
          <w:rFonts w:ascii="Times New Roman" w:hAnsi="Times New Roman"/>
          <w:b/>
          <w:sz w:val="28"/>
          <w:szCs w:val="28"/>
        </w:rPr>
      </w:pPr>
      <w:r w:rsidRPr="009802BD">
        <w:rPr>
          <w:rFonts w:ascii="Times New Roman" w:hAnsi="Times New Roman"/>
          <w:b/>
          <w:sz w:val="28"/>
          <w:szCs w:val="28"/>
        </w:rPr>
        <w:t>Глава ХІII от НК – „Военни престъпления“</w:t>
      </w:r>
    </w:p>
    <w:p w:rsidR="009802BD" w:rsidRDefault="009802BD" w:rsidP="004D24A1">
      <w:pPr>
        <w:ind w:firstLine="708"/>
        <w:jc w:val="both"/>
        <w:rPr>
          <w:rFonts w:ascii="Times New Roman" w:hAnsi="Times New Roman"/>
          <w:sz w:val="28"/>
          <w:szCs w:val="28"/>
        </w:rPr>
      </w:pPr>
      <w:r w:rsidRPr="009802BD">
        <w:rPr>
          <w:rFonts w:ascii="Times New Roman" w:hAnsi="Times New Roman"/>
          <w:sz w:val="28"/>
          <w:szCs w:val="28"/>
        </w:rPr>
        <w:t xml:space="preserve">За отчетния период </w:t>
      </w:r>
      <w:r w:rsidRPr="009802BD">
        <w:rPr>
          <w:rFonts w:ascii="Times New Roman" w:hAnsi="Times New Roman"/>
          <w:b/>
          <w:sz w:val="28"/>
          <w:szCs w:val="28"/>
        </w:rPr>
        <w:t xml:space="preserve">няма </w:t>
      </w:r>
      <w:r w:rsidRPr="009802BD">
        <w:rPr>
          <w:rFonts w:ascii="Times New Roman" w:hAnsi="Times New Roman"/>
          <w:sz w:val="28"/>
          <w:szCs w:val="28"/>
        </w:rPr>
        <w:t xml:space="preserve">новообразувани досъдебни производства, като и за 2019 г. и 2020 г. </w:t>
      </w:r>
    </w:p>
    <w:p w:rsidR="00A957DF" w:rsidRPr="009802BD" w:rsidRDefault="00A957DF" w:rsidP="004D24A1">
      <w:pPr>
        <w:ind w:firstLine="708"/>
        <w:jc w:val="both"/>
        <w:rPr>
          <w:rFonts w:ascii="Times New Roman" w:hAnsi="Times New Roman"/>
          <w:sz w:val="28"/>
          <w:szCs w:val="28"/>
        </w:rPr>
      </w:pPr>
    </w:p>
    <w:p w:rsidR="009802BD" w:rsidRPr="009802BD" w:rsidRDefault="00DA5C5A" w:rsidP="004D24A1">
      <w:pPr>
        <w:ind w:firstLine="708"/>
        <w:jc w:val="both"/>
        <w:rPr>
          <w:rFonts w:ascii="Times New Roman" w:hAnsi="Times New Roman"/>
          <w:b/>
          <w:sz w:val="28"/>
          <w:szCs w:val="28"/>
        </w:rPr>
      </w:pPr>
      <w:r w:rsidRPr="009802BD">
        <w:rPr>
          <w:rFonts w:ascii="Times New Roman" w:hAnsi="Times New Roman"/>
          <w:noProof/>
          <w:sz w:val="28"/>
          <w:szCs w:val="28"/>
          <w:lang w:eastAsia="bg-BG"/>
        </w:rPr>
        <w:drawing>
          <wp:anchor distT="0" distB="0" distL="114300" distR="114300" simplePos="0" relativeHeight="251659264" behindDoc="0" locked="0" layoutInCell="1" allowOverlap="1" wp14:anchorId="2542D4D5" wp14:editId="65A2CE02">
            <wp:simplePos x="0" y="0"/>
            <wp:positionH relativeFrom="column">
              <wp:posOffset>3810</wp:posOffset>
            </wp:positionH>
            <wp:positionV relativeFrom="paragraph">
              <wp:posOffset>594360</wp:posOffset>
            </wp:positionV>
            <wp:extent cx="6141085" cy="3562350"/>
            <wp:effectExtent l="0" t="0" r="12065" b="0"/>
            <wp:wrapSquare wrapText="right"/>
            <wp:docPr id="12" name="Об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802BD" w:rsidRPr="009802BD">
        <w:rPr>
          <w:rFonts w:ascii="Times New Roman" w:hAnsi="Times New Roman"/>
          <w:b/>
          <w:sz w:val="28"/>
          <w:szCs w:val="28"/>
        </w:rPr>
        <w:t>Относителен дял на новообразуваните досъдебни производства в СГП и СРП, съобразно систематиката на НК</w:t>
      </w:r>
    </w:p>
    <w:p w:rsidR="009802BD" w:rsidRDefault="009802BD" w:rsidP="004D24A1">
      <w:pPr>
        <w:jc w:val="both"/>
        <w:rPr>
          <w:rFonts w:ascii="Times New Roman" w:hAnsi="Times New Roman"/>
          <w:b/>
          <w:sz w:val="28"/>
          <w:szCs w:val="28"/>
        </w:rPr>
      </w:pPr>
      <w:r w:rsidRPr="009802BD">
        <w:rPr>
          <w:rFonts w:ascii="Times New Roman" w:hAnsi="Times New Roman"/>
          <w:sz w:val="28"/>
          <w:szCs w:val="28"/>
        </w:rPr>
        <w:br w:type="textWrapping" w:clear="all"/>
      </w:r>
    </w:p>
    <w:p w:rsidR="00A957DF" w:rsidRPr="009802BD" w:rsidRDefault="00A957DF" w:rsidP="004D24A1">
      <w:pPr>
        <w:jc w:val="both"/>
        <w:rPr>
          <w:rFonts w:ascii="Times New Roman" w:hAnsi="Times New Roman"/>
          <w:b/>
          <w:sz w:val="28"/>
          <w:szCs w:val="28"/>
        </w:rPr>
      </w:pPr>
    </w:p>
    <w:p w:rsidR="009802BD" w:rsidRPr="009802BD" w:rsidRDefault="009802BD" w:rsidP="004D24A1">
      <w:pPr>
        <w:ind w:firstLine="708"/>
        <w:jc w:val="both"/>
        <w:rPr>
          <w:rFonts w:ascii="Times New Roman" w:hAnsi="Times New Roman"/>
          <w:b/>
          <w:color w:val="000000"/>
          <w:sz w:val="28"/>
          <w:szCs w:val="28"/>
        </w:rPr>
      </w:pPr>
      <w:r w:rsidRPr="009802BD">
        <w:rPr>
          <w:rFonts w:ascii="Times New Roman" w:hAnsi="Times New Roman"/>
          <w:b/>
          <w:color w:val="000000"/>
          <w:sz w:val="28"/>
          <w:szCs w:val="28"/>
        </w:rPr>
        <w:lastRenderedPageBreak/>
        <w:t>Относителен дял на пострадали физически лица от извършени престъпления по новообразувани досъдебни производства в СГП и СРП, съобразно систематиката на НК</w:t>
      </w:r>
    </w:p>
    <w:p w:rsidR="001B1D18" w:rsidRPr="00483CFE" w:rsidRDefault="001B1D18" w:rsidP="001B1D18">
      <w:pPr>
        <w:jc w:val="both"/>
        <w:rPr>
          <w:rFonts w:ascii="Times New Roman" w:hAnsi="Times New Roman"/>
          <w:b/>
          <w:sz w:val="28"/>
          <w:szCs w:val="28"/>
        </w:rPr>
      </w:pPr>
      <w:r w:rsidRPr="00483CFE">
        <w:rPr>
          <w:rFonts w:ascii="Times New Roman" w:hAnsi="Times New Roman"/>
          <w:noProof/>
          <w:sz w:val="28"/>
          <w:szCs w:val="28"/>
          <w:lang w:eastAsia="bg-BG"/>
        </w:rPr>
        <w:drawing>
          <wp:inline distT="0" distB="0" distL="0" distR="0" wp14:anchorId="7270A6CD" wp14:editId="0D38F114">
            <wp:extent cx="5454503" cy="3685240"/>
            <wp:effectExtent l="0" t="0" r="13335" b="10795"/>
            <wp:docPr id="151" name="Chart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957DF" w:rsidRDefault="00A957DF"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lang w:val="en-US"/>
        </w:rPr>
      </w:pPr>
      <w:r w:rsidRPr="009802BD">
        <w:rPr>
          <w:rFonts w:ascii="Times New Roman" w:eastAsia="Times New Roman" w:hAnsi="Times New Roman"/>
          <w:b/>
          <w:sz w:val="28"/>
          <w:szCs w:val="28"/>
        </w:rPr>
        <w:t>2.2. Срочност на разследването.</w:t>
      </w:r>
    </w:p>
    <w:p w:rsidR="009802BD" w:rsidRPr="009802BD" w:rsidRDefault="009802B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 xml:space="preserve"> </w:t>
      </w:r>
    </w:p>
    <w:p w:rsidR="009802BD" w:rsidRPr="009802BD" w:rsidRDefault="009802B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г. са приключени </w:t>
      </w:r>
      <w:r w:rsidRPr="009802BD">
        <w:rPr>
          <w:rFonts w:ascii="Times New Roman" w:eastAsia="Times New Roman" w:hAnsi="Times New Roman"/>
          <w:b/>
          <w:sz w:val="28"/>
          <w:szCs w:val="28"/>
          <w:lang w:val="en-US"/>
        </w:rPr>
        <w:t>21778</w:t>
      </w:r>
      <w:r w:rsidRPr="009802BD">
        <w:rPr>
          <w:rFonts w:ascii="Times New Roman" w:eastAsia="Times New Roman" w:hAnsi="Times New Roman"/>
          <w:sz w:val="28"/>
          <w:szCs w:val="28"/>
        </w:rPr>
        <w:t xml:space="preserve"> броя досъдебни производства, което съставлява дял от </w:t>
      </w:r>
      <w:r w:rsidRPr="009802BD">
        <w:rPr>
          <w:rFonts w:ascii="Times New Roman" w:eastAsia="Times New Roman" w:hAnsi="Times New Roman"/>
          <w:b/>
          <w:sz w:val="28"/>
          <w:szCs w:val="28"/>
          <w:lang w:val="en-US"/>
        </w:rPr>
        <w:t>61,30</w:t>
      </w:r>
      <w:r w:rsidRPr="009802BD">
        <w:rPr>
          <w:rFonts w:ascii="Times New Roman" w:eastAsia="Times New Roman" w:hAnsi="Times New Roman"/>
          <w:b/>
          <w:sz w:val="28"/>
          <w:szCs w:val="28"/>
        </w:rPr>
        <w:t>%</w:t>
      </w:r>
      <w:r w:rsidRPr="009802BD">
        <w:rPr>
          <w:rFonts w:ascii="Times New Roman" w:eastAsia="Times New Roman" w:hAnsi="Times New Roman"/>
          <w:sz w:val="28"/>
          <w:szCs w:val="28"/>
        </w:rPr>
        <w:t xml:space="preserve"> от общия брой наблюдавани досъдебни производства /без прекратените по давност/ – </w:t>
      </w:r>
      <w:r w:rsidRPr="009802BD">
        <w:rPr>
          <w:rFonts w:ascii="Times New Roman" w:eastAsia="Times New Roman" w:hAnsi="Times New Roman"/>
          <w:b/>
          <w:sz w:val="28"/>
          <w:szCs w:val="28"/>
          <w:lang w:val="en-US"/>
        </w:rPr>
        <w:t>35526</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броя.</w:t>
      </w:r>
    </w:p>
    <w:p w:rsidR="009802BD" w:rsidRPr="009802BD" w:rsidRDefault="009802BD" w:rsidP="004D24A1">
      <w:pPr>
        <w:shd w:val="clear" w:color="auto" w:fill="FFFFFF"/>
        <w:tabs>
          <w:tab w:val="left" w:pos="826"/>
        </w:tabs>
        <w:autoSpaceDE w:val="0"/>
        <w:autoSpaceDN w:val="0"/>
        <w:adjustRightInd w:val="0"/>
        <w:spacing w:after="0"/>
        <w:ind w:firstLine="709"/>
        <w:jc w:val="both"/>
        <w:rPr>
          <w:rFonts w:ascii="Times New Roman" w:eastAsia="Times New Roman" w:hAnsi="Times New Roman"/>
          <w:sz w:val="28"/>
          <w:szCs w:val="28"/>
          <w:lang w:eastAsia="bg-BG"/>
        </w:rPr>
      </w:pPr>
      <w:r w:rsidRPr="009802BD">
        <w:rPr>
          <w:rFonts w:ascii="Times New Roman" w:eastAsia="Times New Roman" w:hAnsi="Times New Roman"/>
          <w:sz w:val="28"/>
          <w:szCs w:val="28"/>
          <w:lang w:eastAsia="bg-BG"/>
        </w:rPr>
        <w:t xml:space="preserve">Под продължителност на досъдебната фаза се разбира периодът от образуването на делото до решаването му от прокурора по същество – с прокурорски акт за внасяне на делото в съда /обвинителен акт, споразумение, предложение по чл.78а НК/ или с постановление за прекратяване. Продължителността на досъдебната фаза за отчетния период </w:t>
      </w:r>
      <w:r w:rsidRPr="009802BD">
        <w:rPr>
          <w:rFonts w:ascii="Times New Roman" w:eastAsia="Times New Roman" w:hAnsi="Times New Roman"/>
          <w:sz w:val="28"/>
          <w:szCs w:val="28"/>
        </w:rPr>
        <w:t>е следната:</w:t>
      </w:r>
    </w:p>
    <w:p w:rsidR="009802BD" w:rsidRPr="009802BD" w:rsidRDefault="009802BD" w:rsidP="004D24A1">
      <w:pPr>
        <w:spacing w:after="0"/>
        <w:ind w:firstLine="709"/>
        <w:jc w:val="both"/>
        <w:rPr>
          <w:rFonts w:ascii="Times New Roman" w:eastAsia="Times New Roman" w:hAnsi="Times New Roman"/>
          <w:sz w:val="28"/>
          <w:szCs w:val="28"/>
        </w:rPr>
      </w:pPr>
      <w:r w:rsidRPr="009802BD">
        <w:rPr>
          <w:rFonts w:ascii="Times New Roman" w:eastAsia="Times New Roman" w:hAnsi="Times New Roman"/>
          <w:sz w:val="28"/>
          <w:szCs w:val="28"/>
        </w:rPr>
        <w:t xml:space="preserve">- с продължителност до осем месеца - </w:t>
      </w:r>
      <w:r w:rsidRPr="009802BD">
        <w:rPr>
          <w:rFonts w:ascii="Times New Roman" w:eastAsia="Times New Roman" w:hAnsi="Times New Roman"/>
          <w:b/>
          <w:sz w:val="28"/>
          <w:szCs w:val="28"/>
        </w:rPr>
        <w:t>52</w:t>
      </w:r>
      <w:r w:rsidRPr="009802BD">
        <w:rPr>
          <w:rFonts w:ascii="Times New Roman" w:eastAsia="Times New Roman" w:hAnsi="Times New Roman"/>
          <w:b/>
          <w:sz w:val="28"/>
          <w:szCs w:val="28"/>
          <w:lang w:val="en-US"/>
        </w:rPr>
        <w:t>26</w:t>
      </w:r>
      <w:r w:rsidRPr="009802BD">
        <w:rPr>
          <w:rFonts w:ascii="Times New Roman" w:eastAsia="Times New Roman" w:hAnsi="Times New Roman"/>
          <w:sz w:val="28"/>
          <w:szCs w:val="28"/>
        </w:rPr>
        <w:t xml:space="preserve"> броя досъдебни производства при общ брой на прекратените и внесени в съда досъдебни </w:t>
      </w:r>
      <w:r w:rsidRPr="009802BD">
        <w:rPr>
          <w:rFonts w:ascii="Times New Roman" w:eastAsia="Times New Roman" w:hAnsi="Times New Roman"/>
          <w:color w:val="0D0D0D"/>
          <w:sz w:val="28"/>
          <w:szCs w:val="28"/>
        </w:rPr>
        <w:t>производства за отчетната 20</w:t>
      </w:r>
      <w:r w:rsidRPr="009802BD">
        <w:rPr>
          <w:rFonts w:ascii="Times New Roman" w:eastAsia="Times New Roman" w:hAnsi="Times New Roman"/>
          <w:color w:val="0D0D0D"/>
          <w:sz w:val="28"/>
          <w:szCs w:val="28"/>
          <w:lang w:val="en-US"/>
        </w:rPr>
        <w:t>21</w:t>
      </w:r>
      <w:r w:rsidRPr="009802BD">
        <w:rPr>
          <w:rFonts w:ascii="Times New Roman" w:eastAsia="Times New Roman" w:hAnsi="Times New Roman"/>
          <w:color w:val="0D0D0D"/>
          <w:sz w:val="28"/>
          <w:szCs w:val="28"/>
        </w:rPr>
        <w:t xml:space="preserve">г. – </w:t>
      </w:r>
      <w:r w:rsidRPr="009802BD">
        <w:rPr>
          <w:rFonts w:ascii="Times New Roman" w:eastAsia="Times New Roman" w:hAnsi="Times New Roman"/>
          <w:b/>
          <w:color w:val="0D0D0D"/>
          <w:sz w:val="28"/>
          <w:szCs w:val="28"/>
          <w:lang w:val="en-US"/>
        </w:rPr>
        <w:t>9769</w:t>
      </w:r>
      <w:r w:rsidRPr="009802BD">
        <w:rPr>
          <w:rFonts w:ascii="Times New Roman" w:eastAsia="Times New Roman" w:hAnsi="Times New Roman"/>
          <w:color w:val="0D0D0D"/>
          <w:sz w:val="28"/>
          <w:szCs w:val="28"/>
        </w:rPr>
        <w:t xml:space="preserve"> броя,  или </w:t>
      </w:r>
      <w:r w:rsidRPr="009802BD">
        <w:rPr>
          <w:rFonts w:ascii="Times New Roman" w:eastAsia="Times New Roman" w:hAnsi="Times New Roman"/>
          <w:b/>
          <w:color w:val="0D0D0D"/>
          <w:sz w:val="28"/>
          <w:szCs w:val="28"/>
          <w:lang w:val="en-US"/>
        </w:rPr>
        <w:t>53,50</w:t>
      </w:r>
      <w:r w:rsidRPr="009802BD">
        <w:rPr>
          <w:rFonts w:ascii="Times New Roman" w:eastAsia="Times New Roman" w:hAnsi="Times New Roman"/>
          <w:b/>
          <w:color w:val="0D0D0D"/>
          <w:sz w:val="28"/>
          <w:szCs w:val="28"/>
        </w:rPr>
        <w:t>%;</w:t>
      </w:r>
      <w:r w:rsidRPr="009802BD">
        <w:rPr>
          <w:rFonts w:ascii="Times New Roman" w:eastAsia="Times New Roman" w:hAnsi="Times New Roman"/>
          <w:color w:val="0D0D0D"/>
          <w:sz w:val="28"/>
          <w:szCs w:val="28"/>
        </w:rPr>
        <w:t xml:space="preserve"> </w:t>
      </w:r>
    </w:p>
    <w:p w:rsidR="009802BD" w:rsidRPr="009802BD" w:rsidRDefault="009802BD" w:rsidP="004D24A1">
      <w:pPr>
        <w:spacing w:after="0"/>
        <w:ind w:firstLine="709"/>
        <w:jc w:val="both"/>
        <w:rPr>
          <w:rFonts w:ascii="Times New Roman" w:eastAsia="Times New Roman" w:hAnsi="Times New Roman"/>
          <w:sz w:val="28"/>
          <w:szCs w:val="28"/>
        </w:rPr>
      </w:pPr>
      <w:r w:rsidRPr="009802BD">
        <w:rPr>
          <w:rFonts w:ascii="Times New Roman" w:eastAsia="Times New Roman" w:hAnsi="Times New Roman"/>
          <w:sz w:val="28"/>
          <w:szCs w:val="28"/>
        </w:rPr>
        <w:t xml:space="preserve">- с продължителност до една година - </w:t>
      </w:r>
      <w:r w:rsidRPr="009802BD">
        <w:rPr>
          <w:rFonts w:ascii="Times New Roman" w:eastAsia="Times New Roman" w:hAnsi="Times New Roman"/>
          <w:b/>
          <w:sz w:val="28"/>
          <w:szCs w:val="28"/>
          <w:lang w:val="en-US"/>
        </w:rPr>
        <w:t>1894</w:t>
      </w:r>
      <w:r w:rsidRPr="009802BD">
        <w:rPr>
          <w:rFonts w:ascii="Times New Roman" w:eastAsia="Times New Roman" w:hAnsi="Times New Roman"/>
          <w:sz w:val="28"/>
          <w:szCs w:val="28"/>
        </w:rPr>
        <w:t xml:space="preserve"> броя досъдебни произ</w:t>
      </w:r>
      <w:r w:rsidR="00A957DF">
        <w:rPr>
          <w:rFonts w:ascii="Times New Roman" w:eastAsia="Times New Roman" w:hAnsi="Times New Roman"/>
          <w:sz w:val="28"/>
          <w:szCs w:val="28"/>
        </w:rPr>
        <w:t>-</w:t>
      </w:r>
      <w:r w:rsidRPr="009802BD">
        <w:rPr>
          <w:rFonts w:ascii="Times New Roman" w:eastAsia="Times New Roman" w:hAnsi="Times New Roman"/>
          <w:sz w:val="28"/>
          <w:szCs w:val="28"/>
        </w:rPr>
        <w:t>водства при общ брой на прекратените и внесени в съда досъдебни произ</w:t>
      </w:r>
      <w:r w:rsidR="00A957DF">
        <w:rPr>
          <w:rFonts w:ascii="Times New Roman" w:eastAsia="Times New Roman" w:hAnsi="Times New Roman"/>
          <w:sz w:val="28"/>
          <w:szCs w:val="28"/>
        </w:rPr>
        <w:t>-</w:t>
      </w:r>
      <w:r w:rsidRPr="009802BD">
        <w:rPr>
          <w:rFonts w:ascii="Times New Roman" w:eastAsia="Times New Roman" w:hAnsi="Times New Roman"/>
          <w:sz w:val="28"/>
          <w:szCs w:val="28"/>
        </w:rPr>
        <w:t>водства за отчетната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г. –</w:t>
      </w:r>
      <w:r w:rsidRPr="009802BD">
        <w:rPr>
          <w:rFonts w:ascii="Times New Roman" w:eastAsia="Times New Roman" w:hAnsi="Times New Roman"/>
          <w:b/>
          <w:sz w:val="28"/>
          <w:szCs w:val="28"/>
          <w:lang w:val="en-US"/>
        </w:rPr>
        <w:t xml:space="preserve"> 9769</w:t>
      </w:r>
      <w:r w:rsidRPr="009802BD">
        <w:rPr>
          <w:rFonts w:ascii="Times New Roman" w:eastAsia="Times New Roman" w:hAnsi="Times New Roman"/>
          <w:sz w:val="28"/>
          <w:szCs w:val="28"/>
        </w:rPr>
        <w:t xml:space="preserve"> броя / при </w:t>
      </w:r>
      <w:r w:rsidRPr="009802BD">
        <w:rPr>
          <w:rFonts w:ascii="Times New Roman" w:eastAsia="Times New Roman" w:hAnsi="Times New Roman"/>
          <w:sz w:val="28"/>
          <w:szCs w:val="28"/>
          <w:lang w:val="en-US"/>
        </w:rPr>
        <w:t>9056</w:t>
      </w:r>
      <w:r w:rsidRPr="009802BD">
        <w:rPr>
          <w:rFonts w:ascii="Times New Roman" w:eastAsia="Times New Roman" w:hAnsi="Times New Roman"/>
          <w:sz w:val="28"/>
          <w:szCs w:val="28"/>
        </w:rPr>
        <w:t xml:space="preserve"> броя за 20</w:t>
      </w:r>
      <w:r w:rsidRPr="009802BD">
        <w:rPr>
          <w:rFonts w:ascii="Times New Roman" w:eastAsia="Times New Roman" w:hAnsi="Times New Roman"/>
          <w:sz w:val="28"/>
          <w:szCs w:val="28"/>
          <w:lang w:val="en-US"/>
        </w:rPr>
        <w:t>20</w:t>
      </w:r>
      <w:r w:rsidRPr="009802BD">
        <w:rPr>
          <w:rFonts w:ascii="Times New Roman" w:eastAsia="Times New Roman" w:hAnsi="Times New Roman"/>
          <w:sz w:val="28"/>
          <w:szCs w:val="28"/>
        </w:rPr>
        <w:t xml:space="preserve">г. и </w:t>
      </w:r>
      <w:r w:rsidRPr="009802BD">
        <w:rPr>
          <w:rFonts w:ascii="Times New Roman" w:eastAsia="Times New Roman" w:hAnsi="Times New Roman"/>
          <w:color w:val="0D0D0D"/>
          <w:sz w:val="28"/>
          <w:szCs w:val="28"/>
          <w:lang w:val="en-US"/>
        </w:rPr>
        <w:t xml:space="preserve">10415 </w:t>
      </w:r>
      <w:r w:rsidRPr="009802BD">
        <w:rPr>
          <w:rFonts w:ascii="Times New Roman" w:eastAsia="Times New Roman" w:hAnsi="Times New Roman"/>
          <w:color w:val="0D0D0D"/>
          <w:sz w:val="28"/>
          <w:szCs w:val="28"/>
        </w:rPr>
        <w:t>броя за 20</w:t>
      </w:r>
      <w:r w:rsidRPr="009802BD">
        <w:rPr>
          <w:rFonts w:ascii="Times New Roman" w:eastAsia="Times New Roman" w:hAnsi="Times New Roman"/>
          <w:color w:val="0D0D0D"/>
          <w:sz w:val="28"/>
          <w:szCs w:val="28"/>
          <w:lang w:val="en-US"/>
        </w:rPr>
        <w:t xml:space="preserve">19 </w:t>
      </w:r>
      <w:r w:rsidRPr="009802BD">
        <w:rPr>
          <w:rFonts w:ascii="Times New Roman" w:eastAsia="Times New Roman" w:hAnsi="Times New Roman"/>
          <w:color w:val="0D0D0D"/>
          <w:sz w:val="28"/>
          <w:szCs w:val="28"/>
        </w:rPr>
        <w:t xml:space="preserve">г./ или </w:t>
      </w:r>
      <w:r w:rsidRPr="009802BD">
        <w:rPr>
          <w:rFonts w:ascii="Times New Roman" w:eastAsia="Times New Roman" w:hAnsi="Times New Roman"/>
          <w:b/>
          <w:color w:val="0D0D0D"/>
          <w:sz w:val="28"/>
          <w:szCs w:val="28"/>
          <w:lang w:val="en-US"/>
        </w:rPr>
        <w:t>19,39</w:t>
      </w:r>
      <w:r w:rsidRPr="009802BD">
        <w:rPr>
          <w:rFonts w:ascii="Times New Roman" w:eastAsia="Times New Roman" w:hAnsi="Times New Roman"/>
          <w:b/>
          <w:color w:val="0D0D0D"/>
          <w:sz w:val="28"/>
          <w:szCs w:val="28"/>
        </w:rPr>
        <w:t>%</w:t>
      </w:r>
      <w:r w:rsidRPr="009802BD">
        <w:rPr>
          <w:rFonts w:ascii="Times New Roman" w:eastAsia="Times New Roman" w:hAnsi="Times New Roman"/>
          <w:color w:val="0D0D0D"/>
          <w:sz w:val="28"/>
          <w:szCs w:val="28"/>
        </w:rPr>
        <w:t xml:space="preserve"> /при </w:t>
      </w:r>
      <w:r w:rsidRPr="009802BD">
        <w:rPr>
          <w:rFonts w:ascii="Times New Roman" w:eastAsia="Times New Roman" w:hAnsi="Times New Roman"/>
          <w:color w:val="0D0D0D"/>
          <w:sz w:val="28"/>
          <w:szCs w:val="28"/>
          <w:lang w:val="en-US"/>
        </w:rPr>
        <w:t>18,94</w:t>
      </w:r>
      <w:r w:rsidRPr="009802BD">
        <w:rPr>
          <w:rFonts w:ascii="Times New Roman" w:eastAsia="Times New Roman" w:hAnsi="Times New Roman"/>
          <w:color w:val="0D0D0D"/>
          <w:sz w:val="28"/>
          <w:szCs w:val="28"/>
        </w:rPr>
        <w:t>% за 20</w:t>
      </w:r>
      <w:r w:rsidRPr="009802BD">
        <w:rPr>
          <w:rFonts w:ascii="Times New Roman" w:eastAsia="Times New Roman" w:hAnsi="Times New Roman"/>
          <w:color w:val="0D0D0D"/>
          <w:sz w:val="28"/>
          <w:szCs w:val="28"/>
          <w:lang w:val="en-US"/>
        </w:rPr>
        <w:t>20</w:t>
      </w:r>
      <w:r w:rsidRPr="009802BD">
        <w:rPr>
          <w:rFonts w:ascii="Times New Roman" w:eastAsia="Times New Roman" w:hAnsi="Times New Roman"/>
          <w:color w:val="0D0D0D"/>
          <w:sz w:val="28"/>
          <w:szCs w:val="28"/>
        </w:rPr>
        <w:t xml:space="preserve"> г. и </w:t>
      </w:r>
      <w:r w:rsidRPr="009802BD">
        <w:rPr>
          <w:rFonts w:ascii="Times New Roman" w:eastAsia="Times New Roman" w:hAnsi="Times New Roman"/>
          <w:color w:val="0D0D0D"/>
          <w:sz w:val="28"/>
          <w:szCs w:val="28"/>
          <w:lang w:val="en-US"/>
        </w:rPr>
        <w:t>15</w:t>
      </w:r>
      <w:r w:rsidRPr="009802BD">
        <w:rPr>
          <w:rFonts w:ascii="Times New Roman" w:eastAsia="Times New Roman" w:hAnsi="Times New Roman"/>
          <w:color w:val="0D0D0D"/>
          <w:sz w:val="28"/>
          <w:szCs w:val="28"/>
        </w:rPr>
        <w:t>,</w:t>
      </w:r>
      <w:r w:rsidRPr="009802BD">
        <w:rPr>
          <w:rFonts w:ascii="Times New Roman" w:eastAsia="Times New Roman" w:hAnsi="Times New Roman"/>
          <w:color w:val="0D0D0D"/>
          <w:sz w:val="28"/>
          <w:szCs w:val="28"/>
          <w:lang w:val="en-US"/>
        </w:rPr>
        <w:t>23</w:t>
      </w:r>
      <w:r w:rsidRPr="009802BD">
        <w:rPr>
          <w:rFonts w:ascii="Times New Roman" w:eastAsia="Times New Roman" w:hAnsi="Times New Roman"/>
          <w:color w:val="0D0D0D"/>
          <w:sz w:val="28"/>
          <w:szCs w:val="28"/>
        </w:rPr>
        <w:t>% за 20</w:t>
      </w:r>
      <w:r w:rsidRPr="009802BD">
        <w:rPr>
          <w:rFonts w:ascii="Times New Roman" w:eastAsia="Times New Roman" w:hAnsi="Times New Roman"/>
          <w:color w:val="0D0D0D"/>
          <w:sz w:val="28"/>
          <w:szCs w:val="28"/>
          <w:lang w:val="en-US"/>
        </w:rPr>
        <w:t>19</w:t>
      </w:r>
      <w:r w:rsidRPr="009802BD">
        <w:rPr>
          <w:rFonts w:ascii="Times New Roman" w:eastAsia="Times New Roman" w:hAnsi="Times New Roman"/>
          <w:color w:val="0D0D0D"/>
          <w:sz w:val="28"/>
          <w:szCs w:val="28"/>
        </w:rPr>
        <w:t xml:space="preserve"> г./;</w:t>
      </w:r>
    </w:p>
    <w:p w:rsidR="009802BD" w:rsidRPr="009802BD" w:rsidRDefault="009802BD" w:rsidP="004D24A1">
      <w:pPr>
        <w:spacing w:after="0"/>
        <w:ind w:firstLine="709"/>
        <w:jc w:val="both"/>
        <w:rPr>
          <w:rFonts w:ascii="Times New Roman" w:eastAsia="Times New Roman" w:hAnsi="Times New Roman"/>
          <w:sz w:val="28"/>
          <w:szCs w:val="28"/>
        </w:rPr>
      </w:pPr>
      <w:r w:rsidRPr="009802BD">
        <w:rPr>
          <w:rFonts w:ascii="Times New Roman" w:eastAsia="Times New Roman" w:hAnsi="Times New Roman"/>
          <w:sz w:val="28"/>
          <w:szCs w:val="28"/>
        </w:rPr>
        <w:lastRenderedPageBreak/>
        <w:t xml:space="preserve">- с продължителност над една година – </w:t>
      </w:r>
      <w:r w:rsidRPr="009802BD">
        <w:rPr>
          <w:rFonts w:ascii="Times New Roman" w:eastAsia="Times New Roman" w:hAnsi="Times New Roman"/>
          <w:b/>
          <w:sz w:val="28"/>
          <w:szCs w:val="28"/>
          <w:lang w:val="en-US"/>
        </w:rPr>
        <w:t>1615</w:t>
      </w:r>
      <w:r w:rsidRPr="009802BD">
        <w:rPr>
          <w:rFonts w:ascii="Times New Roman" w:eastAsia="Times New Roman" w:hAnsi="Times New Roman"/>
          <w:sz w:val="28"/>
          <w:szCs w:val="28"/>
        </w:rPr>
        <w:t xml:space="preserve"> броя досъдебни производства при общ брой на прекратените и внесени в съда досъдебни производства за отчетната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г. – </w:t>
      </w:r>
      <w:r w:rsidRPr="009802BD">
        <w:rPr>
          <w:rFonts w:ascii="Times New Roman" w:eastAsia="Times New Roman" w:hAnsi="Times New Roman"/>
          <w:b/>
          <w:sz w:val="28"/>
          <w:szCs w:val="28"/>
          <w:lang w:val="en-US"/>
        </w:rPr>
        <w:t>9769</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броя  /при </w:t>
      </w:r>
      <w:r w:rsidRPr="009802BD">
        <w:rPr>
          <w:rFonts w:ascii="Times New Roman" w:eastAsia="Times New Roman" w:hAnsi="Times New Roman"/>
          <w:sz w:val="28"/>
          <w:szCs w:val="28"/>
          <w:lang w:val="en-US"/>
        </w:rPr>
        <w:t>9056</w:t>
      </w:r>
      <w:r w:rsidRPr="009802BD">
        <w:rPr>
          <w:rFonts w:ascii="Times New Roman" w:eastAsia="Times New Roman" w:hAnsi="Times New Roman"/>
          <w:sz w:val="28"/>
          <w:szCs w:val="28"/>
        </w:rPr>
        <w:t xml:space="preserve"> броя за 20</w:t>
      </w:r>
      <w:r w:rsidRPr="009802BD">
        <w:rPr>
          <w:rFonts w:ascii="Times New Roman" w:eastAsia="Times New Roman" w:hAnsi="Times New Roman"/>
          <w:sz w:val="28"/>
          <w:szCs w:val="28"/>
          <w:lang w:val="en-US"/>
        </w:rPr>
        <w:t xml:space="preserve">20 </w:t>
      </w:r>
      <w:r w:rsidRPr="009802BD">
        <w:rPr>
          <w:rFonts w:ascii="Times New Roman" w:eastAsia="Times New Roman" w:hAnsi="Times New Roman"/>
          <w:sz w:val="28"/>
          <w:szCs w:val="28"/>
        </w:rPr>
        <w:t xml:space="preserve">г. и </w:t>
      </w:r>
      <w:r w:rsidRPr="009802BD">
        <w:rPr>
          <w:rFonts w:ascii="Times New Roman" w:eastAsia="Times New Roman" w:hAnsi="Times New Roman"/>
          <w:color w:val="000000"/>
          <w:sz w:val="28"/>
          <w:szCs w:val="28"/>
          <w:lang w:val="en-US"/>
        </w:rPr>
        <w:t>1296</w:t>
      </w:r>
      <w:r w:rsidRPr="009802BD">
        <w:rPr>
          <w:rFonts w:ascii="Times New Roman" w:eastAsia="Times New Roman" w:hAnsi="Times New Roman"/>
          <w:color w:val="000000"/>
          <w:sz w:val="28"/>
          <w:szCs w:val="28"/>
        </w:rPr>
        <w:t xml:space="preserve"> броя за 20</w:t>
      </w:r>
      <w:r w:rsidRPr="009802BD">
        <w:rPr>
          <w:rFonts w:ascii="Times New Roman" w:eastAsia="Times New Roman" w:hAnsi="Times New Roman"/>
          <w:color w:val="000000"/>
          <w:sz w:val="28"/>
          <w:szCs w:val="28"/>
          <w:lang w:val="en-US"/>
        </w:rPr>
        <w:t>19</w:t>
      </w:r>
      <w:r w:rsidR="00AD251E">
        <w:rPr>
          <w:rFonts w:ascii="Times New Roman" w:eastAsia="Times New Roman" w:hAnsi="Times New Roman"/>
          <w:color w:val="000000"/>
          <w:sz w:val="28"/>
          <w:szCs w:val="28"/>
        </w:rPr>
        <w:t xml:space="preserve"> г.</w:t>
      </w:r>
      <w:r w:rsidRPr="009802BD">
        <w:rPr>
          <w:rFonts w:ascii="Times New Roman" w:eastAsia="Times New Roman" w:hAnsi="Times New Roman"/>
          <w:color w:val="000000"/>
          <w:sz w:val="28"/>
          <w:szCs w:val="28"/>
        </w:rPr>
        <w:t xml:space="preserve">/ или </w:t>
      </w:r>
      <w:r w:rsidRPr="009802BD">
        <w:rPr>
          <w:rFonts w:ascii="Times New Roman" w:eastAsia="Times New Roman" w:hAnsi="Times New Roman"/>
          <w:b/>
          <w:color w:val="000000"/>
          <w:sz w:val="28"/>
          <w:szCs w:val="28"/>
          <w:lang w:val="en-US"/>
        </w:rPr>
        <w:t xml:space="preserve">16,53 </w:t>
      </w:r>
      <w:r w:rsidRPr="009802BD">
        <w:rPr>
          <w:rFonts w:ascii="Times New Roman" w:eastAsia="Times New Roman" w:hAnsi="Times New Roman"/>
          <w:b/>
          <w:color w:val="000000"/>
          <w:sz w:val="28"/>
          <w:szCs w:val="28"/>
        </w:rPr>
        <w:t xml:space="preserve">% </w:t>
      </w:r>
      <w:r w:rsidRPr="009802BD">
        <w:rPr>
          <w:rFonts w:ascii="Times New Roman" w:eastAsia="Times New Roman" w:hAnsi="Times New Roman"/>
          <w:color w:val="000000"/>
          <w:sz w:val="28"/>
          <w:szCs w:val="28"/>
        </w:rPr>
        <w:t xml:space="preserve">/при </w:t>
      </w:r>
      <w:r w:rsidRPr="009802BD">
        <w:rPr>
          <w:rFonts w:ascii="Times New Roman" w:eastAsia="Times New Roman" w:hAnsi="Times New Roman"/>
          <w:color w:val="000000"/>
          <w:sz w:val="28"/>
          <w:szCs w:val="28"/>
          <w:lang w:val="en-US"/>
        </w:rPr>
        <w:t>15,17</w:t>
      </w:r>
      <w:r w:rsidRPr="009802BD">
        <w:rPr>
          <w:rFonts w:ascii="Times New Roman" w:eastAsia="Times New Roman" w:hAnsi="Times New Roman"/>
          <w:color w:val="000000"/>
          <w:sz w:val="28"/>
          <w:szCs w:val="28"/>
        </w:rPr>
        <w:t xml:space="preserve"> % за 20</w:t>
      </w:r>
      <w:r w:rsidRPr="009802BD">
        <w:rPr>
          <w:rFonts w:ascii="Times New Roman" w:eastAsia="Times New Roman" w:hAnsi="Times New Roman"/>
          <w:color w:val="000000"/>
          <w:sz w:val="28"/>
          <w:szCs w:val="28"/>
          <w:lang w:val="en-US"/>
        </w:rPr>
        <w:t xml:space="preserve">20 </w:t>
      </w:r>
      <w:r w:rsidRPr="009802BD">
        <w:rPr>
          <w:rFonts w:ascii="Times New Roman" w:eastAsia="Times New Roman" w:hAnsi="Times New Roman"/>
          <w:color w:val="000000"/>
          <w:sz w:val="28"/>
          <w:szCs w:val="28"/>
        </w:rPr>
        <w:t>г.  и 12,</w:t>
      </w:r>
      <w:r w:rsidRPr="009802BD">
        <w:rPr>
          <w:rFonts w:ascii="Times New Roman" w:eastAsia="Times New Roman" w:hAnsi="Times New Roman"/>
          <w:color w:val="000000"/>
          <w:sz w:val="28"/>
          <w:szCs w:val="28"/>
          <w:lang w:val="en-US"/>
        </w:rPr>
        <w:t>44</w:t>
      </w:r>
      <w:r w:rsidRPr="009802BD">
        <w:rPr>
          <w:rFonts w:ascii="Times New Roman" w:eastAsia="Times New Roman" w:hAnsi="Times New Roman"/>
          <w:color w:val="000000"/>
          <w:sz w:val="28"/>
          <w:szCs w:val="28"/>
        </w:rPr>
        <w:t xml:space="preserve"> % за </w:t>
      </w:r>
      <w:r w:rsidR="00AD251E">
        <w:rPr>
          <w:rFonts w:ascii="Times New Roman" w:eastAsia="Times New Roman" w:hAnsi="Times New Roman"/>
          <w:color w:val="000000"/>
          <w:sz w:val="28"/>
          <w:szCs w:val="28"/>
        </w:rPr>
        <w:br/>
      </w:r>
      <w:r w:rsidRPr="009802BD">
        <w:rPr>
          <w:rFonts w:ascii="Times New Roman" w:eastAsia="Times New Roman" w:hAnsi="Times New Roman"/>
          <w:color w:val="000000"/>
          <w:sz w:val="28"/>
          <w:szCs w:val="28"/>
        </w:rPr>
        <w:t>20</w:t>
      </w:r>
      <w:r w:rsidRPr="009802BD">
        <w:rPr>
          <w:rFonts w:ascii="Times New Roman" w:eastAsia="Times New Roman" w:hAnsi="Times New Roman"/>
          <w:color w:val="000000"/>
          <w:sz w:val="28"/>
          <w:szCs w:val="28"/>
          <w:lang w:val="en-US"/>
        </w:rPr>
        <w:t>19</w:t>
      </w:r>
      <w:r w:rsidRPr="009802BD">
        <w:rPr>
          <w:rFonts w:ascii="Times New Roman" w:eastAsia="Times New Roman" w:hAnsi="Times New Roman"/>
          <w:color w:val="000000"/>
          <w:sz w:val="28"/>
          <w:szCs w:val="28"/>
        </w:rPr>
        <w:t xml:space="preserve"> г./;</w:t>
      </w:r>
    </w:p>
    <w:p w:rsidR="009802BD" w:rsidRPr="009802BD" w:rsidRDefault="009802BD" w:rsidP="004D24A1">
      <w:pPr>
        <w:spacing w:after="0"/>
        <w:ind w:firstLine="709"/>
        <w:jc w:val="both"/>
        <w:rPr>
          <w:rFonts w:ascii="Times New Roman" w:eastAsia="Times New Roman" w:hAnsi="Times New Roman"/>
          <w:sz w:val="28"/>
          <w:szCs w:val="28"/>
        </w:rPr>
      </w:pPr>
      <w:r w:rsidRPr="009802BD">
        <w:rPr>
          <w:rFonts w:ascii="Times New Roman" w:eastAsia="Times New Roman" w:hAnsi="Times New Roman"/>
          <w:sz w:val="28"/>
          <w:szCs w:val="28"/>
        </w:rPr>
        <w:t xml:space="preserve">- с продължителност над 2 години – </w:t>
      </w:r>
      <w:r w:rsidRPr="009802BD">
        <w:rPr>
          <w:rFonts w:ascii="Times New Roman" w:eastAsia="Times New Roman" w:hAnsi="Times New Roman"/>
          <w:b/>
          <w:sz w:val="28"/>
          <w:szCs w:val="28"/>
          <w:lang w:val="en-US"/>
        </w:rPr>
        <w:t>1034</w:t>
      </w:r>
      <w:r w:rsidRPr="009802BD">
        <w:rPr>
          <w:rFonts w:ascii="Times New Roman" w:eastAsia="Times New Roman" w:hAnsi="Times New Roman"/>
          <w:sz w:val="28"/>
          <w:szCs w:val="28"/>
        </w:rPr>
        <w:t xml:space="preserve"> броя досъдебни производства при общ брой на прекратените и внесени в съда досъдебни производства за отчетната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 г. –</w:t>
      </w:r>
      <w:r w:rsidRPr="009802BD">
        <w:rPr>
          <w:rFonts w:ascii="Times New Roman" w:eastAsia="Times New Roman" w:hAnsi="Times New Roman"/>
          <w:b/>
          <w:sz w:val="28"/>
          <w:szCs w:val="28"/>
        </w:rPr>
        <w:t xml:space="preserve"> </w:t>
      </w:r>
      <w:r w:rsidRPr="009802BD">
        <w:rPr>
          <w:rFonts w:ascii="Times New Roman" w:eastAsia="Times New Roman" w:hAnsi="Times New Roman"/>
          <w:b/>
          <w:color w:val="0D0D0D"/>
          <w:sz w:val="28"/>
          <w:szCs w:val="28"/>
          <w:lang w:val="en-US"/>
        </w:rPr>
        <w:t>9769</w:t>
      </w:r>
      <w:r w:rsidRPr="009802BD">
        <w:rPr>
          <w:rFonts w:ascii="Times New Roman" w:eastAsia="Times New Roman" w:hAnsi="Times New Roman"/>
          <w:color w:val="0D0D0D"/>
          <w:sz w:val="28"/>
          <w:szCs w:val="28"/>
        </w:rPr>
        <w:t xml:space="preserve"> броя или </w:t>
      </w:r>
      <w:r w:rsidRPr="009802BD">
        <w:rPr>
          <w:rFonts w:ascii="Times New Roman" w:eastAsia="Times New Roman" w:hAnsi="Times New Roman"/>
          <w:b/>
          <w:color w:val="0D0D0D"/>
          <w:sz w:val="28"/>
          <w:szCs w:val="28"/>
          <w:lang w:val="en-US"/>
        </w:rPr>
        <w:t>10,58</w:t>
      </w:r>
      <w:r w:rsidRPr="009802BD">
        <w:rPr>
          <w:rFonts w:ascii="Times New Roman" w:eastAsia="Times New Roman" w:hAnsi="Times New Roman"/>
          <w:b/>
          <w:color w:val="0D0D0D"/>
          <w:sz w:val="28"/>
          <w:szCs w:val="28"/>
        </w:rPr>
        <w:t xml:space="preserve"> %.</w:t>
      </w:r>
    </w:p>
    <w:p w:rsidR="009802BD" w:rsidRPr="009802BD" w:rsidRDefault="009802BD" w:rsidP="004D24A1">
      <w:pPr>
        <w:spacing w:after="0"/>
        <w:ind w:firstLine="709"/>
        <w:jc w:val="both"/>
        <w:rPr>
          <w:rFonts w:ascii="Times New Roman" w:eastAsia="Times New Roman" w:hAnsi="Times New Roman"/>
          <w:sz w:val="28"/>
          <w:szCs w:val="28"/>
        </w:rPr>
      </w:pPr>
    </w:p>
    <w:p w:rsidR="009802BD" w:rsidRPr="009802BD" w:rsidRDefault="009D751D" w:rsidP="004D24A1">
      <w:pPr>
        <w:overflowPunct w:val="0"/>
        <w:autoSpaceDE w:val="0"/>
        <w:autoSpaceDN w:val="0"/>
        <w:adjustRightInd w:val="0"/>
        <w:spacing w:after="0"/>
        <w:jc w:val="both"/>
        <w:textAlignment w:val="baseline"/>
        <w:rPr>
          <w:rFonts w:ascii="Times New Roman" w:eastAsia="Times New Roman" w:hAnsi="Times New Roman"/>
          <w:sz w:val="28"/>
          <w:szCs w:val="28"/>
        </w:rPr>
      </w:pPr>
      <w:bookmarkStart w:id="1" w:name="_MON_1705317102"/>
      <w:bookmarkEnd w:id="1"/>
      <w:r>
        <w:rPr>
          <w:rFonts w:ascii="Times New Roman" w:hAnsi="Times New Roman"/>
          <w:noProof/>
          <w:sz w:val="28"/>
          <w:szCs w:val="28"/>
          <w:lang w:val="en-US"/>
        </w:rPr>
        <w:pict w14:anchorId="6296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9pt;height:252.7pt">
            <v:imagedata r:id="rId21" o:title=""/>
            <o:lock v:ext="edit" aspectratio="f"/>
          </v:shape>
        </w:pict>
      </w:r>
    </w:p>
    <w:p w:rsidR="009802BD" w:rsidRPr="009802BD" w:rsidRDefault="009802BD" w:rsidP="004D24A1">
      <w:pPr>
        <w:tabs>
          <w:tab w:val="left" w:pos="993"/>
        </w:tabs>
        <w:spacing w:after="0"/>
        <w:jc w:val="both"/>
        <w:rPr>
          <w:rFonts w:ascii="Times New Roman" w:eastAsia="Times New Roman" w:hAnsi="Times New Roman"/>
          <w:sz w:val="28"/>
          <w:szCs w:val="28"/>
        </w:rPr>
      </w:pPr>
    </w:p>
    <w:p w:rsidR="009802BD" w:rsidRPr="009802BD" w:rsidRDefault="009802BD" w:rsidP="004D24A1">
      <w:pPr>
        <w:tabs>
          <w:tab w:val="left" w:pos="993"/>
        </w:tabs>
        <w:spacing w:after="0"/>
        <w:ind w:firstLine="992"/>
        <w:jc w:val="both"/>
        <w:rPr>
          <w:rFonts w:ascii="Times New Roman" w:hAnsi="Times New Roman"/>
          <w:sz w:val="28"/>
          <w:szCs w:val="28"/>
        </w:rPr>
      </w:pPr>
      <w:r w:rsidRPr="009802BD">
        <w:rPr>
          <w:rFonts w:ascii="Times New Roman" w:eastAsia="Times New Roman" w:hAnsi="Times New Roman"/>
          <w:sz w:val="28"/>
          <w:szCs w:val="28"/>
          <w:lang w:eastAsia="bg-BG"/>
        </w:rPr>
        <w:t>За увеличаване процента на делата, чието разследване се провежда в срок е създадена организация относно контрол върху срочността на разследването, а именно:</w:t>
      </w:r>
    </w:p>
    <w:p w:rsidR="009802BD" w:rsidRPr="009802BD" w:rsidRDefault="009802BD" w:rsidP="004D24A1">
      <w:pPr>
        <w:tabs>
          <w:tab w:val="left" w:pos="993"/>
        </w:tabs>
        <w:spacing w:after="0"/>
        <w:ind w:firstLine="992"/>
        <w:jc w:val="both"/>
        <w:rPr>
          <w:rFonts w:ascii="Times New Roman" w:hAnsi="Times New Roman"/>
          <w:sz w:val="28"/>
          <w:szCs w:val="28"/>
        </w:rPr>
      </w:pPr>
      <w:r w:rsidRPr="009802BD">
        <w:rPr>
          <w:rFonts w:ascii="Times New Roman" w:eastAsia="Times New Roman" w:hAnsi="Times New Roman"/>
          <w:sz w:val="28"/>
          <w:szCs w:val="28"/>
          <w:lang w:eastAsia="bg-BG"/>
        </w:rPr>
        <w:t xml:space="preserve">-  в СГП </w:t>
      </w:r>
      <w:r w:rsidRPr="009802BD">
        <w:rPr>
          <w:rFonts w:ascii="Times New Roman" w:hAnsi="Times New Roman"/>
          <w:sz w:val="28"/>
          <w:szCs w:val="28"/>
        </w:rPr>
        <w:t>Завеждащ служба „УИС“  веднъж седмично изготвя справка от унифицираната информационна система за досъдебните производства, наблюдавани от Софийска градска прокуратура, по които срока на разследване изтича след 10 календарни дни, които се докладват на наблюдаващите прокурори за предприемане на следващите се действия, съобразно НПК;</w:t>
      </w:r>
    </w:p>
    <w:p w:rsidR="009802BD" w:rsidRPr="009802BD" w:rsidRDefault="009802BD" w:rsidP="004D24A1">
      <w:pPr>
        <w:spacing w:after="0"/>
        <w:ind w:firstLine="992"/>
        <w:jc w:val="both"/>
        <w:rPr>
          <w:rFonts w:ascii="Times New Roman" w:eastAsia="Times New Roman" w:hAnsi="Times New Roman"/>
          <w:sz w:val="28"/>
          <w:szCs w:val="28"/>
          <w:lang w:eastAsia="bg-BG"/>
        </w:rPr>
      </w:pPr>
      <w:r w:rsidRPr="009802BD">
        <w:rPr>
          <w:rFonts w:ascii="Times New Roman" w:eastAsia="Times New Roman" w:hAnsi="Times New Roman"/>
          <w:sz w:val="28"/>
          <w:szCs w:val="28"/>
          <w:lang w:eastAsia="bg-BG"/>
        </w:rPr>
        <w:t xml:space="preserve">- в СРП е създадена и наложена организация за ежеседмично изпращане на вниманието на наблюдаващите прокурори и на ръководителите на ведомства, на които са възложени разследванията, справка  за дела, по които предстои изтичането на срока на разследване. </w:t>
      </w:r>
    </w:p>
    <w:p w:rsidR="009802BD" w:rsidRDefault="009802BD" w:rsidP="004D24A1">
      <w:pPr>
        <w:spacing w:after="0"/>
        <w:ind w:firstLine="992"/>
        <w:jc w:val="both"/>
        <w:rPr>
          <w:rFonts w:ascii="Times New Roman" w:eastAsia="Times New Roman" w:hAnsi="Times New Roman"/>
          <w:sz w:val="28"/>
          <w:szCs w:val="28"/>
          <w:lang w:eastAsia="bg-BG"/>
        </w:rPr>
      </w:pPr>
    </w:p>
    <w:p w:rsidR="00AD251E" w:rsidRDefault="00AD251E" w:rsidP="004D24A1">
      <w:pPr>
        <w:spacing w:after="0"/>
        <w:ind w:firstLine="992"/>
        <w:jc w:val="both"/>
        <w:rPr>
          <w:rFonts w:ascii="Times New Roman" w:eastAsia="Times New Roman" w:hAnsi="Times New Roman"/>
          <w:sz w:val="28"/>
          <w:szCs w:val="28"/>
          <w:lang w:eastAsia="bg-BG"/>
        </w:rPr>
      </w:pP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lastRenderedPageBreak/>
        <w:t>2.3. Решени досъдебни производства от прокурор. Видове решения.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 г. прокурорите при Софийска градска прокуратура и Софийска районна прокуратура са решили </w:t>
      </w:r>
      <w:r w:rsidRPr="009802BD">
        <w:rPr>
          <w:rFonts w:ascii="Times New Roman" w:eastAsia="Times New Roman" w:hAnsi="Times New Roman"/>
          <w:b/>
          <w:sz w:val="28"/>
          <w:szCs w:val="28"/>
          <w:lang w:val="en-US"/>
        </w:rPr>
        <w:t>45894</w:t>
      </w:r>
      <w:r w:rsidRPr="009802BD">
        <w:rPr>
          <w:rFonts w:ascii="Times New Roman" w:eastAsia="Times New Roman" w:hAnsi="Times New Roman"/>
          <w:sz w:val="28"/>
          <w:szCs w:val="28"/>
        </w:rPr>
        <w:t xml:space="preserve"> броя досъдебни производства, от които за СГП – </w:t>
      </w:r>
      <w:r w:rsidRPr="009802BD">
        <w:rPr>
          <w:rFonts w:ascii="Times New Roman" w:eastAsia="Times New Roman" w:hAnsi="Times New Roman"/>
          <w:b/>
          <w:sz w:val="28"/>
          <w:szCs w:val="28"/>
        </w:rPr>
        <w:t>25</w:t>
      </w:r>
      <w:r w:rsidRPr="009802BD">
        <w:rPr>
          <w:rFonts w:ascii="Times New Roman" w:eastAsia="Times New Roman" w:hAnsi="Times New Roman"/>
          <w:b/>
          <w:sz w:val="28"/>
          <w:szCs w:val="28"/>
          <w:lang w:val="en-US"/>
        </w:rPr>
        <w:t>44</w:t>
      </w:r>
      <w:r w:rsidRPr="009802BD">
        <w:rPr>
          <w:rFonts w:ascii="Times New Roman" w:eastAsia="Times New Roman" w:hAnsi="Times New Roman"/>
          <w:sz w:val="28"/>
          <w:szCs w:val="28"/>
        </w:rPr>
        <w:t xml:space="preserve"> броя, а за СРП -</w:t>
      </w:r>
      <w:r w:rsidRPr="009802BD">
        <w:rPr>
          <w:rFonts w:ascii="Times New Roman" w:eastAsia="Times New Roman" w:hAnsi="Times New Roman"/>
          <w:sz w:val="28"/>
          <w:szCs w:val="28"/>
          <w:lang w:val="en-US"/>
        </w:rPr>
        <w:t xml:space="preserve"> </w:t>
      </w:r>
      <w:r w:rsidRPr="009802BD">
        <w:rPr>
          <w:rFonts w:ascii="Times New Roman" w:eastAsia="Times New Roman" w:hAnsi="Times New Roman"/>
          <w:b/>
          <w:sz w:val="28"/>
          <w:szCs w:val="28"/>
          <w:lang w:val="en-US"/>
        </w:rPr>
        <w:t>43350</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b/>
          <w:color w:val="0D0D0D"/>
          <w:sz w:val="28"/>
          <w:szCs w:val="28"/>
        </w:rPr>
      </w:pPr>
      <w:r w:rsidRPr="009802BD">
        <w:rPr>
          <w:rFonts w:ascii="Times New Roman" w:eastAsia="Times New Roman" w:hAnsi="Times New Roman"/>
          <w:color w:val="0D0D0D"/>
          <w:sz w:val="28"/>
          <w:szCs w:val="28"/>
        </w:rPr>
        <w:t>Решените производства спрямо наблюдаваните /включително и прекратените по давност-</w:t>
      </w:r>
      <w:r w:rsidRPr="009802BD">
        <w:rPr>
          <w:rFonts w:ascii="Times New Roman" w:eastAsia="Times New Roman" w:hAnsi="Times New Roman"/>
          <w:b/>
          <w:color w:val="0D0D0D"/>
          <w:sz w:val="28"/>
          <w:szCs w:val="28"/>
          <w:lang w:val="en-US"/>
        </w:rPr>
        <w:t xml:space="preserve"> 60732</w:t>
      </w:r>
      <w:r w:rsidRPr="009802BD">
        <w:rPr>
          <w:rFonts w:ascii="Times New Roman" w:eastAsia="Times New Roman" w:hAnsi="Times New Roman"/>
          <w:color w:val="0D0D0D"/>
          <w:sz w:val="28"/>
          <w:szCs w:val="28"/>
        </w:rPr>
        <w:t xml:space="preserve"> бр. / представляват дял от </w:t>
      </w:r>
      <w:r w:rsidRPr="009802BD">
        <w:rPr>
          <w:rFonts w:ascii="Times New Roman" w:eastAsia="Times New Roman" w:hAnsi="Times New Roman"/>
          <w:b/>
          <w:color w:val="0D0D0D"/>
          <w:sz w:val="28"/>
          <w:szCs w:val="28"/>
          <w:lang w:val="en-US"/>
        </w:rPr>
        <w:t>75,57</w:t>
      </w:r>
      <w:r w:rsidRPr="009802BD">
        <w:rPr>
          <w:rFonts w:ascii="Times New Roman" w:eastAsia="Times New Roman" w:hAnsi="Times New Roman"/>
          <w:color w:val="0D0D0D"/>
          <w:sz w:val="28"/>
          <w:szCs w:val="28"/>
        </w:rPr>
        <w:t xml:space="preserve"> %.</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В края на отчетния период нерешени от прокурор са </w:t>
      </w:r>
      <w:r w:rsidRPr="009802BD">
        <w:rPr>
          <w:rFonts w:ascii="Times New Roman" w:eastAsia="Times New Roman" w:hAnsi="Times New Roman"/>
          <w:b/>
          <w:sz w:val="28"/>
          <w:szCs w:val="28"/>
        </w:rPr>
        <w:t>8</w:t>
      </w:r>
      <w:r w:rsidRPr="009802BD">
        <w:rPr>
          <w:rFonts w:ascii="Times New Roman" w:eastAsia="Times New Roman" w:hAnsi="Times New Roman"/>
          <w:b/>
          <w:sz w:val="28"/>
          <w:szCs w:val="28"/>
          <w:lang w:val="en-US"/>
        </w:rPr>
        <w:t>77</w:t>
      </w:r>
      <w:r w:rsidRPr="009802BD">
        <w:rPr>
          <w:rFonts w:ascii="Times New Roman" w:eastAsia="Times New Roman" w:hAnsi="Times New Roman"/>
          <w:sz w:val="28"/>
          <w:szCs w:val="28"/>
        </w:rPr>
        <w:t xml:space="preserve"> броя досъдебни производства /от които 1</w:t>
      </w:r>
      <w:r w:rsidRPr="009802BD">
        <w:rPr>
          <w:rFonts w:ascii="Times New Roman" w:eastAsia="Times New Roman" w:hAnsi="Times New Roman"/>
          <w:sz w:val="28"/>
          <w:szCs w:val="28"/>
          <w:lang w:val="en-US"/>
        </w:rPr>
        <w:t>53</w:t>
      </w:r>
      <w:r w:rsidRPr="009802BD">
        <w:rPr>
          <w:rFonts w:ascii="Times New Roman" w:eastAsia="Times New Roman" w:hAnsi="Times New Roman"/>
          <w:sz w:val="28"/>
          <w:szCs w:val="28"/>
        </w:rPr>
        <w:t xml:space="preserve"> броя в СГП и 72</w:t>
      </w:r>
      <w:r w:rsidRPr="009802BD">
        <w:rPr>
          <w:rFonts w:ascii="Times New Roman" w:eastAsia="Times New Roman" w:hAnsi="Times New Roman"/>
          <w:sz w:val="28"/>
          <w:szCs w:val="28"/>
          <w:lang w:val="en-US"/>
        </w:rPr>
        <w:t>4</w:t>
      </w:r>
      <w:r w:rsidRPr="009802BD">
        <w:rPr>
          <w:rFonts w:ascii="Times New Roman" w:eastAsia="Times New Roman" w:hAnsi="Times New Roman"/>
          <w:sz w:val="28"/>
          <w:szCs w:val="28"/>
        </w:rPr>
        <w:t xml:space="preserve"> броя в СРП/. </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От общия брой нерешени досъдебни производства срочността е както следва:</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нерешените досъдебни производства до 1 месец – </w:t>
      </w:r>
      <w:r w:rsidRPr="009802BD">
        <w:rPr>
          <w:rFonts w:ascii="Times New Roman" w:eastAsia="Times New Roman" w:hAnsi="Times New Roman"/>
          <w:b/>
          <w:sz w:val="28"/>
          <w:szCs w:val="28"/>
        </w:rPr>
        <w:t>7</w:t>
      </w:r>
      <w:r w:rsidRPr="009802BD">
        <w:rPr>
          <w:rFonts w:ascii="Times New Roman" w:eastAsia="Times New Roman" w:hAnsi="Times New Roman"/>
          <w:b/>
          <w:sz w:val="28"/>
          <w:szCs w:val="28"/>
          <w:lang w:val="en-US"/>
        </w:rPr>
        <w:t>87</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нерешените досъдебни производства над 1 месец, без удължаване на срока от административния ръководител на съответната прокуратура или оправомощен от него прокурор – </w:t>
      </w:r>
      <w:r w:rsidRPr="009802BD">
        <w:rPr>
          <w:rFonts w:ascii="Times New Roman" w:eastAsia="Times New Roman" w:hAnsi="Times New Roman"/>
          <w:b/>
          <w:sz w:val="28"/>
          <w:szCs w:val="28"/>
        </w:rPr>
        <w:t>3</w:t>
      </w:r>
      <w:r w:rsidRPr="009802BD">
        <w:rPr>
          <w:rFonts w:ascii="Times New Roman" w:eastAsia="Times New Roman" w:hAnsi="Times New Roman"/>
          <w:b/>
          <w:sz w:val="28"/>
          <w:szCs w:val="28"/>
          <w:lang w:val="en-US"/>
        </w:rPr>
        <w:t>1</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нерешените досъдебни производства до 2 месеца, с удължен срок от административния ръководител на съответната прокуратура или оправомощен от него прокурор – </w:t>
      </w:r>
      <w:r w:rsidRPr="009802BD">
        <w:rPr>
          <w:rFonts w:ascii="Times New Roman" w:eastAsia="Times New Roman" w:hAnsi="Times New Roman"/>
          <w:b/>
          <w:sz w:val="28"/>
          <w:szCs w:val="28"/>
          <w:lang w:val="en-US"/>
        </w:rPr>
        <w:t>35</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нерешените досъдебни производства над 2 месеца – </w:t>
      </w:r>
      <w:r w:rsidRPr="009802BD">
        <w:rPr>
          <w:rFonts w:ascii="Times New Roman" w:eastAsia="Times New Roman" w:hAnsi="Times New Roman"/>
          <w:b/>
          <w:sz w:val="28"/>
          <w:szCs w:val="28"/>
          <w:lang w:val="en-US"/>
        </w:rPr>
        <w:t>24</w:t>
      </w:r>
      <w:r w:rsidR="00AD251E">
        <w:rPr>
          <w:rFonts w:ascii="Times New Roman" w:eastAsia="Times New Roman" w:hAnsi="Times New Roman"/>
          <w:b/>
          <w:sz w:val="28"/>
          <w:szCs w:val="28"/>
          <w:lang w:val="en-US"/>
        </w:rPr>
        <w:t xml:space="preserve"> </w:t>
      </w:r>
      <w:r w:rsidR="00AD251E" w:rsidRPr="009802BD">
        <w:rPr>
          <w:rFonts w:ascii="Times New Roman" w:eastAsia="Times New Roman" w:hAnsi="Times New Roman"/>
          <w:sz w:val="28"/>
          <w:szCs w:val="28"/>
        </w:rPr>
        <w:t>броя</w:t>
      </w:r>
      <w:r w:rsidRPr="009802BD">
        <w:rPr>
          <w:rFonts w:ascii="Times New Roman" w:eastAsia="Times New Roman" w:hAnsi="Times New Roman"/>
          <w:sz w:val="28"/>
          <w:szCs w:val="28"/>
        </w:rPr>
        <w:t>.</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От решените през отчетния период /</w:t>
      </w:r>
      <w:r w:rsidRPr="009802BD">
        <w:rPr>
          <w:rFonts w:ascii="Times New Roman" w:eastAsia="Times New Roman" w:hAnsi="Times New Roman"/>
          <w:b/>
          <w:sz w:val="28"/>
          <w:szCs w:val="28"/>
          <w:lang w:val="en-US"/>
        </w:rPr>
        <w:t>45894</w:t>
      </w:r>
      <w:r w:rsidRPr="009802BD">
        <w:rPr>
          <w:rFonts w:ascii="Times New Roman" w:eastAsia="Times New Roman" w:hAnsi="Times New Roman"/>
          <w:sz w:val="28"/>
          <w:szCs w:val="28"/>
        </w:rPr>
        <w:t xml:space="preserve"> бр./ досъдебни производства  срочността е както следва:</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решените досъдебни производства до 1 месец – </w:t>
      </w:r>
      <w:r w:rsidRPr="009802BD">
        <w:rPr>
          <w:rFonts w:ascii="Times New Roman" w:eastAsia="Times New Roman" w:hAnsi="Times New Roman"/>
          <w:b/>
          <w:sz w:val="28"/>
          <w:szCs w:val="28"/>
          <w:lang w:val="en-US"/>
        </w:rPr>
        <w:t>45362</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решените досъдебни производства над 1 месец, без удължаване на срока от административния ръководител на съответната прокуратура или оправомощен от него прокурор – </w:t>
      </w:r>
      <w:r w:rsidRPr="009802BD">
        <w:rPr>
          <w:rFonts w:ascii="Times New Roman" w:eastAsia="Times New Roman" w:hAnsi="Times New Roman"/>
          <w:b/>
          <w:sz w:val="28"/>
          <w:szCs w:val="28"/>
        </w:rPr>
        <w:t>1</w:t>
      </w:r>
      <w:r w:rsidRPr="009802BD">
        <w:rPr>
          <w:rFonts w:ascii="Times New Roman" w:eastAsia="Times New Roman" w:hAnsi="Times New Roman"/>
          <w:b/>
          <w:sz w:val="28"/>
          <w:szCs w:val="28"/>
          <w:lang w:val="en-US"/>
        </w:rPr>
        <w:t>46</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решените досъдебни производства до 2 месеца, с удължен срок от административния ръководител на съответната прокуратура или оправомощен от него прокурор – </w:t>
      </w:r>
      <w:r w:rsidRPr="009802BD">
        <w:rPr>
          <w:rFonts w:ascii="Times New Roman" w:eastAsia="Times New Roman" w:hAnsi="Times New Roman"/>
          <w:b/>
          <w:sz w:val="28"/>
          <w:szCs w:val="28"/>
        </w:rPr>
        <w:t>2</w:t>
      </w:r>
      <w:r w:rsidRPr="009802BD">
        <w:rPr>
          <w:rFonts w:ascii="Times New Roman" w:eastAsia="Times New Roman" w:hAnsi="Times New Roman"/>
          <w:b/>
          <w:sz w:val="28"/>
          <w:szCs w:val="28"/>
          <w:lang w:val="en-US"/>
        </w:rPr>
        <w:t>81</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992"/>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 срочност на решените досъдебни производства над 2 месеца – </w:t>
      </w:r>
      <w:r w:rsidRPr="009802BD">
        <w:rPr>
          <w:rFonts w:ascii="Times New Roman" w:eastAsia="Times New Roman" w:hAnsi="Times New Roman"/>
          <w:b/>
          <w:sz w:val="28"/>
          <w:szCs w:val="28"/>
          <w:lang w:val="en-US"/>
        </w:rPr>
        <w:t>105</w:t>
      </w:r>
      <w:r w:rsidRPr="009802BD">
        <w:rPr>
          <w:rFonts w:ascii="Times New Roman" w:eastAsia="Times New Roman" w:hAnsi="Times New Roman"/>
          <w:sz w:val="28"/>
          <w:szCs w:val="28"/>
        </w:rPr>
        <w:t xml:space="preserve"> броя.</w:t>
      </w:r>
    </w:p>
    <w:p w:rsidR="00CE5EAD" w:rsidRPr="00483CFE" w:rsidRDefault="00CE5EAD" w:rsidP="00CE5EAD">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CE5EAD" w:rsidRPr="00483CFE" w:rsidRDefault="00CE5EAD" w:rsidP="00CE5EAD">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483CFE">
        <w:rPr>
          <w:rFonts w:ascii="Times New Roman" w:hAnsi="Times New Roman"/>
          <w:noProof/>
          <w:color w:val="FF0000"/>
          <w:sz w:val="28"/>
          <w:szCs w:val="28"/>
          <w:lang w:eastAsia="bg-BG"/>
        </w:rPr>
        <w:lastRenderedPageBreak/>
        <w:drawing>
          <wp:inline distT="0" distB="0" distL="0" distR="0" wp14:anchorId="0D1435FE" wp14:editId="3610C700">
            <wp:extent cx="5188585" cy="3232150"/>
            <wp:effectExtent l="0" t="0" r="12065" b="6350"/>
            <wp:docPr id="152"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5EAD" w:rsidRPr="00483CFE" w:rsidRDefault="00CE5EAD" w:rsidP="00CE5EAD">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A957DF" w:rsidRDefault="00A957DF"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ВИДОВЕ РЕШЕНИЯ</w:t>
      </w:r>
    </w:p>
    <w:p w:rsidR="00A957DF" w:rsidRDefault="00A957DF"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Внесени в съда досъдебни производства.</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от прокурорите при Софийска градска прокуратура и Софийска районна прокуратура са внесени в съда </w:t>
      </w:r>
      <w:r w:rsidRPr="009802BD">
        <w:rPr>
          <w:rFonts w:ascii="Times New Roman" w:eastAsia="Times New Roman" w:hAnsi="Times New Roman"/>
          <w:b/>
          <w:sz w:val="28"/>
          <w:szCs w:val="28"/>
          <w:lang w:val="en-US"/>
        </w:rPr>
        <w:t>3146</w:t>
      </w:r>
      <w:r w:rsidRPr="009802BD">
        <w:rPr>
          <w:rFonts w:ascii="Times New Roman" w:eastAsia="Times New Roman" w:hAnsi="Times New Roman"/>
          <w:sz w:val="28"/>
          <w:szCs w:val="28"/>
        </w:rPr>
        <w:t xml:space="preserve"> броя прокурорски актове по </w:t>
      </w:r>
      <w:r w:rsidRPr="009802BD">
        <w:rPr>
          <w:rFonts w:ascii="Times New Roman" w:eastAsia="Times New Roman" w:hAnsi="Times New Roman"/>
          <w:b/>
          <w:sz w:val="28"/>
          <w:szCs w:val="28"/>
          <w:lang w:val="en-US"/>
        </w:rPr>
        <w:t>3125</w:t>
      </w:r>
      <w:r w:rsidRPr="009802BD">
        <w:rPr>
          <w:rFonts w:ascii="Times New Roman" w:eastAsia="Times New Roman" w:hAnsi="Times New Roman"/>
          <w:sz w:val="28"/>
          <w:szCs w:val="28"/>
        </w:rPr>
        <w:t xml:space="preserve"> броя досъдебни производства срещу </w:t>
      </w:r>
      <w:r w:rsidRPr="009802BD">
        <w:rPr>
          <w:rFonts w:ascii="Times New Roman" w:eastAsia="Times New Roman" w:hAnsi="Times New Roman"/>
          <w:b/>
          <w:sz w:val="28"/>
          <w:szCs w:val="28"/>
          <w:lang w:val="en-US"/>
        </w:rPr>
        <w:t>3378</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За сравнение -</w:t>
      </w:r>
      <w:r w:rsidRPr="009802BD">
        <w:rPr>
          <w:rFonts w:ascii="Times New Roman" w:hAnsi="Times New Roman"/>
          <w:sz w:val="28"/>
          <w:szCs w:val="28"/>
        </w:rPr>
        <w:t xml:space="preserve"> </w:t>
      </w:r>
      <w:r w:rsidRPr="009802BD">
        <w:rPr>
          <w:rFonts w:ascii="Times New Roman" w:eastAsia="Times New Roman" w:hAnsi="Times New Roman"/>
          <w:sz w:val="28"/>
          <w:szCs w:val="28"/>
        </w:rPr>
        <w:t>внесените през 20</w:t>
      </w:r>
      <w:r w:rsidRPr="009802BD">
        <w:rPr>
          <w:rFonts w:ascii="Times New Roman" w:eastAsia="Times New Roman" w:hAnsi="Times New Roman"/>
          <w:sz w:val="28"/>
          <w:szCs w:val="28"/>
          <w:lang w:val="en-US"/>
        </w:rPr>
        <w:t>20</w:t>
      </w:r>
      <w:r w:rsidRPr="009802BD">
        <w:rPr>
          <w:rFonts w:ascii="Times New Roman" w:eastAsia="Times New Roman" w:hAnsi="Times New Roman"/>
          <w:sz w:val="28"/>
          <w:szCs w:val="28"/>
        </w:rPr>
        <w:t xml:space="preserve"> г. в съда прокурорски актове са </w:t>
      </w:r>
      <w:r w:rsidRPr="009802BD">
        <w:rPr>
          <w:rFonts w:ascii="Times New Roman" w:eastAsia="Times New Roman" w:hAnsi="Times New Roman"/>
          <w:b/>
          <w:sz w:val="28"/>
          <w:szCs w:val="28"/>
          <w:lang w:val="en-US"/>
        </w:rPr>
        <w:t>2817</w:t>
      </w:r>
      <w:r w:rsidRPr="009802BD">
        <w:rPr>
          <w:rFonts w:ascii="Times New Roman" w:eastAsia="Times New Roman" w:hAnsi="Times New Roman"/>
          <w:sz w:val="28"/>
          <w:szCs w:val="28"/>
        </w:rPr>
        <w:t xml:space="preserve"> по </w:t>
      </w:r>
      <w:r w:rsidRPr="009802BD">
        <w:rPr>
          <w:rFonts w:ascii="Times New Roman" w:eastAsia="Times New Roman" w:hAnsi="Times New Roman"/>
          <w:b/>
          <w:sz w:val="28"/>
          <w:szCs w:val="28"/>
          <w:lang w:val="en-US"/>
        </w:rPr>
        <w:t>2811</w:t>
      </w:r>
      <w:r w:rsidRPr="009802BD">
        <w:rPr>
          <w:rFonts w:ascii="Times New Roman" w:eastAsia="Times New Roman" w:hAnsi="Times New Roman"/>
          <w:sz w:val="28"/>
          <w:szCs w:val="28"/>
        </w:rPr>
        <w:t xml:space="preserve"> ДП срещу </w:t>
      </w:r>
      <w:r w:rsidRPr="009802BD">
        <w:rPr>
          <w:rFonts w:ascii="Times New Roman" w:eastAsia="Times New Roman" w:hAnsi="Times New Roman"/>
          <w:b/>
          <w:sz w:val="28"/>
          <w:szCs w:val="28"/>
          <w:lang w:val="en-US"/>
        </w:rPr>
        <w:t>3025</w:t>
      </w:r>
      <w:r w:rsidRPr="009802BD">
        <w:rPr>
          <w:rFonts w:ascii="Times New Roman" w:eastAsia="Times New Roman" w:hAnsi="Times New Roman"/>
          <w:sz w:val="28"/>
          <w:szCs w:val="28"/>
        </w:rPr>
        <w:t xml:space="preserve"> лица, а  внесените през 20</w:t>
      </w:r>
      <w:r w:rsidRPr="009802BD">
        <w:rPr>
          <w:rFonts w:ascii="Times New Roman" w:eastAsia="Times New Roman" w:hAnsi="Times New Roman"/>
          <w:sz w:val="28"/>
          <w:szCs w:val="28"/>
          <w:lang w:val="en-US"/>
        </w:rPr>
        <w:t>19</w:t>
      </w:r>
      <w:r w:rsidRPr="009802BD">
        <w:rPr>
          <w:rFonts w:ascii="Times New Roman" w:eastAsia="Times New Roman" w:hAnsi="Times New Roman"/>
          <w:sz w:val="28"/>
          <w:szCs w:val="28"/>
        </w:rPr>
        <w:t xml:space="preserve"> г. прокурорски актове са </w:t>
      </w:r>
      <w:r w:rsidRPr="009802BD">
        <w:rPr>
          <w:rFonts w:ascii="Times New Roman" w:eastAsia="Times New Roman" w:hAnsi="Times New Roman"/>
          <w:b/>
          <w:sz w:val="28"/>
          <w:szCs w:val="28"/>
          <w:lang w:val="en-US"/>
        </w:rPr>
        <w:t>3303</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по </w:t>
      </w:r>
      <w:r w:rsidRPr="009802BD">
        <w:rPr>
          <w:rFonts w:ascii="Times New Roman" w:eastAsia="Times New Roman" w:hAnsi="Times New Roman"/>
          <w:b/>
          <w:sz w:val="28"/>
          <w:szCs w:val="28"/>
        </w:rPr>
        <w:t>3</w:t>
      </w:r>
      <w:r w:rsidRPr="009802BD">
        <w:rPr>
          <w:rFonts w:ascii="Times New Roman" w:eastAsia="Times New Roman" w:hAnsi="Times New Roman"/>
          <w:b/>
          <w:sz w:val="28"/>
          <w:szCs w:val="28"/>
          <w:lang w:val="en-US"/>
        </w:rPr>
        <w:t>303</w:t>
      </w:r>
      <w:r w:rsidRPr="009802BD">
        <w:rPr>
          <w:rFonts w:ascii="Times New Roman" w:eastAsia="Times New Roman" w:hAnsi="Times New Roman"/>
          <w:sz w:val="28"/>
          <w:szCs w:val="28"/>
        </w:rPr>
        <w:t xml:space="preserve"> ДП срещу </w:t>
      </w:r>
      <w:r w:rsidRPr="009802BD">
        <w:rPr>
          <w:rFonts w:ascii="Times New Roman" w:eastAsia="Times New Roman" w:hAnsi="Times New Roman"/>
          <w:b/>
          <w:sz w:val="28"/>
          <w:szCs w:val="28"/>
          <w:lang w:val="en-US"/>
        </w:rPr>
        <w:t>3596</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Внесените в съда досъдебни производства съставляват дял от </w:t>
      </w:r>
      <w:r w:rsidRPr="009802BD">
        <w:rPr>
          <w:rFonts w:ascii="Times New Roman" w:eastAsia="Times New Roman" w:hAnsi="Times New Roman"/>
          <w:b/>
          <w:sz w:val="28"/>
          <w:szCs w:val="28"/>
        </w:rPr>
        <w:t>14,</w:t>
      </w:r>
      <w:r w:rsidRPr="009802BD">
        <w:rPr>
          <w:rFonts w:ascii="Times New Roman" w:eastAsia="Times New Roman" w:hAnsi="Times New Roman"/>
          <w:b/>
          <w:sz w:val="28"/>
          <w:szCs w:val="28"/>
          <w:lang w:val="en-US"/>
        </w:rPr>
        <w:t>35</w:t>
      </w:r>
      <w:r w:rsidRPr="009802BD">
        <w:rPr>
          <w:rFonts w:ascii="Times New Roman" w:eastAsia="Times New Roman" w:hAnsi="Times New Roman"/>
          <w:sz w:val="28"/>
          <w:szCs w:val="28"/>
        </w:rPr>
        <w:t xml:space="preserve"> % от общия брой приключени досъдебни производства /</w:t>
      </w:r>
      <w:r w:rsidRPr="009802BD">
        <w:rPr>
          <w:rFonts w:ascii="Times New Roman" w:eastAsia="Times New Roman" w:hAnsi="Times New Roman"/>
          <w:sz w:val="28"/>
          <w:szCs w:val="28"/>
          <w:lang w:val="en-US"/>
        </w:rPr>
        <w:t>21778</w:t>
      </w:r>
      <w:r w:rsidRPr="009802BD">
        <w:rPr>
          <w:rFonts w:ascii="Times New Roman" w:eastAsia="Times New Roman" w:hAnsi="Times New Roman"/>
          <w:sz w:val="28"/>
          <w:szCs w:val="28"/>
        </w:rPr>
        <w:t xml:space="preserve"> бр./ и </w:t>
      </w:r>
      <w:r w:rsidRPr="009802BD">
        <w:rPr>
          <w:rFonts w:ascii="Times New Roman" w:eastAsia="Times New Roman" w:hAnsi="Times New Roman"/>
          <w:b/>
          <w:sz w:val="28"/>
          <w:szCs w:val="28"/>
          <w:lang w:val="en-US"/>
        </w:rPr>
        <w:t>8,80</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 от общия брой наблюдавани досъдебни производства /</w:t>
      </w:r>
      <w:r w:rsidRPr="009802BD">
        <w:rPr>
          <w:rFonts w:ascii="Times New Roman" w:eastAsia="Times New Roman" w:hAnsi="Times New Roman"/>
          <w:sz w:val="28"/>
          <w:szCs w:val="28"/>
          <w:lang w:val="en-US"/>
        </w:rPr>
        <w:t>35526</w:t>
      </w:r>
      <w:r w:rsidRPr="009802BD">
        <w:rPr>
          <w:rFonts w:ascii="Times New Roman" w:eastAsia="Times New Roman" w:hAnsi="Times New Roman"/>
          <w:sz w:val="28"/>
          <w:szCs w:val="28"/>
        </w:rPr>
        <w:t xml:space="preserve"> бр. без прекратените по давност/. </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 г.  внесените прокурорски актове в съда се разпределят, както следва:</w:t>
      </w:r>
    </w:p>
    <w:p w:rsidR="009802BD" w:rsidRPr="009802BD" w:rsidRDefault="009802BD" w:rsidP="004D24A1">
      <w:pPr>
        <w:spacing w:after="0"/>
        <w:ind w:firstLine="708"/>
        <w:jc w:val="both"/>
        <w:rPr>
          <w:rFonts w:ascii="Times New Roman" w:eastAsia="Times New Roman" w:hAnsi="Times New Roman"/>
          <w:sz w:val="28"/>
          <w:szCs w:val="28"/>
        </w:rPr>
      </w:pPr>
      <w:r w:rsidRPr="009802BD">
        <w:rPr>
          <w:rFonts w:ascii="Times New Roman" w:eastAsia="Times New Roman" w:hAnsi="Times New Roman"/>
          <w:sz w:val="28"/>
          <w:szCs w:val="28"/>
        </w:rPr>
        <w:t xml:space="preserve">- обвинителни актове - </w:t>
      </w:r>
      <w:r w:rsidRPr="009802BD">
        <w:rPr>
          <w:rFonts w:ascii="Times New Roman" w:eastAsia="Times New Roman" w:hAnsi="Times New Roman"/>
          <w:b/>
          <w:sz w:val="28"/>
          <w:szCs w:val="28"/>
          <w:lang w:val="en-US"/>
        </w:rPr>
        <w:t>2160</w:t>
      </w:r>
      <w:r w:rsidRPr="009802BD">
        <w:rPr>
          <w:rFonts w:ascii="Times New Roman" w:eastAsia="Times New Roman" w:hAnsi="Times New Roman"/>
          <w:sz w:val="28"/>
          <w:szCs w:val="28"/>
        </w:rPr>
        <w:t xml:space="preserve"> бр. срещу</w:t>
      </w:r>
      <w:r w:rsidRPr="009802BD">
        <w:rPr>
          <w:rFonts w:ascii="Times New Roman" w:eastAsia="Times New Roman" w:hAnsi="Times New Roman"/>
          <w:b/>
          <w:sz w:val="28"/>
          <w:szCs w:val="28"/>
        </w:rPr>
        <w:t xml:space="preserve">  </w:t>
      </w:r>
      <w:r w:rsidRPr="009802BD">
        <w:rPr>
          <w:rFonts w:ascii="Times New Roman" w:eastAsia="Times New Roman" w:hAnsi="Times New Roman"/>
          <w:b/>
          <w:sz w:val="28"/>
          <w:szCs w:val="28"/>
          <w:lang w:val="en-US"/>
        </w:rPr>
        <w:t>2344</w:t>
      </w:r>
      <w:r w:rsidRPr="009802BD">
        <w:rPr>
          <w:rFonts w:ascii="Times New Roman" w:eastAsia="Times New Roman" w:hAnsi="Times New Roman"/>
          <w:sz w:val="28"/>
          <w:szCs w:val="28"/>
        </w:rPr>
        <w:t xml:space="preserve"> лица;</w:t>
      </w:r>
    </w:p>
    <w:p w:rsidR="009802BD" w:rsidRPr="009802BD" w:rsidRDefault="009802BD" w:rsidP="004D24A1">
      <w:pPr>
        <w:spacing w:after="0"/>
        <w:ind w:firstLine="708"/>
        <w:jc w:val="both"/>
        <w:rPr>
          <w:rFonts w:ascii="Times New Roman" w:eastAsia="Times New Roman" w:hAnsi="Times New Roman"/>
          <w:sz w:val="28"/>
          <w:szCs w:val="28"/>
        </w:rPr>
      </w:pPr>
      <w:r w:rsidRPr="009802BD">
        <w:rPr>
          <w:rFonts w:ascii="Times New Roman" w:eastAsia="Times New Roman" w:hAnsi="Times New Roman"/>
          <w:sz w:val="28"/>
          <w:szCs w:val="28"/>
        </w:rPr>
        <w:t xml:space="preserve">- споразумения – </w:t>
      </w:r>
      <w:r w:rsidRPr="009802BD">
        <w:rPr>
          <w:rFonts w:ascii="Times New Roman" w:eastAsia="Times New Roman" w:hAnsi="Times New Roman"/>
          <w:b/>
          <w:sz w:val="28"/>
          <w:szCs w:val="28"/>
          <w:lang w:val="en-US"/>
        </w:rPr>
        <w:t>624</w:t>
      </w:r>
      <w:r w:rsidRPr="009802BD">
        <w:rPr>
          <w:rFonts w:ascii="Times New Roman" w:eastAsia="Times New Roman" w:hAnsi="Times New Roman"/>
          <w:sz w:val="28"/>
          <w:szCs w:val="28"/>
        </w:rPr>
        <w:t xml:space="preserve"> бр. срещу  </w:t>
      </w:r>
      <w:r w:rsidRPr="009802BD">
        <w:rPr>
          <w:rFonts w:ascii="Times New Roman" w:eastAsia="Times New Roman" w:hAnsi="Times New Roman"/>
          <w:b/>
          <w:sz w:val="28"/>
          <w:szCs w:val="28"/>
          <w:lang w:val="en-US"/>
        </w:rPr>
        <w:t>658</w:t>
      </w:r>
      <w:r w:rsidRPr="009802BD">
        <w:rPr>
          <w:rFonts w:ascii="Times New Roman" w:eastAsia="Times New Roman" w:hAnsi="Times New Roman"/>
          <w:sz w:val="28"/>
          <w:szCs w:val="28"/>
        </w:rPr>
        <w:t xml:space="preserve"> лица;</w:t>
      </w:r>
    </w:p>
    <w:p w:rsidR="009802BD" w:rsidRPr="009802BD" w:rsidRDefault="009802BD" w:rsidP="004D24A1">
      <w:pPr>
        <w:spacing w:after="0"/>
        <w:ind w:firstLine="708"/>
        <w:jc w:val="both"/>
        <w:rPr>
          <w:rFonts w:ascii="Times New Roman" w:eastAsia="Times New Roman" w:hAnsi="Times New Roman"/>
          <w:sz w:val="28"/>
          <w:szCs w:val="28"/>
        </w:rPr>
      </w:pPr>
      <w:r w:rsidRPr="009802BD">
        <w:rPr>
          <w:rFonts w:ascii="Times New Roman" w:eastAsia="Times New Roman" w:hAnsi="Times New Roman"/>
          <w:sz w:val="28"/>
          <w:szCs w:val="28"/>
        </w:rPr>
        <w:t>- предложения по чл.78а НК</w:t>
      </w:r>
      <w:r w:rsidRPr="009802BD">
        <w:rPr>
          <w:rFonts w:ascii="Times New Roman" w:eastAsia="Times New Roman" w:hAnsi="Times New Roman"/>
          <w:sz w:val="28"/>
          <w:szCs w:val="28"/>
        </w:rPr>
        <w:tab/>
        <w:t xml:space="preserve">- </w:t>
      </w:r>
      <w:r w:rsidRPr="009802BD">
        <w:rPr>
          <w:rFonts w:ascii="Times New Roman" w:eastAsia="Times New Roman" w:hAnsi="Times New Roman"/>
          <w:b/>
          <w:sz w:val="28"/>
          <w:szCs w:val="28"/>
        </w:rPr>
        <w:t>3</w:t>
      </w:r>
      <w:r w:rsidRPr="009802BD">
        <w:rPr>
          <w:rFonts w:ascii="Times New Roman" w:eastAsia="Times New Roman" w:hAnsi="Times New Roman"/>
          <w:b/>
          <w:sz w:val="28"/>
          <w:szCs w:val="28"/>
          <w:lang w:val="en-US"/>
        </w:rPr>
        <w:t>62</w:t>
      </w:r>
      <w:r w:rsidRPr="009802BD">
        <w:rPr>
          <w:rFonts w:ascii="Times New Roman" w:eastAsia="Times New Roman" w:hAnsi="Times New Roman"/>
          <w:sz w:val="28"/>
          <w:szCs w:val="28"/>
        </w:rPr>
        <w:t xml:space="preserve"> бр. срещу </w:t>
      </w:r>
      <w:r w:rsidRPr="009802BD">
        <w:rPr>
          <w:rFonts w:ascii="Times New Roman" w:eastAsia="Times New Roman" w:hAnsi="Times New Roman"/>
          <w:b/>
          <w:sz w:val="28"/>
          <w:szCs w:val="28"/>
        </w:rPr>
        <w:t>3</w:t>
      </w:r>
      <w:r w:rsidRPr="009802BD">
        <w:rPr>
          <w:rFonts w:ascii="Times New Roman" w:eastAsia="Times New Roman" w:hAnsi="Times New Roman"/>
          <w:b/>
          <w:sz w:val="28"/>
          <w:szCs w:val="28"/>
          <w:lang w:val="en-US"/>
        </w:rPr>
        <w:t>76</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Прокурорски актове, внесени в съда според систематиката на НК, включително и по лица.</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lastRenderedPageBreak/>
        <w:t>Глава І – „ Престъпления против Републиката“</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отчетния период няма внесени в съда прокурорски актове за престъпления по Глава І от НК.</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ІІ – „Престъпления против личността”</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по Глава ІІ са внесени в съда </w:t>
      </w:r>
      <w:r w:rsidRPr="009802BD">
        <w:rPr>
          <w:rFonts w:ascii="Times New Roman" w:eastAsia="Times New Roman" w:hAnsi="Times New Roman"/>
          <w:b/>
          <w:sz w:val="28"/>
          <w:szCs w:val="28"/>
        </w:rPr>
        <w:t xml:space="preserve">365 </w:t>
      </w:r>
      <w:r w:rsidRPr="009802BD">
        <w:rPr>
          <w:rFonts w:ascii="Times New Roman" w:eastAsia="Times New Roman" w:hAnsi="Times New Roman"/>
          <w:sz w:val="28"/>
          <w:szCs w:val="28"/>
        </w:rPr>
        <w:t xml:space="preserve">броя прокурорски акта срещу </w:t>
      </w:r>
      <w:r w:rsidRPr="009802BD">
        <w:rPr>
          <w:rFonts w:ascii="Times New Roman" w:eastAsia="Times New Roman" w:hAnsi="Times New Roman"/>
          <w:b/>
          <w:sz w:val="28"/>
          <w:szCs w:val="28"/>
        </w:rPr>
        <w:t xml:space="preserve">411 </w:t>
      </w:r>
      <w:r w:rsidRPr="009802BD">
        <w:rPr>
          <w:rFonts w:ascii="Times New Roman" w:eastAsia="Times New Roman" w:hAnsi="Times New Roman"/>
          <w:sz w:val="28"/>
          <w:szCs w:val="28"/>
        </w:rPr>
        <w:t>лица</w:t>
      </w:r>
      <w:r w:rsidRPr="009802BD">
        <w:rPr>
          <w:rFonts w:ascii="Times New Roman" w:eastAsia="Times New Roman" w:hAnsi="Times New Roman"/>
          <w:color w:val="0070C0"/>
          <w:sz w:val="28"/>
          <w:szCs w:val="28"/>
        </w:rPr>
        <w:t xml:space="preserve">. </w:t>
      </w:r>
      <w:r w:rsidRPr="009802BD">
        <w:rPr>
          <w:rFonts w:ascii="Times New Roman" w:eastAsia="Times New Roman" w:hAnsi="Times New Roman"/>
          <w:sz w:val="28"/>
          <w:szCs w:val="28"/>
        </w:rPr>
        <w:t xml:space="preserve">От тях: </w:t>
      </w:r>
      <w:r w:rsidRPr="009802BD">
        <w:rPr>
          <w:rFonts w:ascii="Times New Roman" w:eastAsia="Times New Roman" w:hAnsi="Times New Roman"/>
          <w:b/>
          <w:sz w:val="28"/>
          <w:szCs w:val="28"/>
        </w:rPr>
        <w:t xml:space="preserve">245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 xml:space="preserve">278 </w:t>
      </w:r>
      <w:r w:rsidRPr="009802BD">
        <w:rPr>
          <w:rFonts w:ascii="Times New Roman" w:eastAsia="Times New Roman" w:hAnsi="Times New Roman"/>
          <w:sz w:val="28"/>
          <w:szCs w:val="28"/>
        </w:rPr>
        <w:t xml:space="preserve">лица, </w:t>
      </w:r>
      <w:r w:rsidRPr="009802BD">
        <w:rPr>
          <w:rFonts w:ascii="Times New Roman" w:eastAsia="Times New Roman" w:hAnsi="Times New Roman"/>
          <w:b/>
          <w:sz w:val="28"/>
          <w:szCs w:val="28"/>
        </w:rPr>
        <w:t>63</w:t>
      </w:r>
      <w:r w:rsidRPr="009802BD">
        <w:rPr>
          <w:rFonts w:ascii="Times New Roman" w:eastAsia="Times New Roman" w:hAnsi="Times New Roman"/>
          <w:b/>
          <w:sz w:val="28"/>
          <w:szCs w:val="28"/>
          <w:lang w:val="en-US"/>
        </w:rPr>
        <w:t xml:space="preserve"> </w:t>
      </w:r>
      <w:r w:rsidRPr="009802BD">
        <w:rPr>
          <w:rFonts w:ascii="Times New Roman" w:eastAsia="Times New Roman" w:hAnsi="Times New Roman"/>
          <w:sz w:val="28"/>
          <w:szCs w:val="28"/>
        </w:rPr>
        <w:t xml:space="preserve">споразумения срещу </w:t>
      </w:r>
      <w:r w:rsidRPr="009802BD">
        <w:rPr>
          <w:rFonts w:ascii="Times New Roman" w:eastAsia="Times New Roman" w:hAnsi="Times New Roman"/>
          <w:b/>
          <w:sz w:val="28"/>
          <w:szCs w:val="28"/>
        </w:rPr>
        <w:t xml:space="preserve">67 </w:t>
      </w:r>
      <w:r w:rsidRPr="009802BD">
        <w:rPr>
          <w:rFonts w:ascii="Times New Roman" w:eastAsia="Times New Roman" w:hAnsi="Times New Roman"/>
          <w:sz w:val="28"/>
          <w:szCs w:val="28"/>
        </w:rPr>
        <w:t xml:space="preserve">лица и предложения по чл.78а от НК – </w:t>
      </w:r>
      <w:r w:rsidRPr="009802BD">
        <w:rPr>
          <w:rFonts w:ascii="Times New Roman" w:eastAsia="Times New Roman" w:hAnsi="Times New Roman"/>
          <w:b/>
          <w:sz w:val="28"/>
          <w:szCs w:val="28"/>
          <w:lang w:val="en-US"/>
        </w:rPr>
        <w:t>57</w:t>
      </w:r>
      <w:r w:rsidRPr="009802BD">
        <w:rPr>
          <w:rFonts w:ascii="Times New Roman" w:eastAsia="Times New Roman" w:hAnsi="Times New Roman"/>
          <w:sz w:val="28"/>
          <w:szCs w:val="28"/>
        </w:rPr>
        <w:t xml:space="preserve"> броя срещу </w:t>
      </w:r>
      <w:r w:rsidRPr="009802BD">
        <w:rPr>
          <w:rFonts w:ascii="Times New Roman" w:eastAsia="Times New Roman" w:hAnsi="Times New Roman"/>
          <w:b/>
          <w:sz w:val="28"/>
          <w:szCs w:val="28"/>
          <w:lang w:val="en-US"/>
        </w:rPr>
        <w:t>66</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 „Убийство” - за престъпления по чл.115 - чл.127 от НК, за отчетния период са внесени в съда </w:t>
      </w:r>
      <w:r w:rsidRPr="009802BD">
        <w:rPr>
          <w:rFonts w:ascii="Times New Roman" w:eastAsia="Times New Roman" w:hAnsi="Times New Roman"/>
          <w:b/>
          <w:sz w:val="28"/>
          <w:szCs w:val="28"/>
        </w:rPr>
        <w:t>20</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28</w:t>
      </w:r>
      <w:r w:rsidRPr="009802BD">
        <w:rPr>
          <w:rFonts w:ascii="Times New Roman" w:eastAsia="Times New Roman" w:hAnsi="Times New Roman"/>
          <w:sz w:val="28"/>
          <w:szCs w:val="28"/>
        </w:rPr>
        <w:t xml:space="preserve"> лица</w:t>
      </w:r>
      <w:r w:rsidRPr="009802BD">
        <w:rPr>
          <w:rFonts w:ascii="Times New Roman" w:eastAsia="Times New Roman" w:hAnsi="Times New Roman"/>
          <w:color w:val="000000"/>
          <w:sz w:val="28"/>
          <w:szCs w:val="28"/>
        </w:rPr>
        <w:t>.</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ІІ „Телесна повреда” за престъпления по чл.128 – чл.135 от НК са внесени </w:t>
      </w:r>
      <w:r w:rsidRPr="009802BD">
        <w:rPr>
          <w:rFonts w:ascii="Times New Roman" w:eastAsia="Times New Roman" w:hAnsi="Times New Roman"/>
          <w:b/>
          <w:sz w:val="28"/>
          <w:szCs w:val="28"/>
        </w:rPr>
        <w:t>121</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141</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32</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33</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56</w:t>
      </w:r>
      <w:r w:rsidRPr="009802BD">
        <w:rPr>
          <w:rFonts w:ascii="Times New Roman" w:eastAsia="Times New Roman" w:hAnsi="Times New Roman"/>
          <w:sz w:val="28"/>
          <w:szCs w:val="28"/>
        </w:rPr>
        <w:t xml:space="preserve"> броя предложения по чл.78а от НК срещу </w:t>
      </w:r>
      <w:r w:rsidRPr="009802BD">
        <w:rPr>
          <w:rFonts w:ascii="Times New Roman" w:eastAsia="Times New Roman" w:hAnsi="Times New Roman"/>
          <w:b/>
          <w:sz w:val="28"/>
          <w:szCs w:val="28"/>
        </w:rPr>
        <w:t xml:space="preserve">65 </w:t>
      </w:r>
      <w:r w:rsidRPr="009802BD">
        <w:rPr>
          <w:rFonts w:ascii="Times New Roman" w:eastAsia="Times New Roman" w:hAnsi="Times New Roman"/>
          <w:sz w:val="28"/>
          <w:szCs w:val="28"/>
        </w:rPr>
        <w:t xml:space="preserve">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ІІІ „Злепоставяне” за престъпления по чл.136 – чл.141 от НК през отчетния период има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 xml:space="preserve">брой внесено споразумение срещу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ІV „Отвличане и противозаконно лишаване от свобода” за престъпления по чл.142-142а от НК са внесени </w:t>
      </w:r>
      <w:r w:rsidRPr="009802BD">
        <w:rPr>
          <w:rFonts w:ascii="Times New Roman" w:eastAsia="Times New Roman" w:hAnsi="Times New Roman"/>
          <w:b/>
          <w:sz w:val="28"/>
          <w:szCs w:val="28"/>
        </w:rPr>
        <w:t>5</w:t>
      </w:r>
      <w:r w:rsidRPr="009802BD">
        <w:rPr>
          <w:rFonts w:ascii="Times New Roman" w:eastAsia="Times New Roman" w:hAnsi="Times New Roman"/>
          <w:sz w:val="28"/>
          <w:szCs w:val="28"/>
        </w:rPr>
        <w:t xml:space="preserve"> броя обвинителни акта срещу </w:t>
      </w:r>
      <w:r w:rsidRPr="009802BD">
        <w:rPr>
          <w:rFonts w:ascii="Times New Roman" w:eastAsia="Times New Roman" w:hAnsi="Times New Roman"/>
          <w:b/>
          <w:sz w:val="28"/>
          <w:szCs w:val="28"/>
        </w:rPr>
        <w:t xml:space="preserve">6 </w:t>
      </w:r>
      <w:r w:rsidRPr="009802BD">
        <w:rPr>
          <w:rFonts w:ascii="Times New Roman" w:eastAsia="Times New Roman" w:hAnsi="Times New Roman"/>
          <w:sz w:val="28"/>
          <w:szCs w:val="28"/>
        </w:rPr>
        <w:t xml:space="preserve">лица и </w:t>
      </w:r>
      <w:r w:rsidRPr="009802BD">
        <w:rPr>
          <w:rFonts w:ascii="Times New Roman" w:eastAsia="Times New Roman" w:hAnsi="Times New Roman"/>
          <w:b/>
          <w:sz w:val="28"/>
          <w:szCs w:val="28"/>
        </w:rPr>
        <w:t xml:space="preserve">2 </w:t>
      </w:r>
      <w:r w:rsidRPr="009802BD">
        <w:rPr>
          <w:rFonts w:ascii="Times New Roman" w:eastAsia="Times New Roman" w:hAnsi="Times New Roman"/>
          <w:sz w:val="28"/>
          <w:szCs w:val="28"/>
        </w:rPr>
        <w:t xml:space="preserve">броя споразумения срещу </w:t>
      </w:r>
      <w:r w:rsidRPr="009802BD">
        <w:rPr>
          <w:rFonts w:ascii="Times New Roman" w:eastAsia="Times New Roman" w:hAnsi="Times New Roman"/>
          <w:b/>
          <w:sz w:val="28"/>
          <w:szCs w:val="28"/>
        </w:rPr>
        <w:t xml:space="preserve">2 </w:t>
      </w:r>
      <w:r w:rsidRPr="009802BD">
        <w:rPr>
          <w:rFonts w:ascii="Times New Roman" w:eastAsia="Times New Roman" w:hAnsi="Times New Roman"/>
          <w:sz w:val="28"/>
          <w:szCs w:val="28"/>
        </w:rPr>
        <w:t>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V „Принуда“ за престъпление по чл.143-чл.144 от НК са внесени </w:t>
      </w:r>
      <w:r w:rsidRPr="009802BD">
        <w:rPr>
          <w:rFonts w:ascii="Times New Roman" w:eastAsia="Times New Roman" w:hAnsi="Times New Roman"/>
          <w:b/>
          <w:sz w:val="28"/>
          <w:szCs w:val="28"/>
        </w:rPr>
        <w:t>63</w:t>
      </w:r>
      <w:r w:rsidRPr="009802BD">
        <w:rPr>
          <w:rFonts w:ascii="Times New Roman" w:eastAsia="Times New Roman" w:hAnsi="Times New Roman"/>
          <w:sz w:val="28"/>
          <w:szCs w:val="28"/>
        </w:rPr>
        <w:t xml:space="preserve"> обвинителни актове срещу </w:t>
      </w:r>
      <w:r w:rsidRPr="009802BD">
        <w:rPr>
          <w:rFonts w:ascii="Times New Roman" w:eastAsia="Times New Roman" w:hAnsi="Times New Roman"/>
          <w:b/>
          <w:sz w:val="28"/>
          <w:szCs w:val="28"/>
        </w:rPr>
        <w:t>64</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27</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30</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Разврат” за престъпления по чл.149 - чл.159 от НК са внесени в съда </w:t>
      </w:r>
      <w:r w:rsidRPr="009802BD">
        <w:rPr>
          <w:rFonts w:ascii="Times New Roman" w:eastAsia="Times New Roman" w:hAnsi="Times New Roman"/>
          <w:b/>
          <w:sz w:val="28"/>
          <w:szCs w:val="28"/>
        </w:rPr>
        <w:t xml:space="preserve">42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 xml:space="preserve">45 </w:t>
      </w:r>
      <w:r w:rsidRPr="009802BD">
        <w:rPr>
          <w:rFonts w:ascii="Times New Roman" w:eastAsia="Times New Roman" w:hAnsi="Times New Roman"/>
          <w:sz w:val="28"/>
          <w:szCs w:val="28"/>
        </w:rPr>
        <w:t xml:space="preserve">лица и предложения по чл.78а от НК –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броя срещу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лица.</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По раздел ІХ „Трафик на хора” за престъпления по чл.159а - чл.159 г няма внесени обвинителни актове и споразумения срещу лица.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ІІІ – „Престъпления против правата на гражданите”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2021 г. по Глава ІІІ от особената част на НК са внесени</w:t>
      </w:r>
      <w:r w:rsidRPr="009802BD">
        <w:rPr>
          <w:rFonts w:ascii="Times New Roman" w:hAnsi="Times New Roman"/>
          <w:sz w:val="28"/>
          <w:szCs w:val="28"/>
        </w:rPr>
        <w:t xml:space="preserve"> </w:t>
      </w:r>
      <w:r w:rsidRPr="009802BD">
        <w:rPr>
          <w:rFonts w:ascii="Times New Roman" w:eastAsia="Times New Roman" w:hAnsi="Times New Roman"/>
          <w:sz w:val="28"/>
          <w:szCs w:val="28"/>
        </w:rPr>
        <w:t xml:space="preserve">в съда 16 броя прокурорски акта срещу 17 лица. От тях:  </w:t>
      </w:r>
      <w:r w:rsidRPr="009802BD">
        <w:rPr>
          <w:rFonts w:ascii="Times New Roman" w:eastAsia="Times New Roman" w:hAnsi="Times New Roman"/>
          <w:b/>
          <w:sz w:val="28"/>
          <w:szCs w:val="28"/>
        </w:rPr>
        <w:t>13</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 xml:space="preserve">14 </w:t>
      </w:r>
      <w:r w:rsidRPr="009802BD">
        <w:rPr>
          <w:rFonts w:ascii="Times New Roman" w:eastAsia="Times New Roman" w:hAnsi="Times New Roman"/>
          <w:sz w:val="28"/>
          <w:szCs w:val="28"/>
        </w:rPr>
        <w:t xml:space="preserve">лица, споразумения –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броя спрямо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лица и предложения по чл.78а от НК –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 xml:space="preserve">брой срещу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sz w:val="28"/>
          <w:szCs w:val="28"/>
        </w:rPr>
        <w:t xml:space="preserve">По раздел ІІІ „Престъпления против политическите права на гражданите” за престъпление по чл.168 от НК са внесени </w:t>
      </w:r>
      <w:r w:rsidRPr="009802BD">
        <w:rPr>
          <w:rFonts w:ascii="Times New Roman" w:eastAsia="Times New Roman" w:hAnsi="Times New Roman"/>
          <w:b/>
          <w:sz w:val="28"/>
          <w:szCs w:val="28"/>
        </w:rPr>
        <w:t xml:space="preserve">4 </w:t>
      </w:r>
      <w:r w:rsidRPr="009802BD">
        <w:rPr>
          <w:rFonts w:ascii="Times New Roman" w:eastAsia="Times New Roman" w:hAnsi="Times New Roman"/>
          <w:sz w:val="28"/>
          <w:szCs w:val="28"/>
        </w:rPr>
        <w:t xml:space="preserve">броя обвинителни акта срещу </w:t>
      </w:r>
      <w:r w:rsidRPr="009802BD">
        <w:rPr>
          <w:rFonts w:ascii="Times New Roman" w:eastAsia="Times New Roman" w:hAnsi="Times New Roman"/>
          <w:b/>
          <w:sz w:val="28"/>
          <w:szCs w:val="28"/>
        </w:rPr>
        <w:t xml:space="preserve">4 </w:t>
      </w:r>
      <w:r w:rsidRPr="009802BD">
        <w:rPr>
          <w:rFonts w:ascii="Times New Roman" w:eastAsia="Times New Roman" w:hAnsi="Times New Roman"/>
          <w:sz w:val="28"/>
          <w:szCs w:val="28"/>
        </w:rPr>
        <w:t xml:space="preserve">лица и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броя предложения по чл.78а от НК –срещу</w:t>
      </w:r>
      <w:r w:rsidRPr="009802BD">
        <w:rPr>
          <w:rFonts w:ascii="Times New Roman" w:eastAsia="Times New Roman" w:hAnsi="Times New Roman"/>
          <w:b/>
          <w:sz w:val="28"/>
          <w:szCs w:val="28"/>
        </w:rPr>
        <w:t xml:space="preserve"> 2 </w:t>
      </w:r>
      <w:r w:rsidRPr="009802BD">
        <w:rPr>
          <w:rFonts w:ascii="Times New Roman" w:eastAsia="Times New Roman" w:hAnsi="Times New Roman"/>
          <w:sz w:val="28"/>
          <w:szCs w:val="28"/>
        </w:rPr>
        <w:t>лица</w:t>
      </w:r>
      <w:r w:rsidRPr="009802BD">
        <w:rPr>
          <w:rFonts w:ascii="Times New Roman" w:eastAsia="Times New Roman" w:hAnsi="Times New Roman"/>
          <w:b/>
          <w:sz w:val="28"/>
          <w:szCs w:val="28"/>
        </w:rPr>
        <w:t>.</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b/>
          <w:sz w:val="28"/>
          <w:szCs w:val="28"/>
        </w:rPr>
        <w:lastRenderedPageBreak/>
        <w:t xml:space="preserve"> </w:t>
      </w:r>
      <w:r w:rsidRPr="009802BD">
        <w:rPr>
          <w:rFonts w:ascii="Times New Roman" w:eastAsia="Times New Roman" w:hAnsi="Times New Roman"/>
          <w:sz w:val="28"/>
          <w:szCs w:val="28"/>
        </w:rPr>
        <w:t xml:space="preserve">По раздел ІV „Нарушаване неприкосновеността на жилище, помещение или превозно средство” за престъпление по чл.170 от НК са внесени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обвинителен акт срещу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 xml:space="preserve">лице и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споразумение срещу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По раздел VІІ „Престъпления против интелектуалната собственост” за престъпление по чл.172а от НК не са внасяни актове в съдът.</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престъпление по чл.172б от НК са внесени </w:t>
      </w:r>
      <w:r w:rsidRPr="009802BD">
        <w:rPr>
          <w:rFonts w:ascii="Times New Roman" w:eastAsia="Times New Roman" w:hAnsi="Times New Roman"/>
          <w:b/>
          <w:sz w:val="28"/>
          <w:szCs w:val="28"/>
        </w:rPr>
        <w:t>8</w:t>
      </w:r>
      <w:r w:rsidRPr="009802BD">
        <w:rPr>
          <w:rFonts w:ascii="Times New Roman" w:eastAsia="Times New Roman" w:hAnsi="Times New Roman"/>
          <w:sz w:val="28"/>
          <w:szCs w:val="28"/>
        </w:rPr>
        <w:t xml:space="preserve"> обвинителни актове срещу </w:t>
      </w:r>
      <w:r w:rsidRPr="009802BD">
        <w:rPr>
          <w:rFonts w:ascii="Times New Roman" w:eastAsia="Times New Roman" w:hAnsi="Times New Roman"/>
          <w:b/>
          <w:sz w:val="28"/>
          <w:szCs w:val="28"/>
        </w:rPr>
        <w:t>9</w:t>
      </w:r>
      <w:r w:rsidRPr="009802BD">
        <w:rPr>
          <w:rFonts w:ascii="Times New Roman" w:eastAsia="Times New Roman" w:hAnsi="Times New Roman"/>
          <w:sz w:val="28"/>
          <w:szCs w:val="28"/>
        </w:rPr>
        <w:t xml:space="preserve"> лица.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ІV – „Престъпления против брака, семейството и младежта”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в съда са внесени </w:t>
      </w:r>
      <w:r w:rsidRPr="009802BD">
        <w:rPr>
          <w:rFonts w:ascii="Times New Roman" w:eastAsia="Times New Roman" w:hAnsi="Times New Roman"/>
          <w:b/>
          <w:sz w:val="28"/>
          <w:szCs w:val="28"/>
        </w:rPr>
        <w:t>86</w:t>
      </w:r>
      <w:r w:rsidRPr="009802BD">
        <w:rPr>
          <w:rFonts w:ascii="Times New Roman" w:eastAsia="Times New Roman" w:hAnsi="Times New Roman"/>
          <w:sz w:val="28"/>
          <w:szCs w:val="28"/>
        </w:rPr>
        <w:t xml:space="preserve">  броя прокурорски актове срещу </w:t>
      </w:r>
      <w:r w:rsidRPr="009802BD">
        <w:rPr>
          <w:rFonts w:ascii="Times New Roman" w:eastAsia="Times New Roman" w:hAnsi="Times New Roman"/>
          <w:b/>
          <w:sz w:val="28"/>
          <w:szCs w:val="28"/>
        </w:rPr>
        <w:t>86</w:t>
      </w:r>
      <w:r w:rsidRPr="009802BD">
        <w:rPr>
          <w:rFonts w:ascii="Times New Roman" w:eastAsia="Times New Roman" w:hAnsi="Times New Roman"/>
          <w:sz w:val="28"/>
          <w:szCs w:val="28"/>
        </w:rPr>
        <w:t xml:space="preserve"> лица. От тях </w:t>
      </w:r>
      <w:r w:rsidRPr="009802BD">
        <w:rPr>
          <w:rFonts w:ascii="Times New Roman" w:eastAsia="Times New Roman" w:hAnsi="Times New Roman"/>
          <w:b/>
          <w:sz w:val="28"/>
          <w:szCs w:val="28"/>
        </w:rPr>
        <w:t>81</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81</w:t>
      </w:r>
      <w:r w:rsidRPr="009802BD">
        <w:rPr>
          <w:rFonts w:ascii="Times New Roman" w:eastAsia="Times New Roman" w:hAnsi="Times New Roman"/>
          <w:sz w:val="28"/>
          <w:szCs w:val="28"/>
        </w:rPr>
        <w:t xml:space="preserve"> лица,</w:t>
      </w:r>
      <w:r w:rsidRPr="009802BD">
        <w:rPr>
          <w:rFonts w:ascii="Times New Roman" w:hAnsi="Times New Roman"/>
          <w:sz w:val="28"/>
          <w:szCs w:val="28"/>
        </w:rPr>
        <w:t xml:space="preserve"> </w:t>
      </w:r>
      <w:r w:rsidRPr="009802BD">
        <w:rPr>
          <w:rFonts w:ascii="Times New Roman" w:eastAsia="Times New Roman" w:hAnsi="Times New Roman"/>
          <w:sz w:val="28"/>
          <w:szCs w:val="28"/>
        </w:rPr>
        <w:t xml:space="preserve">споразумения –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спрямо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 и </w:t>
      </w:r>
      <w:r w:rsidRPr="009802BD">
        <w:rPr>
          <w:rFonts w:ascii="Times New Roman" w:eastAsia="Times New Roman" w:hAnsi="Times New Roman"/>
          <w:b/>
          <w:sz w:val="28"/>
          <w:szCs w:val="28"/>
        </w:rPr>
        <w:t xml:space="preserve">4 </w:t>
      </w:r>
      <w:r w:rsidRPr="009802BD">
        <w:rPr>
          <w:rFonts w:ascii="Times New Roman" w:eastAsia="Times New Roman" w:hAnsi="Times New Roman"/>
          <w:sz w:val="28"/>
          <w:szCs w:val="28"/>
        </w:rPr>
        <w:t xml:space="preserve">броя предложения по чл.78а от НК срещу </w:t>
      </w:r>
      <w:r w:rsidRPr="009802BD">
        <w:rPr>
          <w:rFonts w:ascii="Times New Roman" w:eastAsia="Times New Roman" w:hAnsi="Times New Roman"/>
          <w:b/>
          <w:sz w:val="28"/>
          <w:szCs w:val="28"/>
        </w:rPr>
        <w:t>4</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престъпление по чл.182 от НК е внесено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предложение по чл.78а от НК срещу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престъпление по чл.183 от НК са внесени в съда </w:t>
      </w:r>
      <w:r w:rsidRPr="009802BD">
        <w:rPr>
          <w:rFonts w:ascii="Times New Roman" w:eastAsia="Times New Roman" w:hAnsi="Times New Roman"/>
          <w:b/>
          <w:sz w:val="28"/>
          <w:szCs w:val="28"/>
        </w:rPr>
        <w:t>79</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79</w:t>
      </w:r>
      <w:r w:rsidRPr="009802BD">
        <w:rPr>
          <w:rFonts w:ascii="Times New Roman" w:eastAsia="Times New Roman" w:hAnsi="Times New Roman"/>
          <w:sz w:val="28"/>
          <w:szCs w:val="28"/>
        </w:rPr>
        <w:t xml:space="preserve"> лица.</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престъпление по чл.191 от НК са внесени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обвинителни акта срещу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 xml:space="preserve"> 1 </w:t>
      </w:r>
      <w:r w:rsidRPr="009802BD">
        <w:rPr>
          <w:rFonts w:ascii="Times New Roman" w:eastAsia="Times New Roman" w:hAnsi="Times New Roman"/>
          <w:sz w:val="28"/>
          <w:szCs w:val="28"/>
        </w:rPr>
        <w:t xml:space="preserve">брой споразумение срещу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 xml:space="preserve">лице и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предложения по чл.78а от НК срещу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V – „Престъпления против собствеността”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по Глава V са внесени в съда </w:t>
      </w:r>
      <w:r w:rsidRPr="009802BD">
        <w:rPr>
          <w:rFonts w:ascii="Times New Roman" w:eastAsia="Times New Roman" w:hAnsi="Times New Roman"/>
          <w:b/>
          <w:sz w:val="28"/>
          <w:szCs w:val="28"/>
        </w:rPr>
        <w:t>596</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677</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174</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 xml:space="preserve">200 </w:t>
      </w:r>
      <w:r w:rsidRPr="009802BD">
        <w:rPr>
          <w:rFonts w:ascii="Times New Roman" w:eastAsia="Times New Roman" w:hAnsi="Times New Roman"/>
          <w:sz w:val="28"/>
          <w:szCs w:val="28"/>
        </w:rPr>
        <w:t xml:space="preserve">лица и </w:t>
      </w:r>
      <w:r w:rsidRPr="009802BD">
        <w:rPr>
          <w:rFonts w:ascii="Times New Roman" w:eastAsia="Times New Roman" w:hAnsi="Times New Roman"/>
          <w:b/>
          <w:sz w:val="28"/>
          <w:szCs w:val="28"/>
        </w:rPr>
        <w:t xml:space="preserve">5 </w:t>
      </w:r>
      <w:r w:rsidRPr="009802BD">
        <w:rPr>
          <w:rFonts w:ascii="Times New Roman" w:eastAsia="Times New Roman" w:hAnsi="Times New Roman"/>
          <w:sz w:val="28"/>
          <w:szCs w:val="28"/>
        </w:rPr>
        <w:t xml:space="preserve">броя постановления по чл.78а от НК срещу </w:t>
      </w:r>
      <w:r w:rsidRPr="009802BD">
        <w:rPr>
          <w:rFonts w:ascii="Times New Roman" w:eastAsia="Times New Roman" w:hAnsi="Times New Roman"/>
          <w:b/>
          <w:sz w:val="28"/>
          <w:szCs w:val="28"/>
        </w:rPr>
        <w:t xml:space="preserve">5 </w:t>
      </w:r>
      <w:r w:rsidRPr="009802BD">
        <w:rPr>
          <w:rFonts w:ascii="Times New Roman" w:eastAsia="Times New Roman" w:hAnsi="Times New Roman"/>
          <w:sz w:val="28"/>
          <w:szCs w:val="28"/>
        </w:rPr>
        <w:t xml:space="preserve">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От тях по Раздел І „Кражба” – чл.194 - чл.197 от НК, са внесени </w:t>
      </w:r>
      <w:r w:rsidRPr="009802BD">
        <w:rPr>
          <w:rFonts w:ascii="Times New Roman" w:eastAsia="Times New Roman" w:hAnsi="Times New Roman"/>
          <w:b/>
          <w:sz w:val="28"/>
          <w:szCs w:val="28"/>
        </w:rPr>
        <w:t xml:space="preserve">324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357</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120</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134</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 xml:space="preserve">3 </w:t>
      </w:r>
      <w:r w:rsidRPr="009802BD">
        <w:rPr>
          <w:rFonts w:ascii="Times New Roman" w:eastAsia="Times New Roman" w:hAnsi="Times New Roman"/>
          <w:sz w:val="28"/>
          <w:szCs w:val="28"/>
        </w:rPr>
        <w:t xml:space="preserve">предложения по чл.78а от НК срещу </w:t>
      </w:r>
      <w:r w:rsidRPr="009802BD">
        <w:rPr>
          <w:rFonts w:ascii="Times New Roman" w:eastAsia="Times New Roman" w:hAnsi="Times New Roman"/>
          <w:b/>
          <w:sz w:val="28"/>
          <w:szCs w:val="28"/>
        </w:rPr>
        <w:t>3</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престъпления по чл.198 - 199 от НК, са внесени в съда </w:t>
      </w:r>
      <w:r w:rsidRPr="009802BD">
        <w:rPr>
          <w:rFonts w:ascii="Times New Roman" w:eastAsia="Times New Roman" w:hAnsi="Times New Roman"/>
          <w:b/>
          <w:sz w:val="28"/>
          <w:szCs w:val="28"/>
        </w:rPr>
        <w:t>103</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133</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 xml:space="preserve">36 </w:t>
      </w:r>
      <w:r w:rsidRPr="009802BD">
        <w:rPr>
          <w:rFonts w:ascii="Times New Roman" w:eastAsia="Times New Roman" w:hAnsi="Times New Roman"/>
          <w:sz w:val="28"/>
          <w:szCs w:val="28"/>
        </w:rPr>
        <w:t xml:space="preserve">броя споразумения срещу </w:t>
      </w:r>
      <w:r w:rsidRPr="009802BD">
        <w:rPr>
          <w:rFonts w:ascii="Times New Roman" w:eastAsia="Times New Roman" w:hAnsi="Times New Roman"/>
          <w:b/>
          <w:sz w:val="28"/>
          <w:szCs w:val="28"/>
        </w:rPr>
        <w:t xml:space="preserve">48 </w:t>
      </w:r>
      <w:r w:rsidRPr="009802BD">
        <w:rPr>
          <w:rFonts w:ascii="Times New Roman" w:eastAsia="Times New Roman" w:hAnsi="Times New Roman"/>
          <w:sz w:val="28"/>
          <w:szCs w:val="28"/>
        </w:rPr>
        <w:t>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ІІІ „Присвоявания” за престъпления по чл.201-207 от НК са внесени </w:t>
      </w:r>
      <w:r w:rsidRPr="009802BD">
        <w:rPr>
          <w:rFonts w:ascii="Times New Roman" w:eastAsia="Times New Roman" w:hAnsi="Times New Roman"/>
          <w:b/>
          <w:sz w:val="28"/>
          <w:szCs w:val="28"/>
        </w:rPr>
        <w:t>50</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53</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8</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8</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предложения по чл.78а от НК срещу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ІV „Измама” за престъпления по </w:t>
      </w:r>
      <w:r w:rsidRPr="009802BD">
        <w:rPr>
          <w:rFonts w:ascii="Times New Roman" w:eastAsia="Times New Roman" w:hAnsi="Times New Roman"/>
          <w:b/>
          <w:sz w:val="28"/>
          <w:szCs w:val="28"/>
        </w:rPr>
        <w:t>чл.209 - чл.213</w:t>
      </w:r>
      <w:r w:rsidRPr="009802BD">
        <w:rPr>
          <w:rFonts w:ascii="Times New Roman" w:eastAsia="Times New Roman" w:hAnsi="Times New Roman"/>
          <w:sz w:val="28"/>
          <w:szCs w:val="28"/>
        </w:rPr>
        <w:t xml:space="preserve"> от НК са внесени в съда </w:t>
      </w:r>
      <w:r w:rsidRPr="009802BD">
        <w:rPr>
          <w:rFonts w:ascii="Times New Roman" w:eastAsia="Times New Roman" w:hAnsi="Times New Roman"/>
          <w:b/>
          <w:sz w:val="28"/>
          <w:szCs w:val="28"/>
        </w:rPr>
        <w:t>95</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104</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лица и</w:t>
      </w:r>
      <w:r w:rsidRPr="009802BD">
        <w:rPr>
          <w:rFonts w:ascii="Times New Roman" w:eastAsia="Times New Roman" w:hAnsi="Times New Roman"/>
          <w:b/>
          <w:sz w:val="28"/>
          <w:szCs w:val="28"/>
        </w:rPr>
        <w:t xml:space="preserve"> 1</w:t>
      </w:r>
      <w:r w:rsidRPr="009802BD">
        <w:rPr>
          <w:rFonts w:ascii="Times New Roman" w:eastAsia="Times New Roman" w:hAnsi="Times New Roman"/>
          <w:sz w:val="28"/>
          <w:szCs w:val="28"/>
        </w:rPr>
        <w:t xml:space="preserve"> брой предложения по чл.78а от НК срещу</w:t>
      </w:r>
      <w:r w:rsidRPr="009802BD">
        <w:rPr>
          <w:rFonts w:ascii="Times New Roman" w:eastAsia="Times New Roman" w:hAnsi="Times New Roman"/>
          <w:b/>
          <w:sz w:val="28"/>
          <w:szCs w:val="28"/>
        </w:rPr>
        <w:t xml:space="preserve"> 1</w:t>
      </w:r>
      <w:r w:rsidRPr="009802BD">
        <w:rPr>
          <w:rFonts w:ascii="Times New Roman" w:eastAsia="Times New Roman" w:hAnsi="Times New Roman"/>
          <w:sz w:val="28"/>
          <w:szCs w:val="28"/>
        </w:rPr>
        <w:t xml:space="preserve"> 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lastRenderedPageBreak/>
        <w:t xml:space="preserve">По Раздел V „Изнудване“ за престъпления по </w:t>
      </w:r>
      <w:r w:rsidRPr="009802BD">
        <w:rPr>
          <w:rFonts w:ascii="Times New Roman" w:eastAsia="Times New Roman" w:hAnsi="Times New Roman"/>
          <w:b/>
          <w:sz w:val="28"/>
          <w:szCs w:val="28"/>
        </w:rPr>
        <w:t>чл.213а – чл.214</w:t>
      </w:r>
      <w:r w:rsidRPr="009802BD">
        <w:rPr>
          <w:rFonts w:ascii="Times New Roman" w:eastAsia="Times New Roman" w:hAnsi="Times New Roman"/>
          <w:sz w:val="28"/>
          <w:szCs w:val="28"/>
        </w:rPr>
        <w:t xml:space="preserve"> от НК са внесени </w:t>
      </w:r>
      <w:r w:rsidRPr="009802BD">
        <w:rPr>
          <w:rFonts w:ascii="Times New Roman" w:eastAsia="Times New Roman" w:hAnsi="Times New Roman"/>
          <w:b/>
          <w:sz w:val="28"/>
          <w:szCs w:val="28"/>
        </w:rPr>
        <w:t xml:space="preserve">2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3</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VІ „ Вещно укривателство“ за престъпление по </w:t>
      </w:r>
      <w:r w:rsidRPr="009802BD">
        <w:rPr>
          <w:rFonts w:ascii="Times New Roman" w:eastAsia="Times New Roman" w:hAnsi="Times New Roman"/>
          <w:b/>
          <w:sz w:val="28"/>
          <w:szCs w:val="28"/>
        </w:rPr>
        <w:t>чл.215</w:t>
      </w:r>
      <w:r w:rsidRPr="009802BD">
        <w:rPr>
          <w:rFonts w:ascii="Times New Roman" w:eastAsia="Times New Roman" w:hAnsi="Times New Roman"/>
          <w:sz w:val="28"/>
          <w:szCs w:val="28"/>
        </w:rPr>
        <w:t xml:space="preserve"> са внесени </w:t>
      </w:r>
      <w:r w:rsidRPr="009802BD">
        <w:rPr>
          <w:rFonts w:ascii="Times New Roman" w:eastAsia="Times New Roman" w:hAnsi="Times New Roman"/>
          <w:b/>
          <w:sz w:val="28"/>
          <w:szCs w:val="28"/>
        </w:rPr>
        <w:t>4</w:t>
      </w:r>
      <w:r w:rsidRPr="009802BD">
        <w:rPr>
          <w:rFonts w:ascii="Times New Roman" w:eastAsia="Times New Roman" w:hAnsi="Times New Roman"/>
          <w:sz w:val="28"/>
          <w:szCs w:val="28"/>
        </w:rPr>
        <w:t xml:space="preserve"> обвинителни акта срещу </w:t>
      </w:r>
      <w:r w:rsidRPr="009802BD">
        <w:rPr>
          <w:rFonts w:ascii="Times New Roman" w:eastAsia="Times New Roman" w:hAnsi="Times New Roman"/>
          <w:b/>
          <w:sz w:val="28"/>
          <w:szCs w:val="28"/>
        </w:rPr>
        <w:t>7</w:t>
      </w:r>
      <w:r w:rsidRPr="009802BD">
        <w:rPr>
          <w:rFonts w:ascii="Times New Roman" w:eastAsia="Times New Roman" w:hAnsi="Times New Roman"/>
          <w:sz w:val="28"/>
          <w:szCs w:val="28"/>
        </w:rPr>
        <w:t xml:space="preserve"> лица и</w:t>
      </w:r>
      <w:r w:rsidRPr="009802BD">
        <w:rPr>
          <w:rFonts w:ascii="Times New Roman" w:eastAsia="Times New Roman" w:hAnsi="Times New Roman"/>
          <w:b/>
          <w:sz w:val="28"/>
          <w:szCs w:val="28"/>
        </w:rPr>
        <w:t xml:space="preserve"> 1</w:t>
      </w:r>
      <w:r w:rsidRPr="009802BD">
        <w:rPr>
          <w:rFonts w:ascii="Times New Roman" w:eastAsia="Times New Roman" w:hAnsi="Times New Roman"/>
          <w:sz w:val="28"/>
          <w:szCs w:val="28"/>
        </w:rPr>
        <w:t xml:space="preserve"> брой споразумение срещу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лице.</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VІІ „Унищожаване и повреждане“ за престъпление по чл.216 от НК са внесени </w:t>
      </w:r>
      <w:r w:rsidRPr="009802BD">
        <w:rPr>
          <w:rFonts w:ascii="Times New Roman" w:eastAsia="Times New Roman" w:hAnsi="Times New Roman"/>
          <w:b/>
          <w:sz w:val="28"/>
          <w:szCs w:val="28"/>
        </w:rPr>
        <w:t xml:space="preserve">17 </w:t>
      </w:r>
      <w:r w:rsidRPr="009802BD">
        <w:rPr>
          <w:rFonts w:ascii="Times New Roman" w:eastAsia="Times New Roman" w:hAnsi="Times New Roman"/>
          <w:sz w:val="28"/>
          <w:szCs w:val="28"/>
        </w:rPr>
        <w:t xml:space="preserve">обвинителни акта срещу </w:t>
      </w:r>
      <w:r w:rsidRPr="009802BD">
        <w:rPr>
          <w:rFonts w:ascii="Times New Roman" w:eastAsia="Times New Roman" w:hAnsi="Times New Roman"/>
          <w:b/>
          <w:sz w:val="28"/>
          <w:szCs w:val="28"/>
        </w:rPr>
        <w:t>19</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 xml:space="preserve">3 </w:t>
      </w:r>
      <w:r w:rsidRPr="009802BD">
        <w:rPr>
          <w:rFonts w:ascii="Times New Roman" w:eastAsia="Times New Roman" w:hAnsi="Times New Roman"/>
          <w:sz w:val="28"/>
          <w:szCs w:val="28"/>
        </w:rPr>
        <w:t xml:space="preserve">споразумения срещу </w:t>
      </w:r>
      <w:r w:rsidRPr="009802BD">
        <w:rPr>
          <w:rFonts w:ascii="Times New Roman" w:eastAsia="Times New Roman" w:hAnsi="Times New Roman"/>
          <w:b/>
          <w:sz w:val="28"/>
          <w:szCs w:val="28"/>
        </w:rPr>
        <w:t>3</w:t>
      </w:r>
      <w:r w:rsidRPr="009802BD">
        <w:rPr>
          <w:rFonts w:ascii="Times New Roman" w:eastAsia="Times New Roman" w:hAnsi="Times New Roman"/>
          <w:sz w:val="28"/>
          <w:szCs w:val="28"/>
        </w:rPr>
        <w:t xml:space="preserve"> лица.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VІ – „Престъпления против стопанството”</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са внесени в съда </w:t>
      </w:r>
      <w:r w:rsidRPr="009802BD">
        <w:rPr>
          <w:rFonts w:ascii="Times New Roman" w:eastAsia="Times New Roman" w:hAnsi="Times New Roman"/>
          <w:b/>
          <w:sz w:val="28"/>
          <w:szCs w:val="28"/>
        </w:rPr>
        <w:t xml:space="preserve">111 </w:t>
      </w:r>
      <w:r w:rsidRPr="009802BD">
        <w:rPr>
          <w:rFonts w:ascii="Times New Roman" w:eastAsia="Times New Roman" w:hAnsi="Times New Roman"/>
          <w:sz w:val="28"/>
          <w:szCs w:val="28"/>
        </w:rPr>
        <w:t xml:space="preserve">броя прокурорски акта срещу </w:t>
      </w:r>
      <w:r w:rsidRPr="009802BD">
        <w:rPr>
          <w:rFonts w:ascii="Times New Roman" w:eastAsia="Times New Roman" w:hAnsi="Times New Roman"/>
          <w:b/>
          <w:sz w:val="28"/>
          <w:szCs w:val="28"/>
        </w:rPr>
        <w:t>129</w:t>
      </w:r>
      <w:r w:rsidRPr="009802BD">
        <w:rPr>
          <w:rFonts w:ascii="Times New Roman" w:eastAsia="Times New Roman" w:hAnsi="Times New Roman"/>
          <w:sz w:val="28"/>
          <w:szCs w:val="28"/>
        </w:rPr>
        <w:t xml:space="preserve"> лица. От тях – </w:t>
      </w:r>
      <w:r w:rsidRPr="009802BD">
        <w:rPr>
          <w:rFonts w:ascii="Times New Roman" w:eastAsia="Times New Roman" w:hAnsi="Times New Roman"/>
          <w:b/>
          <w:sz w:val="28"/>
          <w:szCs w:val="28"/>
        </w:rPr>
        <w:t xml:space="preserve">75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 xml:space="preserve">92 </w:t>
      </w:r>
      <w:r w:rsidRPr="009802BD">
        <w:rPr>
          <w:rFonts w:ascii="Times New Roman" w:eastAsia="Times New Roman" w:hAnsi="Times New Roman"/>
          <w:sz w:val="28"/>
          <w:szCs w:val="28"/>
        </w:rPr>
        <w:t xml:space="preserve">лица, </w:t>
      </w:r>
      <w:r w:rsidRPr="009802BD">
        <w:rPr>
          <w:rFonts w:ascii="Times New Roman" w:eastAsia="Times New Roman" w:hAnsi="Times New Roman"/>
          <w:b/>
          <w:sz w:val="28"/>
          <w:szCs w:val="28"/>
        </w:rPr>
        <w:t xml:space="preserve">20 </w:t>
      </w:r>
      <w:r w:rsidRPr="009802BD">
        <w:rPr>
          <w:rFonts w:ascii="Times New Roman" w:eastAsia="Times New Roman" w:hAnsi="Times New Roman"/>
          <w:sz w:val="28"/>
          <w:szCs w:val="28"/>
        </w:rPr>
        <w:t xml:space="preserve">споразумения срещу </w:t>
      </w:r>
      <w:r w:rsidRPr="009802BD">
        <w:rPr>
          <w:rFonts w:ascii="Times New Roman" w:eastAsia="Times New Roman" w:hAnsi="Times New Roman"/>
          <w:b/>
          <w:sz w:val="28"/>
          <w:szCs w:val="28"/>
        </w:rPr>
        <w:t xml:space="preserve">20 </w:t>
      </w:r>
      <w:r w:rsidRPr="009802BD">
        <w:rPr>
          <w:rFonts w:ascii="Times New Roman" w:eastAsia="Times New Roman" w:hAnsi="Times New Roman"/>
          <w:sz w:val="28"/>
          <w:szCs w:val="28"/>
        </w:rPr>
        <w:t xml:space="preserve">лица и </w:t>
      </w:r>
      <w:r w:rsidRPr="009802BD">
        <w:rPr>
          <w:rFonts w:ascii="Times New Roman" w:eastAsia="Times New Roman" w:hAnsi="Times New Roman"/>
          <w:b/>
          <w:sz w:val="28"/>
          <w:szCs w:val="28"/>
        </w:rPr>
        <w:t>16</w:t>
      </w:r>
      <w:r w:rsidRPr="009802BD">
        <w:rPr>
          <w:rFonts w:ascii="Times New Roman" w:eastAsia="Times New Roman" w:hAnsi="Times New Roman"/>
          <w:sz w:val="28"/>
          <w:szCs w:val="28"/>
        </w:rPr>
        <w:t xml:space="preserve"> предложения по чл.78а от НК срещу </w:t>
      </w:r>
      <w:r w:rsidRPr="009802BD">
        <w:rPr>
          <w:rFonts w:ascii="Times New Roman" w:eastAsia="Times New Roman" w:hAnsi="Times New Roman"/>
          <w:b/>
          <w:sz w:val="28"/>
          <w:szCs w:val="28"/>
        </w:rPr>
        <w:t>17</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 „Общи стопански престъпления” за престъпление по </w:t>
      </w:r>
      <w:r w:rsidRPr="009802BD">
        <w:rPr>
          <w:rFonts w:ascii="Times New Roman" w:eastAsia="Times New Roman" w:hAnsi="Times New Roman"/>
          <w:b/>
          <w:sz w:val="28"/>
          <w:szCs w:val="28"/>
        </w:rPr>
        <w:t>чл.219</w:t>
      </w:r>
      <w:r w:rsidRPr="009802BD">
        <w:rPr>
          <w:rFonts w:ascii="Times New Roman" w:eastAsia="Times New Roman" w:hAnsi="Times New Roman"/>
          <w:sz w:val="28"/>
          <w:szCs w:val="28"/>
        </w:rPr>
        <w:t xml:space="preserve">  - </w:t>
      </w:r>
      <w:r w:rsidRPr="009802BD">
        <w:rPr>
          <w:rFonts w:ascii="Times New Roman" w:eastAsia="Times New Roman" w:hAnsi="Times New Roman"/>
          <w:b/>
          <w:sz w:val="28"/>
          <w:szCs w:val="28"/>
        </w:rPr>
        <w:t>чл.227</w:t>
      </w:r>
      <w:r w:rsidRPr="009802BD">
        <w:rPr>
          <w:rFonts w:ascii="Times New Roman" w:eastAsia="Times New Roman" w:hAnsi="Times New Roman"/>
          <w:sz w:val="28"/>
          <w:szCs w:val="28"/>
        </w:rPr>
        <w:t xml:space="preserve"> от НК е внесени </w:t>
      </w:r>
      <w:r w:rsidRPr="009802BD">
        <w:rPr>
          <w:rFonts w:ascii="Times New Roman" w:eastAsia="Times New Roman" w:hAnsi="Times New Roman"/>
          <w:b/>
          <w:sz w:val="28"/>
          <w:szCs w:val="28"/>
        </w:rPr>
        <w:t>4</w:t>
      </w:r>
      <w:r w:rsidRPr="009802BD">
        <w:rPr>
          <w:rFonts w:ascii="Times New Roman" w:eastAsia="Times New Roman" w:hAnsi="Times New Roman"/>
          <w:sz w:val="28"/>
          <w:szCs w:val="28"/>
        </w:rPr>
        <w:t xml:space="preserve"> обвинителни актове срещу </w:t>
      </w:r>
      <w:r w:rsidRPr="009802BD">
        <w:rPr>
          <w:rFonts w:ascii="Times New Roman" w:eastAsia="Times New Roman" w:hAnsi="Times New Roman"/>
          <w:b/>
          <w:sz w:val="28"/>
          <w:szCs w:val="28"/>
        </w:rPr>
        <w:t>9</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престъпления по Раздел І а „Престъпления против кредиторите“ – по </w:t>
      </w:r>
      <w:r w:rsidRPr="009802BD">
        <w:rPr>
          <w:rFonts w:ascii="Times New Roman" w:eastAsia="Times New Roman" w:hAnsi="Times New Roman"/>
          <w:b/>
          <w:sz w:val="28"/>
          <w:szCs w:val="28"/>
        </w:rPr>
        <w:t>чл.227б</w:t>
      </w:r>
      <w:r w:rsidRPr="009802BD">
        <w:rPr>
          <w:rFonts w:ascii="Times New Roman" w:eastAsia="Times New Roman" w:hAnsi="Times New Roman"/>
          <w:sz w:val="28"/>
          <w:szCs w:val="28"/>
        </w:rPr>
        <w:t xml:space="preserve"> от НК, са внесени в съда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броя обвинителни акта срещу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лица,</w:t>
      </w:r>
      <w:r w:rsidRPr="009802BD">
        <w:rPr>
          <w:rFonts w:ascii="Times New Roman" w:eastAsia="Times New Roman" w:hAnsi="Times New Roman"/>
          <w:b/>
          <w:sz w:val="28"/>
          <w:szCs w:val="28"/>
        </w:rPr>
        <w:t xml:space="preserve"> 1</w:t>
      </w:r>
      <w:r w:rsidRPr="009802BD">
        <w:rPr>
          <w:rFonts w:ascii="Times New Roman" w:eastAsia="Times New Roman" w:hAnsi="Times New Roman"/>
          <w:sz w:val="28"/>
          <w:szCs w:val="28"/>
        </w:rPr>
        <w:t xml:space="preserve"> споразумение срещу</w:t>
      </w:r>
      <w:r w:rsidRPr="009802BD">
        <w:rPr>
          <w:rFonts w:ascii="Times New Roman" w:eastAsia="Times New Roman" w:hAnsi="Times New Roman"/>
          <w:b/>
          <w:sz w:val="28"/>
          <w:szCs w:val="28"/>
        </w:rPr>
        <w:t xml:space="preserve"> 1</w:t>
      </w:r>
      <w:r w:rsidRPr="009802BD">
        <w:rPr>
          <w:rFonts w:ascii="Times New Roman" w:eastAsia="Times New Roman" w:hAnsi="Times New Roman"/>
          <w:sz w:val="28"/>
          <w:szCs w:val="28"/>
        </w:rPr>
        <w:t xml:space="preserve"> лице и </w:t>
      </w:r>
      <w:r w:rsidRPr="009802BD">
        <w:rPr>
          <w:rFonts w:ascii="Times New Roman" w:eastAsia="Times New Roman" w:hAnsi="Times New Roman"/>
          <w:b/>
          <w:sz w:val="28"/>
          <w:szCs w:val="28"/>
        </w:rPr>
        <w:t>14</w:t>
      </w:r>
      <w:r w:rsidRPr="009802BD">
        <w:rPr>
          <w:rFonts w:ascii="Times New Roman" w:eastAsia="Times New Roman" w:hAnsi="Times New Roman"/>
          <w:sz w:val="28"/>
          <w:szCs w:val="28"/>
        </w:rPr>
        <w:t xml:space="preserve"> предложения по чл.78а от НК срещу </w:t>
      </w:r>
      <w:r w:rsidRPr="009802BD">
        <w:rPr>
          <w:rFonts w:ascii="Times New Roman" w:eastAsia="Times New Roman" w:hAnsi="Times New Roman"/>
          <w:b/>
          <w:sz w:val="28"/>
          <w:szCs w:val="28"/>
        </w:rPr>
        <w:t>15</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ІІ „Престъпления в отделни стопански отрасли“ – по </w:t>
      </w:r>
      <w:r w:rsidRPr="009802BD">
        <w:rPr>
          <w:rFonts w:ascii="Times New Roman" w:eastAsia="Times New Roman" w:hAnsi="Times New Roman"/>
          <w:b/>
          <w:sz w:val="28"/>
          <w:szCs w:val="28"/>
        </w:rPr>
        <w:t>чл.234</w:t>
      </w:r>
      <w:r w:rsidRPr="009802BD">
        <w:rPr>
          <w:rFonts w:ascii="Times New Roman" w:eastAsia="Times New Roman" w:hAnsi="Times New Roman"/>
          <w:sz w:val="28"/>
          <w:szCs w:val="28"/>
        </w:rPr>
        <w:t xml:space="preserve"> от НК са внесени </w:t>
      </w:r>
      <w:r w:rsidRPr="009802BD">
        <w:rPr>
          <w:rFonts w:ascii="Times New Roman" w:eastAsia="Times New Roman" w:hAnsi="Times New Roman"/>
          <w:b/>
          <w:sz w:val="28"/>
          <w:szCs w:val="28"/>
        </w:rPr>
        <w:t>26</w:t>
      </w:r>
      <w:r w:rsidRPr="009802BD">
        <w:rPr>
          <w:rFonts w:ascii="Times New Roman" w:eastAsia="Times New Roman" w:hAnsi="Times New Roman"/>
          <w:sz w:val="28"/>
          <w:szCs w:val="28"/>
        </w:rPr>
        <w:t xml:space="preserve"> обвинителни акта срещу </w:t>
      </w:r>
      <w:r w:rsidRPr="009802BD">
        <w:rPr>
          <w:rFonts w:ascii="Times New Roman" w:eastAsia="Times New Roman" w:hAnsi="Times New Roman"/>
          <w:b/>
          <w:sz w:val="28"/>
          <w:szCs w:val="28"/>
        </w:rPr>
        <w:t>26</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6</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w:t>
      </w:r>
      <w:r w:rsidRPr="009802BD">
        <w:rPr>
          <w:rFonts w:ascii="Times New Roman" w:eastAsia="Times New Roman" w:hAnsi="Times New Roman"/>
          <w:b/>
          <w:sz w:val="28"/>
          <w:szCs w:val="28"/>
        </w:rPr>
        <w:t>чл.234в</w:t>
      </w:r>
      <w:r w:rsidRPr="009802BD">
        <w:rPr>
          <w:rFonts w:ascii="Times New Roman" w:eastAsia="Times New Roman" w:hAnsi="Times New Roman"/>
          <w:sz w:val="28"/>
          <w:szCs w:val="28"/>
        </w:rPr>
        <w:t xml:space="preserve"> от НК е внесен </w:t>
      </w:r>
      <w:r w:rsidRPr="009802BD">
        <w:rPr>
          <w:rFonts w:ascii="Times New Roman" w:eastAsia="Times New Roman" w:hAnsi="Times New Roman"/>
          <w:b/>
          <w:sz w:val="28"/>
          <w:szCs w:val="28"/>
        </w:rPr>
        <w:t>1</w:t>
      </w:r>
      <w:r w:rsidRPr="009802BD">
        <w:rPr>
          <w:rFonts w:ascii="Times New Roman" w:eastAsia="Times New Roman" w:hAnsi="Times New Roman"/>
          <w:sz w:val="28"/>
          <w:szCs w:val="28"/>
        </w:rPr>
        <w:t xml:space="preserve"> брой обвинителен акт срещу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ІІІ „Престъпления против митническия режим“ – по </w:t>
      </w:r>
      <w:r w:rsidRPr="009802BD">
        <w:rPr>
          <w:rFonts w:ascii="Times New Roman" w:eastAsia="Times New Roman" w:hAnsi="Times New Roman"/>
          <w:b/>
          <w:sz w:val="28"/>
          <w:szCs w:val="28"/>
        </w:rPr>
        <w:t>чл.242 от НК</w:t>
      </w:r>
      <w:r w:rsidRPr="009802BD">
        <w:rPr>
          <w:rFonts w:ascii="Times New Roman" w:eastAsia="Times New Roman" w:hAnsi="Times New Roman"/>
          <w:sz w:val="28"/>
          <w:szCs w:val="28"/>
        </w:rPr>
        <w:t xml:space="preserve"> има внесени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обвинителни актове срещу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лица.</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ІV „Престъпления против паричната и кредитната система” – по чл.243 – чл.252 от НК са внесени в съда </w:t>
      </w:r>
      <w:r w:rsidRPr="009802BD">
        <w:rPr>
          <w:rFonts w:ascii="Times New Roman" w:eastAsia="Times New Roman" w:hAnsi="Times New Roman"/>
          <w:b/>
          <w:sz w:val="28"/>
          <w:szCs w:val="28"/>
        </w:rPr>
        <w:t xml:space="preserve">36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48</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 xml:space="preserve">13 </w:t>
      </w:r>
      <w:r w:rsidRPr="009802BD">
        <w:rPr>
          <w:rFonts w:ascii="Times New Roman" w:eastAsia="Times New Roman" w:hAnsi="Times New Roman"/>
          <w:sz w:val="28"/>
          <w:szCs w:val="28"/>
        </w:rPr>
        <w:t xml:space="preserve">броя споразумения срещу </w:t>
      </w:r>
      <w:r w:rsidRPr="009802BD">
        <w:rPr>
          <w:rFonts w:ascii="Times New Roman" w:eastAsia="Times New Roman" w:hAnsi="Times New Roman"/>
          <w:b/>
          <w:sz w:val="28"/>
          <w:szCs w:val="28"/>
        </w:rPr>
        <w:t>13</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2</w:t>
      </w:r>
      <w:r w:rsidRPr="009802BD">
        <w:rPr>
          <w:rFonts w:ascii="Times New Roman" w:eastAsia="Times New Roman" w:hAnsi="Times New Roman"/>
          <w:sz w:val="28"/>
          <w:szCs w:val="28"/>
        </w:rPr>
        <w:t xml:space="preserve"> предложения по чл.78а от НК срещу</w:t>
      </w:r>
      <w:r w:rsidRPr="009802BD">
        <w:rPr>
          <w:rFonts w:ascii="Times New Roman" w:eastAsia="Times New Roman" w:hAnsi="Times New Roman"/>
          <w:b/>
          <w:sz w:val="28"/>
          <w:szCs w:val="28"/>
        </w:rPr>
        <w:t xml:space="preserve"> 2</w:t>
      </w:r>
      <w:r w:rsidRPr="009802BD">
        <w:rPr>
          <w:rFonts w:ascii="Times New Roman" w:eastAsia="Times New Roman" w:hAnsi="Times New Roman"/>
          <w:sz w:val="28"/>
          <w:szCs w:val="28"/>
        </w:rPr>
        <w:t xml:space="preserve"> лица.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 xml:space="preserve">Глава VІІ – „Престъпления против финансовата, данъчната и осигурителната системи”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са внесени в съда </w:t>
      </w:r>
      <w:r w:rsidRPr="009802BD">
        <w:rPr>
          <w:rFonts w:ascii="Times New Roman" w:eastAsia="Times New Roman" w:hAnsi="Times New Roman"/>
          <w:b/>
          <w:sz w:val="28"/>
          <w:szCs w:val="28"/>
        </w:rPr>
        <w:t>33</w:t>
      </w:r>
      <w:r w:rsidRPr="009802BD">
        <w:rPr>
          <w:rFonts w:ascii="Times New Roman" w:eastAsia="Times New Roman" w:hAnsi="Times New Roman"/>
          <w:sz w:val="28"/>
          <w:szCs w:val="28"/>
        </w:rPr>
        <w:t xml:space="preserve"> броя прокурорски акта</w:t>
      </w:r>
      <w:r w:rsidRPr="009802BD">
        <w:rPr>
          <w:rFonts w:ascii="Times New Roman" w:hAnsi="Times New Roman"/>
          <w:sz w:val="28"/>
          <w:szCs w:val="28"/>
        </w:rPr>
        <w:t xml:space="preserve"> </w:t>
      </w:r>
      <w:r w:rsidRPr="009802BD">
        <w:rPr>
          <w:rFonts w:ascii="Times New Roman" w:eastAsia="Times New Roman" w:hAnsi="Times New Roman"/>
          <w:sz w:val="28"/>
          <w:szCs w:val="28"/>
        </w:rPr>
        <w:t xml:space="preserve">срещу </w:t>
      </w:r>
      <w:r w:rsidRPr="009802BD">
        <w:rPr>
          <w:rFonts w:ascii="Times New Roman" w:eastAsia="Times New Roman" w:hAnsi="Times New Roman"/>
          <w:b/>
          <w:sz w:val="28"/>
          <w:szCs w:val="28"/>
        </w:rPr>
        <w:t>41</w:t>
      </w:r>
      <w:r w:rsidRPr="009802BD">
        <w:rPr>
          <w:rFonts w:ascii="Times New Roman" w:eastAsia="Times New Roman" w:hAnsi="Times New Roman"/>
          <w:sz w:val="28"/>
          <w:szCs w:val="28"/>
        </w:rPr>
        <w:t xml:space="preserve"> лица, като от тях </w:t>
      </w:r>
      <w:r w:rsidRPr="009802BD">
        <w:rPr>
          <w:rFonts w:ascii="Times New Roman" w:eastAsia="Times New Roman" w:hAnsi="Times New Roman"/>
          <w:b/>
          <w:sz w:val="28"/>
          <w:szCs w:val="28"/>
        </w:rPr>
        <w:t>30</w:t>
      </w:r>
      <w:r w:rsidRPr="009802BD">
        <w:rPr>
          <w:rFonts w:ascii="Times New Roman" w:eastAsia="Times New Roman" w:hAnsi="Times New Roman"/>
          <w:sz w:val="28"/>
          <w:szCs w:val="28"/>
        </w:rPr>
        <w:t xml:space="preserve"> броя обвинителни акта срещу </w:t>
      </w:r>
      <w:r w:rsidRPr="009802BD">
        <w:rPr>
          <w:rFonts w:ascii="Times New Roman" w:eastAsia="Times New Roman" w:hAnsi="Times New Roman"/>
          <w:b/>
          <w:sz w:val="28"/>
          <w:szCs w:val="28"/>
        </w:rPr>
        <w:t>38</w:t>
      </w:r>
      <w:r w:rsidRPr="009802BD">
        <w:rPr>
          <w:rFonts w:ascii="Times New Roman" w:eastAsia="Times New Roman" w:hAnsi="Times New Roman"/>
          <w:sz w:val="28"/>
          <w:szCs w:val="28"/>
        </w:rPr>
        <w:t xml:space="preserve"> лица</w:t>
      </w:r>
      <w:r w:rsidRPr="009802BD">
        <w:rPr>
          <w:rFonts w:ascii="Times New Roman" w:hAnsi="Times New Roman"/>
          <w:sz w:val="28"/>
          <w:szCs w:val="28"/>
        </w:rPr>
        <w:t xml:space="preserve"> </w:t>
      </w:r>
      <w:r w:rsidRPr="009802BD">
        <w:rPr>
          <w:rFonts w:ascii="Times New Roman" w:eastAsia="Times New Roman" w:hAnsi="Times New Roman"/>
          <w:sz w:val="28"/>
          <w:szCs w:val="28"/>
        </w:rPr>
        <w:t>и</w:t>
      </w:r>
      <w:r w:rsidRPr="009802BD">
        <w:rPr>
          <w:rFonts w:ascii="Times New Roman" w:eastAsia="Times New Roman" w:hAnsi="Times New Roman"/>
          <w:b/>
          <w:sz w:val="28"/>
          <w:szCs w:val="28"/>
        </w:rPr>
        <w:t xml:space="preserve"> 3</w:t>
      </w:r>
      <w:r w:rsidRPr="009802BD">
        <w:rPr>
          <w:rFonts w:ascii="Times New Roman" w:eastAsia="Times New Roman" w:hAnsi="Times New Roman"/>
          <w:sz w:val="28"/>
          <w:szCs w:val="28"/>
        </w:rPr>
        <w:t xml:space="preserve"> предложения по чл.78а от НК срещу</w:t>
      </w:r>
      <w:r w:rsidRPr="009802BD">
        <w:rPr>
          <w:rFonts w:ascii="Times New Roman" w:eastAsia="Times New Roman" w:hAnsi="Times New Roman"/>
          <w:b/>
          <w:sz w:val="28"/>
          <w:szCs w:val="28"/>
        </w:rPr>
        <w:t xml:space="preserve"> 3</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color w:val="0070C0"/>
          <w:sz w:val="28"/>
          <w:szCs w:val="28"/>
        </w:rPr>
      </w:pPr>
      <w:r w:rsidRPr="009802BD">
        <w:rPr>
          <w:rFonts w:ascii="Times New Roman" w:eastAsia="Times New Roman" w:hAnsi="Times New Roman"/>
          <w:sz w:val="28"/>
          <w:szCs w:val="28"/>
        </w:rPr>
        <w:t xml:space="preserve">За престъпление по </w:t>
      </w:r>
      <w:r w:rsidRPr="009802BD">
        <w:rPr>
          <w:rFonts w:ascii="Times New Roman" w:eastAsia="Times New Roman" w:hAnsi="Times New Roman"/>
          <w:b/>
          <w:sz w:val="28"/>
          <w:szCs w:val="28"/>
        </w:rPr>
        <w:t>чл.253 от НК</w:t>
      </w:r>
      <w:r w:rsidRPr="009802BD">
        <w:rPr>
          <w:rFonts w:ascii="Times New Roman" w:eastAsia="Times New Roman" w:hAnsi="Times New Roman"/>
          <w:sz w:val="28"/>
          <w:szCs w:val="28"/>
        </w:rPr>
        <w:t xml:space="preserve"> са внесени</w:t>
      </w:r>
      <w:r w:rsidRPr="009802BD">
        <w:rPr>
          <w:rFonts w:ascii="Times New Roman" w:eastAsia="Times New Roman" w:hAnsi="Times New Roman"/>
          <w:b/>
          <w:sz w:val="28"/>
          <w:szCs w:val="28"/>
        </w:rPr>
        <w:t xml:space="preserve"> 3</w:t>
      </w:r>
      <w:r w:rsidRPr="009802BD">
        <w:rPr>
          <w:rFonts w:ascii="Times New Roman" w:eastAsia="Times New Roman" w:hAnsi="Times New Roman"/>
          <w:sz w:val="28"/>
          <w:szCs w:val="28"/>
        </w:rPr>
        <w:t xml:space="preserve"> обвинителни акта срещу </w:t>
      </w:r>
      <w:r w:rsidRPr="009802BD">
        <w:rPr>
          <w:rFonts w:ascii="Times New Roman" w:eastAsia="Times New Roman" w:hAnsi="Times New Roman"/>
          <w:b/>
          <w:sz w:val="28"/>
          <w:szCs w:val="28"/>
        </w:rPr>
        <w:t xml:space="preserve">4 </w:t>
      </w:r>
      <w:r w:rsidRPr="009802BD">
        <w:rPr>
          <w:rFonts w:ascii="Times New Roman" w:eastAsia="Times New Roman" w:hAnsi="Times New Roman"/>
          <w:sz w:val="28"/>
          <w:szCs w:val="28"/>
        </w:rPr>
        <w:t>лица.</w:t>
      </w:r>
      <w:r w:rsidRPr="009802BD">
        <w:rPr>
          <w:rFonts w:ascii="Times New Roman" w:eastAsia="Times New Roman" w:hAnsi="Times New Roman"/>
          <w:color w:val="0070C0"/>
          <w:sz w:val="28"/>
          <w:szCs w:val="28"/>
        </w:rPr>
        <w:t xml:space="preserve">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lastRenderedPageBreak/>
        <w:t xml:space="preserve">По </w:t>
      </w:r>
      <w:r w:rsidRPr="009802BD">
        <w:rPr>
          <w:rFonts w:ascii="Times New Roman" w:eastAsia="Times New Roman" w:hAnsi="Times New Roman"/>
          <w:b/>
          <w:sz w:val="28"/>
          <w:szCs w:val="28"/>
        </w:rPr>
        <w:t>чл.255 от НК</w:t>
      </w:r>
      <w:r w:rsidRPr="009802BD">
        <w:rPr>
          <w:rFonts w:ascii="Times New Roman" w:eastAsia="Times New Roman" w:hAnsi="Times New Roman"/>
          <w:sz w:val="28"/>
          <w:szCs w:val="28"/>
        </w:rPr>
        <w:t xml:space="preserve"> са внесени </w:t>
      </w:r>
      <w:r w:rsidRPr="009802BD">
        <w:rPr>
          <w:rFonts w:ascii="Times New Roman" w:eastAsia="Times New Roman" w:hAnsi="Times New Roman"/>
          <w:b/>
          <w:sz w:val="28"/>
          <w:szCs w:val="28"/>
        </w:rPr>
        <w:t>27</w:t>
      </w:r>
      <w:r w:rsidRPr="009802BD">
        <w:rPr>
          <w:rFonts w:ascii="Times New Roman" w:eastAsia="Times New Roman" w:hAnsi="Times New Roman"/>
          <w:sz w:val="28"/>
          <w:szCs w:val="28"/>
        </w:rPr>
        <w:t xml:space="preserve"> обвинителни акта спрямо </w:t>
      </w:r>
      <w:r w:rsidRPr="009802BD">
        <w:rPr>
          <w:rFonts w:ascii="Times New Roman" w:eastAsia="Times New Roman" w:hAnsi="Times New Roman"/>
          <w:b/>
          <w:sz w:val="28"/>
          <w:szCs w:val="28"/>
        </w:rPr>
        <w:t xml:space="preserve">34 </w:t>
      </w:r>
      <w:r w:rsidRPr="009802BD">
        <w:rPr>
          <w:rFonts w:ascii="Times New Roman" w:eastAsia="Times New Roman" w:hAnsi="Times New Roman"/>
          <w:sz w:val="28"/>
          <w:szCs w:val="28"/>
        </w:rPr>
        <w:t>лица и</w:t>
      </w:r>
      <w:r w:rsidRPr="009802BD">
        <w:rPr>
          <w:rFonts w:ascii="Times New Roman" w:eastAsia="Times New Roman" w:hAnsi="Times New Roman"/>
          <w:b/>
          <w:sz w:val="28"/>
          <w:szCs w:val="28"/>
        </w:rPr>
        <w:t xml:space="preserve"> 3 </w:t>
      </w:r>
      <w:r w:rsidRPr="009802BD">
        <w:rPr>
          <w:rFonts w:ascii="Times New Roman" w:eastAsia="Times New Roman" w:hAnsi="Times New Roman"/>
          <w:sz w:val="28"/>
          <w:szCs w:val="28"/>
        </w:rPr>
        <w:t>предложения по чл.78а от НК срещу</w:t>
      </w:r>
      <w:r w:rsidRPr="009802BD">
        <w:rPr>
          <w:rFonts w:ascii="Times New Roman" w:eastAsia="Times New Roman" w:hAnsi="Times New Roman"/>
          <w:b/>
          <w:sz w:val="28"/>
          <w:szCs w:val="28"/>
        </w:rPr>
        <w:t xml:space="preserve"> 3</w:t>
      </w:r>
      <w:r w:rsidRPr="009802BD">
        <w:rPr>
          <w:rFonts w:ascii="Times New Roman" w:eastAsia="Times New Roman" w:hAnsi="Times New Roman"/>
          <w:sz w:val="28"/>
          <w:szCs w:val="28"/>
        </w:rPr>
        <w:t xml:space="preserve"> лица.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престъпление по </w:t>
      </w:r>
      <w:r w:rsidRPr="009802BD">
        <w:rPr>
          <w:rFonts w:ascii="Times New Roman" w:eastAsia="Times New Roman" w:hAnsi="Times New Roman"/>
          <w:b/>
          <w:sz w:val="28"/>
          <w:szCs w:val="28"/>
        </w:rPr>
        <w:t>чл.256 от НК</w:t>
      </w:r>
      <w:r w:rsidRPr="009802BD">
        <w:rPr>
          <w:rFonts w:ascii="Times New Roman" w:eastAsia="Times New Roman" w:hAnsi="Times New Roman"/>
          <w:sz w:val="28"/>
          <w:szCs w:val="28"/>
        </w:rPr>
        <w:t>/ след изм. ДВ 75/06/ няма внесени прокурорски актове в съдът.</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престъпление по </w:t>
      </w:r>
      <w:r w:rsidRPr="009802BD">
        <w:rPr>
          <w:rFonts w:ascii="Times New Roman" w:eastAsia="Times New Roman" w:hAnsi="Times New Roman"/>
          <w:b/>
          <w:sz w:val="28"/>
          <w:szCs w:val="28"/>
        </w:rPr>
        <w:t>чл.258 от НК</w:t>
      </w:r>
      <w:r w:rsidRPr="009802BD">
        <w:rPr>
          <w:rFonts w:ascii="Times New Roman" w:eastAsia="Times New Roman" w:hAnsi="Times New Roman"/>
          <w:sz w:val="28"/>
          <w:szCs w:val="28"/>
        </w:rPr>
        <w:t xml:space="preserve"> няма внесени прокурорски актове в съдът.</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VІІІ – „Престъпления против дейността на държавни органи, обществени организации и лица изпълняващи публични функции”.</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2021 г. са внесени в съда </w:t>
      </w:r>
      <w:r w:rsidRPr="009802BD">
        <w:rPr>
          <w:rFonts w:ascii="Times New Roman" w:eastAsia="Times New Roman" w:hAnsi="Times New Roman"/>
          <w:b/>
          <w:sz w:val="28"/>
          <w:szCs w:val="28"/>
        </w:rPr>
        <w:t>60</w:t>
      </w:r>
      <w:r w:rsidRPr="009802BD">
        <w:rPr>
          <w:rFonts w:ascii="Times New Roman" w:eastAsia="Times New Roman" w:hAnsi="Times New Roman"/>
          <w:sz w:val="28"/>
          <w:szCs w:val="28"/>
        </w:rPr>
        <w:t xml:space="preserve"> броя</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прокурорски актове</w:t>
      </w:r>
      <w:r w:rsidRPr="009802BD">
        <w:rPr>
          <w:rFonts w:ascii="Times New Roman" w:hAnsi="Times New Roman"/>
          <w:sz w:val="28"/>
          <w:szCs w:val="28"/>
        </w:rPr>
        <w:t xml:space="preserve"> </w:t>
      </w:r>
      <w:r w:rsidRPr="009802BD">
        <w:rPr>
          <w:rFonts w:ascii="Times New Roman" w:eastAsia="Times New Roman" w:hAnsi="Times New Roman"/>
          <w:sz w:val="28"/>
          <w:szCs w:val="28"/>
        </w:rPr>
        <w:t xml:space="preserve">срещу </w:t>
      </w:r>
      <w:r w:rsidRPr="009802BD">
        <w:rPr>
          <w:rFonts w:ascii="Times New Roman" w:eastAsia="Times New Roman" w:hAnsi="Times New Roman"/>
          <w:b/>
          <w:sz w:val="28"/>
          <w:szCs w:val="28"/>
        </w:rPr>
        <w:t xml:space="preserve">66 </w:t>
      </w:r>
      <w:r w:rsidRPr="009802BD">
        <w:rPr>
          <w:rFonts w:ascii="Times New Roman" w:eastAsia="Times New Roman" w:hAnsi="Times New Roman"/>
          <w:sz w:val="28"/>
          <w:szCs w:val="28"/>
        </w:rPr>
        <w:t xml:space="preserve">лица. От тях </w:t>
      </w:r>
      <w:r w:rsidRPr="009802BD">
        <w:rPr>
          <w:rFonts w:ascii="Times New Roman" w:eastAsia="Times New Roman" w:hAnsi="Times New Roman"/>
          <w:b/>
          <w:sz w:val="28"/>
          <w:szCs w:val="28"/>
        </w:rPr>
        <w:t>32</w:t>
      </w:r>
      <w:r w:rsidRPr="009802BD">
        <w:rPr>
          <w:rFonts w:ascii="Times New Roman" w:eastAsia="Times New Roman" w:hAnsi="Times New Roman"/>
          <w:sz w:val="28"/>
          <w:szCs w:val="28"/>
        </w:rPr>
        <w:t xml:space="preserve"> брой обвинителни актове срещу </w:t>
      </w:r>
      <w:r w:rsidRPr="009802BD">
        <w:rPr>
          <w:rFonts w:ascii="Times New Roman" w:eastAsia="Times New Roman" w:hAnsi="Times New Roman"/>
          <w:b/>
          <w:sz w:val="28"/>
          <w:szCs w:val="28"/>
        </w:rPr>
        <w:t xml:space="preserve">35 </w:t>
      </w:r>
      <w:r w:rsidRPr="009802BD">
        <w:rPr>
          <w:rFonts w:ascii="Times New Roman" w:eastAsia="Times New Roman" w:hAnsi="Times New Roman"/>
          <w:sz w:val="28"/>
          <w:szCs w:val="28"/>
        </w:rPr>
        <w:t xml:space="preserve">лица, </w:t>
      </w:r>
      <w:r w:rsidRPr="009802BD">
        <w:rPr>
          <w:rFonts w:ascii="Times New Roman" w:eastAsia="Times New Roman" w:hAnsi="Times New Roman"/>
          <w:b/>
          <w:sz w:val="28"/>
          <w:szCs w:val="28"/>
        </w:rPr>
        <w:t xml:space="preserve">13 </w:t>
      </w:r>
      <w:r w:rsidRPr="009802BD">
        <w:rPr>
          <w:rFonts w:ascii="Times New Roman" w:eastAsia="Times New Roman" w:hAnsi="Times New Roman"/>
          <w:sz w:val="28"/>
          <w:szCs w:val="28"/>
        </w:rPr>
        <w:t xml:space="preserve">споразумения срещу </w:t>
      </w:r>
      <w:r w:rsidRPr="009802BD">
        <w:rPr>
          <w:rFonts w:ascii="Times New Roman" w:eastAsia="Times New Roman" w:hAnsi="Times New Roman"/>
          <w:b/>
          <w:sz w:val="28"/>
          <w:szCs w:val="28"/>
        </w:rPr>
        <w:t xml:space="preserve">16 </w:t>
      </w:r>
      <w:r w:rsidRPr="009802BD">
        <w:rPr>
          <w:rFonts w:ascii="Times New Roman" w:eastAsia="Times New Roman" w:hAnsi="Times New Roman"/>
          <w:sz w:val="28"/>
          <w:szCs w:val="28"/>
        </w:rPr>
        <w:t xml:space="preserve">лица и </w:t>
      </w:r>
      <w:r w:rsidRPr="009802BD">
        <w:rPr>
          <w:rFonts w:ascii="Times New Roman" w:eastAsia="Times New Roman" w:hAnsi="Times New Roman"/>
          <w:b/>
          <w:sz w:val="28"/>
          <w:szCs w:val="28"/>
        </w:rPr>
        <w:t>15</w:t>
      </w:r>
      <w:r w:rsidRPr="009802BD">
        <w:rPr>
          <w:rFonts w:ascii="Times New Roman" w:eastAsia="Times New Roman" w:hAnsi="Times New Roman"/>
          <w:sz w:val="28"/>
          <w:szCs w:val="28"/>
        </w:rPr>
        <w:t xml:space="preserve"> броя предложения по чл.78а от НК срещу </w:t>
      </w:r>
      <w:r w:rsidRPr="009802BD">
        <w:rPr>
          <w:rFonts w:ascii="Times New Roman" w:eastAsia="Times New Roman" w:hAnsi="Times New Roman"/>
          <w:b/>
          <w:sz w:val="28"/>
          <w:szCs w:val="28"/>
        </w:rPr>
        <w:t>15</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за престъпления по Раздел І „Престъпления против реда на управлението” </w:t>
      </w:r>
      <w:r w:rsidRPr="009802BD">
        <w:rPr>
          <w:rFonts w:ascii="Times New Roman" w:eastAsia="Times New Roman" w:hAnsi="Times New Roman"/>
          <w:b/>
          <w:sz w:val="28"/>
          <w:szCs w:val="28"/>
        </w:rPr>
        <w:t>по чл.269 - 281</w:t>
      </w:r>
      <w:r w:rsidRPr="009802BD">
        <w:rPr>
          <w:rFonts w:ascii="Times New Roman" w:eastAsia="Times New Roman" w:hAnsi="Times New Roman"/>
          <w:sz w:val="28"/>
          <w:szCs w:val="28"/>
        </w:rPr>
        <w:t xml:space="preserve"> от НК са внесени в съда </w:t>
      </w:r>
      <w:r w:rsidRPr="009802BD">
        <w:rPr>
          <w:rFonts w:ascii="Times New Roman" w:eastAsia="Times New Roman" w:hAnsi="Times New Roman"/>
          <w:b/>
          <w:sz w:val="28"/>
          <w:szCs w:val="28"/>
        </w:rPr>
        <w:t xml:space="preserve">5 </w:t>
      </w:r>
      <w:r w:rsidRPr="009802BD">
        <w:rPr>
          <w:rFonts w:ascii="Times New Roman" w:eastAsia="Times New Roman" w:hAnsi="Times New Roman"/>
          <w:sz w:val="28"/>
          <w:szCs w:val="28"/>
        </w:rPr>
        <w:t xml:space="preserve">обвинителни актове срещу </w:t>
      </w:r>
      <w:r w:rsidRPr="009802BD">
        <w:rPr>
          <w:rFonts w:ascii="Times New Roman" w:eastAsia="Times New Roman" w:hAnsi="Times New Roman"/>
          <w:b/>
          <w:sz w:val="28"/>
          <w:szCs w:val="28"/>
        </w:rPr>
        <w:t>5</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12</w:t>
      </w:r>
      <w:r w:rsidRPr="009802BD">
        <w:rPr>
          <w:rFonts w:ascii="Times New Roman" w:eastAsia="Times New Roman" w:hAnsi="Times New Roman"/>
          <w:sz w:val="28"/>
          <w:szCs w:val="28"/>
        </w:rPr>
        <w:t xml:space="preserve"> споразумения срещу </w:t>
      </w:r>
      <w:r w:rsidRPr="009802BD">
        <w:rPr>
          <w:rFonts w:ascii="Times New Roman" w:eastAsia="Times New Roman" w:hAnsi="Times New Roman"/>
          <w:b/>
          <w:sz w:val="28"/>
          <w:szCs w:val="28"/>
        </w:rPr>
        <w:t>15</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5</w:t>
      </w:r>
      <w:r w:rsidRPr="009802BD">
        <w:rPr>
          <w:rFonts w:ascii="Times New Roman" w:eastAsia="Times New Roman" w:hAnsi="Times New Roman"/>
          <w:sz w:val="28"/>
          <w:szCs w:val="28"/>
        </w:rPr>
        <w:t xml:space="preserve"> предложения по чл.78а от НК срещу</w:t>
      </w:r>
      <w:r w:rsidRPr="009802BD">
        <w:rPr>
          <w:rFonts w:ascii="Times New Roman" w:eastAsia="Times New Roman" w:hAnsi="Times New Roman"/>
          <w:b/>
          <w:sz w:val="28"/>
          <w:szCs w:val="28"/>
        </w:rPr>
        <w:t xml:space="preserve"> 5</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престъпления по Раздел ІІ „Престъпления по служба“ са внесени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 xml:space="preserve">обвинителен акт срещу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престъпления </w:t>
      </w:r>
      <w:r w:rsidRPr="009802BD">
        <w:rPr>
          <w:rFonts w:ascii="Times New Roman" w:eastAsia="Times New Roman" w:hAnsi="Times New Roman"/>
          <w:b/>
          <w:sz w:val="28"/>
          <w:szCs w:val="28"/>
        </w:rPr>
        <w:t>по чл.286 – чл.299</w:t>
      </w:r>
      <w:r w:rsidRPr="009802BD">
        <w:rPr>
          <w:rFonts w:ascii="Times New Roman" w:eastAsia="Times New Roman" w:hAnsi="Times New Roman"/>
          <w:sz w:val="28"/>
          <w:szCs w:val="28"/>
        </w:rPr>
        <w:t xml:space="preserve"> от НК от Раздел ІІІ „Престъпления против правосъдието” са внесени </w:t>
      </w:r>
      <w:r w:rsidRPr="009802BD">
        <w:rPr>
          <w:rFonts w:ascii="Times New Roman" w:eastAsia="Times New Roman" w:hAnsi="Times New Roman"/>
          <w:b/>
          <w:sz w:val="28"/>
          <w:szCs w:val="28"/>
        </w:rPr>
        <w:t xml:space="preserve">18 </w:t>
      </w:r>
      <w:r w:rsidRPr="009802BD">
        <w:rPr>
          <w:rFonts w:ascii="Times New Roman" w:eastAsia="Times New Roman" w:hAnsi="Times New Roman"/>
          <w:sz w:val="28"/>
          <w:szCs w:val="28"/>
        </w:rPr>
        <w:t xml:space="preserve">обвинителни акта срещу </w:t>
      </w:r>
      <w:r w:rsidRPr="009802BD">
        <w:rPr>
          <w:rFonts w:ascii="Times New Roman" w:eastAsia="Times New Roman" w:hAnsi="Times New Roman"/>
          <w:b/>
          <w:sz w:val="28"/>
          <w:szCs w:val="28"/>
        </w:rPr>
        <w:t>20</w:t>
      </w:r>
      <w:r w:rsidRPr="009802BD">
        <w:rPr>
          <w:rFonts w:ascii="Times New Roman" w:eastAsia="Times New Roman" w:hAnsi="Times New Roman"/>
          <w:sz w:val="28"/>
          <w:szCs w:val="28"/>
        </w:rPr>
        <w:t xml:space="preserve"> лица, споразумения </w:t>
      </w:r>
      <w:r w:rsidRPr="009802BD">
        <w:rPr>
          <w:rFonts w:ascii="Times New Roman" w:eastAsia="Times New Roman" w:hAnsi="Times New Roman"/>
          <w:color w:val="0070C0"/>
          <w:sz w:val="28"/>
          <w:szCs w:val="28"/>
        </w:rPr>
        <w:t xml:space="preserve">– </w:t>
      </w:r>
      <w:r w:rsidRPr="009802BD">
        <w:rPr>
          <w:rFonts w:ascii="Times New Roman" w:eastAsia="Times New Roman" w:hAnsi="Times New Roman"/>
          <w:b/>
          <w:sz w:val="28"/>
          <w:szCs w:val="28"/>
        </w:rPr>
        <w:t>3</w:t>
      </w:r>
      <w:r w:rsidRPr="009802BD">
        <w:rPr>
          <w:rFonts w:ascii="Times New Roman" w:eastAsia="Times New Roman" w:hAnsi="Times New Roman"/>
          <w:sz w:val="28"/>
          <w:szCs w:val="28"/>
        </w:rPr>
        <w:t xml:space="preserve"> броя спрямо </w:t>
      </w:r>
      <w:r w:rsidRPr="009802BD">
        <w:rPr>
          <w:rFonts w:ascii="Times New Roman" w:eastAsia="Times New Roman" w:hAnsi="Times New Roman"/>
          <w:b/>
          <w:sz w:val="28"/>
          <w:szCs w:val="28"/>
        </w:rPr>
        <w:t>3</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10</w:t>
      </w:r>
      <w:r w:rsidRPr="009802BD">
        <w:rPr>
          <w:rFonts w:ascii="Times New Roman" w:eastAsia="Times New Roman" w:hAnsi="Times New Roman"/>
          <w:sz w:val="28"/>
          <w:szCs w:val="28"/>
        </w:rPr>
        <w:t xml:space="preserve"> броя предложения по чл.78а от НК срещу </w:t>
      </w:r>
      <w:r w:rsidRPr="009802BD">
        <w:rPr>
          <w:rFonts w:ascii="Times New Roman" w:eastAsia="Times New Roman" w:hAnsi="Times New Roman"/>
          <w:b/>
          <w:sz w:val="28"/>
          <w:szCs w:val="28"/>
        </w:rPr>
        <w:t>10</w:t>
      </w:r>
      <w:r w:rsidRPr="009802BD">
        <w:rPr>
          <w:rFonts w:ascii="Times New Roman" w:eastAsia="Times New Roman" w:hAnsi="Times New Roman"/>
          <w:sz w:val="28"/>
          <w:szCs w:val="28"/>
        </w:rPr>
        <w:t xml:space="preserve"> лица.</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ІV „Подкуп“ за престъпления </w:t>
      </w:r>
      <w:r w:rsidRPr="009802BD">
        <w:rPr>
          <w:rFonts w:ascii="Times New Roman" w:eastAsia="Times New Roman" w:hAnsi="Times New Roman"/>
          <w:b/>
          <w:sz w:val="28"/>
          <w:szCs w:val="28"/>
        </w:rPr>
        <w:t>по чл.301 – чл.307а</w:t>
      </w:r>
      <w:r w:rsidRPr="009802BD">
        <w:rPr>
          <w:rFonts w:ascii="Times New Roman" w:eastAsia="Times New Roman" w:hAnsi="Times New Roman"/>
          <w:sz w:val="28"/>
          <w:szCs w:val="28"/>
        </w:rPr>
        <w:t xml:space="preserve"> от НК са внесени </w:t>
      </w:r>
      <w:r w:rsidRPr="009802BD">
        <w:rPr>
          <w:rFonts w:ascii="Times New Roman" w:eastAsia="Times New Roman" w:hAnsi="Times New Roman"/>
          <w:b/>
          <w:sz w:val="28"/>
          <w:szCs w:val="28"/>
        </w:rPr>
        <w:t>8</w:t>
      </w:r>
      <w:r w:rsidRPr="009802BD">
        <w:rPr>
          <w:rFonts w:ascii="Times New Roman" w:eastAsia="Times New Roman" w:hAnsi="Times New Roman"/>
          <w:sz w:val="28"/>
          <w:szCs w:val="28"/>
        </w:rPr>
        <w:t xml:space="preserve"> обвинителни акта срещу </w:t>
      </w:r>
      <w:r w:rsidRPr="009802BD">
        <w:rPr>
          <w:rFonts w:ascii="Times New Roman" w:eastAsia="Times New Roman" w:hAnsi="Times New Roman"/>
          <w:b/>
          <w:sz w:val="28"/>
          <w:szCs w:val="28"/>
        </w:rPr>
        <w:t>9</w:t>
      </w:r>
      <w:r w:rsidRPr="009802BD">
        <w:rPr>
          <w:rFonts w:ascii="Times New Roman" w:eastAsia="Times New Roman" w:hAnsi="Times New Roman"/>
          <w:sz w:val="28"/>
          <w:szCs w:val="28"/>
        </w:rPr>
        <w:t xml:space="preserve"> лица.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VІІІа – „Престъпления против спорта”</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отчетния период няма внесени в съда прокурорски актове за престъпления по Глава VІІІа от НК.</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ІХ – „Документни престъпления”</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2021 г. по Глава ІХ от НК са внесени в съда </w:t>
      </w:r>
      <w:r w:rsidRPr="009802BD">
        <w:rPr>
          <w:rFonts w:ascii="Times New Roman" w:eastAsia="Times New Roman" w:hAnsi="Times New Roman"/>
          <w:b/>
          <w:sz w:val="28"/>
          <w:szCs w:val="28"/>
        </w:rPr>
        <w:t xml:space="preserve">137 </w:t>
      </w:r>
      <w:r w:rsidRPr="009802BD">
        <w:rPr>
          <w:rFonts w:ascii="Times New Roman" w:eastAsia="Times New Roman" w:hAnsi="Times New Roman"/>
          <w:sz w:val="28"/>
          <w:szCs w:val="28"/>
        </w:rPr>
        <w:t xml:space="preserve">прокурорски актове срещу </w:t>
      </w:r>
      <w:r w:rsidRPr="009802BD">
        <w:rPr>
          <w:rFonts w:ascii="Times New Roman" w:eastAsia="Times New Roman" w:hAnsi="Times New Roman"/>
          <w:b/>
          <w:sz w:val="28"/>
          <w:szCs w:val="28"/>
        </w:rPr>
        <w:t xml:space="preserve">140 </w:t>
      </w:r>
      <w:r w:rsidRPr="009802BD">
        <w:rPr>
          <w:rFonts w:ascii="Times New Roman" w:eastAsia="Times New Roman" w:hAnsi="Times New Roman"/>
          <w:sz w:val="28"/>
          <w:szCs w:val="28"/>
        </w:rPr>
        <w:t xml:space="preserve">лица. От тях </w:t>
      </w:r>
      <w:r w:rsidRPr="009802BD">
        <w:rPr>
          <w:rFonts w:ascii="Times New Roman" w:eastAsia="Times New Roman" w:hAnsi="Times New Roman"/>
          <w:b/>
          <w:sz w:val="28"/>
          <w:szCs w:val="28"/>
        </w:rPr>
        <w:t xml:space="preserve">71 </w:t>
      </w:r>
      <w:r w:rsidRPr="009802BD">
        <w:rPr>
          <w:rFonts w:ascii="Times New Roman" w:eastAsia="Times New Roman" w:hAnsi="Times New Roman"/>
          <w:sz w:val="28"/>
          <w:szCs w:val="28"/>
        </w:rPr>
        <w:t xml:space="preserve">броя обвинителни актове срещу </w:t>
      </w:r>
      <w:r w:rsidRPr="009802BD">
        <w:rPr>
          <w:rFonts w:ascii="Times New Roman" w:eastAsia="Times New Roman" w:hAnsi="Times New Roman"/>
          <w:b/>
          <w:sz w:val="28"/>
          <w:szCs w:val="28"/>
        </w:rPr>
        <w:t xml:space="preserve">74 </w:t>
      </w:r>
      <w:r w:rsidRPr="009802BD">
        <w:rPr>
          <w:rFonts w:ascii="Times New Roman" w:eastAsia="Times New Roman" w:hAnsi="Times New Roman"/>
          <w:sz w:val="28"/>
          <w:szCs w:val="28"/>
        </w:rPr>
        <w:t xml:space="preserve">лица, </w:t>
      </w:r>
      <w:r w:rsidRPr="009802BD">
        <w:rPr>
          <w:rFonts w:ascii="Times New Roman" w:eastAsia="Times New Roman" w:hAnsi="Times New Roman"/>
          <w:b/>
          <w:sz w:val="28"/>
          <w:szCs w:val="28"/>
        </w:rPr>
        <w:t xml:space="preserve">25 </w:t>
      </w:r>
      <w:r w:rsidRPr="009802BD">
        <w:rPr>
          <w:rFonts w:ascii="Times New Roman" w:eastAsia="Times New Roman" w:hAnsi="Times New Roman"/>
          <w:sz w:val="28"/>
          <w:szCs w:val="28"/>
        </w:rPr>
        <w:t xml:space="preserve">броя  споразумения срещу </w:t>
      </w:r>
      <w:r w:rsidRPr="009802BD">
        <w:rPr>
          <w:rFonts w:ascii="Times New Roman" w:eastAsia="Times New Roman" w:hAnsi="Times New Roman"/>
          <w:b/>
          <w:sz w:val="28"/>
          <w:szCs w:val="28"/>
        </w:rPr>
        <w:t xml:space="preserve">25 </w:t>
      </w:r>
      <w:r w:rsidRPr="009802BD">
        <w:rPr>
          <w:rFonts w:ascii="Times New Roman" w:eastAsia="Times New Roman" w:hAnsi="Times New Roman"/>
          <w:sz w:val="28"/>
          <w:szCs w:val="28"/>
        </w:rPr>
        <w:t xml:space="preserve">лица и </w:t>
      </w:r>
      <w:r w:rsidRPr="009802BD">
        <w:rPr>
          <w:rFonts w:ascii="Times New Roman" w:eastAsia="Times New Roman" w:hAnsi="Times New Roman"/>
          <w:b/>
          <w:sz w:val="28"/>
          <w:szCs w:val="28"/>
        </w:rPr>
        <w:t xml:space="preserve">41 </w:t>
      </w:r>
      <w:r w:rsidRPr="009802BD">
        <w:rPr>
          <w:rFonts w:ascii="Times New Roman" w:eastAsia="Times New Roman" w:hAnsi="Times New Roman"/>
          <w:sz w:val="28"/>
          <w:szCs w:val="28"/>
        </w:rPr>
        <w:t xml:space="preserve">броя предложения по чл.78а от НК срещу </w:t>
      </w:r>
      <w:r w:rsidRPr="009802BD">
        <w:rPr>
          <w:rFonts w:ascii="Times New Roman" w:eastAsia="Times New Roman" w:hAnsi="Times New Roman"/>
          <w:b/>
          <w:sz w:val="28"/>
          <w:szCs w:val="28"/>
        </w:rPr>
        <w:t xml:space="preserve">41 </w:t>
      </w:r>
      <w:r w:rsidRPr="009802BD">
        <w:rPr>
          <w:rFonts w:ascii="Times New Roman" w:eastAsia="Times New Roman" w:hAnsi="Times New Roman"/>
          <w:sz w:val="28"/>
          <w:szCs w:val="28"/>
        </w:rPr>
        <w:t>лица.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ІХа – „Компютърни престъпления”</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отчетния период няма внесени в съда прокурорски актове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lastRenderedPageBreak/>
        <w:t>Глава Х – „Престъпления против реда и общественото спокойствие”</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2021 г. са внесени в съда </w:t>
      </w:r>
      <w:r w:rsidRPr="009802BD">
        <w:rPr>
          <w:rFonts w:ascii="Times New Roman" w:eastAsia="Times New Roman" w:hAnsi="Times New Roman"/>
          <w:b/>
          <w:sz w:val="28"/>
          <w:szCs w:val="28"/>
        </w:rPr>
        <w:t>152</w:t>
      </w:r>
      <w:r w:rsidRPr="009802BD">
        <w:rPr>
          <w:rFonts w:ascii="Times New Roman" w:eastAsia="Times New Roman" w:hAnsi="Times New Roman"/>
          <w:sz w:val="28"/>
          <w:szCs w:val="28"/>
        </w:rPr>
        <w:t xml:space="preserve"> броя прокурорски актове срещу </w:t>
      </w:r>
      <w:r w:rsidRPr="009802BD">
        <w:rPr>
          <w:rFonts w:ascii="Times New Roman" w:eastAsia="Times New Roman" w:hAnsi="Times New Roman"/>
          <w:b/>
          <w:sz w:val="28"/>
          <w:szCs w:val="28"/>
        </w:rPr>
        <w:t>172</w:t>
      </w:r>
      <w:r w:rsidRPr="009802BD">
        <w:rPr>
          <w:rFonts w:ascii="Times New Roman" w:eastAsia="Times New Roman" w:hAnsi="Times New Roman"/>
          <w:sz w:val="28"/>
          <w:szCs w:val="28"/>
        </w:rPr>
        <w:t xml:space="preserve"> лица. От тях </w:t>
      </w:r>
      <w:r w:rsidRPr="009802BD">
        <w:rPr>
          <w:rFonts w:ascii="Times New Roman" w:eastAsia="Times New Roman" w:hAnsi="Times New Roman"/>
          <w:b/>
          <w:sz w:val="28"/>
          <w:szCs w:val="28"/>
        </w:rPr>
        <w:t>87</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102</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18</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19</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47</w:t>
      </w:r>
      <w:r w:rsidRPr="009802BD">
        <w:rPr>
          <w:rFonts w:ascii="Times New Roman" w:eastAsia="Times New Roman" w:hAnsi="Times New Roman"/>
          <w:sz w:val="28"/>
          <w:szCs w:val="28"/>
        </w:rPr>
        <w:t xml:space="preserve"> броя предложения по чл.78а от НК срещу </w:t>
      </w:r>
      <w:r w:rsidRPr="009802BD">
        <w:rPr>
          <w:rFonts w:ascii="Times New Roman" w:eastAsia="Times New Roman" w:hAnsi="Times New Roman"/>
          <w:b/>
          <w:sz w:val="28"/>
          <w:szCs w:val="28"/>
        </w:rPr>
        <w:t>51</w:t>
      </w:r>
      <w:r w:rsidRPr="009802BD">
        <w:rPr>
          <w:rFonts w:ascii="Times New Roman" w:eastAsia="Times New Roman" w:hAnsi="Times New Roman"/>
          <w:sz w:val="28"/>
          <w:szCs w:val="28"/>
        </w:rPr>
        <w:t xml:space="preserve"> лица.</w:t>
      </w:r>
    </w:p>
    <w:p w:rsidR="00266703" w:rsidRPr="009802BD" w:rsidRDefault="00266703"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ХІ – „Общоопасни престъпления”</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са внесени в съда </w:t>
      </w:r>
      <w:r w:rsidRPr="009802BD">
        <w:rPr>
          <w:rFonts w:ascii="Times New Roman" w:eastAsia="Times New Roman" w:hAnsi="Times New Roman"/>
          <w:b/>
          <w:sz w:val="28"/>
          <w:szCs w:val="28"/>
        </w:rPr>
        <w:t>1411</w:t>
      </w:r>
      <w:r w:rsidRPr="009802BD">
        <w:rPr>
          <w:rFonts w:ascii="Times New Roman" w:eastAsia="Times New Roman" w:hAnsi="Times New Roman"/>
          <w:sz w:val="28"/>
          <w:szCs w:val="28"/>
        </w:rPr>
        <w:t xml:space="preserve"> прокурорски акта</w:t>
      </w:r>
      <w:r w:rsidRPr="009802BD">
        <w:rPr>
          <w:rFonts w:ascii="Times New Roman" w:hAnsi="Times New Roman"/>
          <w:sz w:val="28"/>
          <w:szCs w:val="28"/>
        </w:rPr>
        <w:t xml:space="preserve"> </w:t>
      </w:r>
      <w:r w:rsidRPr="009802BD">
        <w:rPr>
          <w:rFonts w:ascii="Times New Roman" w:eastAsia="Times New Roman" w:hAnsi="Times New Roman"/>
          <w:sz w:val="28"/>
          <w:szCs w:val="28"/>
        </w:rPr>
        <w:t xml:space="preserve">срещу </w:t>
      </w:r>
      <w:r w:rsidRPr="009802BD">
        <w:rPr>
          <w:rFonts w:ascii="Times New Roman" w:eastAsia="Times New Roman" w:hAnsi="Times New Roman"/>
          <w:b/>
          <w:sz w:val="28"/>
          <w:szCs w:val="28"/>
        </w:rPr>
        <w:t>1434</w:t>
      </w:r>
      <w:r w:rsidRPr="009802BD">
        <w:rPr>
          <w:rFonts w:ascii="Times New Roman" w:eastAsia="Times New Roman" w:hAnsi="Times New Roman"/>
          <w:sz w:val="28"/>
          <w:szCs w:val="28"/>
        </w:rPr>
        <w:t xml:space="preserve"> лица. От тях </w:t>
      </w:r>
      <w:r w:rsidRPr="009802BD">
        <w:rPr>
          <w:rFonts w:ascii="Times New Roman" w:eastAsia="Times New Roman" w:hAnsi="Times New Roman"/>
          <w:b/>
          <w:sz w:val="28"/>
          <w:szCs w:val="28"/>
        </w:rPr>
        <w:t>930</w:t>
      </w:r>
      <w:r w:rsidRPr="009802BD">
        <w:rPr>
          <w:rFonts w:ascii="Times New Roman" w:eastAsia="Times New Roman" w:hAnsi="Times New Roman"/>
          <w:sz w:val="28"/>
          <w:szCs w:val="28"/>
        </w:rPr>
        <w:t xml:space="preserve"> броя обвинителни актове срещу </w:t>
      </w:r>
      <w:r w:rsidRPr="009802BD">
        <w:rPr>
          <w:rFonts w:ascii="Times New Roman" w:eastAsia="Times New Roman" w:hAnsi="Times New Roman"/>
          <w:b/>
          <w:sz w:val="28"/>
          <w:szCs w:val="28"/>
        </w:rPr>
        <w:t xml:space="preserve">953 </w:t>
      </w:r>
      <w:r w:rsidRPr="009802BD">
        <w:rPr>
          <w:rFonts w:ascii="Times New Roman" w:eastAsia="Times New Roman" w:hAnsi="Times New Roman"/>
          <w:sz w:val="28"/>
          <w:szCs w:val="28"/>
        </w:rPr>
        <w:t xml:space="preserve">лица, </w:t>
      </w:r>
      <w:r w:rsidRPr="009802BD">
        <w:rPr>
          <w:rFonts w:ascii="Times New Roman" w:eastAsia="Times New Roman" w:hAnsi="Times New Roman"/>
          <w:b/>
          <w:sz w:val="28"/>
          <w:szCs w:val="28"/>
        </w:rPr>
        <w:t xml:space="preserve">308 </w:t>
      </w:r>
      <w:r w:rsidRPr="009802BD">
        <w:rPr>
          <w:rFonts w:ascii="Times New Roman" w:eastAsia="Times New Roman" w:hAnsi="Times New Roman"/>
          <w:sz w:val="28"/>
          <w:szCs w:val="28"/>
        </w:rPr>
        <w:t xml:space="preserve">споразумения срещу </w:t>
      </w:r>
      <w:r w:rsidRPr="009802BD">
        <w:rPr>
          <w:rFonts w:ascii="Times New Roman" w:eastAsia="Times New Roman" w:hAnsi="Times New Roman"/>
          <w:b/>
          <w:sz w:val="28"/>
          <w:szCs w:val="28"/>
        </w:rPr>
        <w:t>308</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173</w:t>
      </w:r>
      <w:r w:rsidRPr="009802BD">
        <w:rPr>
          <w:rFonts w:ascii="Times New Roman" w:eastAsia="Times New Roman" w:hAnsi="Times New Roman"/>
          <w:sz w:val="28"/>
          <w:szCs w:val="28"/>
        </w:rPr>
        <w:t xml:space="preserve"> броя предложения по чл.78а от НК срещу </w:t>
      </w:r>
      <w:r w:rsidRPr="009802BD">
        <w:rPr>
          <w:rFonts w:ascii="Times New Roman" w:eastAsia="Times New Roman" w:hAnsi="Times New Roman"/>
          <w:b/>
          <w:sz w:val="28"/>
          <w:szCs w:val="28"/>
        </w:rPr>
        <w:t>173</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За престъпления </w:t>
      </w:r>
      <w:r w:rsidRPr="009802BD">
        <w:rPr>
          <w:rFonts w:ascii="Times New Roman" w:eastAsia="Times New Roman" w:hAnsi="Times New Roman"/>
          <w:b/>
          <w:sz w:val="28"/>
          <w:szCs w:val="28"/>
        </w:rPr>
        <w:t>по чл.330 – чл.339б от НК</w:t>
      </w:r>
      <w:r w:rsidRPr="009802BD">
        <w:rPr>
          <w:rFonts w:ascii="Times New Roman" w:eastAsia="Times New Roman" w:hAnsi="Times New Roman"/>
          <w:sz w:val="28"/>
          <w:szCs w:val="28"/>
        </w:rPr>
        <w:t xml:space="preserve"> от Раздел І „Престъпления, извършени по общоопасен начин или с общоопасни средства” са внесени </w:t>
      </w:r>
      <w:r w:rsidRPr="009802BD">
        <w:rPr>
          <w:rFonts w:ascii="Times New Roman" w:eastAsia="Times New Roman" w:hAnsi="Times New Roman"/>
          <w:b/>
          <w:sz w:val="28"/>
          <w:szCs w:val="28"/>
        </w:rPr>
        <w:t>12</w:t>
      </w:r>
      <w:r w:rsidRPr="009802BD">
        <w:rPr>
          <w:rFonts w:ascii="Times New Roman" w:eastAsia="Times New Roman" w:hAnsi="Times New Roman"/>
          <w:sz w:val="28"/>
          <w:szCs w:val="28"/>
        </w:rPr>
        <w:t xml:space="preserve"> обвинителни акта срещу </w:t>
      </w:r>
      <w:r w:rsidRPr="009802BD">
        <w:rPr>
          <w:rFonts w:ascii="Times New Roman" w:eastAsia="Times New Roman" w:hAnsi="Times New Roman"/>
          <w:b/>
          <w:sz w:val="28"/>
          <w:szCs w:val="28"/>
        </w:rPr>
        <w:t>13</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5</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 xml:space="preserve">5 </w:t>
      </w:r>
      <w:r w:rsidRPr="009802BD">
        <w:rPr>
          <w:rFonts w:ascii="Times New Roman" w:eastAsia="Times New Roman" w:hAnsi="Times New Roman"/>
          <w:sz w:val="28"/>
          <w:szCs w:val="28"/>
        </w:rPr>
        <w:t>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color w:val="0070C0"/>
          <w:sz w:val="28"/>
          <w:szCs w:val="28"/>
        </w:rPr>
      </w:pPr>
      <w:r w:rsidRPr="009802BD">
        <w:rPr>
          <w:rFonts w:ascii="Times New Roman" w:eastAsia="Times New Roman" w:hAnsi="Times New Roman"/>
          <w:sz w:val="28"/>
          <w:szCs w:val="28"/>
        </w:rPr>
        <w:t xml:space="preserve">По Раздел ІІ „Престъпления по транспорта и съобщенията“ </w:t>
      </w:r>
      <w:r w:rsidRPr="009802BD">
        <w:rPr>
          <w:rFonts w:ascii="Times New Roman" w:eastAsia="Times New Roman" w:hAnsi="Times New Roman"/>
          <w:b/>
          <w:sz w:val="28"/>
          <w:szCs w:val="28"/>
        </w:rPr>
        <w:t>по чл.340 - чл.348а от НК</w:t>
      </w:r>
      <w:r w:rsidRPr="009802BD">
        <w:rPr>
          <w:rFonts w:ascii="Times New Roman" w:eastAsia="Times New Roman" w:hAnsi="Times New Roman"/>
          <w:sz w:val="28"/>
          <w:szCs w:val="28"/>
        </w:rPr>
        <w:t xml:space="preserve"> са внесени </w:t>
      </w:r>
      <w:r w:rsidRPr="009802BD">
        <w:rPr>
          <w:rFonts w:ascii="Times New Roman" w:eastAsia="Times New Roman" w:hAnsi="Times New Roman"/>
          <w:b/>
          <w:sz w:val="28"/>
          <w:szCs w:val="28"/>
        </w:rPr>
        <w:t>577</w:t>
      </w:r>
      <w:r w:rsidRPr="009802BD">
        <w:rPr>
          <w:rFonts w:ascii="Times New Roman" w:eastAsia="Times New Roman" w:hAnsi="Times New Roman"/>
          <w:sz w:val="28"/>
          <w:szCs w:val="28"/>
        </w:rPr>
        <w:t xml:space="preserve"> обвинителни актове срещу </w:t>
      </w:r>
      <w:r w:rsidRPr="009802BD">
        <w:rPr>
          <w:rFonts w:ascii="Times New Roman" w:eastAsia="Times New Roman" w:hAnsi="Times New Roman"/>
          <w:b/>
          <w:sz w:val="28"/>
          <w:szCs w:val="28"/>
        </w:rPr>
        <w:t xml:space="preserve">579 </w:t>
      </w:r>
      <w:r w:rsidRPr="009802BD">
        <w:rPr>
          <w:rFonts w:ascii="Times New Roman" w:eastAsia="Times New Roman" w:hAnsi="Times New Roman"/>
          <w:sz w:val="28"/>
          <w:szCs w:val="28"/>
        </w:rPr>
        <w:t>лица</w:t>
      </w:r>
      <w:r w:rsidRPr="009802BD">
        <w:rPr>
          <w:rFonts w:ascii="Times New Roman" w:eastAsia="Times New Roman" w:hAnsi="Times New Roman"/>
          <w:color w:val="0070C0"/>
          <w:sz w:val="28"/>
          <w:szCs w:val="28"/>
        </w:rPr>
        <w:t xml:space="preserve">, </w:t>
      </w:r>
      <w:r w:rsidRPr="009802BD">
        <w:rPr>
          <w:rFonts w:ascii="Times New Roman" w:eastAsia="Times New Roman" w:hAnsi="Times New Roman"/>
          <w:b/>
          <w:sz w:val="28"/>
          <w:szCs w:val="28"/>
        </w:rPr>
        <w:t>164</w:t>
      </w:r>
      <w:r w:rsidRPr="009802BD">
        <w:rPr>
          <w:rFonts w:ascii="Times New Roman" w:eastAsia="Times New Roman" w:hAnsi="Times New Roman"/>
          <w:sz w:val="28"/>
          <w:szCs w:val="28"/>
        </w:rPr>
        <w:t xml:space="preserve"> броя споразумения срещу </w:t>
      </w:r>
      <w:r w:rsidRPr="009802BD">
        <w:rPr>
          <w:rFonts w:ascii="Times New Roman" w:eastAsia="Times New Roman" w:hAnsi="Times New Roman"/>
          <w:b/>
          <w:sz w:val="28"/>
          <w:szCs w:val="28"/>
        </w:rPr>
        <w:t>164</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93</w:t>
      </w:r>
      <w:r w:rsidRPr="009802BD">
        <w:rPr>
          <w:rFonts w:ascii="Times New Roman" w:eastAsia="Times New Roman" w:hAnsi="Times New Roman"/>
          <w:sz w:val="28"/>
          <w:szCs w:val="28"/>
        </w:rPr>
        <w:t xml:space="preserve"> броя предложения по чл.78а от НК срещу </w:t>
      </w:r>
      <w:r w:rsidRPr="009802BD">
        <w:rPr>
          <w:rFonts w:ascii="Times New Roman" w:eastAsia="Times New Roman" w:hAnsi="Times New Roman"/>
          <w:b/>
          <w:sz w:val="28"/>
          <w:szCs w:val="28"/>
        </w:rPr>
        <w:t>93</w:t>
      </w:r>
      <w:r w:rsidRPr="009802BD">
        <w:rPr>
          <w:rFonts w:ascii="Times New Roman" w:eastAsia="Times New Roman" w:hAnsi="Times New Roman"/>
          <w:sz w:val="28"/>
          <w:szCs w:val="28"/>
        </w:rPr>
        <w:t xml:space="preserve"> лица.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По Раздел ІІІ „Престъпления против народното здраве и против околната среда“ </w:t>
      </w:r>
      <w:r w:rsidRPr="009802BD">
        <w:rPr>
          <w:rFonts w:ascii="Times New Roman" w:eastAsia="Times New Roman" w:hAnsi="Times New Roman"/>
          <w:b/>
          <w:sz w:val="28"/>
          <w:szCs w:val="28"/>
        </w:rPr>
        <w:t>по чл.354а от НК</w:t>
      </w:r>
      <w:r w:rsidRPr="009802BD">
        <w:rPr>
          <w:rFonts w:ascii="Times New Roman" w:eastAsia="Times New Roman" w:hAnsi="Times New Roman"/>
          <w:sz w:val="28"/>
          <w:szCs w:val="28"/>
        </w:rPr>
        <w:t xml:space="preserve"> са внесени </w:t>
      </w:r>
      <w:r w:rsidRPr="009802BD">
        <w:rPr>
          <w:rFonts w:ascii="Times New Roman" w:eastAsia="Times New Roman" w:hAnsi="Times New Roman"/>
          <w:b/>
          <w:sz w:val="28"/>
          <w:szCs w:val="28"/>
        </w:rPr>
        <w:t>336</w:t>
      </w:r>
      <w:r w:rsidRPr="009802BD">
        <w:rPr>
          <w:rFonts w:ascii="Times New Roman" w:eastAsia="Times New Roman" w:hAnsi="Times New Roman"/>
          <w:sz w:val="28"/>
          <w:szCs w:val="28"/>
        </w:rPr>
        <w:t xml:space="preserve"> обвинителни акта спрямо </w:t>
      </w:r>
      <w:r w:rsidRPr="009802BD">
        <w:rPr>
          <w:rFonts w:ascii="Times New Roman" w:eastAsia="Times New Roman" w:hAnsi="Times New Roman"/>
          <w:b/>
          <w:sz w:val="28"/>
          <w:szCs w:val="28"/>
        </w:rPr>
        <w:t>356</w:t>
      </w:r>
      <w:r w:rsidRPr="009802BD">
        <w:rPr>
          <w:rFonts w:ascii="Times New Roman" w:eastAsia="Times New Roman" w:hAnsi="Times New Roman"/>
          <w:sz w:val="28"/>
          <w:szCs w:val="28"/>
        </w:rPr>
        <w:t xml:space="preserve"> лица, </w:t>
      </w:r>
      <w:r w:rsidRPr="009802BD">
        <w:rPr>
          <w:rFonts w:ascii="Times New Roman" w:eastAsia="Times New Roman" w:hAnsi="Times New Roman"/>
          <w:b/>
          <w:sz w:val="28"/>
          <w:szCs w:val="28"/>
        </w:rPr>
        <w:t>138</w:t>
      </w:r>
      <w:r w:rsidRPr="009802BD">
        <w:rPr>
          <w:rFonts w:ascii="Times New Roman" w:eastAsia="Times New Roman" w:hAnsi="Times New Roman"/>
          <w:sz w:val="28"/>
          <w:szCs w:val="28"/>
        </w:rPr>
        <w:t xml:space="preserve"> споразумения срещу </w:t>
      </w:r>
      <w:r w:rsidRPr="009802BD">
        <w:rPr>
          <w:rFonts w:ascii="Times New Roman" w:eastAsia="Times New Roman" w:hAnsi="Times New Roman"/>
          <w:b/>
          <w:sz w:val="28"/>
          <w:szCs w:val="28"/>
        </w:rPr>
        <w:t>138</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 xml:space="preserve">80 </w:t>
      </w:r>
      <w:r w:rsidRPr="009802BD">
        <w:rPr>
          <w:rFonts w:ascii="Times New Roman" w:eastAsia="Times New Roman" w:hAnsi="Times New Roman"/>
          <w:sz w:val="28"/>
          <w:szCs w:val="28"/>
        </w:rPr>
        <w:t xml:space="preserve">предложения по чл.78а от НК срещу </w:t>
      </w:r>
      <w:r w:rsidRPr="009802BD">
        <w:rPr>
          <w:rFonts w:ascii="Times New Roman" w:eastAsia="Times New Roman" w:hAnsi="Times New Roman"/>
          <w:b/>
          <w:sz w:val="28"/>
          <w:szCs w:val="28"/>
        </w:rPr>
        <w:t>80</w:t>
      </w:r>
      <w:r w:rsidRPr="009802BD">
        <w:rPr>
          <w:rFonts w:ascii="Times New Roman" w:eastAsia="Times New Roman" w:hAnsi="Times New Roman"/>
          <w:sz w:val="28"/>
          <w:szCs w:val="28"/>
        </w:rPr>
        <w:t xml:space="preserve"> лица. </w:t>
      </w:r>
    </w:p>
    <w:p w:rsidR="004305E7"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b/>
          <w:sz w:val="28"/>
          <w:szCs w:val="28"/>
        </w:rPr>
        <w:t>По чл.354в от НК</w:t>
      </w:r>
      <w:r w:rsidRPr="009802BD">
        <w:rPr>
          <w:rFonts w:ascii="Times New Roman" w:eastAsia="Times New Roman" w:hAnsi="Times New Roman"/>
          <w:sz w:val="28"/>
          <w:szCs w:val="28"/>
        </w:rPr>
        <w:t xml:space="preserve"> са внесени в съда </w:t>
      </w:r>
      <w:r w:rsidRPr="009802BD">
        <w:rPr>
          <w:rFonts w:ascii="Times New Roman" w:eastAsia="Times New Roman" w:hAnsi="Times New Roman"/>
          <w:b/>
          <w:sz w:val="28"/>
          <w:szCs w:val="28"/>
        </w:rPr>
        <w:t>4</w:t>
      </w:r>
      <w:r w:rsidRPr="009802BD">
        <w:rPr>
          <w:rFonts w:ascii="Times New Roman" w:eastAsia="Times New Roman" w:hAnsi="Times New Roman"/>
          <w:sz w:val="28"/>
          <w:szCs w:val="28"/>
        </w:rPr>
        <w:t xml:space="preserve"> обвинителни актове срещу </w:t>
      </w:r>
      <w:r w:rsidRPr="009802BD">
        <w:rPr>
          <w:rFonts w:ascii="Times New Roman" w:eastAsia="Times New Roman" w:hAnsi="Times New Roman"/>
          <w:b/>
          <w:sz w:val="28"/>
          <w:szCs w:val="28"/>
        </w:rPr>
        <w:t>4</w:t>
      </w:r>
      <w:r w:rsidRPr="009802BD">
        <w:rPr>
          <w:rFonts w:ascii="Times New Roman" w:eastAsia="Times New Roman" w:hAnsi="Times New Roman"/>
          <w:sz w:val="28"/>
          <w:szCs w:val="28"/>
        </w:rPr>
        <w:t xml:space="preserve"> лица и </w:t>
      </w:r>
      <w:r w:rsidRPr="009802BD">
        <w:rPr>
          <w:rFonts w:ascii="Times New Roman" w:eastAsia="Times New Roman" w:hAnsi="Times New Roman"/>
          <w:b/>
          <w:sz w:val="28"/>
          <w:szCs w:val="28"/>
        </w:rPr>
        <w:t xml:space="preserve">1 </w:t>
      </w:r>
      <w:r w:rsidRPr="009802BD">
        <w:rPr>
          <w:rFonts w:ascii="Times New Roman" w:eastAsia="Times New Roman" w:hAnsi="Times New Roman"/>
          <w:sz w:val="28"/>
          <w:szCs w:val="28"/>
        </w:rPr>
        <w:t xml:space="preserve">споразумение срещу </w:t>
      </w:r>
      <w:r w:rsidRPr="009802BD">
        <w:rPr>
          <w:rFonts w:ascii="Times New Roman" w:eastAsia="Times New Roman" w:hAnsi="Times New Roman"/>
          <w:b/>
          <w:sz w:val="28"/>
          <w:szCs w:val="28"/>
        </w:rPr>
        <w:t>1</w:t>
      </w:r>
      <w:r w:rsidR="004305E7">
        <w:rPr>
          <w:rFonts w:ascii="Times New Roman" w:eastAsia="Times New Roman" w:hAnsi="Times New Roman"/>
          <w:sz w:val="28"/>
          <w:szCs w:val="28"/>
        </w:rPr>
        <w:t xml:space="preserve"> лице.</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ХІІ –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отчетния период няма внесени прокурорски актове в съда.</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ХІІІ – „Военни престъпления“</w:t>
      </w:r>
    </w:p>
    <w:p w:rsid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отчетния период няма внесени в съда прокурорски актове за престъпления по Глава ХІІІ от НК.</w:t>
      </w:r>
    </w:p>
    <w:p w:rsidR="004305E7" w:rsidRPr="009802BD" w:rsidRDefault="004305E7"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r w:rsidRPr="009802BD">
        <w:rPr>
          <w:rFonts w:ascii="Times New Roman" w:eastAsia="Times New Roman" w:hAnsi="Times New Roman"/>
          <w:b/>
          <w:sz w:val="28"/>
          <w:szCs w:val="28"/>
        </w:rPr>
        <w:t>Глава ХІV – „ Престъпления против мира и човечеството“</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През отчетния период няма внесени в съда прокурорски актове за престъпления по Глава ХІV от НК.</w:t>
      </w:r>
    </w:p>
    <w:p w:rsidR="009802BD" w:rsidRPr="009802BD" w:rsidRDefault="00E05D4E" w:rsidP="004D24A1">
      <w:pPr>
        <w:overflowPunct w:val="0"/>
        <w:autoSpaceDE w:val="0"/>
        <w:autoSpaceDN w:val="0"/>
        <w:adjustRightInd w:val="0"/>
        <w:spacing w:after="0"/>
        <w:jc w:val="both"/>
        <w:textAlignment w:val="baseline"/>
        <w:rPr>
          <w:noProof/>
          <w:lang w:eastAsia="bg-BG"/>
        </w:rPr>
      </w:pPr>
      <w:r>
        <w:rPr>
          <w:noProof/>
          <w:lang w:eastAsia="bg-BG"/>
        </w:rPr>
        <w:lastRenderedPageBreak/>
        <mc:AlternateContent>
          <mc:Choice Requires="wpg">
            <w:drawing>
              <wp:anchor distT="0" distB="0" distL="114300" distR="114300" simplePos="0" relativeHeight="251660288" behindDoc="0" locked="0" layoutInCell="1" allowOverlap="1" wp14:editId="63F359B3">
                <wp:simplePos x="0" y="0"/>
                <wp:positionH relativeFrom="column">
                  <wp:posOffset>-148590</wp:posOffset>
                </wp:positionH>
                <wp:positionV relativeFrom="paragraph">
                  <wp:posOffset>2540</wp:posOffset>
                </wp:positionV>
                <wp:extent cx="6086475" cy="6377940"/>
                <wp:effectExtent l="0" t="0" r="9525" b="381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6377940"/>
                          <a:chOff x="1755" y="2092"/>
                          <a:chExt cx="7740" cy="7374"/>
                        </a:xfrm>
                      </wpg:grpSpPr>
                      <wps:wsp>
                        <wps:cNvPr id="74" name="AutoShape 4"/>
                        <wps:cNvSpPr>
                          <a:spLocks noChangeAspect="1" noChangeArrowheads="1" noTextEdit="1"/>
                        </wps:cNvSpPr>
                        <wps:spPr bwMode="auto">
                          <a:xfrm>
                            <a:off x="1755" y="2092"/>
                            <a:ext cx="7740" cy="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5"/>
                        <wps:cNvSpPr>
                          <a:spLocks noChangeArrowheads="1"/>
                        </wps:cNvSpPr>
                        <wps:spPr bwMode="auto">
                          <a:xfrm>
                            <a:off x="2746" y="2193"/>
                            <a:ext cx="6637" cy="2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6"/>
                        <wps:cNvSpPr>
                          <a:spLocks noEditPoints="1"/>
                        </wps:cNvSpPr>
                        <wps:spPr bwMode="auto">
                          <a:xfrm>
                            <a:off x="2738" y="2193"/>
                            <a:ext cx="6653" cy="2447"/>
                          </a:xfrm>
                          <a:custGeom>
                            <a:avLst/>
                            <a:gdLst>
                              <a:gd name="T0" fmla="*/ 0 w 6653"/>
                              <a:gd name="T1" fmla="*/ 2429 h 2447"/>
                              <a:gd name="T2" fmla="*/ 6653 w 6653"/>
                              <a:gd name="T3" fmla="*/ 2429 h 2447"/>
                              <a:gd name="T4" fmla="*/ 6653 w 6653"/>
                              <a:gd name="T5" fmla="*/ 2447 h 2447"/>
                              <a:gd name="T6" fmla="*/ 0 w 6653"/>
                              <a:gd name="T7" fmla="*/ 2447 h 2447"/>
                              <a:gd name="T8" fmla="*/ 0 w 6653"/>
                              <a:gd name="T9" fmla="*/ 2429 h 2447"/>
                              <a:gd name="T10" fmla="*/ 0 w 6653"/>
                              <a:gd name="T11" fmla="*/ 2085 h 2447"/>
                              <a:gd name="T12" fmla="*/ 6653 w 6653"/>
                              <a:gd name="T13" fmla="*/ 2085 h 2447"/>
                              <a:gd name="T14" fmla="*/ 6653 w 6653"/>
                              <a:gd name="T15" fmla="*/ 2102 h 2447"/>
                              <a:gd name="T16" fmla="*/ 0 w 6653"/>
                              <a:gd name="T17" fmla="*/ 2102 h 2447"/>
                              <a:gd name="T18" fmla="*/ 0 w 6653"/>
                              <a:gd name="T19" fmla="*/ 2085 h 2447"/>
                              <a:gd name="T20" fmla="*/ 0 w 6653"/>
                              <a:gd name="T21" fmla="*/ 1740 h 2447"/>
                              <a:gd name="T22" fmla="*/ 6653 w 6653"/>
                              <a:gd name="T23" fmla="*/ 1740 h 2447"/>
                              <a:gd name="T24" fmla="*/ 6653 w 6653"/>
                              <a:gd name="T25" fmla="*/ 1757 h 2447"/>
                              <a:gd name="T26" fmla="*/ 0 w 6653"/>
                              <a:gd name="T27" fmla="*/ 1757 h 2447"/>
                              <a:gd name="T28" fmla="*/ 0 w 6653"/>
                              <a:gd name="T29" fmla="*/ 1740 h 2447"/>
                              <a:gd name="T30" fmla="*/ 0 w 6653"/>
                              <a:gd name="T31" fmla="*/ 1396 h 2447"/>
                              <a:gd name="T32" fmla="*/ 6653 w 6653"/>
                              <a:gd name="T33" fmla="*/ 1396 h 2447"/>
                              <a:gd name="T34" fmla="*/ 6653 w 6653"/>
                              <a:gd name="T35" fmla="*/ 1413 h 2447"/>
                              <a:gd name="T36" fmla="*/ 0 w 6653"/>
                              <a:gd name="T37" fmla="*/ 1413 h 2447"/>
                              <a:gd name="T38" fmla="*/ 0 w 6653"/>
                              <a:gd name="T39" fmla="*/ 1396 h 2447"/>
                              <a:gd name="T40" fmla="*/ 0 w 6653"/>
                              <a:gd name="T41" fmla="*/ 1034 h 2447"/>
                              <a:gd name="T42" fmla="*/ 6653 w 6653"/>
                              <a:gd name="T43" fmla="*/ 1034 h 2447"/>
                              <a:gd name="T44" fmla="*/ 6653 w 6653"/>
                              <a:gd name="T45" fmla="*/ 1051 h 2447"/>
                              <a:gd name="T46" fmla="*/ 0 w 6653"/>
                              <a:gd name="T47" fmla="*/ 1051 h 2447"/>
                              <a:gd name="T48" fmla="*/ 0 w 6653"/>
                              <a:gd name="T49" fmla="*/ 1034 h 2447"/>
                              <a:gd name="T50" fmla="*/ 0 w 6653"/>
                              <a:gd name="T51" fmla="*/ 689 h 2447"/>
                              <a:gd name="T52" fmla="*/ 6653 w 6653"/>
                              <a:gd name="T53" fmla="*/ 689 h 2447"/>
                              <a:gd name="T54" fmla="*/ 6653 w 6653"/>
                              <a:gd name="T55" fmla="*/ 706 h 2447"/>
                              <a:gd name="T56" fmla="*/ 0 w 6653"/>
                              <a:gd name="T57" fmla="*/ 706 h 2447"/>
                              <a:gd name="T58" fmla="*/ 0 w 6653"/>
                              <a:gd name="T59" fmla="*/ 689 h 2447"/>
                              <a:gd name="T60" fmla="*/ 0 w 6653"/>
                              <a:gd name="T61" fmla="*/ 345 h 2447"/>
                              <a:gd name="T62" fmla="*/ 6653 w 6653"/>
                              <a:gd name="T63" fmla="*/ 345 h 2447"/>
                              <a:gd name="T64" fmla="*/ 6653 w 6653"/>
                              <a:gd name="T65" fmla="*/ 362 h 2447"/>
                              <a:gd name="T66" fmla="*/ 0 w 6653"/>
                              <a:gd name="T67" fmla="*/ 362 h 2447"/>
                              <a:gd name="T68" fmla="*/ 0 w 6653"/>
                              <a:gd name="T69" fmla="*/ 345 h 2447"/>
                              <a:gd name="T70" fmla="*/ 0 w 6653"/>
                              <a:gd name="T71" fmla="*/ 0 h 2447"/>
                              <a:gd name="T72" fmla="*/ 6653 w 6653"/>
                              <a:gd name="T73" fmla="*/ 0 h 2447"/>
                              <a:gd name="T74" fmla="*/ 6653 w 6653"/>
                              <a:gd name="T75" fmla="*/ 17 h 2447"/>
                              <a:gd name="T76" fmla="*/ 0 w 6653"/>
                              <a:gd name="T77" fmla="*/ 17 h 2447"/>
                              <a:gd name="T78" fmla="*/ 0 w 6653"/>
                              <a:gd name="T79" fmla="*/ 0 h 2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53" h="2447">
                                <a:moveTo>
                                  <a:pt x="0" y="2429"/>
                                </a:moveTo>
                                <a:lnTo>
                                  <a:pt x="6653" y="2429"/>
                                </a:lnTo>
                                <a:lnTo>
                                  <a:pt x="6653" y="2447"/>
                                </a:lnTo>
                                <a:lnTo>
                                  <a:pt x="0" y="2447"/>
                                </a:lnTo>
                                <a:lnTo>
                                  <a:pt x="0" y="2429"/>
                                </a:lnTo>
                                <a:close/>
                                <a:moveTo>
                                  <a:pt x="0" y="2085"/>
                                </a:moveTo>
                                <a:lnTo>
                                  <a:pt x="6653" y="2085"/>
                                </a:lnTo>
                                <a:lnTo>
                                  <a:pt x="6653" y="2102"/>
                                </a:lnTo>
                                <a:lnTo>
                                  <a:pt x="0" y="2102"/>
                                </a:lnTo>
                                <a:lnTo>
                                  <a:pt x="0" y="2085"/>
                                </a:lnTo>
                                <a:close/>
                                <a:moveTo>
                                  <a:pt x="0" y="1740"/>
                                </a:moveTo>
                                <a:lnTo>
                                  <a:pt x="6653" y="1740"/>
                                </a:lnTo>
                                <a:lnTo>
                                  <a:pt x="6653" y="1757"/>
                                </a:lnTo>
                                <a:lnTo>
                                  <a:pt x="0" y="1757"/>
                                </a:lnTo>
                                <a:lnTo>
                                  <a:pt x="0" y="1740"/>
                                </a:lnTo>
                                <a:close/>
                                <a:moveTo>
                                  <a:pt x="0" y="1396"/>
                                </a:moveTo>
                                <a:lnTo>
                                  <a:pt x="6653" y="1396"/>
                                </a:lnTo>
                                <a:lnTo>
                                  <a:pt x="6653" y="1413"/>
                                </a:lnTo>
                                <a:lnTo>
                                  <a:pt x="0" y="1413"/>
                                </a:lnTo>
                                <a:lnTo>
                                  <a:pt x="0" y="1396"/>
                                </a:lnTo>
                                <a:close/>
                                <a:moveTo>
                                  <a:pt x="0" y="1034"/>
                                </a:moveTo>
                                <a:lnTo>
                                  <a:pt x="6653" y="1034"/>
                                </a:lnTo>
                                <a:lnTo>
                                  <a:pt x="6653" y="1051"/>
                                </a:lnTo>
                                <a:lnTo>
                                  <a:pt x="0" y="1051"/>
                                </a:lnTo>
                                <a:lnTo>
                                  <a:pt x="0" y="1034"/>
                                </a:lnTo>
                                <a:close/>
                                <a:moveTo>
                                  <a:pt x="0" y="689"/>
                                </a:moveTo>
                                <a:lnTo>
                                  <a:pt x="6653" y="689"/>
                                </a:lnTo>
                                <a:lnTo>
                                  <a:pt x="6653" y="706"/>
                                </a:lnTo>
                                <a:lnTo>
                                  <a:pt x="0" y="706"/>
                                </a:lnTo>
                                <a:lnTo>
                                  <a:pt x="0" y="689"/>
                                </a:lnTo>
                                <a:close/>
                                <a:moveTo>
                                  <a:pt x="0" y="345"/>
                                </a:moveTo>
                                <a:lnTo>
                                  <a:pt x="6653" y="345"/>
                                </a:lnTo>
                                <a:lnTo>
                                  <a:pt x="6653" y="362"/>
                                </a:lnTo>
                                <a:lnTo>
                                  <a:pt x="0" y="362"/>
                                </a:lnTo>
                                <a:lnTo>
                                  <a:pt x="0" y="345"/>
                                </a:lnTo>
                                <a:close/>
                                <a:moveTo>
                                  <a:pt x="0" y="0"/>
                                </a:moveTo>
                                <a:lnTo>
                                  <a:pt x="6653" y="0"/>
                                </a:lnTo>
                                <a:lnTo>
                                  <a:pt x="6653" y="17"/>
                                </a:lnTo>
                                <a:lnTo>
                                  <a:pt x="0" y="17"/>
                                </a:lnTo>
                                <a:lnTo>
                                  <a:pt x="0" y="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77" name="Freeform 7"/>
                        <wps:cNvSpPr>
                          <a:spLocks noEditPoints="1"/>
                        </wps:cNvSpPr>
                        <wps:spPr bwMode="auto">
                          <a:xfrm>
                            <a:off x="3558" y="2202"/>
                            <a:ext cx="5841" cy="2773"/>
                          </a:xfrm>
                          <a:custGeom>
                            <a:avLst/>
                            <a:gdLst>
                              <a:gd name="T0" fmla="*/ 15 w 5841"/>
                              <a:gd name="T1" fmla="*/ 0 h 2773"/>
                              <a:gd name="T2" fmla="*/ 15 w 5841"/>
                              <a:gd name="T3" fmla="*/ 2773 h 2773"/>
                              <a:gd name="T4" fmla="*/ 0 w 5841"/>
                              <a:gd name="T5" fmla="*/ 2773 h 2773"/>
                              <a:gd name="T6" fmla="*/ 0 w 5841"/>
                              <a:gd name="T7" fmla="*/ 0 h 2773"/>
                              <a:gd name="T8" fmla="*/ 15 w 5841"/>
                              <a:gd name="T9" fmla="*/ 0 h 2773"/>
                              <a:gd name="T10" fmla="*/ 843 w 5841"/>
                              <a:gd name="T11" fmla="*/ 0 h 2773"/>
                              <a:gd name="T12" fmla="*/ 843 w 5841"/>
                              <a:gd name="T13" fmla="*/ 2773 h 2773"/>
                              <a:gd name="T14" fmla="*/ 828 w 5841"/>
                              <a:gd name="T15" fmla="*/ 2773 h 2773"/>
                              <a:gd name="T16" fmla="*/ 828 w 5841"/>
                              <a:gd name="T17" fmla="*/ 0 h 2773"/>
                              <a:gd name="T18" fmla="*/ 843 w 5841"/>
                              <a:gd name="T19" fmla="*/ 0 h 2773"/>
                              <a:gd name="T20" fmla="*/ 1686 w 5841"/>
                              <a:gd name="T21" fmla="*/ 0 h 2773"/>
                              <a:gd name="T22" fmla="*/ 1686 w 5841"/>
                              <a:gd name="T23" fmla="*/ 2773 h 2773"/>
                              <a:gd name="T24" fmla="*/ 1671 w 5841"/>
                              <a:gd name="T25" fmla="*/ 2773 h 2773"/>
                              <a:gd name="T26" fmla="*/ 1671 w 5841"/>
                              <a:gd name="T27" fmla="*/ 0 h 2773"/>
                              <a:gd name="T28" fmla="*/ 1686 w 5841"/>
                              <a:gd name="T29" fmla="*/ 0 h 2773"/>
                              <a:gd name="T30" fmla="*/ 2514 w 5841"/>
                              <a:gd name="T31" fmla="*/ 0 h 2773"/>
                              <a:gd name="T32" fmla="*/ 2514 w 5841"/>
                              <a:gd name="T33" fmla="*/ 2773 h 2773"/>
                              <a:gd name="T34" fmla="*/ 2499 w 5841"/>
                              <a:gd name="T35" fmla="*/ 2773 h 2773"/>
                              <a:gd name="T36" fmla="*/ 2499 w 5841"/>
                              <a:gd name="T37" fmla="*/ 0 h 2773"/>
                              <a:gd name="T38" fmla="*/ 2514 w 5841"/>
                              <a:gd name="T39" fmla="*/ 0 h 2773"/>
                              <a:gd name="T40" fmla="*/ 3342 w 5841"/>
                              <a:gd name="T41" fmla="*/ 0 h 2773"/>
                              <a:gd name="T42" fmla="*/ 3342 w 5841"/>
                              <a:gd name="T43" fmla="*/ 2773 h 2773"/>
                              <a:gd name="T44" fmla="*/ 3326 w 5841"/>
                              <a:gd name="T45" fmla="*/ 2773 h 2773"/>
                              <a:gd name="T46" fmla="*/ 3326 w 5841"/>
                              <a:gd name="T47" fmla="*/ 0 h 2773"/>
                              <a:gd name="T48" fmla="*/ 3342 w 5841"/>
                              <a:gd name="T49" fmla="*/ 0 h 2773"/>
                              <a:gd name="T50" fmla="*/ 4170 w 5841"/>
                              <a:gd name="T51" fmla="*/ 0 h 2773"/>
                              <a:gd name="T52" fmla="*/ 4170 w 5841"/>
                              <a:gd name="T53" fmla="*/ 2773 h 2773"/>
                              <a:gd name="T54" fmla="*/ 4154 w 5841"/>
                              <a:gd name="T55" fmla="*/ 2773 h 2773"/>
                              <a:gd name="T56" fmla="*/ 4154 w 5841"/>
                              <a:gd name="T57" fmla="*/ 0 h 2773"/>
                              <a:gd name="T58" fmla="*/ 4170 w 5841"/>
                              <a:gd name="T59" fmla="*/ 0 h 2773"/>
                              <a:gd name="T60" fmla="*/ 4997 w 5841"/>
                              <a:gd name="T61" fmla="*/ 0 h 2773"/>
                              <a:gd name="T62" fmla="*/ 4997 w 5841"/>
                              <a:gd name="T63" fmla="*/ 2773 h 2773"/>
                              <a:gd name="T64" fmla="*/ 4982 w 5841"/>
                              <a:gd name="T65" fmla="*/ 2773 h 2773"/>
                              <a:gd name="T66" fmla="*/ 4982 w 5841"/>
                              <a:gd name="T67" fmla="*/ 0 h 2773"/>
                              <a:gd name="T68" fmla="*/ 4997 w 5841"/>
                              <a:gd name="T69" fmla="*/ 0 h 2773"/>
                              <a:gd name="T70" fmla="*/ 5841 w 5841"/>
                              <a:gd name="T71" fmla="*/ 0 h 2773"/>
                              <a:gd name="T72" fmla="*/ 5841 w 5841"/>
                              <a:gd name="T73" fmla="*/ 2773 h 2773"/>
                              <a:gd name="T74" fmla="*/ 5825 w 5841"/>
                              <a:gd name="T75" fmla="*/ 2773 h 2773"/>
                              <a:gd name="T76" fmla="*/ 5825 w 5841"/>
                              <a:gd name="T77" fmla="*/ 0 h 2773"/>
                              <a:gd name="T78" fmla="*/ 5841 w 5841"/>
                              <a:gd name="T79" fmla="*/ 0 h 2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841" h="2773">
                                <a:moveTo>
                                  <a:pt x="15" y="0"/>
                                </a:moveTo>
                                <a:lnTo>
                                  <a:pt x="15" y="2773"/>
                                </a:lnTo>
                                <a:lnTo>
                                  <a:pt x="0" y="2773"/>
                                </a:lnTo>
                                <a:lnTo>
                                  <a:pt x="0" y="0"/>
                                </a:lnTo>
                                <a:lnTo>
                                  <a:pt x="15" y="0"/>
                                </a:lnTo>
                                <a:close/>
                                <a:moveTo>
                                  <a:pt x="843" y="0"/>
                                </a:moveTo>
                                <a:lnTo>
                                  <a:pt x="843" y="2773"/>
                                </a:lnTo>
                                <a:lnTo>
                                  <a:pt x="828" y="2773"/>
                                </a:lnTo>
                                <a:lnTo>
                                  <a:pt x="828" y="0"/>
                                </a:lnTo>
                                <a:lnTo>
                                  <a:pt x="843" y="0"/>
                                </a:lnTo>
                                <a:close/>
                                <a:moveTo>
                                  <a:pt x="1686" y="0"/>
                                </a:moveTo>
                                <a:lnTo>
                                  <a:pt x="1686" y="2773"/>
                                </a:lnTo>
                                <a:lnTo>
                                  <a:pt x="1671" y="2773"/>
                                </a:lnTo>
                                <a:lnTo>
                                  <a:pt x="1671" y="0"/>
                                </a:lnTo>
                                <a:lnTo>
                                  <a:pt x="1686" y="0"/>
                                </a:lnTo>
                                <a:close/>
                                <a:moveTo>
                                  <a:pt x="2514" y="0"/>
                                </a:moveTo>
                                <a:lnTo>
                                  <a:pt x="2514" y="2773"/>
                                </a:lnTo>
                                <a:lnTo>
                                  <a:pt x="2499" y="2773"/>
                                </a:lnTo>
                                <a:lnTo>
                                  <a:pt x="2499" y="0"/>
                                </a:lnTo>
                                <a:lnTo>
                                  <a:pt x="2514" y="0"/>
                                </a:lnTo>
                                <a:close/>
                                <a:moveTo>
                                  <a:pt x="3342" y="0"/>
                                </a:moveTo>
                                <a:lnTo>
                                  <a:pt x="3342" y="2773"/>
                                </a:lnTo>
                                <a:lnTo>
                                  <a:pt x="3326" y="2773"/>
                                </a:lnTo>
                                <a:lnTo>
                                  <a:pt x="3326" y="0"/>
                                </a:lnTo>
                                <a:lnTo>
                                  <a:pt x="3342" y="0"/>
                                </a:lnTo>
                                <a:close/>
                                <a:moveTo>
                                  <a:pt x="4170" y="0"/>
                                </a:moveTo>
                                <a:lnTo>
                                  <a:pt x="4170" y="2773"/>
                                </a:lnTo>
                                <a:lnTo>
                                  <a:pt x="4154" y="2773"/>
                                </a:lnTo>
                                <a:lnTo>
                                  <a:pt x="4154" y="0"/>
                                </a:lnTo>
                                <a:lnTo>
                                  <a:pt x="4170" y="0"/>
                                </a:lnTo>
                                <a:close/>
                                <a:moveTo>
                                  <a:pt x="4997" y="0"/>
                                </a:moveTo>
                                <a:lnTo>
                                  <a:pt x="4997" y="2773"/>
                                </a:lnTo>
                                <a:lnTo>
                                  <a:pt x="4982" y="2773"/>
                                </a:lnTo>
                                <a:lnTo>
                                  <a:pt x="4982" y="0"/>
                                </a:lnTo>
                                <a:lnTo>
                                  <a:pt x="4997" y="0"/>
                                </a:lnTo>
                                <a:close/>
                                <a:moveTo>
                                  <a:pt x="5841" y="0"/>
                                </a:moveTo>
                                <a:lnTo>
                                  <a:pt x="5841" y="2773"/>
                                </a:lnTo>
                                <a:lnTo>
                                  <a:pt x="5825" y="2773"/>
                                </a:lnTo>
                                <a:lnTo>
                                  <a:pt x="5825" y="0"/>
                                </a:lnTo>
                                <a:lnTo>
                                  <a:pt x="5841" y="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78" name="Freeform 8"/>
                        <wps:cNvSpPr>
                          <a:spLocks noEditPoints="1"/>
                        </wps:cNvSpPr>
                        <wps:spPr bwMode="auto">
                          <a:xfrm>
                            <a:off x="2730" y="2193"/>
                            <a:ext cx="6669" cy="2791"/>
                          </a:xfrm>
                          <a:custGeom>
                            <a:avLst/>
                            <a:gdLst>
                              <a:gd name="T0" fmla="*/ 0 w 6832"/>
                              <a:gd name="T1" fmla="*/ 8 h 2592"/>
                              <a:gd name="T2" fmla="*/ 8 w 6832"/>
                              <a:gd name="T3" fmla="*/ 0 h 2592"/>
                              <a:gd name="T4" fmla="*/ 6824 w 6832"/>
                              <a:gd name="T5" fmla="*/ 0 h 2592"/>
                              <a:gd name="T6" fmla="*/ 6832 w 6832"/>
                              <a:gd name="T7" fmla="*/ 8 h 2592"/>
                              <a:gd name="T8" fmla="*/ 6832 w 6832"/>
                              <a:gd name="T9" fmla="*/ 2584 h 2592"/>
                              <a:gd name="T10" fmla="*/ 6824 w 6832"/>
                              <a:gd name="T11" fmla="*/ 2592 h 2592"/>
                              <a:gd name="T12" fmla="*/ 8 w 6832"/>
                              <a:gd name="T13" fmla="*/ 2592 h 2592"/>
                              <a:gd name="T14" fmla="*/ 0 w 6832"/>
                              <a:gd name="T15" fmla="*/ 2584 h 2592"/>
                              <a:gd name="T16" fmla="*/ 0 w 6832"/>
                              <a:gd name="T17" fmla="*/ 8 h 2592"/>
                              <a:gd name="T18" fmla="*/ 16 w 6832"/>
                              <a:gd name="T19" fmla="*/ 2584 h 2592"/>
                              <a:gd name="T20" fmla="*/ 8 w 6832"/>
                              <a:gd name="T21" fmla="*/ 2576 h 2592"/>
                              <a:gd name="T22" fmla="*/ 6824 w 6832"/>
                              <a:gd name="T23" fmla="*/ 2576 h 2592"/>
                              <a:gd name="T24" fmla="*/ 6816 w 6832"/>
                              <a:gd name="T25" fmla="*/ 2584 h 2592"/>
                              <a:gd name="T26" fmla="*/ 6816 w 6832"/>
                              <a:gd name="T27" fmla="*/ 8 h 2592"/>
                              <a:gd name="T28" fmla="*/ 6824 w 6832"/>
                              <a:gd name="T29" fmla="*/ 16 h 2592"/>
                              <a:gd name="T30" fmla="*/ 8 w 6832"/>
                              <a:gd name="T31" fmla="*/ 16 h 2592"/>
                              <a:gd name="T32" fmla="*/ 16 w 6832"/>
                              <a:gd name="T33" fmla="*/ 8 h 2592"/>
                              <a:gd name="T34" fmla="*/ 16 w 6832"/>
                              <a:gd name="T35" fmla="*/ 2584 h 2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32" h="2592">
                                <a:moveTo>
                                  <a:pt x="0" y="8"/>
                                </a:moveTo>
                                <a:cubicBezTo>
                                  <a:pt x="0" y="4"/>
                                  <a:pt x="4" y="0"/>
                                  <a:pt x="8" y="0"/>
                                </a:cubicBezTo>
                                <a:lnTo>
                                  <a:pt x="6824" y="0"/>
                                </a:lnTo>
                                <a:cubicBezTo>
                                  <a:pt x="6829" y="0"/>
                                  <a:pt x="6832" y="4"/>
                                  <a:pt x="6832" y="8"/>
                                </a:cubicBezTo>
                                <a:lnTo>
                                  <a:pt x="6832" y="2584"/>
                                </a:lnTo>
                                <a:cubicBezTo>
                                  <a:pt x="6832" y="2589"/>
                                  <a:pt x="6829" y="2592"/>
                                  <a:pt x="6824" y="2592"/>
                                </a:cubicBezTo>
                                <a:lnTo>
                                  <a:pt x="8" y="2592"/>
                                </a:lnTo>
                                <a:cubicBezTo>
                                  <a:pt x="4" y="2592"/>
                                  <a:pt x="0" y="2589"/>
                                  <a:pt x="0" y="2584"/>
                                </a:cubicBezTo>
                                <a:lnTo>
                                  <a:pt x="0" y="8"/>
                                </a:lnTo>
                                <a:close/>
                                <a:moveTo>
                                  <a:pt x="16" y="2584"/>
                                </a:moveTo>
                                <a:lnTo>
                                  <a:pt x="8" y="2576"/>
                                </a:lnTo>
                                <a:lnTo>
                                  <a:pt x="6824" y="2576"/>
                                </a:lnTo>
                                <a:lnTo>
                                  <a:pt x="6816" y="2584"/>
                                </a:lnTo>
                                <a:lnTo>
                                  <a:pt x="6816" y="8"/>
                                </a:lnTo>
                                <a:lnTo>
                                  <a:pt x="6824" y="16"/>
                                </a:lnTo>
                                <a:lnTo>
                                  <a:pt x="8" y="16"/>
                                </a:lnTo>
                                <a:lnTo>
                                  <a:pt x="16" y="8"/>
                                </a:lnTo>
                                <a:lnTo>
                                  <a:pt x="16" y="25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79" name="Rectangle 9"/>
                        <wps:cNvSpPr>
                          <a:spLocks noChangeArrowheads="1"/>
                        </wps:cNvSpPr>
                        <wps:spPr bwMode="auto">
                          <a:xfrm>
                            <a:off x="2738" y="4355"/>
                            <a:ext cx="78" cy="620"/>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10"/>
                        <wps:cNvSpPr>
                          <a:spLocks noEditPoints="1"/>
                        </wps:cNvSpPr>
                        <wps:spPr bwMode="auto">
                          <a:xfrm>
                            <a:off x="2730" y="4347"/>
                            <a:ext cx="94" cy="637"/>
                          </a:xfrm>
                          <a:custGeom>
                            <a:avLst/>
                            <a:gdLst>
                              <a:gd name="T0" fmla="*/ 0 w 96"/>
                              <a:gd name="T1" fmla="*/ 8 h 592"/>
                              <a:gd name="T2" fmla="*/ 8 w 96"/>
                              <a:gd name="T3" fmla="*/ 0 h 592"/>
                              <a:gd name="T4" fmla="*/ 88 w 96"/>
                              <a:gd name="T5" fmla="*/ 0 h 592"/>
                              <a:gd name="T6" fmla="*/ 96 w 96"/>
                              <a:gd name="T7" fmla="*/ 8 h 592"/>
                              <a:gd name="T8" fmla="*/ 96 w 96"/>
                              <a:gd name="T9" fmla="*/ 584 h 592"/>
                              <a:gd name="T10" fmla="*/ 88 w 96"/>
                              <a:gd name="T11" fmla="*/ 592 h 592"/>
                              <a:gd name="T12" fmla="*/ 8 w 96"/>
                              <a:gd name="T13" fmla="*/ 592 h 592"/>
                              <a:gd name="T14" fmla="*/ 0 w 96"/>
                              <a:gd name="T15" fmla="*/ 584 h 592"/>
                              <a:gd name="T16" fmla="*/ 0 w 96"/>
                              <a:gd name="T17" fmla="*/ 8 h 592"/>
                              <a:gd name="T18" fmla="*/ 16 w 96"/>
                              <a:gd name="T19" fmla="*/ 584 h 592"/>
                              <a:gd name="T20" fmla="*/ 8 w 96"/>
                              <a:gd name="T21" fmla="*/ 576 h 592"/>
                              <a:gd name="T22" fmla="*/ 88 w 96"/>
                              <a:gd name="T23" fmla="*/ 576 h 592"/>
                              <a:gd name="T24" fmla="*/ 80 w 96"/>
                              <a:gd name="T25" fmla="*/ 584 h 592"/>
                              <a:gd name="T26" fmla="*/ 80 w 96"/>
                              <a:gd name="T27" fmla="*/ 8 h 592"/>
                              <a:gd name="T28" fmla="*/ 88 w 96"/>
                              <a:gd name="T29" fmla="*/ 16 h 592"/>
                              <a:gd name="T30" fmla="*/ 8 w 96"/>
                              <a:gd name="T31" fmla="*/ 16 h 592"/>
                              <a:gd name="T32" fmla="*/ 16 w 96"/>
                              <a:gd name="T33" fmla="*/ 8 h 592"/>
                              <a:gd name="T34" fmla="*/ 16 w 96"/>
                              <a:gd name="T35" fmla="*/ 584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592">
                                <a:moveTo>
                                  <a:pt x="0" y="8"/>
                                </a:moveTo>
                                <a:cubicBezTo>
                                  <a:pt x="0" y="4"/>
                                  <a:pt x="4" y="0"/>
                                  <a:pt x="8" y="0"/>
                                </a:cubicBezTo>
                                <a:lnTo>
                                  <a:pt x="88" y="0"/>
                                </a:lnTo>
                                <a:cubicBezTo>
                                  <a:pt x="93" y="0"/>
                                  <a:pt x="96" y="4"/>
                                  <a:pt x="96" y="8"/>
                                </a:cubicBezTo>
                                <a:lnTo>
                                  <a:pt x="96" y="584"/>
                                </a:lnTo>
                                <a:cubicBezTo>
                                  <a:pt x="96" y="589"/>
                                  <a:pt x="93" y="592"/>
                                  <a:pt x="88" y="592"/>
                                </a:cubicBezTo>
                                <a:lnTo>
                                  <a:pt x="8" y="592"/>
                                </a:lnTo>
                                <a:cubicBezTo>
                                  <a:pt x="4" y="592"/>
                                  <a:pt x="0" y="589"/>
                                  <a:pt x="0" y="584"/>
                                </a:cubicBezTo>
                                <a:lnTo>
                                  <a:pt x="0" y="8"/>
                                </a:lnTo>
                                <a:close/>
                                <a:moveTo>
                                  <a:pt x="16" y="584"/>
                                </a:moveTo>
                                <a:lnTo>
                                  <a:pt x="8" y="576"/>
                                </a:lnTo>
                                <a:lnTo>
                                  <a:pt x="88" y="576"/>
                                </a:lnTo>
                                <a:lnTo>
                                  <a:pt x="80" y="584"/>
                                </a:lnTo>
                                <a:lnTo>
                                  <a:pt x="80" y="8"/>
                                </a:lnTo>
                                <a:lnTo>
                                  <a:pt x="88" y="16"/>
                                </a:lnTo>
                                <a:lnTo>
                                  <a:pt x="8" y="16"/>
                                </a:lnTo>
                                <a:lnTo>
                                  <a:pt x="16" y="8"/>
                                </a:lnTo>
                                <a:lnTo>
                                  <a:pt x="16" y="5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81" name="Rectangle 11"/>
                        <wps:cNvSpPr>
                          <a:spLocks noChangeArrowheads="1"/>
                        </wps:cNvSpPr>
                        <wps:spPr bwMode="auto">
                          <a:xfrm>
                            <a:off x="3566" y="4562"/>
                            <a:ext cx="78" cy="41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12"/>
                        <wps:cNvSpPr>
                          <a:spLocks noEditPoints="1"/>
                        </wps:cNvSpPr>
                        <wps:spPr bwMode="auto">
                          <a:xfrm>
                            <a:off x="3558" y="4553"/>
                            <a:ext cx="94" cy="431"/>
                          </a:xfrm>
                          <a:custGeom>
                            <a:avLst/>
                            <a:gdLst>
                              <a:gd name="T0" fmla="*/ 0 w 96"/>
                              <a:gd name="T1" fmla="*/ 8 h 400"/>
                              <a:gd name="T2" fmla="*/ 8 w 96"/>
                              <a:gd name="T3" fmla="*/ 0 h 400"/>
                              <a:gd name="T4" fmla="*/ 88 w 96"/>
                              <a:gd name="T5" fmla="*/ 0 h 400"/>
                              <a:gd name="T6" fmla="*/ 96 w 96"/>
                              <a:gd name="T7" fmla="*/ 8 h 400"/>
                              <a:gd name="T8" fmla="*/ 96 w 96"/>
                              <a:gd name="T9" fmla="*/ 392 h 400"/>
                              <a:gd name="T10" fmla="*/ 88 w 96"/>
                              <a:gd name="T11" fmla="*/ 400 h 400"/>
                              <a:gd name="T12" fmla="*/ 8 w 96"/>
                              <a:gd name="T13" fmla="*/ 400 h 400"/>
                              <a:gd name="T14" fmla="*/ 0 w 96"/>
                              <a:gd name="T15" fmla="*/ 392 h 400"/>
                              <a:gd name="T16" fmla="*/ 0 w 96"/>
                              <a:gd name="T17" fmla="*/ 8 h 400"/>
                              <a:gd name="T18" fmla="*/ 16 w 96"/>
                              <a:gd name="T19" fmla="*/ 392 h 400"/>
                              <a:gd name="T20" fmla="*/ 8 w 96"/>
                              <a:gd name="T21" fmla="*/ 384 h 400"/>
                              <a:gd name="T22" fmla="*/ 88 w 96"/>
                              <a:gd name="T23" fmla="*/ 384 h 400"/>
                              <a:gd name="T24" fmla="*/ 80 w 96"/>
                              <a:gd name="T25" fmla="*/ 392 h 400"/>
                              <a:gd name="T26" fmla="*/ 80 w 96"/>
                              <a:gd name="T27" fmla="*/ 8 h 400"/>
                              <a:gd name="T28" fmla="*/ 88 w 96"/>
                              <a:gd name="T29" fmla="*/ 16 h 400"/>
                              <a:gd name="T30" fmla="*/ 8 w 96"/>
                              <a:gd name="T31" fmla="*/ 16 h 400"/>
                              <a:gd name="T32" fmla="*/ 16 w 96"/>
                              <a:gd name="T33" fmla="*/ 8 h 400"/>
                              <a:gd name="T34" fmla="*/ 16 w 96"/>
                              <a:gd name="T35" fmla="*/ 392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00">
                                <a:moveTo>
                                  <a:pt x="0" y="8"/>
                                </a:moveTo>
                                <a:cubicBezTo>
                                  <a:pt x="0" y="4"/>
                                  <a:pt x="4" y="0"/>
                                  <a:pt x="8" y="0"/>
                                </a:cubicBezTo>
                                <a:lnTo>
                                  <a:pt x="88" y="0"/>
                                </a:lnTo>
                                <a:cubicBezTo>
                                  <a:pt x="93" y="0"/>
                                  <a:pt x="96" y="4"/>
                                  <a:pt x="96" y="8"/>
                                </a:cubicBezTo>
                                <a:lnTo>
                                  <a:pt x="96" y="392"/>
                                </a:lnTo>
                                <a:cubicBezTo>
                                  <a:pt x="96" y="397"/>
                                  <a:pt x="93" y="400"/>
                                  <a:pt x="88" y="400"/>
                                </a:cubicBezTo>
                                <a:lnTo>
                                  <a:pt x="8" y="400"/>
                                </a:lnTo>
                                <a:cubicBezTo>
                                  <a:pt x="4" y="400"/>
                                  <a:pt x="0" y="397"/>
                                  <a:pt x="0" y="392"/>
                                </a:cubicBezTo>
                                <a:lnTo>
                                  <a:pt x="0" y="8"/>
                                </a:lnTo>
                                <a:close/>
                                <a:moveTo>
                                  <a:pt x="16" y="392"/>
                                </a:moveTo>
                                <a:lnTo>
                                  <a:pt x="8" y="384"/>
                                </a:lnTo>
                                <a:lnTo>
                                  <a:pt x="88" y="384"/>
                                </a:lnTo>
                                <a:lnTo>
                                  <a:pt x="80" y="392"/>
                                </a:lnTo>
                                <a:lnTo>
                                  <a:pt x="80" y="8"/>
                                </a:lnTo>
                                <a:lnTo>
                                  <a:pt x="88" y="16"/>
                                </a:lnTo>
                                <a:lnTo>
                                  <a:pt x="8" y="16"/>
                                </a:lnTo>
                                <a:lnTo>
                                  <a:pt x="16" y="8"/>
                                </a:lnTo>
                                <a:lnTo>
                                  <a:pt x="16" y="392"/>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83" name="Rectangle 13"/>
                        <wps:cNvSpPr>
                          <a:spLocks noChangeArrowheads="1"/>
                        </wps:cNvSpPr>
                        <wps:spPr bwMode="auto">
                          <a:xfrm>
                            <a:off x="4393" y="4493"/>
                            <a:ext cx="78" cy="482"/>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14"/>
                        <wps:cNvSpPr>
                          <a:spLocks noEditPoints="1"/>
                        </wps:cNvSpPr>
                        <wps:spPr bwMode="auto">
                          <a:xfrm>
                            <a:off x="4386" y="4484"/>
                            <a:ext cx="93" cy="500"/>
                          </a:xfrm>
                          <a:custGeom>
                            <a:avLst/>
                            <a:gdLst>
                              <a:gd name="T0" fmla="*/ 0 w 96"/>
                              <a:gd name="T1" fmla="*/ 8 h 464"/>
                              <a:gd name="T2" fmla="*/ 8 w 96"/>
                              <a:gd name="T3" fmla="*/ 0 h 464"/>
                              <a:gd name="T4" fmla="*/ 88 w 96"/>
                              <a:gd name="T5" fmla="*/ 0 h 464"/>
                              <a:gd name="T6" fmla="*/ 96 w 96"/>
                              <a:gd name="T7" fmla="*/ 8 h 464"/>
                              <a:gd name="T8" fmla="*/ 96 w 96"/>
                              <a:gd name="T9" fmla="*/ 456 h 464"/>
                              <a:gd name="T10" fmla="*/ 88 w 96"/>
                              <a:gd name="T11" fmla="*/ 464 h 464"/>
                              <a:gd name="T12" fmla="*/ 8 w 96"/>
                              <a:gd name="T13" fmla="*/ 464 h 464"/>
                              <a:gd name="T14" fmla="*/ 0 w 96"/>
                              <a:gd name="T15" fmla="*/ 456 h 464"/>
                              <a:gd name="T16" fmla="*/ 0 w 96"/>
                              <a:gd name="T17" fmla="*/ 8 h 464"/>
                              <a:gd name="T18" fmla="*/ 16 w 96"/>
                              <a:gd name="T19" fmla="*/ 456 h 464"/>
                              <a:gd name="T20" fmla="*/ 8 w 96"/>
                              <a:gd name="T21" fmla="*/ 448 h 464"/>
                              <a:gd name="T22" fmla="*/ 88 w 96"/>
                              <a:gd name="T23" fmla="*/ 448 h 464"/>
                              <a:gd name="T24" fmla="*/ 80 w 96"/>
                              <a:gd name="T25" fmla="*/ 456 h 464"/>
                              <a:gd name="T26" fmla="*/ 80 w 96"/>
                              <a:gd name="T27" fmla="*/ 8 h 464"/>
                              <a:gd name="T28" fmla="*/ 88 w 96"/>
                              <a:gd name="T29" fmla="*/ 16 h 464"/>
                              <a:gd name="T30" fmla="*/ 8 w 96"/>
                              <a:gd name="T31" fmla="*/ 16 h 464"/>
                              <a:gd name="T32" fmla="*/ 16 w 96"/>
                              <a:gd name="T33" fmla="*/ 8 h 464"/>
                              <a:gd name="T34" fmla="*/ 16 w 96"/>
                              <a:gd name="T35" fmla="*/ 45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64">
                                <a:moveTo>
                                  <a:pt x="0" y="8"/>
                                </a:moveTo>
                                <a:cubicBezTo>
                                  <a:pt x="0" y="4"/>
                                  <a:pt x="4" y="0"/>
                                  <a:pt x="8" y="0"/>
                                </a:cubicBezTo>
                                <a:lnTo>
                                  <a:pt x="88" y="0"/>
                                </a:lnTo>
                                <a:cubicBezTo>
                                  <a:pt x="93" y="0"/>
                                  <a:pt x="96" y="4"/>
                                  <a:pt x="96" y="8"/>
                                </a:cubicBezTo>
                                <a:lnTo>
                                  <a:pt x="96" y="456"/>
                                </a:lnTo>
                                <a:cubicBezTo>
                                  <a:pt x="96" y="461"/>
                                  <a:pt x="93" y="464"/>
                                  <a:pt x="88" y="464"/>
                                </a:cubicBezTo>
                                <a:lnTo>
                                  <a:pt x="8" y="464"/>
                                </a:lnTo>
                                <a:cubicBezTo>
                                  <a:pt x="4" y="464"/>
                                  <a:pt x="0" y="461"/>
                                  <a:pt x="0" y="456"/>
                                </a:cubicBezTo>
                                <a:lnTo>
                                  <a:pt x="0" y="8"/>
                                </a:lnTo>
                                <a:close/>
                                <a:moveTo>
                                  <a:pt x="16" y="456"/>
                                </a:moveTo>
                                <a:lnTo>
                                  <a:pt x="8" y="448"/>
                                </a:lnTo>
                                <a:lnTo>
                                  <a:pt x="88" y="448"/>
                                </a:lnTo>
                                <a:lnTo>
                                  <a:pt x="80" y="456"/>
                                </a:lnTo>
                                <a:lnTo>
                                  <a:pt x="80" y="8"/>
                                </a:lnTo>
                                <a:lnTo>
                                  <a:pt x="88" y="16"/>
                                </a:lnTo>
                                <a:lnTo>
                                  <a:pt x="8" y="16"/>
                                </a:lnTo>
                                <a:lnTo>
                                  <a:pt x="16" y="8"/>
                                </a:lnTo>
                                <a:lnTo>
                                  <a:pt x="16" y="4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85" name="Rectangle 15"/>
                        <wps:cNvSpPr>
                          <a:spLocks noChangeArrowheads="1"/>
                        </wps:cNvSpPr>
                        <wps:spPr bwMode="auto">
                          <a:xfrm>
                            <a:off x="5237" y="4872"/>
                            <a:ext cx="78" cy="10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16"/>
                        <wps:cNvSpPr>
                          <a:spLocks noEditPoints="1"/>
                        </wps:cNvSpPr>
                        <wps:spPr bwMode="auto">
                          <a:xfrm>
                            <a:off x="5229" y="4863"/>
                            <a:ext cx="94" cy="121"/>
                          </a:xfrm>
                          <a:custGeom>
                            <a:avLst/>
                            <a:gdLst>
                              <a:gd name="T0" fmla="*/ 0 w 96"/>
                              <a:gd name="T1" fmla="*/ 8 h 112"/>
                              <a:gd name="T2" fmla="*/ 8 w 96"/>
                              <a:gd name="T3" fmla="*/ 0 h 112"/>
                              <a:gd name="T4" fmla="*/ 88 w 96"/>
                              <a:gd name="T5" fmla="*/ 0 h 112"/>
                              <a:gd name="T6" fmla="*/ 96 w 96"/>
                              <a:gd name="T7" fmla="*/ 8 h 112"/>
                              <a:gd name="T8" fmla="*/ 96 w 96"/>
                              <a:gd name="T9" fmla="*/ 104 h 112"/>
                              <a:gd name="T10" fmla="*/ 88 w 96"/>
                              <a:gd name="T11" fmla="*/ 112 h 112"/>
                              <a:gd name="T12" fmla="*/ 8 w 96"/>
                              <a:gd name="T13" fmla="*/ 112 h 112"/>
                              <a:gd name="T14" fmla="*/ 0 w 96"/>
                              <a:gd name="T15" fmla="*/ 104 h 112"/>
                              <a:gd name="T16" fmla="*/ 0 w 96"/>
                              <a:gd name="T17" fmla="*/ 8 h 112"/>
                              <a:gd name="T18" fmla="*/ 16 w 96"/>
                              <a:gd name="T19" fmla="*/ 104 h 112"/>
                              <a:gd name="T20" fmla="*/ 8 w 96"/>
                              <a:gd name="T21" fmla="*/ 96 h 112"/>
                              <a:gd name="T22" fmla="*/ 88 w 96"/>
                              <a:gd name="T23" fmla="*/ 96 h 112"/>
                              <a:gd name="T24" fmla="*/ 80 w 96"/>
                              <a:gd name="T25" fmla="*/ 104 h 112"/>
                              <a:gd name="T26" fmla="*/ 80 w 96"/>
                              <a:gd name="T27" fmla="*/ 8 h 112"/>
                              <a:gd name="T28" fmla="*/ 88 w 96"/>
                              <a:gd name="T29" fmla="*/ 16 h 112"/>
                              <a:gd name="T30" fmla="*/ 8 w 96"/>
                              <a:gd name="T31" fmla="*/ 16 h 112"/>
                              <a:gd name="T32" fmla="*/ 16 w 96"/>
                              <a:gd name="T33" fmla="*/ 8 h 112"/>
                              <a:gd name="T34" fmla="*/ 16 w 96"/>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12">
                                <a:moveTo>
                                  <a:pt x="0" y="8"/>
                                </a:moveTo>
                                <a:cubicBezTo>
                                  <a:pt x="0" y="4"/>
                                  <a:pt x="4" y="0"/>
                                  <a:pt x="8" y="0"/>
                                </a:cubicBezTo>
                                <a:lnTo>
                                  <a:pt x="88" y="0"/>
                                </a:lnTo>
                                <a:cubicBezTo>
                                  <a:pt x="93" y="0"/>
                                  <a:pt x="96" y="4"/>
                                  <a:pt x="96" y="8"/>
                                </a:cubicBezTo>
                                <a:lnTo>
                                  <a:pt x="96" y="104"/>
                                </a:lnTo>
                                <a:cubicBezTo>
                                  <a:pt x="96" y="109"/>
                                  <a:pt x="93" y="112"/>
                                  <a:pt x="88" y="112"/>
                                </a:cubicBezTo>
                                <a:lnTo>
                                  <a:pt x="8" y="112"/>
                                </a:lnTo>
                                <a:cubicBezTo>
                                  <a:pt x="4" y="112"/>
                                  <a:pt x="0" y="109"/>
                                  <a:pt x="0" y="104"/>
                                </a:cubicBezTo>
                                <a:lnTo>
                                  <a:pt x="0" y="8"/>
                                </a:lnTo>
                                <a:close/>
                                <a:moveTo>
                                  <a:pt x="16" y="104"/>
                                </a:moveTo>
                                <a:lnTo>
                                  <a:pt x="8" y="96"/>
                                </a:lnTo>
                                <a:lnTo>
                                  <a:pt x="88" y="96"/>
                                </a:lnTo>
                                <a:lnTo>
                                  <a:pt x="80" y="104"/>
                                </a:lnTo>
                                <a:lnTo>
                                  <a:pt x="80" y="8"/>
                                </a:lnTo>
                                <a:lnTo>
                                  <a:pt x="88"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87" name="Rectangle 17"/>
                        <wps:cNvSpPr>
                          <a:spLocks noChangeArrowheads="1"/>
                        </wps:cNvSpPr>
                        <wps:spPr bwMode="auto">
                          <a:xfrm>
                            <a:off x="6064" y="4872"/>
                            <a:ext cx="78" cy="10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18"/>
                        <wps:cNvSpPr>
                          <a:spLocks noEditPoints="1"/>
                        </wps:cNvSpPr>
                        <wps:spPr bwMode="auto">
                          <a:xfrm>
                            <a:off x="6057" y="4863"/>
                            <a:ext cx="93" cy="121"/>
                          </a:xfrm>
                          <a:custGeom>
                            <a:avLst/>
                            <a:gdLst>
                              <a:gd name="T0" fmla="*/ 0 w 96"/>
                              <a:gd name="T1" fmla="*/ 8 h 112"/>
                              <a:gd name="T2" fmla="*/ 8 w 96"/>
                              <a:gd name="T3" fmla="*/ 0 h 112"/>
                              <a:gd name="T4" fmla="*/ 88 w 96"/>
                              <a:gd name="T5" fmla="*/ 0 h 112"/>
                              <a:gd name="T6" fmla="*/ 96 w 96"/>
                              <a:gd name="T7" fmla="*/ 8 h 112"/>
                              <a:gd name="T8" fmla="*/ 96 w 96"/>
                              <a:gd name="T9" fmla="*/ 104 h 112"/>
                              <a:gd name="T10" fmla="*/ 88 w 96"/>
                              <a:gd name="T11" fmla="*/ 112 h 112"/>
                              <a:gd name="T12" fmla="*/ 8 w 96"/>
                              <a:gd name="T13" fmla="*/ 112 h 112"/>
                              <a:gd name="T14" fmla="*/ 0 w 96"/>
                              <a:gd name="T15" fmla="*/ 104 h 112"/>
                              <a:gd name="T16" fmla="*/ 0 w 96"/>
                              <a:gd name="T17" fmla="*/ 8 h 112"/>
                              <a:gd name="T18" fmla="*/ 16 w 96"/>
                              <a:gd name="T19" fmla="*/ 104 h 112"/>
                              <a:gd name="T20" fmla="*/ 8 w 96"/>
                              <a:gd name="T21" fmla="*/ 96 h 112"/>
                              <a:gd name="T22" fmla="*/ 88 w 96"/>
                              <a:gd name="T23" fmla="*/ 96 h 112"/>
                              <a:gd name="T24" fmla="*/ 80 w 96"/>
                              <a:gd name="T25" fmla="*/ 104 h 112"/>
                              <a:gd name="T26" fmla="*/ 80 w 96"/>
                              <a:gd name="T27" fmla="*/ 8 h 112"/>
                              <a:gd name="T28" fmla="*/ 88 w 96"/>
                              <a:gd name="T29" fmla="*/ 16 h 112"/>
                              <a:gd name="T30" fmla="*/ 8 w 96"/>
                              <a:gd name="T31" fmla="*/ 16 h 112"/>
                              <a:gd name="T32" fmla="*/ 16 w 96"/>
                              <a:gd name="T33" fmla="*/ 8 h 112"/>
                              <a:gd name="T34" fmla="*/ 16 w 96"/>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12">
                                <a:moveTo>
                                  <a:pt x="0" y="8"/>
                                </a:moveTo>
                                <a:cubicBezTo>
                                  <a:pt x="0" y="4"/>
                                  <a:pt x="4" y="0"/>
                                  <a:pt x="8" y="0"/>
                                </a:cubicBezTo>
                                <a:lnTo>
                                  <a:pt x="88" y="0"/>
                                </a:lnTo>
                                <a:cubicBezTo>
                                  <a:pt x="93" y="0"/>
                                  <a:pt x="96" y="4"/>
                                  <a:pt x="96" y="8"/>
                                </a:cubicBezTo>
                                <a:lnTo>
                                  <a:pt x="96" y="104"/>
                                </a:lnTo>
                                <a:cubicBezTo>
                                  <a:pt x="96" y="109"/>
                                  <a:pt x="93" y="112"/>
                                  <a:pt x="88" y="112"/>
                                </a:cubicBezTo>
                                <a:lnTo>
                                  <a:pt x="8" y="112"/>
                                </a:lnTo>
                                <a:cubicBezTo>
                                  <a:pt x="4" y="112"/>
                                  <a:pt x="0" y="109"/>
                                  <a:pt x="0" y="104"/>
                                </a:cubicBezTo>
                                <a:lnTo>
                                  <a:pt x="0" y="8"/>
                                </a:lnTo>
                                <a:close/>
                                <a:moveTo>
                                  <a:pt x="16" y="104"/>
                                </a:moveTo>
                                <a:lnTo>
                                  <a:pt x="8" y="96"/>
                                </a:lnTo>
                                <a:lnTo>
                                  <a:pt x="88" y="96"/>
                                </a:lnTo>
                                <a:lnTo>
                                  <a:pt x="80" y="104"/>
                                </a:lnTo>
                                <a:lnTo>
                                  <a:pt x="80" y="8"/>
                                </a:lnTo>
                                <a:lnTo>
                                  <a:pt x="88"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89" name="Rectangle 19"/>
                        <wps:cNvSpPr>
                          <a:spLocks noChangeArrowheads="1"/>
                        </wps:cNvSpPr>
                        <wps:spPr bwMode="auto">
                          <a:xfrm>
                            <a:off x="6892" y="4889"/>
                            <a:ext cx="78" cy="86"/>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20"/>
                        <wps:cNvSpPr>
                          <a:spLocks noEditPoints="1"/>
                        </wps:cNvSpPr>
                        <wps:spPr bwMode="auto">
                          <a:xfrm>
                            <a:off x="6884" y="4881"/>
                            <a:ext cx="94" cy="103"/>
                          </a:xfrm>
                          <a:custGeom>
                            <a:avLst/>
                            <a:gdLst>
                              <a:gd name="T0" fmla="*/ 0 w 96"/>
                              <a:gd name="T1" fmla="*/ 8 h 96"/>
                              <a:gd name="T2" fmla="*/ 8 w 96"/>
                              <a:gd name="T3" fmla="*/ 0 h 96"/>
                              <a:gd name="T4" fmla="*/ 88 w 96"/>
                              <a:gd name="T5" fmla="*/ 0 h 96"/>
                              <a:gd name="T6" fmla="*/ 96 w 96"/>
                              <a:gd name="T7" fmla="*/ 8 h 96"/>
                              <a:gd name="T8" fmla="*/ 96 w 96"/>
                              <a:gd name="T9" fmla="*/ 88 h 96"/>
                              <a:gd name="T10" fmla="*/ 88 w 96"/>
                              <a:gd name="T11" fmla="*/ 96 h 96"/>
                              <a:gd name="T12" fmla="*/ 8 w 96"/>
                              <a:gd name="T13" fmla="*/ 96 h 96"/>
                              <a:gd name="T14" fmla="*/ 0 w 96"/>
                              <a:gd name="T15" fmla="*/ 88 h 96"/>
                              <a:gd name="T16" fmla="*/ 0 w 96"/>
                              <a:gd name="T17" fmla="*/ 8 h 96"/>
                              <a:gd name="T18" fmla="*/ 16 w 96"/>
                              <a:gd name="T19" fmla="*/ 88 h 96"/>
                              <a:gd name="T20" fmla="*/ 8 w 96"/>
                              <a:gd name="T21" fmla="*/ 80 h 96"/>
                              <a:gd name="T22" fmla="*/ 88 w 96"/>
                              <a:gd name="T23" fmla="*/ 80 h 96"/>
                              <a:gd name="T24" fmla="*/ 80 w 96"/>
                              <a:gd name="T25" fmla="*/ 88 h 96"/>
                              <a:gd name="T26" fmla="*/ 80 w 96"/>
                              <a:gd name="T27" fmla="*/ 8 h 96"/>
                              <a:gd name="T28" fmla="*/ 88 w 96"/>
                              <a:gd name="T29" fmla="*/ 16 h 96"/>
                              <a:gd name="T30" fmla="*/ 8 w 96"/>
                              <a:gd name="T31" fmla="*/ 16 h 96"/>
                              <a:gd name="T32" fmla="*/ 16 w 96"/>
                              <a:gd name="T33" fmla="*/ 8 h 96"/>
                              <a:gd name="T34" fmla="*/ 16 w 96"/>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96">
                                <a:moveTo>
                                  <a:pt x="0" y="8"/>
                                </a:moveTo>
                                <a:cubicBezTo>
                                  <a:pt x="0" y="4"/>
                                  <a:pt x="4" y="0"/>
                                  <a:pt x="8" y="0"/>
                                </a:cubicBezTo>
                                <a:lnTo>
                                  <a:pt x="88" y="0"/>
                                </a:lnTo>
                                <a:cubicBezTo>
                                  <a:pt x="93" y="0"/>
                                  <a:pt x="96" y="4"/>
                                  <a:pt x="96" y="8"/>
                                </a:cubicBezTo>
                                <a:lnTo>
                                  <a:pt x="96" y="88"/>
                                </a:lnTo>
                                <a:cubicBezTo>
                                  <a:pt x="96" y="93"/>
                                  <a:pt x="93" y="96"/>
                                  <a:pt x="88" y="96"/>
                                </a:cubicBezTo>
                                <a:lnTo>
                                  <a:pt x="8" y="96"/>
                                </a:lnTo>
                                <a:cubicBezTo>
                                  <a:pt x="4" y="96"/>
                                  <a:pt x="0" y="93"/>
                                  <a:pt x="0" y="88"/>
                                </a:cubicBezTo>
                                <a:lnTo>
                                  <a:pt x="0" y="8"/>
                                </a:lnTo>
                                <a:close/>
                                <a:moveTo>
                                  <a:pt x="16" y="88"/>
                                </a:moveTo>
                                <a:lnTo>
                                  <a:pt x="8" y="80"/>
                                </a:lnTo>
                                <a:lnTo>
                                  <a:pt x="88" y="80"/>
                                </a:lnTo>
                                <a:lnTo>
                                  <a:pt x="80" y="88"/>
                                </a:lnTo>
                                <a:lnTo>
                                  <a:pt x="80" y="8"/>
                                </a:lnTo>
                                <a:lnTo>
                                  <a:pt x="88"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91" name="Rectangle 21"/>
                        <wps:cNvSpPr>
                          <a:spLocks noChangeArrowheads="1"/>
                        </wps:cNvSpPr>
                        <wps:spPr bwMode="auto">
                          <a:xfrm>
                            <a:off x="7720" y="4872"/>
                            <a:ext cx="78" cy="103"/>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22"/>
                        <wps:cNvSpPr>
                          <a:spLocks noEditPoints="1"/>
                        </wps:cNvSpPr>
                        <wps:spPr bwMode="auto">
                          <a:xfrm>
                            <a:off x="7712" y="4863"/>
                            <a:ext cx="94" cy="121"/>
                          </a:xfrm>
                          <a:custGeom>
                            <a:avLst/>
                            <a:gdLst>
                              <a:gd name="T0" fmla="*/ 0 w 96"/>
                              <a:gd name="T1" fmla="*/ 8 h 112"/>
                              <a:gd name="T2" fmla="*/ 8 w 96"/>
                              <a:gd name="T3" fmla="*/ 0 h 112"/>
                              <a:gd name="T4" fmla="*/ 88 w 96"/>
                              <a:gd name="T5" fmla="*/ 0 h 112"/>
                              <a:gd name="T6" fmla="*/ 96 w 96"/>
                              <a:gd name="T7" fmla="*/ 8 h 112"/>
                              <a:gd name="T8" fmla="*/ 96 w 96"/>
                              <a:gd name="T9" fmla="*/ 104 h 112"/>
                              <a:gd name="T10" fmla="*/ 88 w 96"/>
                              <a:gd name="T11" fmla="*/ 112 h 112"/>
                              <a:gd name="T12" fmla="*/ 8 w 96"/>
                              <a:gd name="T13" fmla="*/ 112 h 112"/>
                              <a:gd name="T14" fmla="*/ 0 w 96"/>
                              <a:gd name="T15" fmla="*/ 104 h 112"/>
                              <a:gd name="T16" fmla="*/ 0 w 96"/>
                              <a:gd name="T17" fmla="*/ 8 h 112"/>
                              <a:gd name="T18" fmla="*/ 16 w 96"/>
                              <a:gd name="T19" fmla="*/ 104 h 112"/>
                              <a:gd name="T20" fmla="*/ 8 w 96"/>
                              <a:gd name="T21" fmla="*/ 96 h 112"/>
                              <a:gd name="T22" fmla="*/ 88 w 96"/>
                              <a:gd name="T23" fmla="*/ 96 h 112"/>
                              <a:gd name="T24" fmla="*/ 80 w 96"/>
                              <a:gd name="T25" fmla="*/ 104 h 112"/>
                              <a:gd name="T26" fmla="*/ 80 w 96"/>
                              <a:gd name="T27" fmla="*/ 8 h 112"/>
                              <a:gd name="T28" fmla="*/ 88 w 96"/>
                              <a:gd name="T29" fmla="*/ 16 h 112"/>
                              <a:gd name="T30" fmla="*/ 8 w 96"/>
                              <a:gd name="T31" fmla="*/ 16 h 112"/>
                              <a:gd name="T32" fmla="*/ 16 w 96"/>
                              <a:gd name="T33" fmla="*/ 8 h 112"/>
                              <a:gd name="T34" fmla="*/ 16 w 96"/>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12">
                                <a:moveTo>
                                  <a:pt x="0" y="8"/>
                                </a:moveTo>
                                <a:cubicBezTo>
                                  <a:pt x="0" y="4"/>
                                  <a:pt x="4" y="0"/>
                                  <a:pt x="8" y="0"/>
                                </a:cubicBezTo>
                                <a:lnTo>
                                  <a:pt x="88" y="0"/>
                                </a:lnTo>
                                <a:cubicBezTo>
                                  <a:pt x="93" y="0"/>
                                  <a:pt x="96" y="4"/>
                                  <a:pt x="96" y="8"/>
                                </a:cubicBezTo>
                                <a:lnTo>
                                  <a:pt x="96" y="104"/>
                                </a:lnTo>
                                <a:cubicBezTo>
                                  <a:pt x="96" y="109"/>
                                  <a:pt x="93" y="112"/>
                                  <a:pt x="88" y="112"/>
                                </a:cubicBezTo>
                                <a:lnTo>
                                  <a:pt x="8" y="112"/>
                                </a:lnTo>
                                <a:cubicBezTo>
                                  <a:pt x="4" y="112"/>
                                  <a:pt x="0" y="109"/>
                                  <a:pt x="0" y="104"/>
                                </a:cubicBezTo>
                                <a:lnTo>
                                  <a:pt x="0" y="8"/>
                                </a:lnTo>
                                <a:close/>
                                <a:moveTo>
                                  <a:pt x="16" y="104"/>
                                </a:moveTo>
                                <a:lnTo>
                                  <a:pt x="8" y="96"/>
                                </a:lnTo>
                                <a:lnTo>
                                  <a:pt x="88" y="96"/>
                                </a:lnTo>
                                <a:lnTo>
                                  <a:pt x="80" y="104"/>
                                </a:lnTo>
                                <a:lnTo>
                                  <a:pt x="80" y="8"/>
                                </a:lnTo>
                                <a:lnTo>
                                  <a:pt x="88"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93" name="Rectangle 23"/>
                        <wps:cNvSpPr>
                          <a:spLocks noChangeArrowheads="1"/>
                        </wps:cNvSpPr>
                        <wps:spPr bwMode="auto">
                          <a:xfrm>
                            <a:off x="2816" y="4958"/>
                            <a:ext cx="78"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24"/>
                        <wps:cNvSpPr>
                          <a:spLocks noEditPoints="1"/>
                        </wps:cNvSpPr>
                        <wps:spPr bwMode="auto">
                          <a:xfrm>
                            <a:off x="2808"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95" name="Rectangle 25"/>
                        <wps:cNvSpPr>
                          <a:spLocks noChangeArrowheads="1"/>
                        </wps:cNvSpPr>
                        <wps:spPr bwMode="auto">
                          <a:xfrm>
                            <a:off x="3644" y="4958"/>
                            <a:ext cx="78"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26"/>
                        <wps:cNvSpPr>
                          <a:spLocks noEditPoints="1"/>
                        </wps:cNvSpPr>
                        <wps:spPr bwMode="auto">
                          <a:xfrm>
                            <a:off x="3636"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29" name="Rectangle 27"/>
                        <wps:cNvSpPr>
                          <a:spLocks noChangeArrowheads="1"/>
                        </wps:cNvSpPr>
                        <wps:spPr bwMode="auto">
                          <a:xfrm>
                            <a:off x="4471" y="4958"/>
                            <a:ext cx="79"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28"/>
                        <wps:cNvSpPr>
                          <a:spLocks noEditPoints="1"/>
                        </wps:cNvSpPr>
                        <wps:spPr bwMode="auto">
                          <a:xfrm>
                            <a:off x="4464" y="4950"/>
                            <a:ext cx="93"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31" name="Rectangle 29"/>
                        <wps:cNvSpPr>
                          <a:spLocks noChangeArrowheads="1"/>
                        </wps:cNvSpPr>
                        <wps:spPr bwMode="auto">
                          <a:xfrm>
                            <a:off x="5315" y="4958"/>
                            <a:ext cx="62"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30"/>
                        <wps:cNvSpPr>
                          <a:spLocks noEditPoints="1"/>
                        </wps:cNvSpPr>
                        <wps:spPr bwMode="auto">
                          <a:xfrm>
                            <a:off x="5307" y="4950"/>
                            <a:ext cx="78" cy="34"/>
                          </a:xfrm>
                          <a:custGeom>
                            <a:avLst/>
                            <a:gdLst>
                              <a:gd name="T0" fmla="*/ 0 w 80"/>
                              <a:gd name="T1" fmla="*/ 8 h 32"/>
                              <a:gd name="T2" fmla="*/ 8 w 80"/>
                              <a:gd name="T3" fmla="*/ 0 h 32"/>
                              <a:gd name="T4" fmla="*/ 72 w 80"/>
                              <a:gd name="T5" fmla="*/ 0 h 32"/>
                              <a:gd name="T6" fmla="*/ 80 w 80"/>
                              <a:gd name="T7" fmla="*/ 8 h 32"/>
                              <a:gd name="T8" fmla="*/ 80 w 80"/>
                              <a:gd name="T9" fmla="*/ 24 h 32"/>
                              <a:gd name="T10" fmla="*/ 72 w 80"/>
                              <a:gd name="T11" fmla="*/ 32 h 32"/>
                              <a:gd name="T12" fmla="*/ 8 w 80"/>
                              <a:gd name="T13" fmla="*/ 32 h 32"/>
                              <a:gd name="T14" fmla="*/ 0 w 80"/>
                              <a:gd name="T15" fmla="*/ 24 h 32"/>
                              <a:gd name="T16" fmla="*/ 0 w 80"/>
                              <a:gd name="T17" fmla="*/ 8 h 32"/>
                              <a:gd name="T18" fmla="*/ 16 w 80"/>
                              <a:gd name="T19" fmla="*/ 24 h 32"/>
                              <a:gd name="T20" fmla="*/ 8 w 80"/>
                              <a:gd name="T21" fmla="*/ 16 h 32"/>
                              <a:gd name="T22" fmla="*/ 72 w 80"/>
                              <a:gd name="T23" fmla="*/ 16 h 32"/>
                              <a:gd name="T24" fmla="*/ 64 w 80"/>
                              <a:gd name="T25" fmla="*/ 24 h 32"/>
                              <a:gd name="T26" fmla="*/ 64 w 80"/>
                              <a:gd name="T27" fmla="*/ 8 h 32"/>
                              <a:gd name="T28" fmla="*/ 72 w 80"/>
                              <a:gd name="T29" fmla="*/ 16 h 32"/>
                              <a:gd name="T30" fmla="*/ 8 w 80"/>
                              <a:gd name="T31" fmla="*/ 16 h 32"/>
                              <a:gd name="T32" fmla="*/ 16 w 80"/>
                              <a:gd name="T33" fmla="*/ 8 h 32"/>
                              <a:gd name="T34" fmla="*/ 16 w 80"/>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32">
                                <a:moveTo>
                                  <a:pt x="0" y="8"/>
                                </a:moveTo>
                                <a:cubicBezTo>
                                  <a:pt x="0" y="4"/>
                                  <a:pt x="4" y="0"/>
                                  <a:pt x="8" y="0"/>
                                </a:cubicBezTo>
                                <a:lnTo>
                                  <a:pt x="72" y="0"/>
                                </a:lnTo>
                                <a:cubicBezTo>
                                  <a:pt x="77" y="0"/>
                                  <a:pt x="80" y="4"/>
                                  <a:pt x="80" y="8"/>
                                </a:cubicBezTo>
                                <a:lnTo>
                                  <a:pt x="80" y="24"/>
                                </a:lnTo>
                                <a:cubicBezTo>
                                  <a:pt x="80" y="29"/>
                                  <a:pt x="77" y="32"/>
                                  <a:pt x="72" y="32"/>
                                </a:cubicBezTo>
                                <a:lnTo>
                                  <a:pt x="8" y="32"/>
                                </a:lnTo>
                                <a:cubicBezTo>
                                  <a:pt x="4" y="32"/>
                                  <a:pt x="0" y="29"/>
                                  <a:pt x="0" y="24"/>
                                </a:cubicBezTo>
                                <a:lnTo>
                                  <a:pt x="0" y="8"/>
                                </a:lnTo>
                                <a:close/>
                                <a:moveTo>
                                  <a:pt x="16" y="24"/>
                                </a:moveTo>
                                <a:lnTo>
                                  <a:pt x="8" y="16"/>
                                </a:lnTo>
                                <a:lnTo>
                                  <a:pt x="72" y="16"/>
                                </a:lnTo>
                                <a:lnTo>
                                  <a:pt x="64" y="24"/>
                                </a:lnTo>
                                <a:lnTo>
                                  <a:pt x="64" y="8"/>
                                </a:lnTo>
                                <a:lnTo>
                                  <a:pt x="72"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33" name="Rectangle 31"/>
                        <wps:cNvSpPr>
                          <a:spLocks noChangeArrowheads="1"/>
                        </wps:cNvSpPr>
                        <wps:spPr bwMode="auto">
                          <a:xfrm>
                            <a:off x="6142" y="4958"/>
                            <a:ext cx="79"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32"/>
                        <wps:cNvSpPr>
                          <a:spLocks noEditPoints="1"/>
                        </wps:cNvSpPr>
                        <wps:spPr bwMode="auto">
                          <a:xfrm>
                            <a:off x="6135" y="4950"/>
                            <a:ext cx="93"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35" name="Rectangle 33"/>
                        <wps:cNvSpPr>
                          <a:spLocks noChangeArrowheads="1"/>
                        </wps:cNvSpPr>
                        <wps:spPr bwMode="auto">
                          <a:xfrm>
                            <a:off x="6970" y="4958"/>
                            <a:ext cx="78"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34"/>
                        <wps:cNvSpPr>
                          <a:spLocks noEditPoints="1"/>
                        </wps:cNvSpPr>
                        <wps:spPr bwMode="auto">
                          <a:xfrm>
                            <a:off x="6962"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37" name="Rectangle 35"/>
                        <wps:cNvSpPr>
                          <a:spLocks noChangeArrowheads="1"/>
                        </wps:cNvSpPr>
                        <wps:spPr bwMode="auto">
                          <a:xfrm>
                            <a:off x="7798" y="4958"/>
                            <a:ext cx="78" cy="17"/>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36"/>
                        <wps:cNvSpPr>
                          <a:spLocks noEditPoints="1"/>
                        </wps:cNvSpPr>
                        <wps:spPr bwMode="auto">
                          <a:xfrm>
                            <a:off x="7790"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39" name="Rectangle 37"/>
                        <wps:cNvSpPr>
                          <a:spLocks noChangeArrowheads="1"/>
                        </wps:cNvSpPr>
                        <wps:spPr bwMode="auto">
                          <a:xfrm>
                            <a:off x="2894" y="4838"/>
                            <a:ext cx="78" cy="13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38"/>
                        <wps:cNvSpPr>
                          <a:spLocks noEditPoints="1"/>
                        </wps:cNvSpPr>
                        <wps:spPr bwMode="auto">
                          <a:xfrm>
                            <a:off x="2886" y="4829"/>
                            <a:ext cx="94" cy="155"/>
                          </a:xfrm>
                          <a:custGeom>
                            <a:avLst/>
                            <a:gdLst>
                              <a:gd name="T0" fmla="*/ 0 w 96"/>
                              <a:gd name="T1" fmla="*/ 8 h 144"/>
                              <a:gd name="T2" fmla="*/ 8 w 96"/>
                              <a:gd name="T3" fmla="*/ 0 h 144"/>
                              <a:gd name="T4" fmla="*/ 88 w 96"/>
                              <a:gd name="T5" fmla="*/ 0 h 144"/>
                              <a:gd name="T6" fmla="*/ 96 w 96"/>
                              <a:gd name="T7" fmla="*/ 8 h 144"/>
                              <a:gd name="T8" fmla="*/ 96 w 96"/>
                              <a:gd name="T9" fmla="*/ 136 h 144"/>
                              <a:gd name="T10" fmla="*/ 88 w 96"/>
                              <a:gd name="T11" fmla="*/ 144 h 144"/>
                              <a:gd name="T12" fmla="*/ 8 w 96"/>
                              <a:gd name="T13" fmla="*/ 144 h 144"/>
                              <a:gd name="T14" fmla="*/ 0 w 96"/>
                              <a:gd name="T15" fmla="*/ 136 h 144"/>
                              <a:gd name="T16" fmla="*/ 0 w 96"/>
                              <a:gd name="T17" fmla="*/ 8 h 144"/>
                              <a:gd name="T18" fmla="*/ 16 w 96"/>
                              <a:gd name="T19" fmla="*/ 136 h 144"/>
                              <a:gd name="T20" fmla="*/ 8 w 96"/>
                              <a:gd name="T21" fmla="*/ 128 h 144"/>
                              <a:gd name="T22" fmla="*/ 88 w 96"/>
                              <a:gd name="T23" fmla="*/ 128 h 144"/>
                              <a:gd name="T24" fmla="*/ 80 w 96"/>
                              <a:gd name="T25" fmla="*/ 136 h 144"/>
                              <a:gd name="T26" fmla="*/ 80 w 96"/>
                              <a:gd name="T27" fmla="*/ 8 h 144"/>
                              <a:gd name="T28" fmla="*/ 88 w 96"/>
                              <a:gd name="T29" fmla="*/ 16 h 144"/>
                              <a:gd name="T30" fmla="*/ 8 w 96"/>
                              <a:gd name="T31" fmla="*/ 16 h 144"/>
                              <a:gd name="T32" fmla="*/ 16 w 96"/>
                              <a:gd name="T33" fmla="*/ 8 h 144"/>
                              <a:gd name="T34" fmla="*/ 16 w 96"/>
                              <a:gd name="T35"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44">
                                <a:moveTo>
                                  <a:pt x="0" y="8"/>
                                </a:moveTo>
                                <a:cubicBezTo>
                                  <a:pt x="0" y="4"/>
                                  <a:pt x="4" y="0"/>
                                  <a:pt x="8" y="0"/>
                                </a:cubicBezTo>
                                <a:lnTo>
                                  <a:pt x="88" y="0"/>
                                </a:lnTo>
                                <a:cubicBezTo>
                                  <a:pt x="93" y="0"/>
                                  <a:pt x="96" y="4"/>
                                  <a:pt x="96" y="8"/>
                                </a:cubicBezTo>
                                <a:lnTo>
                                  <a:pt x="96" y="136"/>
                                </a:lnTo>
                                <a:cubicBezTo>
                                  <a:pt x="96" y="141"/>
                                  <a:pt x="93" y="144"/>
                                  <a:pt x="88" y="144"/>
                                </a:cubicBezTo>
                                <a:lnTo>
                                  <a:pt x="8" y="144"/>
                                </a:lnTo>
                                <a:cubicBezTo>
                                  <a:pt x="4" y="144"/>
                                  <a:pt x="0" y="141"/>
                                  <a:pt x="0" y="136"/>
                                </a:cubicBezTo>
                                <a:lnTo>
                                  <a:pt x="0" y="8"/>
                                </a:lnTo>
                                <a:close/>
                                <a:moveTo>
                                  <a:pt x="16" y="136"/>
                                </a:moveTo>
                                <a:lnTo>
                                  <a:pt x="8" y="128"/>
                                </a:lnTo>
                                <a:lnTo>
                                  <a:pt x="88" y="128"/>
                                </a:lnTo>
                                <a:lnTo>
                                  <a:pt x="80" y="136"/>
                                </a:lnTo>
                                <a:lnTo>
                                  <a:pt x="80" y="8"/>
                                </a:lnTo>
                                <a:lnTo>
                                  <a:pt x="88" y="16"/>
                                </a:lnTo>
                                <a:lnTo>
                                  <a:pt x="8" y="16"/>
                                </a:lnTo>
                                <a:lnTo>
                                  <a:pt x="16" y="8"/>
                                </a:lnTo>
                                <a:lnTo>
                                  <a:pt x="16" y="13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41" name="Rectangle 39"/>
                        <wps:cNvSpPr>
                          <a:spLocks noChangeArrowheads="1"/>
                        </wps:cNvSpPr>
                        <wps:spPr bwMode="auto">
                          <a:xfrm>
                            <a:off x="3722" y="4838"/>
                            <a:ext cx="78" cy="13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Freeform 40"/>
                        <wps:cNvSpPr>
                          <a:spLocks noEditPoints="1"/>
                        </wps:cNvSpPr>
                        <wps:spPr bwMode="auto">
                          <a:xfrm>
                            <a:off x="3714" y="4829"/>
                            <a:ext cx="94" cy="155"/>
                          </a:xfrm>
                          <a:custGeom>
                            <a:avLst/>
                            <a:gdLst>
                              <a:gd name="T0" fmla="*/ 0 w 96"/>
                              <a:gd name="T1" fmla="*/ 8 h 144"/>
                              <a:gd name="T2" fmla="*/ 8 w 96"/>
                              <a:gd name="T3" fmla="*/ 0 h 144"/>
                              <a:gd name="T4" fmla="*/ 88 w 96"/>
                              <a:gd name="T5" fmla="*/ 0 h 144"/>
                              <a:gd name="T6" fmla="*/ 96 w 96"/>
                              <a:gd name="T7" fmla="*/ 8 h 144"/>
                              <a:gd name="T8" fmla="*/ 96 w 96"/>
                              <a:gd name="T9" fmla="*/ 136 h 144"/>
                              <a:gd name="T10" fmla="*/ 88 w 96"/>
                              <a:gd name="T11" fmla="*/ 144 h 144"/>
                              <a:gd name="T12" fmla="*/ 8 w 96"/>
                              <a:gd name="T13" fmla="*/ 144 h 144"/>
                              <a:gd name="T14" fmla="*/ 0 w 96"/>
                              <a:gd name="T15" fmla="*/ 136 h 144"/>
                              <a:gd name="T16" fmla="*/ 0 w 96"/>
                              <a:gd name="T17" fmla="*/ 8 h 144"/>
                              <a:gd name="T18" fmla="*/ 16 w 96"/>
                              <a:gd name="T19" fmla="*/ 136 h 144"/>
                              <a:gd name="T20" fmla="*/ 8 w 96"/>
                              <a:gd name="T21" fmla="*/ 128 h 144"/>
                              <a:gd name="T22" fmla="*/ 88 w 96"/>
                              <a:gd name="T23" fmla="*/ 128 h 144"/>
                              <a:gd name="T24" fmla="*/ 80 w 96"/>
                              <a:gd name="T25" fmla="*/ 136 h 144"/>
                              <a:gd name="T26" fmla="*/ 80 w 96"/>
                              <a:gd name="T27" fmla="*/ 8 h 144"/>
                              <a:gd name="T28" fmla="*/ 88 w 96"/>
                              <a:gd name="T29" fmla="*/ 16 h 144"/>
                              <a:gd name="T30" fmla="*/ 8 w 96"/>
                              <a:gd name="T31" fmla="*/ 16 h 144"/>
                              <a:gd name="T32" fmla="*/ 16 w 96"/>
                              <a:gd name="T33" fmla="*/ 8 h 144"/>
                              <a:gd name="T34" fmla="*/ 16 w 96"/>
                              <a:gd name="T35"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44">
                                <a:moveTo>
                                  <a:pt x="0" y="8"/>
                                </a:moveTo>
                                <a:cubicBezTo>
                                  <a:pt x="0" y="4"/>
                                  <a:pt x="4" y="0"/>
                                  <a:pt x="8" y="0"/>
                                </a:cubicBezTo>
                                <a:lnTo>
                                  <a:pt x="88" y="0"/>
                                </a:lnTo>
                                <a:cubicBezTo>
                                  <a:pt x="93" y="0"/>
                                  <a:pt x="96" y="4"/>
                                  <a:pt x="96" y="8"/>
                                </a:cubicBezTo>
                                <a:lnTo>
                                  <a:pt x="96" y="136"/>
                                </a:lnTo>
                                <a:cubicBezTo>
                                  <a:pt x="96" y="141"/>
                                  <a:pt x="93" y="144"/>
                                  <a:pt x="88" y="144"/>
                                </a:cubicBezTo>
                                <a:lnTo>
                                  <a:pt x="8" y="144"/>
                                </a:lnTo>
                                <a:cubicBezTo>
                                  <a:pt x="4" y="144"/>
                                  <a:pt x="0" y="141"/>
                                  <a:pt x="0" y="136"/>
                                </a:cubicBezTo>
                                <a:lnTo>
                                  <a:pt x="0" y="8"/>
                                </a:lnTo>
                                <a:close/>
                                <a:moveTo>
                                  <a:pt x="16" y="136"/>
                                </a:moveTo>
                                <a:lnTo>
                                  <a:pt x="8" y="128"/>
                                </a:lnTo>
                                <a:lnTo>
                                  <a:pt x="88" y="128"/>
                                </a:lnTo>
                                <a:lnTo>
                                  <a:pt x="80" y="136"/>
                                </a:lnTo>
                                <a:lnTo>
                                  <a:pt x="80" y="8"/>
                                </a:lnTo>
                                <a:lnTo>
                                  <a:pt x="88" y="16"/>
                                </a:lnTo>
                                <a:lnTo>
                                  <a:pt x="8" y="16"/>
                                </a:lnTo>
                                <a:lnTo>
                                  <a:pt x="16" y="8"/>
                                </a:lnTo>
                                <a:lnTo>
                                  <a:pt x="16" y="13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43" name="Rectangle 41"/>
                        <wps:cNvSpPr>
                          <a:spLocks noChangeArrowheads="1"/>
                        </wps:cNvSpPr>
                        <wps:spPr bwMode="auto">
                          <a:xfrm>
                            <a:off x="4550" y="4838"/>
                            <a:ext cx="78" cy="13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42"/>
                        <wps:cNvSpPr>
                          <a:spLocks noEditPoints="1"/>
                        </wps:cNvSpPr>
                        <wps:spPr bwMode="auto">
                          <a:xfrm>
                            <a:off x="4542" y="4829"/>
                            <a:ext cx="93" cy="155"/>
                          </a:xfrm>
                          <a:custGeom>
                            <a:avLst/>
                            <a:gdLst>
                              <a:gd name="T0" fmla="*/ 0 w 96"/>
                              <a:gd name="T1" fmla="*/ 8 h 144"/>
                              <a:gd name="T2" fmla="*/ 8 w 96"/>
                              <a:gd name="T3" fmla="*/ 0 h 144"/>
                              <a:gd name="T4" fmla="*/ 88 w 96"/>
                              <a:gd name="T5" fmla="*/ 0 h 144"/>
                              <a:gd name="T6" fmla="*/ 96 w 96"/>
                              <a:gd name="T7" fmla="*/ 8 h 144"/>
                              <a:gd name="T8" fmla="*/ 96 w 96"/>
                              <a:gd name="T9" fmla="*/ 136 h 144"/>
                              <a:gd name="T10" fmla="*/ 88 w 96"/>
                              <a:gd name="T11" fmla="*/ 144 h 144"/>
                              <a:gd name="T12" fmla="*/ 8 w 96"/>
                              <a:gd name="T13" fmla="*/ 144 h 144"/>
                              <a:gd name="T14" fmla="*/ 0 w 96"/>
                              <a:gd name="T15" fmla="*/ 136 h 144"/>
                              <a:gd name="T16" fmla="*/ 0 w 96"/>
                              <a:gd name="T17" fmla="*/ 8 h 144"/>
                              <a:gd name="T18" fmla="*/ 16 w 96"/>
                              <a:gd name="T19" fmla="*/ 136 h 144"/>
                              <a:gd name="T20" fmla="*/ 8 w 96"/>
                              <a:gd name="T21" fmla="*/ 128 h 144"/>
                              <a:gd name="T22" fmla="*/ 88 w 96"/>
                              <a:gd name="T23" fmla="*/ 128 h 144"/>
                              <a:gd name="T24" fmla="*/ 80 w 96"/>
                              <a:gd name="T25" fmla="*/ 136 h 144"/>
                              <a:gd name="T26" fmla="*/ 80 w 96"/>
                              <a:gd name="T27" fmla="*/ 8 h 144"/>
                              <a:gd name="T28" fmla="*/ 88 w 96"/>
                              <a:gd name="T29" fmla="*/ 16 h 144"/>
                              <a:gd name="T30" fmla="*/ 8 w 96"/>
                              <a:gd name="T31" fmla="*/ 16 h 144"/>
                              <a:gd name="T32" fmla="*/ 16 w 96"/>
                              <a:gd name="T33" fmla="*/ 8 h 144"/>
                              <a:gd name="T34" fmla="*/ 16 w 96"/>
                              <a:gd name="T35"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44">
                                <a:moveTo>
                                  <a:pt x="0" y="8"/>
                                </a:moveTo>
                                <a:cubicBezTo>
                                  <a:pt x="0" y="4"/>
                                  <a:pt x="4" y="0"/>
                                  <a:pt x="8" y="0"/>
                                </a:cubicBezTo>
                                <a:lnTo>
                                  <a:pt x="88" y="0"/>
                                </a:lnTo>
                                <a:cubicBezTo>
                                  <a:pt x="93" y="0"/>
                                  <a:pt x="96" y="4"/>
                                  <a:pt x="96" y="8"/>
                                </a:cubicBezTo>
                                <a:lnTo>
                                  <a:pt x="96" y="136"/>
                                </a:lnTo>
                                <a:cubicBezTo>
                                  <a:pt x="96" y="141"/>
                                  <a:pt x="93" y="144"/>
                                  <a:pt x="88" y="144"/>
                                </a:cubicBezTo>
                                <a:lnTo>
                                  <a:pt x="8" y="144"/>
                                </a:lnTo>
                                <a:cubicBezTo>
                                  <a:pt x="4" y="144"/>
                                  <a:pt x="0" y="141"/>
                                  <a:pt x="0" y="136"/>
                                </a:cubicBezTo>
                                <a:lnTo>
                                  <a:pt x="0" y="8"/>
                                </a:lnTo>
                                <a:close/>
                                <a:moveTo>
                                  <a:pt x="16" y="136"/>
                                </a:moveTo>
                                <a:lnTo>
                                  <a:pt x="8" y="128"/>
                                </a:lnTo>
                                <a:lnTo>
                                  <a:pt x="88" y="128"/>
                                </a:lnTo>
                                <a:lnTo>
                                  <a:pt x="80" y="136"/>
                                </a:lnTo>
                                <a:lnTo>
                                  <a:pt x="80" y="8"/>
                                </a:lnTo>
                                <a:lnTo>
                                  <a:pt x="88" y="16"/>
                                </a:lnTo>
                                <a:lnTo>
                                  <a:pt x="8" y="16"/>
                                </a:lnTo>
                                <a:lnTo>
                                  <a:pt x="16" y="8"/>
                                </a:lnTo>
                                <a:lnTo>
                                  <a:pt x="16" y="13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45" name="Rectangle 43"/>
                        <wps:cNvSpPr>
                          <a:spLocks noChangeArrowheads="1"/>
                        </wps:cNvSpPr>
                        <wps:spPr bwMode="auto">
                          <a:xfrm>
                            <a:off x="5377" y="4958"/>
                            <a:ext cx="78" cy="1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44"/>
                        <wps:cNvSpPr>
                          <a:spLocks noEditPoints="1"/>
                        </wps:cNvSpPr>
                        <wps:spPr bwMode="auto">
                          <a:xfrm>
                            <a:off x="5369"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47" name="Rectangle 45"/>
                        <wps:cNvSpPr>
                          <a:spLocks noChangeArrowheads="1"/>
                        </wps:cNvSpPr>
                        <wps:spPr bwMode="auto">
                          <a:xfrm>
                            <a:off x="6221" y="4958"/>
                            <a:ext cx="62" cy="1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Freeform 46"/>
                        <wps:cNvSpPr>
                          <a:spLocks noEditPoints="1"/>
                        </wps:cNvSpPr>
                        <wps:spPr bwMode="auto">
                          <a:xfrm>
                            <a:off x="6213" y="4950"/>
                            <a:ext cx="78" cy="34"/>
                          </a:xfrm>
                          <a:custGeom>
                            <a:avLst/>
                            <a:gdLst>
                              <a:gd name="T0" fmla="*/ 0 w 80"/>
                              <a:gd name="T1" fmla="*/ 8 h 32"/>
                              <a:gd name="T2" fmla="*/ 8 w 80"/>
                              <a:gd name="T3" fmla="*/ 0 h 32"/>
                              <a:gd name="T4" fmla="*/ 72 w 80"/>
                              <a:gd name="T5" fmla="*/ 0 h 32"/>
                              <a:gd name="T6" fmla="*/ 80 w 80"/>
                              <a:gd name="T7" fmla="*/ 8 h 32"/>
                              <a:gd name="T8" fmla="*/ 80 w 80"/>
                              <a:gd name="T9" fmla="*/ 24 h 32"/>
                              <a:gd name="T10" fmla="*/ 72 w 80"/>
                              <a:gd name="T11" fmla="*/ 32 h 32"/>
                              <a:gd name="T12" fmla="*/ 8 w 80"/>
                              <a:gd name="T13" fmla="*/ 32 h 32"/>
                              <a:gd name="T14" fmla="*/ 0 w 80"/>
                              <a:gd name="T15" fmla="*/ 24 h 32"/>
                              <a:gd name="T16" fmla="*/ 0 w 80"/>
                              <a:gd name="T17" fmla="*/ 8 h 32"/>
                              <a:gd name="T18" fmla="*/ 16 w 80"/>
                              <a:gd name="T19" fmla="*/ 24 h 32"/>
                              <a:gd name="T20" fmla="*/ 8 w 80"/>
                              <a:gd name="T21" fmla="*/ 16 h 32"/>
                              <a:gd name="T22" fmla="*/ 72 w 80"/>
                              <a:gd name="T23" fmla="*/ 16 h 32"/>
                              <a:gd name="T24" fmla="*/ 64 w 80"/>
                              <a:gd name="T25" fmla="*/ 24 h 32"/>
                              <a:gd name="T26" fmla="*/ 64 w 80"/>
                              <a:gd name="T27" fmla="*/ 8 h 32"/>
                              <a:gd name="T28" fmla="*/ 72 w 80"/>
                              <a:gd name="T29" fmla="*/ 16 h 32"/>
                              <a:gd name="T30" fmla="*/ 8 w 80"/>
                              <a:gd name="T31" fmla="*/ 16 h 32"/>
                              <a:gd name="T32" fmla="*/ 16 w 80"/>
                              <a:gd name="T33" fmla="*/ 8 h 32"/>
                              <a:gd name="T34" fmla="*/ 16 w 80"/>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32">
                                <a:moveTo>
                                  <a:pt x="0" y="8"/>
                                </a:moveTo>
                                <a:cubicBezTo>
                                  <a:pt x="0" y="4"/>
                                  <a:pt x="4" y="0"/>
                                  <a:pt x="8" y="0"/>
                                </a:cubicBezTo>
                                <a:lnTo>
                                  <a:pt x="72" y="0"/>
                                </a:lnTo>
                                <a:cubicBezTo>
                                  <a:pt x="77" y="0"/>
                                  <a:pt x="80" y="4"/>
                                  <a:pt x="80" y="8"/>
                                </a:cubicBezTo>
                                <a:lnTo>
                                  <a:pt x="80" y="24"/>
                                </a:lnTo>
                                <a:cubicBezTo>
                                  <a:pt x="80" y="29"/>
                                  <a:pt x="77" y="32"/>
                                  <a:pt x="72" y="32"/>
                                </a:cubicBezTo>
                                <a:lnTo>
                                  <a:pt x="8" y="32"/>
                                </a:lnTo>
                                <a:cubicBezTo>
                                  <a:pt x="4" y="32"/>
                                  <a:pt x="0" y="29"/>
                                  <a:pt x="0" y="24"/>
                                </a:cubicBezTo>
                                <a:lnTo>
                                  <a:pt x="0" y="8"/>
                                </a:lnTo>
                                <a:close/>
                                <a:moveTo>
                                  <a:pt x="16" y="24"/>
                                </a:moveTo>
                                <a:lnTo>
                                  <a:pt x="8" y="16"/>
                                </a:lnTo>
                                <a:lnTo>
                                  <a:pt x="72" y="16"/>
                                </a:lnTo>
                                <a:lnTo>
                                  <a:pt x="64" y="24"/>
                                </a:lnTo>
                                <a:lnTo>
                                  <a:pt x="64" y="8"/>
                                </a:lnTo>
                                <a:lnTo>
                                  <a:pt x="72"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49" name="Rectangle 47"/>
                        <wps:cNvSpPr>
                          <a:spLocks noChangeArrowheads="1"/>
                        </wps:cNvSpPr>
                        <wps:spPr bwMode="auto">
                          <a:xfrm>
                            <a:off x="7048" y="4958"/>
                            <a:ext cx="78" cy="1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48"/>
                        <wps:cNvSpPr>
                          <a:spLocks noEditPoints="1"/>
                        </wps:cNvSpPr>
                        <wps:spPr bwMode="auto">
                          <a:xfrm>
                            <a:off x="7040"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53" name="Rectangle 49"/>
                        <wps:cNvSpPr>
                          <a:spLocks noChangeArrowheads="1"/>
                        </wps:cNvSpPr>
                        <wps:spPr bwMode="auto">
                          <a:xfrm>
                            <a:off x="7876" y="4958"/>
                            <a:ext cx="78" cy="17"/>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50"/>
                        <wps:cNvSpPr>
                          <a:spLocks noEditPoints="1"/>
                        </wps:cNvSpPr>
                        <wps:spPr bwMode="auto">
                          <a:xfrm>
                            <a:off x="7868"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55" name="Rectangle 51"/>
                        <wps:cNvSpPr>
                          <a:spLocks noChangeArrowheads="1"/>
                        </wps:cNvSpPr>
                        <wps:spPr bwMode="auto">
                          <a:xfrm>
                            <a:off x="2972" y="3632"/>
                            <a:ext cx="63" cy="134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52"/>
                        <wps:cNvSpPr>
                          <a:spLocks noEditPoints="1"/>
                        </wps:cNvSpPr>
                        <wps:spPr bwMode="auto">
                          <a:xfrm>
                            <a:off x="2964" y="3623"/>
                            <a:ext cx="78" cy="1361"/>
                          </a:xfrm>
                          <a:custGeom>
                            <a:avLst/>
                            <a:gdLst>
                              <a:gd name="T0" fmla="*/ 0 w 80"/>
                              <a:gd name="T1" fmla="*/ 8 h 1264"/>
                              <a:gd name="T2" fmla="*/ 8 w 80"/>
                              <a:gd name="T3" fmla="*/ 0 h 1264"/>
                              <a:gd name="T4" fmla="*/ 72 w 80"/>
                              <a:gd name="T5" fmla="*/ 0 h 1264"/>
                              <a:gd name="T6" fmla="*/ 80 w 80"/>
                              <a:gd name="T7" fmla="*/ 8 h 1264"/>
                              <a:gd name="T8" fmla="*/ 80 w 80"/>
                              <a:gd name="T9" fmla="*/ 1256 h 1264"/>
                              <a:gd name="T10" fmla="*/ 72 w 80"/>
                              <a:gd name="T11" fmla="*/ 1264 h 1264"/>
                              <a:gd name="T12" fmla="*/ 8 w 80"/>
                              <a:gd name="T13" fmla="*/ 1264 h 1264"/>
                              <a:gd name="T14" fmla="*/ 0 w 80"/>
                              <a:gd name="T15" fmla="*/ 1256 h 1264"/>
                              <a:gd name="T16" fmla="*/ 0 w 80"/>
                              <a:gd name="T17" fmla="*/ 8 h 1264"/>
                              <a:gd name="T18" fmla="*/ 16 w 80"/>
                              <a:gd name="T19" fmla="*/ 1256 h 1264"/>
                              <a:gd name="T20" fmla="*/ 8 w 80"/>
                              <a:gd name="T21" fmla="*/ 1248 h 1264"/>
                              <a:gd name="T22" fmla="*/ 72 w 80"/>
                              <a:gd name="T23" fmla="*/ 1248 h 1264"/>
                              <a:gd name="T24" fmla="*/ 64 w 80"/>
                              <a:gd name="T25" fmla="*/ 1256 h 1264"/>
                              <a:gd name="T26" fmla="*/ 64 w 80"/>
                              <a:gd name="T27" fmla="*/ 8 h 1264"/>
                              <a:gd name="T28" fmla="*/ 72 w 80"/>
                              <a:gd name="T29" fmla="*/ 16 h 1264"/>
                              <a:gd name="T30" fmla="*/ 8 w 80"/>
                              <a:gd name="T31" fmla="*/ 16 h 1264"/>
                              <a:gd name="T32" fmla="*/ 16 w 80"/>
                              <a:gd name="T33" fmla="*/ 8 h 1264"/>
                              <a:gd name="T34" fmla="*/ 16 w 80"/>
                              <a:gd name="T35" fmla="*/ 1256 h 1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264">
                                <a:moveTo>
                                  <a:pt x="0" y="8"/>
                                </a:moveTo>
                                <a:cubicBezTo>
                                  <a:pt x="0" y="4"/>
                                  <a:pt x="4" y="0"/>
                                  <a:pt x="8" y="0"/>
                                </a:cubicBezTo>
                                <a:lnTo>
                                  <a:pt x="72" y="0"/>
                                </a:lnTo>
                                <a:cubicBezTo>
                                  <a:pt x="77" y="0"/>
                                  <a:pt x="80" y="4"/>
                                  <a:pt x="80" y="8"/>
                                </a:cubicBezTo>
                                <a:lnTo>
                                  <a:pt x="80" y="1256"/>
                                </a:lnTo>
                                <a:cubicBezTo>
                                  <a:pt x="80" y="1261"/>
                                  <a:pt x="77" y="1264"/>
                                  <a:pt x="72" y="1264"/>
                                </a:cubicBezTo>
                                <a:lnTo>
                                  <a:pt x="8" y="1264"/>
                                </a:lnTo>
                                <a:cubicBezTo>
                                  <a:pt x="4" y="1264"/>
                                  <a:pt x="0" y="1261"/>
                                  <a:pt x="0" y="1256"/>
                                </a:cubicBezTo>
                                <a:lnTo>
                                  <a:pt x="0" y="8"/>
                                </a:lnTo>
                                <a:close/>
                                <a:moveTo>
                                  <a:pt x="16" y="1256"/>
                                </a:moveTo>
                                <a:lnTo>
                                  <a:pt x="8" y="1248"/>
                                </a:lnTo>
                                <a:lnTo>
                                  <a:pt x="72" y="1248"/>
                                </a:lnTo>
                                <a:lnTo>
                                  <a:pt x="64" y="1256"/>
                                </a:lnTo>
                                <a:lnTo>
                                  <a:pt x="64" y="8"/>
                                </a:lnTo>
                                <a:lnTo>
                                  <a:pt x="72" y="16"/>
                                </a:lnTo>
                                <a:lnTo>
                                  <a:pt x="8" y="16"/>
                                </a:lnTo>
                                <a:lnTo>
                                  <a:pt x="16" y="8"/>
                                </a:lnTo>
                                <a:lnTo>
                                  <a:pt x="16" y="12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57" name="Rectangle 53"/>
                        <wps:cNvSpPr>
                          <a:spLocks noChangeArrowheads="1"/>
                        </wps:cNvSpPr>
                        <wps:spPr bwMode="auto">
                          <a:xfrm>
                            <a:off x="3800" y="3942"/>
                            <a:ext cx="78" cy="103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Freeform 54"/>
                        <wps:cNvSpPr>
                          <a:spLocks noEditPoints="1"/>
                        </wps:cNvSpPr>
                        <wps:spPr bwMode="auto">
                          <a:xfrm>
                            <a:off x="3792" y="3933"/>
                            <a:ext cx="94" cy="1051"/>
                          </a:xfrm>
                          <a:custGeom>
                            <a:avLst/>
                            <a:gdLst>
                              <a:gd name="T0" fmla="*/ 0 w 96"/>
                              <a:gd name="T1" fmla="*/ 8 h 976"/>
                              <a:gd name="T2" fmla="*/ 8 w 96"/>
                              <a:gd name="T3" fmla="*/ 0 h 976"/>
                              <a:gd name="T4" fmla="*/ 88 w 96"/>
                              <a:gd name="T5" fmla="*/ 0 h 976"/>
                              <a:gd name="T6" fmla="*/ 96 w 96"/>
                              <a:gd name="T7" fmla="*/ 8 h 976"/>
                              <a:gd name="T8" fmla="*/ 96 w 96"/>
                              <a:gd name="T9" fmla="*/ 968 h 976"/>
                              <a:gd name="T10" fmla="*/ 88 w 96"/>
                              <a:gd name="T11" fmla="*/ 976 h 976"/>
                              <a:gd name="T12" fmla="*/ 8 w 96"/>
                              <a:gd name="T13" fmla="*/ 976 h 976"/>
                              <a:gd name="T14" fmla="*/ 0 w 96"/>
                              <a:gd name="T15" fmla="*/ 968 h 976"/>
                              <a:gd name="T16" fmla="*/ 0 w 96"/>
                              <a:gd name="T17" fmla="*/ 8 h 976"/>
                              <a:gd name="T18" fmla="*/ 16 w 96"/>
                              <a:gd name="T19" fmla="*/ 968 h 976"/>
                              <a:gd name="T20" fmla="*/ 8 w 96"/>
                              <a:gd name="T21" fmla="*/ 960 h 976"/>
                              <a:gd name="T22" fmla="*/ 88 w 96"/>
                              <a:gd name="T23" fmla="*/ 960 h 976"/>
                              <a:gd name="T24" fmla="*/ 80 w 96"/>
                              <a:gd name="T25" fmla="*/ 968 h 976"/>
                              <a:gd name="T26" fmla="*/ 80 w 96"/>
                              <a:gd name="T27" fmla="*/ 8 h 976"/>
                              <a:gd name="T28" fmla="*/ 88 w 96"/>
                              <a:gd name="T29" fmla="*/ 16 h 976"/>
                              <a:gd name="T30" fmla="*/ 8 w 96"/>
                              <a:gd name="T31" fmla="*/ 16 h 976"/>
                              <a:gd name="T32" fmla="*/ 16 w 96"/>
                              <a:gd name="T33" fmla="*/ 8 h 976"/>
                              <a:gd name="T34" fmla="*/ 16 w 96"/>
                              <a:gd name="T35" fmla="*/ 968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976">
                                <a:moveTo>
                                  <a:pt x="0" y="8"/>
                                </a:moveTo>
                                <a:cubicBezTo>
                                  <a:pt x="0" y="4"/>
                                  <a:pt x="4" y="0"/>
                                  <a:pt x="8" y="0"/>
                                </a:cubicBezTo>
                                <a:lnTo>
                                  <a:pt x="88" y="0"/>
                                </a:lnTo>
                                <a:cubicBezTo>
                                  <a:pt x="93" y="0"/>
                                  <a:pt x="96" y="4"/>
                                  <a:pt x="96" y="8"/>
                                </a:cubicBezTo>
                                <a:lnTo>
                                  <a:pt x="96" y="968"/>
                                </a:lnTo>
                                <a:cubicBezTo>
                                  <a:pt x="96" y="973"/>
                                  <a:pt x="93" y="976"/>
                                  <a:pt x="88" y="976"/>
                                </a:cubicBezTo>
                                <a:lnTo>
                                  <a:pt x="8" y="976"/>
                                </a:lnTo>
                                <a:cubicBezTo>
                                  <a:pt x="4" y="976"/>
                                  <a:pt x="0" y="973"/>
                                  <a:pt x="0" y="968"/>
                                </a:cubicBezTo>
                                <a:lnTo>
                                  <a:pt x="0" y="8"/>
                                </a:lnTo>
                                <a:close/>
                                <a:moveTo>
                                  <a:pt x="16" y="968"/>
                                </a:moveTo>
                                <a:lnTo>
                                  <a:pt x="8" y="960"/>
                                </a:lnTo>
                                <a:lnTo>
                                  <a:pt x="88" y="960"/>
                                </a:lnTo>
                                <a:lnTo>
                                  <a:pt x="80" y="968"/>
                                </a:lnTo>
                                <a:lnTo>
                                  <a:pt x="80" y="8"/>
                                </a:lnTo>
                                <a:lnTo>
                                  <a:pt x="88" y="16"/>
                                </a:lnTo>
                                <a:lnTo>
                                  <a:pt x="8" y="16"/>
                                </a:lnTo>
                                <a:lnTo>
                                  <a:pt x="16" y="8"/>
                                </a:lnTo>
                                <a:lnTo>
                                  <a:pt x="16" y="9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59" name="Rectangle 55"/>
                        <wps:cNvSpPr>
                          <a:spLocks noChangeArrowheads="1"/>
                        </wps:cNvSpPr>
                        <wps:spPr bwMode="auto">
                          <a:xfrm>
                            <a:off x="4628" y="3804"/>
                            <a:ext cx="78" cy="1171"/>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56"/>
                        <wps:cNvSpPr>
                          <a:spLocks noEditPoints="1"/>
                        </wps:cNvSpPr>
                        <wps:spPr bwMode="auto">
                          <a:xfrm>
                            <a:off x="4620" y="3795"/>
                            <a:ext cx="93" cy="1189"/>
                          </a:xfrm>
                          <a:custGeom>
                            <a:avLst/>
                            <a:gdLst>
                              <a:gd name="T0" fmla="*/ 0 w 96"/>
                              <a:gd name="T1" fmla="*/ 8 h 1104"/>
                              <a:gd name="T2" fmla="*/ 8 w 96"/>
                              <a:gd name="T3" fmla="*/ 0 h 1104"/>
                              <a:gd name="T4" fmla="*/ 88 w 96"/>
                              <a:gd name="T5" fmla="*/ 0 h 1104"/>
                              <a:gd name="T6" fmla="*/ 96 w 96"/>
                              <a:gd name="T7" fmla="*/ 8 h 1104"/>
                              <a:gd name="T8" fmla="*/ 96 w 96"/>
                              <a:gd name="T9" fmla="*/ 1096 h 1104"/>
                              <a:gd name="T10" fmla="*/ 88 w 96"/>
                              <a:gd name="T11" fmla="*/ 1104 h 1104"/>
                              <a:gd name="T12" fmla="*/ 8 w 96"/>
                              <a:gd name="T13" fmla="*/ 1104 h 1104"/>
                              <a:gd name="T14" fmla="*/ 0 w 96"/>
                              <a:gd name="T15" fmla="*/ 1096 h 1104"/>
                              <a:gd name="T16" fmla="*/ 0 w 96"/>
                              <a:gd name="T17" fmla="*/ 8 h 1104"/>
                              <a:gd name="T18" fmla="*/ 16 w 96"/>
                              <a:gd name="T19" fmla="*/ 1096 h 1104"/>
                              <a:gd name="T20" fmla="*/ 8 w 96"/>
                              <a:gd name="T21" fmla="*/ 1088 h 1104"/>
                              <a:gd name="T22" fmla="*/ 88 w 96"/>
                              <a:gd name="T23" fmla="*/ 1088 h 1104"/>
                              <a:gd name="T24" fmla="*/ 80 w 96"/>
                              <a:gd name="T25" fmla="*/ 1096 h 1104"/>
                              <a:gd name="T26" fmla="*/ 80 w 96"/>
                              <a:gd name="T27" fmla="*/ 8 h 1104"/>
                              <a:gd name="T28" fmla="*/ 88 w 96"/>
                              <a:gd name="T29" fmla="*/ 16 h 1104"/>
                              <a:gd name="T30" fmla="*/ 8 w 96"/>
                              <a:gd name="T31" fmla="*/ 16 h 1104"/>
                              <a:gd name="T32" fmla="*/ 16 w 96"/>
                              <a:gd name="T33" fmla="*/ 8 h 1104"/>
                              <a:gd name="T34" fmla="*/ 16 w 96"/>
                              <a:gd name="T35" fmla="*/ 1096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104">
                                <a:moveTo>
                                  <a:pt x="0" y="8"/>
                                </a:moveTo>
                                <a:cubicBezTo>
                                  <a:pt x="0" y="4"/>
                                  <a:pt x="4" y="0"/>
                                  <a:pt x="8" y="0"/>
                                </a:cubicBezTo>
                                <a:lnTo>
                                  <a:pt x="88" y="0"/>
                                </a:lnTo>
                                <a:cubicBezTo>
                                  <a:pt x="93" y="0"/>
                                  <a:pt x="96" y="4"/>
                                  <a:pt x="96" y="8"/>
                                </a:cubicBezTo>
                                <a:lnTo>
                                  <a:pt x="96" y="1096"/>
                                </a:lnTo>
                                <a:cubicBezTo>
                                  <a:pt x="96" y="1101"/>
                                  <a:pt x="93" y="1104"/>
                                  <a:pt x="88" y="1104"/>
                                </a:cubicBezTo>
                                <a:lnTo>
                                  <a:pt x="8" y="1104"/>
                                </a:lnTo>
                                <a:cubicBezTo>
                                  <a:pt x="4" y="1104"/>
                                  <a:pt x="0" y="1101"/>
                                  <a:pt x="0" y="1096"/>
                                </a:cubicBezTo>
                                <a:lnTo>
                                  <a:pt x="0" y="8"/>
                                </a:lnTo>
                                <a:close/>
                                <a:moveTo>
                                  <a:pt x="16" y="1096"/>
                                </a:moveTo>
                                <a:lnTo>
                                  <a:pt x="8" y="1088"/>
                                </a:lnTo>
                                <a:lnTo>
                                  <a:pt x="88" y="1088"/>
                                </a:lnTo>
                                <a:lnTo>
                                  <a:pt x="80" y="1096"/>
                                </a:lnTo>
                                <a:lnTo>
                                  <a:pt x="80" y="8"/>
                                </a:lnTo>
                                <a:lnTo>
                                  <a:pt x="88" y="16"/>
                                </a:lnTo>
                                <a:lnTo>
                                  <a:pt x="8" y="16"/>
                                </a:lnTo>
                                <a:lnTo>
                                  <a:pt x="16" y="8"/>
                                </a:lnTo>
                                <a:lnTo>
                                  <a:pt x="16" y="109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61" name="Rectangle 57"/>
                        <wps:cNvSpPr>
                          <a:spLocks noChangeArrowheads="1"/>
                        </wps:cNvSpPr>
                        <wps:spPr bwMode="auto">
                          <a:xfrm>
                            <a:off x="5455" y="4683"/>
                            <a:ext cx="78" cy="29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58"/>
                        <wps:cNvSpPr>
                          <a:spLocks noEditPoints="1"/>
                        </wps:cNvSpPr>
                        <wps:spPr bwMode="auto">
                          <a:xfrm>
                            <a:off x="5447" y="4674"/>
                            <a:ext cx="94" cy="310"/>
                          </a:xfrm>
                          <a:custGeom>
                            <a:avLst/>
                            <a:gdLst>
                              <a:gd name="T0" fmla="*/ 0 w 96"/>
                              <a:gd name="T1" fmla="*/ 8 h 288"/>
                              <a:gd name="T2" fmla="*/ 8 w 96"/>
                              <a:gd name="T3" fmla="*/ 0 h 288"/>
                              <a:gd name="T4" fmla="*/ 88 w 96"/>
                              <a:gd name="T5" fmla="*/ 0 h 288"/>
                              <a:gd name="T6" fmla="*/ 96 w 96"/>
                              <a:gd name="T7" fmla="*/ 8 h 288"/>
                              <a:gd name="T8" fmla="*/ 96 w 96"/>
                              <a:gd name="T9" fmla="*/ 280 h 288"/>
                              <a:gd name="T10" fmla="*/ 88 w 96"/>
                              <a:gd name="T11" fmla="*/ 288 h 288"/>
                              <a:gd name="T12" fmla="*/ 8 w 96"/>
                              <a:gd name="T13" fmla="*/ 288 h 288"/>
                              <a:gd name="T14" fmla="*/ 0 w 96"/>
                              <a:gd name="T15" fmla="*/ 280 h 288"/>
                              <a:gd name="T16" fmla="*/ 0 w 96"/>
                              <a:gd name="T17" fmla="*/ 8 h 288"/>
                              <a:gd name="T18" fmla="*/ 16 w 96"/>
                              <a:gd name="T19" fmla="*/ 280 h 288"/>
                              <a:gd name="T20" fmla="*/ 8 w 96"/>
                              <a:gd name="T21" fmla="*/ 272 h 288"/>
                              <a:gd name="T22" fmla="*/ 88 w 96"/>
                              <a:gd name="T23" fmla="*/ 272 h 288"/>
                              <a:gd name="T24" fmla="*/ 80 w 96"/>
                              <a:gd name="T25" fmla="*/ 280 h 288"/>
                              <a:gd name="T26" fmla="*/ 80 w 96"/>
                              <a:gd name="T27" fmla="*/ 8 h 288"/>
                              <a:gd name="T28" fmla="*/ 88 w 96"/>
                              <a:gd name="T29" fmla="*/ 16 h 288"/>
                              <a:gd name="T30" fmla="*/ 8 w 96"/>
                              <a:gd name="T31" fmla="*/ 16 h 288"/>
                              <a:gd name="T32" fmla="*/ 16 w 96"/>
                              <a:gd name="T33" fmla="*/ 8 h 288"/>
                              <a:gd name="T34" fmla="*/ 16 w 96"/>
                              <a:gd name="T35" fmla="*/ 28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288">
                                <a:moveTo>
                                  <a:pt x="0" y="8"/>
                                </a:moveTo>
                                <a:cubicBezTo>
                                  <a:pt x="0" y="4"/>
                                  <a:pt x="4" y="0"/>
                                  <a:pt x="8" y="0"/>
                                </a:cubicBezTo>
                                <a:lnTo>
                                  <a:pt x="88" y="0"/>
                                </a:lnTo>
                                <a:cubicBezTo>
                                  <a:pt x="93" y="0"/>
                                  <a:pt x="96" y="4"/>
                                  <a:pt x="96" y="8"/>
                                </a:cubicBezTo>
                                <a:lnTo>
                                  <a:pt x="96" y="280"/>
                                </a:lnTo>
                                <a:cubicBezTo>
                                  <a:pt x="96" y="285"/>
                                  <a:pt x="93" y="288"/>
                                  <a:pt x="88" y="288"/>
                                </a:cubicBezTo>
                                <a:lnTo>
                                  <a:pt x="8" y="288"/>
                                </a:lnTo>
                                <a:cubicBezTo>
                                  <a:pt x="4" y="288"/>
                                  <a:pt x="0" y="285"/>
                                  <a:pt x="0" y="280"/>
                                </a:cubicBezTo>
                                <a:lnTo>
                                  <a:pt x="0" y="8"/>
                                </a:lnTo>
                                <a:close/>
                                <a:moveTo>
                                  <a:pt x="16" y="280"/>
                                </a:moveTo>
                                <a:lnTo>
                                  <a:pt x="8" y="272"/>
                                </a:lnTo>
                                <a:lnTo>
                                  <a:pt x="88" y="272"/>
                                </a:lnTo>
                                <a:lnTo>
                                  <a:pt x="80" y="280"/>
                                </a:lnTo>
                                <a:lnTo>
                                  <a:pt x="80" y="8"/>
                                </a:lnTo>
                                <a:lnTo>
                                  <a:pt x="88" y="16"/>
                                </a:lnTo>
                                <a:lnTo>
                                  <a:pt x="8" y="16"/>
                                </a:lnTo>
                                <a:lnTo>
                                  <a:pt x="16" y="8"/>
                                </a:lnTo>
                                <a:lnTo>
                                  <a:pt x="16" y="28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63" name="Rectangle 59"/>
                        <wps:cNvSpPr>
                          <a:spLocks noChangeArrowheads="1"/>
                        </wps:cNvSpPr>
                        <wps:spPr bwMode="auto">
                          <a:xfrm>
                            <a:off x="6283" y="4631"/>
                            <a:ext cx="78" cy="34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60"/>
                        <wps:cNvSpPr>
                          <a:spLocks noEditPoints="1"/>
                        </wps:cNvSpPr>
                        <wps:spPr bwMode="auto">
                          <a:xfrm>
                            <a:off x="6275" y="4622"/>
                            <a:ext cx="94" cy="362"/>
                          </a:xfrm>
                          <a:custGeom>
                            <a:avLst/>
                            <a:gdLst>
                              <a:gd name="T0" fmla="*/ 0 w 96"/>
                              <a:gd name="T1" fmla="*/ 8 h 336"/>
                              <a:gd name="T2" fmla="*/ 8 w 96"/>
                              <a:gd name="T3" fmla="*/ 0 h 336"/>
                              <a:gd name="T4" fmla="*/ 88 w 96"/>
                              <a:gd name="T5" fmla="*/ 0 h 336"/>
                              <a:gd name="T6" fmla="*/ 96 w 96"/>
                              <a:gd name="T7" fmla="*/ 8 h 336"/>
                              <a:gd name="T8" fmla="*/ 96 w 96"/>
                              <a:gd name="T9" fmla="*/ 328 h 336"/>
                              <a:gd name="T10" fmla="*/ 88 w 96"/>
                              <a:gd name="T11" fmla="*/ 336 h 336"/>
                              <a:gd name="T12" fmla="*/ 8 w 96"/>
                              <a:gd name="T13" fmla="*/ 336 h 336"/>
                              <a:gd name="T14" fmla="*/ 0 w 96"/>
                              <a:gd name="T15" fmla="*/ 328 h 336"/>
                              <a:gd name="T16" fmla="*/ 0 w 96"/>
                              <a:gd name="T17" fmla="*/ 8 h 336"/>
                              <a:gd name="T18" fmla="*/ 16 w 96"/>
                              <a:gd name="T19" fmla="*/ 328 h 336"/>
                              <a:gd name="T20" fmla="*/ 8 w 96"/>
                              <a:gd name="T21" fmla="*/ 320 h 336"/>
                              <a:gd name="T22" fmla="*/ 88 w 96"/>
                              <a:gd name="T23" fmla="*/ 320 h 336"/>
                              <a:gd name="T24" fmla="*/ 80 w 96"/>
                              <a:gd name="T25" fmla="*/ 328 h 336"/>
                              <a:gd name="T26" fmla="*/ 80 w 96"/>
                              <a:gd name="T27" fmla="*/ 8 h 336"/>
                              <a:gd name="T28" fmla="*/ 88 w 96"/>
                              <a:gd name="T29" fmla="*/ 16 h 336"/>
                              <a:gd name="T30" fmla="*/ 8 w 96"/>
                              <a:gd name="T31" fmla="*/ 16 h 336"/>
                              <a:gd name="T32" fmla="*/ 16 w 96"/>
                              <a:gd name="T33" fmla="*/ 8 h 336"/>
                              <a:gd name="T34" fmla="*/ 16 w 96"/>
                              <a:gd name="T35" fmla="*/ 328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36">
                                <a:moveTo>
                                  <a:pt x="0" y="8"/>
                                </a:moveTo>
                                <a:cubicBezTo>
                                  <a:pt x="0" y="4"/>
                                  <a:pt x="4" y="0"/>
                                  <a:pt x="8" y="0"/>
                                </a:cubicBezTo>
                                <a:lnTo>
                                  <a:pt x="88" y="0"/>
                                </a:lnTo>
                                <a:cubicBezTo>
                                  <a:pt x="93" y="0"/>
                                  <a:pt x="96" y="4"/>
                                  <a:pt x="96" y="8"/>
                                </a:cubicBezTo>
                                <a:lnTo>
                                  <a:pt x="96" y="328"/>
                                </a:lnTo>
                                <a:cubicBezTo>
                                  <a:pt x="96" y="333"/>
                                  <a:pt x="93" y="336"/>
                                  <a:pt x="88" y="336"/>
                                </a:cubicBezTo>
                                <a:lnTo>
                                  <a:pt x="8" y="336"/>
                                </a:lnTo>
                                <a:cubicBezTo>
                                  <a:pt x="4" y="336"/>
                                  <a:pt x="0" y="333"/>
                                  <a:pt x="0" y="328"/>
                                </a:cubicBezTo>
                                <a:lnTo>
                                  <a:pt x="0" y="8"/>
                                </a:lnTo>
                                <a:close/>
                                <a:moveTo>
                                  <a:pt x="16" y="328"/>
                                </a:moveTo>
                                <a:lnTo>
                                  <a:pt x="8" y="320"/>
                                </a:lnTo>
                                <a:lnTo>
                                  <a:pt x="88" y="320"/>
                                </a:lnTo>
                                <a:lnTo>
                                  <a:pt x="80" y="328"/>
                                </a:lnTo>
                                <a:lnTo>
                                  <a:pt x="80" y="8"/>
                                </a:lnTo>
                                <a:lnTo>
                                  <a:pt x="88" y="16"/>
                                </a:lnTo>
                                <a:lnTo>
                                  <a:pt x="8" y="16"/>
                                </a:lnTo>
                                <a:lnTo>
                                  <a:pt x="16" y="8"/>
                                </a:lnTo>
                                <a:lnTo>
                                  <a:pt x="16" y="32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65" name="Rectangle 61"/>
                        <wps:cNvSpPr>
                          <a:spLocks noChangeArrowheads="1"/>
                        </wps:cNvSpPr>
                        <wps:spPr bwMode="auto">
                          <a:xfrm>
                            <a:off x="7126" y="4958"/>
                            <a:ext cx="63" cy="1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62"/>
                        <wps:cNvSpPr>
                          <a:spLocks noEditPoints="1"/>
                        </wps:cNvSpPr>
                        <wps:spPr bwMode="auto">
                          <a:xfrm>
                            <a:off x="7119" y="4950"/>
                            <a:ext cx="78" cy="34"/>
                          </a:xfrm>
                          <a:custGeom>
                            <a:avLst/>
                            <a:gdLst>
                              <a:gd name="T0" fmla="*/ 0 w 80"/>
                              <a:gd name="T1" fmla="*/ 8 h 32"/>
                              <a:gd name="T2" fmla="*/ 8 w 80"/>
                              <a:gd name="T3" fmla="*/ 0 h 32"/>
                              <a:gd name="T4" fmla="*/ 72 w 80"/>
                              <a:gd name="T5" fmla="*/ 0 h 32"/>
                              <a:gd name="T6" fmla="*/ 80 w 80"/>
                              <a:gd name="T7" fmla="*/ 8 h 32"/>
                              <a:gd name="T8" fmla="*/ 80 w 80"/>
                              <a:gd name="T9" fmla="*/ 24 h 32"/>
                              <a:gd name="T10" fmla="*/ 72 w 80"/>
                              <a:gd name="T11" fmla="*/ 32 h 32"/>
                              <a:gd name="T12" fmla="*/ 8 w 80"/>
                              <a:gd name="T13" fmla="*/ 32 h 32"/>
                              <a:gd name="T14" fmla="*/ 0 w 80"/>
                              <a:gd name="T15" fmla="*/ 24 h 32"/>
                              <a:gd name="T16" fmla="*/ 0 w 80"/>
                              <a:gd name="T17" fmla="*/ 8 h 32"/>
                              <a:gd name="T18" fmla="*/ 16 w 80"/>
                              <a:gd name="T19" fmla="*/ 24 h 32"/>
                              <a:gd name="T20" fmla="*/ 8 w 80"/>
                              <a:gd name="T21" fmla="*/ 16 h 32"/>
                              <a:gd name="T22" fmla="*/ 72 w 80"/>
                              <a:gd name="T23" fmla="*/ 16 h 32"/>
                              <a:gd name="T24" fmla="*/ 64 w 80"/>
                              <a:gd name="T25" fmla="*/ 24 h 32"/>
                              <a:gd name="T26" fmla="*/ 64 w 80"/>
                              <a:gd name="T27" fmla="*/ 8 h 32"/>
                              <a:gd name="T28" fmla="*/ 72 w 80"/>
                              <a:gd name="T29" fmla="*/ 16 h 32"/>
                              <a:gd name="T30" fmla="*/ 8 w 80"/>
                              <a:gd name="T31" fmla="*/ 16 h 32"/>
                              <a:gd name="T32" fmla="*/ 16 w 80"/>
                              <a:gd name="T33" fmla="*/ 8 h 32"/>
                              <a:gd name="T34" fmla="*/ 16 w 80"/>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32">
                                <a:moveTo>
                                  <a:pt x="0" y="8"/>
                                </a:moveTo>
                                <a:cubicBezTo>
                                  <a:pt x="0" y="4"/>
                                  <a:pt x="4" y="0"/>
                                  <a:pt x="8" y="0"/>
                                </a:cubicBezTo>
                                <a:lnTo>
                                  <a:pt x="72" y="0"/>
                                </a:lnTo>
                                <a:cubicBezTo>
                                  <a:pt x="77" y="0"/>
                                  <a:pt x="80" y="4"/>
                                  <a:pt x="80" y="8"/>
                                </a:cubicBezTo>
                                <a:lnTo>
                                  <a:pt x="80" y="24"/>
                                </a:lnTo>
                                <a:cubicBezTo>
                                  <a:pt x="80" y="29"/>
                                  <a:pt x="77" y="32"/>
                                  <a:pt x="72" y="32"/>
                                </a:cubicBezTo>
                                <a:lnTo>
                                  <a:pt x="8" y="32"/>
                                </a:lnTo>
                                <a:cubicBezTo>
                                  <a:pt x="4" y="32"/>
                                  <a:pt x="0" y="29"/>
                                  <a:pt x="0" y="24"/>
                                </a:cubicBezTo>
                                <a:lnTo>
                                  <a:pt x="0" y="8"/>
                                </a:lnTo>
                                <a:close/>
                                <a:moveTo>
                                  <a:pt x="16" y="24"/>
                                </a:moveTo>
                                <a:lnTo>
                                  <a:pt x="8" y="16"/>
                                </a:lnTo>
                                <a:lnTo>
                                  <a:pt x="72" y="16"/>
                                </a:lnTo>
                                <a:lnTo>
                                  <a:pt x="64" y="24"/>
                                </a:lnTo>
                                <a:lnTo>
                                  <a:pt x="64" y="8"/>
                                </a:lnTo>
                                <a:lnTo>
                                  <a:pt x="72"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67" name="Rectangle 63"/>
                        <wps:cNvSpPr>
                          <a:spLocks noChangeArrowheads="1"/>
                        </wps:cNvSpPr>
                        <wps:spPr bwMode="auto">
                          <a:xfrm>
                            <a:off x="7954" y="4958"/>
                            <a:ext cx="78" cy="1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64"/>
                        <wps:cNvSpPr>
                          <a:spLocks noEditPoints="1"/>
                        </wps:cNvSpPr>
                        <wps:spPr bwMode="auto">
                          <a:xfrm>
                            <a:off x="7946"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69" name="Rectangle 65"/>
                        <wps:cNvSpPr>
                          <a:spLocks noChangeArrowheads="1"/>
                        </wps:cNvSpPr>
                        <wps:spPr bwMode="auto">
                          <a:xfrm>
                            <a:off x="3035" y="4786"/>
                            <a:ext cx="78" cy="189"/>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66"/>
                        <wps:cNvSpPr>
                          <a:spLocks noEditPoints="1"/>
                        </wps:cNvSpPr>
                        <wps:spPr bwMode="auto">
                          <a:xfrm>
                            <a:off x="3027" y="4777"/>
                            <a:ext cx="94" cy="207"/>
                          </a:xfrm>
                          <a:custGeom>
                            <a:avLst/>
                            <a:gdLst>
                              <a:gd name="T0" fmla="*/ 0 w 96"/>
                              <a:gd name="T1" fmla="*/ 8 h 192"/>
                              <a:gd name="T2" fmla="*/ 8 w 96"/>
                              <a:gd name="T3" fmla="*/ 0 h 192"/>
                              <a:gd name="T4" fmla="*/ 88 w 96"/>
                              <a:gd name="T5" fmla="*/ 0 h 192"/>
                              <a:gd name="T6" fmla="*/ 96 w 96"/>
                              <a:gd name="T7" fmla="*/ 8 h 192"/>
                              <a:gd name="T8" fmla="*/ 96 w 96"/>
                              <a:gd name="T9" fmla="*/ 184 h 192"/>
                              <a:gd name="T10" fmla="*/ 88 w 96"/>
                              <a:gd name="T11" fmla="*/ 192 h 192"/>
                              <a:gd name="T12" fmla="*/ 8 w 96"/>
                              <a:gd name="T13" fmla="*/ 192 h 192"/>
                              <a:gd name="T14" fmla="*/ 0 w 96"/>
                              <a:gd name="T15" fmla="*/ 184 h 192"/>
                              <a:gd name="T16" fmla="*/ 0 w 96"/>
                              <a:gd name="T17" fmla="*/ 8 h 192"/>
                              <a:gd name="T18" fmla="*/ 16 w 96"/>
                              <a:gd name="T19" fmla="*/ 184 h 192"/>
                              <a:gd name="T20" fmla="*/ 8 w 96"/>
                              <a:gd name="T21" fmla="*/ 176 h 192"/>
                              <a:gd name="T22" fmla="*/ 88 w 96"/>
                              <a:gd name="T23" fmla="*/ 176 h 192"/>
                              <a:gd name="T24" fmla="*/ 80 w 96"/>
                              <a:gd name="T25" fmla="*/ 184 h 192"/>
                              <a:gd name="T26" fmla="*/ 80 w 96"/>
                              <a:gd name="T27" fmla="*/ 8 h 192"/>
                              <a:gd name="T28" fmla="*/ 88 w 96"/>
                              <a:gd name="T29" fmla="*/ 16 h 192"/>
                              <a:gd name="T30" fmla="*/ 8 w 96"/>
                              <a:gd name="T31" fmla="*/ 16 h 192"/>
                              <a:gd name="T32" fmla="*/ 16 w 96"/>
                              <a:gd name="T33" fmla="*/ 8 h 192"/>
                              <a:gd name="T34" fmla="*/ 16 w 96"/>
                              <a:gd name="T35"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92">
                                <a:moveTo>
                                  <a:pt x="0" y="8"/>
                                </a:moveTo>
                                <a:cubicBezTo>
                                  <a:pt x="0" y="4"/>
                                  <a:pt x="4" y="0"/>
                                  <a:pt x="8" y="0"/>
                                </a:cubicBezTo>
                                <a:lnTo>
                                  <a:pt x="88" y="0"/>
                                </a:lnTo>
                                <a:cubicBezTo>
                                  <a:pt x="93" y="0"/>
                                  <a:pt x="96" y="4"/>
                                  <a:pt x="96" y="8"/>
                                </a:cubicBezTo>
                                <a:lnTo>
                                  <a:pt x="96" y="184"/>
                                </a:lnTo>
                                <a:cubicBezTo>
                                  <a:pt x="96" y="189"/>
                                  <a:pt x="93" y="192"/>
                                  <a:pt x="88" y="192"/>
                                </a:cubicBezTo>
                                <a:lnTo>
                                  <a:pt x="8" y="192"/>
                                </a:lnTo>
                                <a:cubicBezTo>
                                  <a:pt x="4" y="192"/>
                                  <a:pt x="0" y="189"/>
                                  <a:pt x="0" y="184"/>
                                </a:cubicBezTo>
                                <a:lnTo>
                                  <a:pt x="0" y="8"/>
                                </a:lnTo>
                                <a:close/>
                                <a:moveTo>
                                  <a:pt x="16" y="184"/>
                                </a:moveTo>
                                <a:lnTo>
                                  <a:pt x="8" y="176"/>
                                </a:lnTo>
                                <a:lnTo>
                                  <a:pt x="88" y="176"/>
                                </a:lnTo>
                                <a:lnTo>
                                  <a:pt x="80" y="184"/>
                                </a:lnTo>
                                <a:lnTo>
                                  <a:pt x="80" y="8"/>
                                </a:lnTo>
                                <a:lnTo>
                                  <a:pt x="88" y="16"/>
                                </a:lnTo>
                                <a:lnTo>
                                  <a:pt x="8" y="16"/>
                                </a:lnTo>
                                <a:lnTo>
                                  <a:pt x="16" y="8"/>
                                </a:lnTo>
                                <a:lnTo>
                                  <a:pt x="16" y="18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71" name="Rectangle 67"/>
                        <wps:cNvSpPr>
                          <a:spLocks noChangeArrowheads="1"/>
                        </wps:cNvSpPr>
                        <wps:spPr bwMode="auto">
                          <a:xfrm>
                            <a:off x="3878" y="4855"/>
                            <a:ext cx="62" cy="120"/>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Freeform 68"/>
                        <wps:cNvSpPr>
                          <a:spLocks noEditPoints="1"/>
                        </wps:cNvSpPr>
                        <wps:spPr bwMode="auto">
                          <a:xfrm>
                            <a:off x="3870" y="4846"/>
                            <a:ext cx="78" cy="138"/>
                          </a:xfrm>
                          <a:custGeom>
                            <a:avLst/>
                            <a:gdLst>
                              <a:gd name="T0" fmla="*/ 0 w 80"/>
                              <a:gd name="T1" fmla="*/ 8 h 128"/>
                              <a:gd name="T2" fmla="*/ 8 w 80"/>
                              <a:gd name="T3" fmla="*/ 0 h 128"/>
                              <a:gd name="T4" fmla="*/ 72 w 80"/>
                              <a:gd name="T5" fmla="*/ 0 h 128"/>
                              <a:gd name="T6" fmla="*/ 80 w 80"/>
                              <a:gd name="T7" fmla="*/ 8 h 128"/>
                              <a:gd name="T8" fmla="*/ 80 w 80"/>
                              <a:gd name="T9" fmla="*/ 120 h 128"/>
                              <a:gd name="T10" fmla="*/ 72 w 80"/>
                              <a:gd name="T11" fmla="*/ 128 h 128"/>
                              <a:gd name="T12" fmla="*/ 8 w 80"/>
                              <a:gd name="T13" fmla="*/ 128 h 128"/>
                              <a:gd name="T14" fmla="*/ 0 w 80"/>
                              <a:gd name="T15" fmla="*/ 120 h 128"/>
                              <a:gd name="T16" fmla="*/ 0 w 80"/>
                              <a:gd name="T17" fmla="*/ 8 h 128"/>
                              <a:gd name="T18" fmla="*/ 16 w 80"/>
                              <a:gd name="T19" fmla="*/ 120 h 128"/>
                              <a:gd name="T20" fmla="*/ 8 w 80"/>
                              <a:gd name="T21" fmla="*/ 112 h 128"/>
                              <a:gd name="T22" fmla="*/ 72 w 80"/>
                              <a:gd name="T23" fmla="*/ 112 h 128"/>
                              <a:gd name="T24" fmla="*/ 64 w 80"/>
                              <a:gd name="T25" fmla="*/ 120 h 128"/>
                              <a:gd name="T26" fmla="*/ 64 w 80"/>
                              <a:gd name="T27" fmla="*/ 8 h 128"/>
                              <a:gd name="T28" fmla="*/ 72 w 80"/>
                              <a:gd name="T29" fmla="*/ 16 h 128"/>
                              <a:gd name="T30" fmla="*/ 8 w 80"/>
                              <a:gd name="T31" fmla="*/ 16 h 128"/>
                              <a:gd name="T32" fmla="*/ 16 w 80"/>
                              <a:gd name="T33" fmla="*/ 8 h 128"/>
                              <a:gd name="T34" fmla="*/ 16 w 80"/>
                              <a:gd name="T35" fmla="*/ 12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28">
                                <a:moveTo>
                                  <a:pt x="0" y="8"/>
                                </a:moveTo>
                                <a:cubicBezTo>
                                  <a:pt x="0" y="4"/>
                                  <a:pt x="4" y="0"/>
                                  <a:pt x="8" y="0"/>
                                </a:cubicBezTo>
                                <a:lnTo>
                                  <a:pt x="72" y="0"/>
                                </a:lnTo>
                                <a:cubicBezTo>
                                  <a:pt x="77" y="0"/>
                                  <a:pt x="80" y="4"/>
                                  <a:pt x="80" y="8"/>
                                </a:cubicBezTo>
                                <a:lnTo>
                                  <a:pt x="80" y="120"/>
                                </a:lnTo>
                                <a:cubicBezTo>
                                  <a:pt x="80" y="125"/>
                                  <a:pt x="77" y="128"/>
                                  <a:pt x="72" y="128"/>
                                </a:cubicBezTo>
                                <a:lnTo>
                                  <a:pt x="8" y="128"/>
                                </a:lnTo>
                                <a:cubicBezTo>
                                  <a:pt x="4" y="128"/>
                                  <a:pt x="0" y="125"/>
                                  <a:pt x="0" y="120"/>
                                </a:cubicBezTo>
                                <a:lnTo>
                                  <a:pt x="0" y="8"/>
                                </a:lnTo>
                                <a:close/>
                                <a:moveTo>
                                  <a:pt x="16" y="120"/>
                                </a:moveTo>
                                <a:lnTo>
                                  <a:pt x="8" y="112"/>
                                </a:lnTo>
                                <a:lnTo>
                                  <a:pt x="72" y="112"/>
                                </a:lnTo>
                                <a:lnTo>
                                  <a:pt x="64" y="120"/>
                                </a:lnTo>
                                <a:lnTo>
                                  <a:pt x="64" y="8"/>
                                </a:lnTo>
                                <a:lnTo>
                                  <a:pt x="72" y="16"/>
                                </a:lnTo>
                                <a:lnTo>
                                  <a:pt x="8" y="16"/>
                                </a:lnTo>
                                <a:lnTo>
                                  <a:pt x="16" y="8"/>
                                </a:lnTo>
                                <a:lnTo>
                                  <a:pt x="16" y="12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73" name="Rectangle 69"/>
                        <wps:cNvSpPr>
                          <a:spLocks noChangeArrowheads="1"/>
                        </wps:cNvSpPr>
                        <wps:spPr bwMode="auto">
                          <a:xfrm>
                            <a:off x="4706" y="4820"/>
                            <a:ext cx="78" cy="155"/>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70"/>
                        <wps:cNvSpPr>
                          <a:spLocks noEditPoints="1"/>
                        </wps:cNvSpPr>
                        <wps:spPr bwMode="auto">
                          <a:xfrm>
                            <a:off x="4698" y="4812"/>
                            <a:ext cx="94" cy="172"/>
                          </a:xfrm>
                          <a:custGeom>
                            <a:avLst/>
                            <a:gdLst>
                              <a:gd name="T0" fmla="*/ 0 w 96"/>
                              <a:gd name="T1" fmla="*/ 8 h 160"/>
                              <a:gd name="T2" fmla="*/ 8 w 96"/>
                              <a:gd name="T3" fmla="*/ 0 h 160"/>
                              <a:gd name="T4" fmla="*/ 88 w 96"/>
                              <a:gd name="T5" fmla="*/ 0 h 160"/>
                              <a:gd name="T6" fmla="*/ 96 w 96"/>
                              <a:gd name="T7" fmla="*/ 8 h 160"/>
                              <a:gd name="T8" fmla="*/ 96 w 96"/>
                              <a:gd name="T9" fmla="*/ 152 h 160"/>
                              <a:gd name="T10" fmla="*/ 88 w 96"/>
                              <a:gd name="T11" fmla="*/ 160 h 160"/>
                              <a:gd name="T12" fmla="*/ 8 w 96"/>
                              <a:gd name="T13" fmla="*/ 160 h 160"/>
                              <a:gd name="T14" fmla="*/ 0 w 96"/>
                              <a:gd name="T15" fmla="*/ 152 h 160"/>
                              <a:gd name="T16" fmla="*/ 0 w 96"/>
                              <a:gd name="T17" fmla="*/ 8 h 160"/>
                              <a:gd name="T18" fmla="*/ 16 w 96"/>
                              <a:gd name="T19" fmla="*/ 152 h 160"/>
                              <a:gd name="T20" fmla="*/ 8 w 96"/>
                              <a:gd name="T21" fmla="*/ 144 h 160"/>
                              <a:gd name="T22" fmla="*/ 88 w 96"/>
                              <a:gd name="T23" fmla="*/ 144 h 160"/>
                              <a:gd name="T24" fmla="*/ 80 w 96"/>
                              <a:gd name="T25" fmla="*/ 152 h 160"/>
                              <a:gd name="T26" fmla="*/ 80 w 96"/>
                              <a:gd name="T27" fmla="*/ 8 h 160"/>
                              <a:gd name="T28" fmla="*/ 88 w 96"/>
                              <a:gd name="T29" fmla="*/ 16 h 160"/>
                              <a:gd name="T30" fmla="*/ 8 w 96"/>
                              <a:gd name="T31" fmla="*/ 16 h 160"/>
                              <a:gd name="T32" fmla="*/ 16 w 96"/>
                              <a:gd name="T33" fmla="*/ 8 h 160"/>
                              <a:gd name="T34" fmla="*/ 16 w 96"/>
                              <a:gd name="T35" fmla="*/ 152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60">
                                <a:moveTo>
                                  <a:pt x="0" y="8"/>
                                </a:moveTo>
                                <a:cubicBezTo>
                                  <a:pt x="0" y="4"/>
                                  <a:pt x="4" y="0"/>
                                  <a:pt x="8" y="0"/>
                                </a:cubicBezTo>
                                <a:lnTo>
                                  <a:pt x="88" y="0"/>
                                </a:lnTo>
                                <a:cubicBezTo>
                                  <a:pt x="93" y="0"/>
                                  <a:pt x="96" y="4"/>
                                  <a:pt x="96" y="8"/>
                                </a:cubicBezTo>
                                <a:lnTo>
                                  <a:pt x="96" y="152"/>
                                </a:lnTo>
                                <a:cubicBezTo>
                                  <a:pt x="96" y="157"/>
                                  <a:pt x="93" y="160"/>
                                  <a:pt x="88" y="160"/>
                                </a:cubicBezTo>
                                <a:lnTo>
                                  <a:pt x="8" y="160"/>
                                </a:lnTo>
                                <a:cubicBezTo>
                                  <a:pt x="4" y="160"/>
                                  <a:pt x="0" y="157"/>
                                  <a:pt x="0" y="152"/>
                                </a:cubicBezTo>
                                <a:lnTo>
                                  <a:pt x="0" y="8"/>
                                </a:lnTo>
                                <a:close/>
                                <a:moveTo>
                                  <a:pt x="16" y="152"/>
                                </a:moveTo>
                                <a:lnTo>
                                  <a:pt x="8" y="144"/>
                                </a:lnTo>
                                <a:lnTo>
                                  <a:pt x="88" y="144"/>
                                </a:lnTo>
                                <a:lnTo>
                                  <a:pt x="80" y="152"/>
                                </a:lnTo>
                                <a:lnTo>
                                  <a:pt x="80" y="8"/>
                                </a:lnTo>
                                <a:lnTo>
                                  <a:pt x="88" y="16"/>
                                </a:lnTo>
                                <a:lnTo>
                                  <a:pt x="8" y="16"/>
                                </a:lnTo>
                                <a:lnTo>
                                  <a:pt x="16" y="8"/>
                                </a:lnTo>
                                <a:lnTo>
                                  <a:pt x="16" y="152"/>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75" name="Rectangle 71"/>
                        <wps:cNvSpPr>
                          <a:spLocks noChangeArrowheads="1"/>
                        </wps:cNvSpPr>
                        <wps:spPr bwMode="auto">
                          <a:xfrm>
                            <a:off x="5533" y="4941"/>
                            <a:ext cx="78" cy="34"/>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72"/>
                        <wps:cNvSpPr>
                          <a:spLocks noEditPoints="1"/>
                        </wps:cNvSpPr>
                        <wps:spPr bwMode="auto">
                          <a:xfrm>
                            <a:off x="5526" y="4932"/>
                            <a:ext cx="93" cy="52"/>
                          </a:xfrm>
                          <a:custGeom>
                            <a:avLst/>
                            <a:gdLst>
                              <a:gd name="T0" fmla="*/ 0 w 96"/>
                              <a:gd name="T1" fmla="*/ 8 h 48"/>
                              <a:gd name="T2" fmla="*/ 8 w 96"/>
                              <a:gd name="T3" fmla="*/ 0 h 48"/>
                              <a:gd name="T4" fmla="*/ 88 w 96"/>
                              <a:gd name="T5" fmla="*/ 0 h 48"/>
                              <a:gd name="T6" fmla="*/ 96 w 96"/>
                              <a:gd name="T7" fmla="*/ 8 h 48"/>
                              <a:gd name="T8" fmla="*/ 96 w 96"/>
                              <a:gd name="T9" fmla="*/ 40 h 48"/>
                              <a:gd name="T10" fmla="*/ 88 w 96"/>
                              <a:gd name="T11" fmla="*/ 48 h 48"/>
                              <a:gd name="T12" fmla="*/ 8 w 96"/>
                              <a:gd name="T13" fmla="*/ 48 h 48"/>
                              <a:gd name="T14" fmla="*/ 0 w 96"/>
                              <a:gd name="T15" fmla="*/ 40 h 48"/>
                              <a:gd name="T16" fmla="*/ 0 w 96"/>
                              <a:gd name="T17" fmla="*/ 8 h 48"/>
                              <a:gd name="T18" fmla="*/ 16 w 96"/>
                              <a:gd name="T19" fmla="*/ 40 h 48"/>
                              <a:gd name="T20" fmla="*/ 8 w 96"/>
                              <a:gd name="T21" fmla="*/ 32 h 48"/>
                              <a:gd name="T22" fmla="*/ 88 w 96"/>
                              <a:gd name="T23" fmla="*/ 32 h 48"/>
                              <a:gd name="T24" fmla="*/ 80 w 96"/>
                              <a:gd name="T25" fmla="*/ 40 h 48"/>
                              <a:gd name="T26" fmla="*/ 80 w 96"/>
                              <a:gd name="T27" fmla="*/ 8 h 48"/>
                              <a:gd name="T28" fmla="*/ 88 w 96"/>
                              <a:gd name="T29" fmla="*/ 16 h 48"/>
                              <a:gd name="T30" fmla="*/ 8 w 96"/>
                              <a:gd name="T31" fmla="*/ 16 h 48"/>
                              <a:gd name="T32" fmla="*/ 16 w 96"/>
                              <a:gd name="T33" fmla="*/ 8 h 48"/>
                              <a:gd name="T34" fmla="*/ 16 w 96"/>
                              <a:gd name="T35" fmla="*/ 4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8">
                                <a:moveTo>
                                  <a:pt x="0" y="8"/>
                                </a:moveTo>
                                <a:cubicBezTo>
                                  <a:pt x="0" y="4"/>
                                  <a:pt x="4" y="0"/>
                                  <a:pt x="8" y="0"/>
                                </a:cubicBezTo>
                                <a:lnTo>
                                  <a:pt x="88" y="0"/>
                                </a:lnTo>
                                <a:cubicBezTo>
                                  <a:pt x="93" y="0"/>
                                  <a:pt x="96" y="4"/>
                                  <a:pt x="96" y="8"/>
                                </a:cubicBezTo>
                                <a:lnTo>
                                  <a:pt x="96" y="40"/>
                                </a:lnTo>
                                <a:cubicBezTo>
                                  <a:pt x="96" y="45"/>
                                  <a:pt x="93" y="48"/>
                                  <a:pt x="88" y="48"/>
                                </a:cubicBezTo>
                                <a:lnTo>
                                  <a:pt x="8" y="48"/>
                                </a:lnTo>
                                <a:cubicBezTo>
                                  <a:pt x="4" y="48"/>
                                  <a:pt x="0" y="45"/>
                                  <a:pt x="0" y="40"/>
                                </a:cubicBezTo>
                                <a:lnTo>
                                  <a:pt x="0" y="8"/>
                                </a:lnTo>
                                <a:close/>
                                <a:moveTo>
                                  <a:pt x="16" y="40"/>
                                </a:moveTo>
                                <a:lnTo>
                                  <a:pt x="8" y="32"/>
                                </a:lnTo>
                                <a:lnTo>
                                  <a:pt x="88" y="32"/>
                                </a:lnTo>
                                <a:lnTo>
                                  <a:pt x="80" y="40"/>
                                </a:lnTo>
                                <a:lnTo>
                                  <a:pt x="80" y="8"/>
                                </a:lnTo>
                                <a:lnTo>
                                  <a:pt x="88" y="16"/>
                                </a:lnTo>
                                <a:lnTo>
                                  <a:pt x="8" y="16"/>
                                </a:lnTo>
                                <a:lnTo>
                                  <a:pt x="16" y="8"/>
                                </a:lnTo>
                                <a:lnTo>
                                  <a:pt x="16" y="4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77" name="Rectangle 73"/>
                        <wps:cNvSpPr>
                          <a:spLocks noChangeArrowheads="1"/>
                        </wps:cNvSpPr>
                        <wps:spPr bwMode="auto">
                          <a:xfrm>
                            <a:off x="6361" y="4941"/>
                            <a:ext cx="78" cy="34"/>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74"/>
                        <wps:cNvSpPr>
                          <a:spLocks noEditPoints="1"/>
                        </wps:cNvSpPr>
                        <wps:spPr bwMode="auto">
                          <a:xfrm>
                            <a:off x="6353" y="4932"/>
                            <a:ext cx="94" cy="52"/>
                          </a:xfrm>
                          <a:custGeom>
                            <a:avLst/>
                            <a:gdLst>
                              <a:gd name="T0" fmla="*/ 0 w 96"/>
                              <a:gd name="T1" fmla="*/ 8 h 48"/>
                              <a:gd name="T2" fmla="*/ 8 w 96"/>
                              <a:gd name="T3" fmla="*/ 0 h 48"/>
                              <a:gd name="T4" fmla="*/ 88 w 96"/>
                              <a:gd name="T5" fmla="*/ 0 h 48"/>
                              <a:gd name="T6" fmla="*/ 96 w 96"/>
                              <a:gd name="T7" fmla="*/ 8 h 48"/>
                              <a:gd name="T8" fmla="*/ 96 w 96"/>
                              <a:gd name="T9" fmla="*/ 40 h 48"/>
                              <a:gd name="T10" fmla="*/ 88 w 96"/>
                              <a:gd name="T11" fmla="*/ 48 h 48"/>
                              <a:gd name="T12" fmla="*/ 8 w 96"/>
                              <a:gd name="T13" fmla="*/ 48 h 48"/>
                              <a:gd name="T14" fmla="*/ 0 w 96"/>
                              <a:gd name="T15" fmla="*/ 40 h 48"/>
                              <a:gd name="T16" fmla="*/ 0 w 96"/>
                              <a:gd name="T17" fmla="*/ 8 h 48"/>
                              <a:gd name="T18" fmla="*/ 16 w 96"/>
                              <a:gd name="T19" fmla="*/ 40 h 48"/>
                              <a:gd name="T20" fmla="*/ 8 w 96"/>
                              <a:gd name="T21" fmla="*/ 32 h 48"/>
                              <a:gd name="T22" fmla="*/ 88 w 96"/>
                              <a:gd name="T23" fmla="*/ 32 h 48"/>
                              <a:gd name="T24" fmla="*/ 80 w 96"/>
                              <a:gd name="T25" fmla="*/ 40 h 48"/>
                              <a:gd name="T26" fmla="*/ 80 w 96"/>
                              <a:gd name="T27" fmla="*/ 8 h 48"/>
                              <a:gd name="T28" fmla="*/ 88 w 96"/>
                              <a:gd name="T29" fmla="*/ 16 h 48"/>
                              <a:gd name="T30" fmla="*/ 8 w 96"/>
                              <a:gd name="T31" fmla="*/ 16 h 48"/>
                              <a:gd name="T32" fmla="*/ 16 w 96"/>
                              <a:gd name="T33" fmla="*/ 8 h 48"/>
                              <a:gd name="T34" fmla="*/ 16 w 96"/>
                              <a:gd name="T35" fmla="*/ 4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8">
                                <a:moveTo>
                                  <a:pt x="0" y="8"/>
                                </a:moveTo>
                                <a:cubicBezTo>
                                  <a:pt x="0" y="4"/>
                                  <a:pt x="4" y="0"/>
                                  <a:pt x="8" y="0"/>
                                </a:cubicBezTo>
                                <a:lnTo>
                                  <a:pt x="88" y="0"/>
                                </a:lnTo>
                                <a:cubicBezTo>
                                  <a:pt x="93" y="0"/>
                                  <a:pt x="96" y="4"/>
                                  <a:pt x="96" y="8"/>
                                </a:cubicBezTo>
                                <a:lnTo>
                                  <a:pt x="96" y="40"/>
                                </a:lnTo>
                                <a:cubicBezTo>
                                  <a:pt x="96" y="45"/>
                                  <a:pt x="93" y="48"/>
                                  <a:pt x="88" y="48"/>
                                </a:cubicBezTo>
                                <a:lnTo>
                                  <a:pt x="8" y="48"/>
                                </a:lnTo>
                                <a:cubicBezTo>
                                  <a:pt x="4" y="48"/>
                                  <a:pt x="0" y="45"/>
                                  <a:pt x="0" y="40"/>
                                </a:cubicBezTo>
                                <a:lnTo>
                                  <a:pt x="0" y="8"/>
                                </a:lnTo>
                                <a:close/>
                                <a:moveTo>
                                  <a:pt x="16" y="40"/>
                                </a:moveTo>
                                <a:lnTo>
                                  <a:pt x="8" y="32"/>
                                </a:lnTo>
                                <a:lnTo>
                                  <a:pt x="88" y="32"/>
                                </a:lnTo>
                                <a:lnTo>
                                  <a:pt x="80" y="40"/>
                                </a:lnTo>
                                <a:lnTo>
                                  <a:pt x="80" y="8"/>
                                </a:lnTo>
                                <a:lnTo>
                                  <a:pt x="88" y="16"/>
                                </a:lnTo>
                                <a:lnTo>
                                  <a:pt x="8" y="16"/>
                                </a:lnTo>
                                <a:lnTo>
                                  <a:pt x="16" y="8"/>
                                </a:lnTo>
                                <a:lnTo>
                                  <a:pt x="16" y="4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79" name="Rectangle 75"/>
                        <wps:cNvSpPr>
                          <a:spLocks noChangeArrowheads="1"/>
                        </wps:cNvSpPr>
                        <wps:spPr bwMode="auto">
                          <a:xfrm>
                            <a:off x="7189" y="4958"/>
                            <a:ext cx="78" cy="17"/>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76"/>
                        <wps:cNvSpPr>
                          <a:spLocks noEditPoints="1"/>
                        </wps:cNvSpPr>
                        <wps:spPr bwMode="auto">
                          <a:xfrm>
                            <a:off x="7181"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81" name="Rectangle 77"/>
                        <wps:cNvSpPr>
                          <a:spLocks noChangeArrowheads="1"/>
                        </wps:cNvSpPr>
                        <wps:spPr bwMode="auto">
                          <a:xfrm>
                            <a:off x="8032" y="4958"/>
                            <a:ext cx="63" cy="17"/>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78"/>
                        <wps:cNvSpPr>
                          <a:spLocks noEditPoints="1"/>
                        </wps:cNvSpPr>
                        <wps:spPr bwMode="auto">
                          <a:xfrm>
                            <a:off x="8024" y="4950"/>
                            <a:ext cx="78" cy="34"/>
                          </a:xfrm>
                          <a:custGeom>
                            <a:avLst/>
                            <a:gdLst>
                              <a:gd name="T0" fmla="*/ 0 w 80"/>
                              <a:gd name="T1" fmla="*/ 8 h 32"/>
                              <a:gd name="T2" fmla="*/ 8 w 80"/>
                              <a:gd name="T3" fmla="*/ 0 h 32"/>
                              <a:gd name="T4" fmla="*/ 72 w 80"/>
                              <a:gd name="T5" fmla="*/ 0 h 32"/>
                              <a:gd name="T6" fmla="*/ 80 w 80"/>
                              <a:gd name="T7" fmla="*/ 8 h 32"/>
                              <a:gd name="T8" fmla="*/ 80 w 80"/>
                              <a:gd name="T9" fmla="*/ 24 h 32"/>
                              <a:gd name="T10" fmla="*/ 72 w 80"/>
                              <a:gd name="T11" fmla="*/ 32 h 32"/>
                              <a:gd name="T12" fmla="*/ 8 w 80"/>
                              <a:gd name="T13" fmla="*/ 32 h 32"/>
                              <a:gd name="T14" fmla="*/ 0 w 80"/>
                              <a:gd name="T15" fmla="*/ 24 h 32"/>
                              <a:gd name="T16" fmla="*/ 0 w 80"/>
                              <a:gd name="T17" fmla="*/ 8 h 32"/>
                              <a:gd name="T18" fmla="*/ 16 w 80"/>
                              <a:gd name="T19" fmla="*/ 24 h 32"/>
                              <a:gd name="T20" fmla="*/ 8 w 80"/>
                              <a:gd name="T21" fmla="*/ 16 h 32"/>
                              <a:gd name="T22" fmla="*/ 72 w 80"/>
                              <a:gd name="T23" fmla="*/ 16 h 32"/>
                              <a:gd name="T24" fmla="*/ 64 w 80"/>
                              <a:gd name="T25" fmla="*/ 24 h 32"/>
                              <a:gd name="T26" fmla="*/ 64 w 80"/>
                              <a:gd name="T27" fmla="*/ 8 h 32"/>
                              <a:gd name="T28" fmla="*/ 72 w 80"/>
                              <a:gd name="T29" fmla="*/ 16 h 32"/>
                              <a:gd name="T30" fmla="*/ 8 w 80"/>
                              <a:gd name="T31" fmla="*/ 16 h 32"/>
                              <a:gd name="T32" fmla="*/ 16 w 80"/>
                              <a:gd name="T33" fmla="*/ 8 h 32"/>
                              <a:gd name="T34" fmla="*/ 16 w 80"/>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32">
                                <a:moveTo>
                                  <a:pt x="0" y="8"/>
                                </a:moveTo>
                                <a:cubicBezTo>
                                  <a:pt x="0" y="4"/>
                                  <a:pt x="4" y="0"/>
                                  <a:pt x="8" y="0"/>
                                </a:cubicBezTo>
                                <a:lnTo>
                                  <a:pt x="72" y="0"/>
                                </a:lnTo>
                                <a:cubicBezTo>
                                  <a:pt x="77" y="0"/>
                                  <a:pt x="80" y="4"/>
                                  <a:pt x="80" y="8"/>
                                </a:cubicBezTo>
                                <a:lnTo>
                                  <a:pt x="80" y="24"/>
                                </a:lnTo>
                                <a:cubicBezTo>
                                  <a:pt x="80" y="29"/>
                                  <a:pt x="77" y="32"/>
                                  <a:pt x="72" y="32"/>
                                </a:cubicBezTo>
                                <a:lnTo>
                                  <a:pt x="8" y="32"/>
                                </a:lnTo>
                                <a:cubicBezTo>
                                  <a:pt x="4" y="32"/>
                                  <a:pt x="0" y="29"/>
                                  <a:pt x="0" y="24"/>
                                </a:cubicBezTo>
                                <a:lnTo>
                                  <a:pt x="0" y="8"/>
                                </a:lnTo>
                                <a:close/>
                                <a:moveTo>
                                  <a:pt x="16" y="24"/>
                                </a:moveTo>
                                <a:lnTo>
                                  <a:pt x="8" y="16"/>
                                </a:lnTo>
                                <a:lnTo>
                                  <a:pt x="72" y="16"/>
                                </a:lnTo>
                                <a:lnTo>
                                  <a:pt x="64" y="24"/>
                                </a:lnTo>
                                <a:lnTo>
                                  <a:pt x="64" y="8"/>
                                </a:lnTo>
                                <a:lnTo>
                                  <a:pt x="72"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83" name="Rectangle 79"/>
                        <wps:cNvSpPr>
                          <a:spLocks noChangeArrowheads="1"/>
                        </wps:cNvSpPr>
                        <wps:spPr bwMode="auto">
                          <a:xfrm>
                            <a:off x="3113" y="4924"/>
                            <a:ext cx="78" cy="51"/>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80"/>
                        <wps:cNvSpPr>
                          <a:spLocks noEditPoints="1"/>
                        </wps:cNvSpPr>
                        <wps:spPr bwMode="auto">
                          <a:xfrm>
                            <a:off x="3105" y="4915"/>
                            <a:ext cx="94" cy="69"/>
                          </a:xfrm>
                          <a:custGeom>
                            <a:avLst/>
                            <a:gdLst>
                              <a:gd name="T0" fmla="*/ 0 w 96"/>
                              <a:gd name="T1" fmla="*/ 8 h 64"/>
                              <a:gd name="T2" fmla="*/ 8 w 96"/>
                              <a:gd name="T3" fmla="*/ 0 h 64"/>
                              <a:gd name="T4" fmla="*/ 88 w 96"/>
                              <a:gd name="T5" fmla="*/ 0 h 64"/>
                              <a:gd name="T6" fmla="*/ 96 w 96"/>
                              <a:gd name="T7" fmla="*/ 8 h 64"/>
                              <a:gd name="T8" fmla="*/ 96 w 96"/>
                              <a:gd name="T9" fmla="*/ 56 h 64"/>
                              <a:gd name="T10" fmla="*/ 88 w 96"/>
                              <a:gd name="T11" fmla="*/ 64 h 64"/>
                              <a:gd name="T12" fmla="*/ 8 w 96"/>
                              <a:gd name="T13" fmla="*/ 64 h 64"/>
                              <a:gd name="T14" fmla="*/ 0 w 96"/>
                              <a:gd name="T15" fmla="*/ 56 h 64"/>
                              <a:gd name="T16" fmla="*/ 0 w 96"/>
                              <a:gd name="T17" fmla="*/ 8 h 64"/>
                              <a:gd name="T18" fmla="*/ 16 w 96"/>
                              <a:gd name="T19" fmla="*/ 56 h 64"/>
                              <a:gd name="T20" fmla="*/ 8 w 96"/>
                              <a:gd name="T21" fmla="*/ 48 h 64"/>
                              <a:gd name="T22" fmla="*/ 88 w 96"/>
                              <a:gd name="T23" fmla="*/ 48 h 64"/>
                              <a:gd name="T24" fmla="*/ 80 w 96"/>
                              <a:gd name="T25" fmla="*/ 56 h 64"/>
                              <a:gd name="T26" fmla="*/ 80 w 96"/>
                              <a:gd name="T27" fmla="*/ 8 h 64"/>
                              <a:gd name="T28" fmla="*/ 88 w 96"/>
                              <a:gd name="T29" fmla="*/ 16 h 64"/>
                              <a:gd name="T30" fmla="*/ 8 w 96"/>
                              <a:gd name="T31" fmla="*/ 16 h 64"/>
                              <a:gd name="T32" fmla="*/ 16 w 96"/>
                              <a:gd name="T33" fmla="*/ 8 h 64"/>
                              <a:gd name="T34" fmla="*/ 16 w 96"/>
                              <a:gd name="T35" fmla="*/ 5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64">
                                <a:moveTo>
                                  <a:pt x="0" y="8"/>
                                </a:moveTo>
                                <a:cubicBezTo>
                                  <a:pt x="0" y="4"/>
                                  <a:pt x="4" y="0"/>
                                  <a:pt x="8" y="0"/>
                                </a:cubicBezTo>
                                <a:lnTo>
                                  <a:pt x="88" y="0"/>
                                </a:lnTo>
                                <a:cubicBezTo>
                                  <a:pt x="93" y="0"/>
                                  <a:pt x="96" y="4"/>
                                  <a:pt x="96" y="8"/>
                                </a:cubicBezTo>
                                <a:lnTo>
                                  <a:pt x="96" y="56"/>
                                </a:lnTo>
                                <a:cubicBezTo>
                                  <a:pt x="96" y="61"/>
                                  <a:pt x="93" y="64"/>
                                  <a:pt x="88" y="64"/>
                                </a:cubicBezTo>
                                <a:lnTo>
                                  <a:pt x="8" y="64"/>
                                </a:lnTo>
                                <a:cubicBezTo>
                                  <a:pt x="4" y="64"/>
                                  <a:pt x="0" y="61"/>
                                  <a:pt x="0" y="56"/>
                                </a:cubicBezTo>
                                <a:lnTo>
                                  <a:pt x="0" y="8"/>
                                </a:lnTo>
                                <a:close/>
                                <a:moveTo>
                                  <a:pt x="16" y="56"/>
                                </a:moveTo>
                                <a:lnTo>
                                  <a:pt x="8" y="48"/>
                                </a:lnTo>
                                <a:lnTo>
                                  <a:pt x="88" y="48"/>
                                </a:lnTo>
                                <a:lnTo>
                                  <a:pt x="80" y="56"/>
                                </a:lnTo>
                                <a:lnTo>
                                  <a:pt x="80" y="8"/>
                                </a:lnTo>
                                <a:lnTo>
                                  <a:pt x="88" y="16"/>
                                </a:lnTo>
                                <a:lnTo>
                                  <a:pt x="8" y="16"/>
                                </a:lnTo>
                                <a:lnTo>
                                  <a:pt x="16" y="8"/>
                                </a:lnTo>
                                <a:lnTo>
                                  <a:pt x="16" y="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85" name="Rectangle 81"/>
                        <wps:cNvSpPr>
                          <a:spLocks noChangeArrowheads="1"/>
                        </wps:cNvSpPr>
                        <wps:spPr bwMode="auto">
                          <a:xfrm>
                            <a:off x="3940" y="4924"/>
                            <a:ext cx="79" cy="51"/>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82"/>
                        <wps:cNvSpPr>
                          <a:spLocks noEditPoints="1"/>
                        </wps:cNvSpPr>
                        <wps:spPr bwMode="auto">
                          <a:xfrm>
                            <a:off x="3933" y="4915"/>
                            <a:ext cx="93" cy="69"/>
                          </a:xfrm>
                          <a:custGeom>
                            <a:avLst/>
                            <a:gdLst>
                              <a:gd name="T0" fmla="*/ 0 w 96"/>
                              <a:gd name="T1" fmla="*/ 8 h 64"/>
                              <a:gd name="T2" fmla="*/ 8 w 96"/>
                              <a:gd name="T3" fmla="*/ 0 h 64"/>
                              <a:gd name="T4" fmla="*/ 88 w 96"/>
                              <a:gd name="T5" fmla="*/ 0 h 64"/>
                              <a:gd name="T6" fmla="*/ 96 w 96"/>
                              <a:gd name="T7" fmla="*/ 8 h 64"/>
                              <a:gd name="T8" fmla="*/ 96 w 96"/>
                              <a:gd name="T9" fmla="*/ 56 h 64"/>
                              <a:gd name="T10" fmla="*/ 88 w 96"/>
                              <a:gd name="T11" fmla="*/ 64 h 64"/>
                              <a:gd name="T12" fmla="*/ 8 w 96"/>
                              <a:gd name="T13" fmla="*/ 64 h 64"/>
                              <a:gd name="T14" fmla="*/ 0 w 96"/>
                              <a:gd name="T15" fmla="*/ 56 h 64"/>
                              <a:gd name="T16" fmla="*/ 0 w 96"/>
                              <a:gd name="T17" fmla="*/ 8 h 64"/>
                              <a:gd name="T18" fmla="*/ 16 w 96"/>
                              <a:gd name="T19" fmla="*/ 56 h 64"/>
                              <a:gd name="T20" fmla="*/ 8 w 96"/>
                              <a:gd name="T21" fmla="*/ 48 h 64"/>
                              <a:gd name="T22" fmla="*/ 88 w 96"/>
                              <a:gd name="T23" fmla="*/ 48 h 64"/>
                              <a:gd name="T24" fmla="*/ 80 w 96"/>
                              <a:gd name="T25" fmla="*/ 56 h 64"/>
                              <a:gd name="T26" fmla="*/ 80 w 96"/>
                              <a:gd name="T27" fmla="*/ 8 h 64"/>
                              <a:gd name="T28" fmla="*/ 88 w 96"/>
                              <a:gd name="T29" fmla="*/ 16 h 64"/>
                              <a:gd name="T30" fmla="*/ 8 w 96"/>
                              <a:gd name="T31" fmla="*/ 16 h 64"/>
                              <a:gd name="T32" fmla="*/ 16 w 96"/>
                              <a:gd name="T33" fmla="*/ 8 h 64"/>
                              <a:gd name="T34" fmla="*/ 16 w 96"/>
                              <a:gd name="T35" fmla="*/ 5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64">
                                <a:moveTo>
                                  <a:pt x="0" y="8"/>
                                </a:moveTo>
                                <a:cubicBezTo>
                                  <a:pt x="0" y="4"/>
                                  <a:pt x="4" y="0"/>
                                  <a:pt x="8" y="0"/>
                                </a:cubicBezTo>
                                <a:lnTo>
                                  <a:pt x="88" y="0"/>
                                </a:lnTo>
                                <a:cubicBezTo>
                                  <a:pt x="93" y="0"/>
                                  <a:pt x="96" y="4"/>
                                  <a:pt x="96" y="8"/>
                                </a:cubicBezTo>
                                <a:lnTo>
                                  <a:pt x="96" y="56"/>
                                </a:lnTo>
                                <a:cubicBezTo>
                                  <a:pt x="96" y="61"/>
                                  <a:pt x="93" y="64"/>
                                  <a:pt x="88" y="64"/>
                                </a:cubicBezTo>
                                <a:lnTo>
                                  <a:pt x="8" y="64"/>
                                </a:lnTo>
                                <a:cubicBezTo>
                                  <a:pt x="4" y="64"/>
                                  <a:pt x="0" y="61"/>
                                  <a:pt x="0" y="56"/>
                                </a:cubicBezTo>
                                <a:lnTo>
                                  <a:pt x="0" y="8"/>
                                </a:lnTo>
                                <a:close/>
                                <a:moveTo>
                                  <a:pt x="16" y="56"/>
                                </a:moveTo>
                                <a:lnTo>
                                  <a:pt x="8" y="48"/>
                                </a:lnTo>
                                <a:lnTo>
                                  <a:pt x="88" y="48"/>
                                </a:lnTo>
                                <a:lnTo>
                                  <a:pt x="80" y="56"/>
                                </a:lnTo>
                                <a:lnTo>
                                  <a:pt x="80" y="8"/>
                                </a:lnTo>
                                <a:lnTo>
                                  <a:pt x="88" y="16"/>
                                </a:lnTo>
                                <a:lnTo>
                                  <a:pt x="8" y="16"/>
                                </a:lnTo>
                                <a:lnTo>
                                  <a:pt x="16" y="8"/>
                                </a:lnTo>
                                <a:lnTo>
                                  <a:pt x="16" y="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87" name="Rectangle 83"/>
                        <wps:cNvSpPr>
                          <a:spLocks noChangeArrowheads="1"/>
                        </wps:cNvSpPr>
                        <wps:spPr bwMode="auto">
                          <a:xfrm>
                            <a:off x="4784" y="4924"/>
                            <a:ext cx="78" cy="51"/>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84"/>
                        <wps:cNvSpPr>
                          <a:spLocks noEditPoints="1"/>
                        </wps:cNvSpPr>
                        <wps:spPr bwMode="auto">
                          <a:xfrm>
                            <a:off x="4776" y="4915"/>
                            <a:ext cx="94" cy="69"/>
                          </a:xfrm>
                          <a:custGeom>
                            <a:avLst/>
                            <a:gdLst>
                              <a:gd name="T0" fmla="*/ 0 w 96"/>
                              <a:gd name="T1" fmla="*/ 8 h 64"/>
                              <a:gd name="T2" fmla="*/ 8 w 96"/>
                              <a:gd name="T3" fmla="*/ 0 h 64"/>
                              <a:gd name="T4" fmla="*/ 88 w 96"/>
                              <a:gd name="T5" fmla="*/ 0 h 64"/>
                              <a:gd name="T6" fmla="*/ 96 w 96"/>
                              <a:gd name="T7" fmla="*/ 8 h 64"/>
                              <a:gd name="T8" fmla="*/ 96 w 96"/>
                              <a:gd name="T9" fmla="*/ 56 h 64"/>
                              <a:gd name="T10" fmla="*/ 88 w 96"/>
                              <a:gd name="T11" fmla="*/ 64 h 64"/>
                              <a:gd name="T12" fmla="*/ 8 w 96"/>
                              <a:gd name="T13" fmla="*/ 64 h 64"/>
                              <a:gd name="T14" fmla="*/ 0 w 96"/>
                              <a:gd name="T15" fmla="*/ 56 h 64"/>
                              <a:gd name="T16" fmla="*/ 0 w 96"/>
                              <a:gd name="T17" fmla="*/ 8 h 64"/>
                              <a:gd name="T18" fmla="*/ 16 w 96"/>
                              <a:gd name="T19" fmla="*/ 56 h 64"/>
                              <a:gd name="T20" fmla="*/ 8 w 96"/>
                              <a:gd name="T21" fmla="*/ 48 h 64"/>
                              <a:gd name="T22" fmla="*/ 88 w 96"/>
                              <a:gd name="T23" fmla="*/ 48 h 64"/>
                              <a:gd name="T24" fmla="*/ 80 w 96"/>
                              <a:gd name="T25" fmla="*/ 56 h 64"/>
                              <a:gd name="T26" fmla="*/ 80 w 96"/>
                              <a:gd name="T27" fmla="*/ 8 h 64"/>
                              <a:gd name="T28" fmla="*/ 88 w 96"/>
                              <a:gd name="T29" fmla="*/ 16 h 64"/>
                              <a:gd name="T30" fmla="*/ 8 w 96"/>
                              <a:gd name="T31" fmla="*/ 16 h 64"/>
                              <a:gd name="T32" fmla="*/ 16 w 96"/>
                              <a:gd name="T33" fmla="*/ 8 h 64"/>
                              <a:gd name="T34" fmla="*/ 16 w 96"/>
                              <a:gd name="T35" fmla="*/ 5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64">
                                <a:moveTo>
                                  <a:pt x="0" y="8"/>
                                </a:moveTo>
                                <a:cubicBezTo>
                                  <a:pt x="0" y="4"/>
                                  <a:pt x="4" y="0"/>
                                  <a:pt x="8" y="0"/>
                                </a:cubicBezTo>
                                <a:lnTo>
                                  <a:pt x="88" y="0"/>
                                </a:lnTo>
                                <a:cubicBezTo>
                                  <a:pt x="93" y="0"/>
                                  <a:pt x="96" y="4"/>
                                  <a:pt x="96" y="8"/>
                                </a:cubicBezTo>
                                <a:lnTo>
                                  <a:pt x="96" y="56"/>
                                </a:lnTo>
                                <a:cubicBezTo>
                                  <a:pt x="96" y="61"/>
                                  <a:pt x="93" y="64"/>
                                  <a:pt x="88" y="64"/>
                                </a:cubicBezTo>
                                <a:lnTo>
                                  <a:pt x="8" y="64"/>
                                </a:lnTo>
                                <a:cubicBezTo>
                                  <a:pt x="4" y="64"/>
                                  <a:pt x="0" y="61"/>
                                  <a:pt x="0" y="56"/>
                                </a:cubicBezTo>
                                <a:lnTo>
                                  <a:pt x="0" y="8"/>
                                </a:lnTo>
                                <a:close/>
                                <a:moveTo>
                                  <a:pt x="16" y="56"/>
                                </a:moveTo>
                                <a:lnTo>
                                  <a:pt x="8" y="48"/>
                                </a:lnTo>
                                <a:lnTo>
                                  <a:pt x="88" y="48"/>
                                </a:lnTo>
                                <a:lnTo>
                                  <a:pt x="80" y="56"/>
                                </a:lnTo>
                                <a:lnTo>
                                  <a:pt x="80" y="8"/>
                                </a:lnTo>
                                <a:lnTo>
                                  <a:pt x="88" y="16"/>
                                </a:lnTo>
                                <a:lnTo>
                                  <a:pt x="8" y="16"/>
                                </a:lnTo>
                                <a:lnTo>
                                  <a:pt x="16" y="8"/>
                                </a:lnTo>
                                <a:lnTo>
                                  <a:pt x="16" y="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89" name="Rectangle 85"/>
                        <wps:cNvSpPr>
                          <a:spLocks noChangeArrowheads="1"/>
                        </wps:cNvSpPr>
                        <wps:spPr bwMode="auto">
                          <a:xfrm>
                            <a:off x="7267" y="4958"/>
                            <a:ext cx="78" cy="17"/>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86"/>
                        <wps:cNvSpPr>
                          <a:spLocks noEditPoints="1"/>
                        </wps:cNvSpPr>
                        <wps:spPr bwMode="auto">
                          <a:xfrm>
                            <a:off x="7259"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91" name="Rectangle 87"/>
                        <wps:cNvSpPr>
                          <a:spLocks noChangeArrowheads="1"/>
                        </wps:cNvSpPr>
                        <wps:spPr bwMode="auto">
                          <a:xfrm>
                            <a:off x="8095" y="4958"/>
                            <a:ext cx="78" cy="17"/>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88"/>
                        <wps:cNvSpPr>
                          <a:spLocks noEditPoints="1"/>
                        </wps:cNvSpPr>
                        <wps:spPr bwMode="auto">
                          <a:xfrm>
                            <a:off x="8087" y="4950"/>
                            <a:ext cx="93"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93" name="Rectangle 89"/>
                        <wps:cNvSpPr>
                          <a:spLocks noChangeArrowheads="1"/>
                        </wps:cNvSpPr>
                        <wps:spPr bwMode="auto">
                          <a:xfrm>
                            <a:off x="3191" y="4872"/>
                            <a:ext cx="78" cy="103"/>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90"/>
                        <wps:cNvSpPr>
                          <a:spLocks noEditPoints="1"/>
                        </wps:cNvSpPr>
                        <wps:spPr bwMode="auto">
                          <a:xfrm>
                            <a:off x="3183" y="4863"/>
                            <a:ext cx="94" cy="121"/>
                          </a:xfrm>
                          <a:custGeom>
                            <a:avLst/>
                            <a:gdLst>
                              <a:gd name="T0" fmla="*/ 0 w 96"/>
                              <a:gd name="T1" fmla="*/ 8 h 112"/>
                              <a:gd name="T2" fmla="*/ 8 w 96"/>
                              <a:gd name="T3" fmla="*/ 0 h 112"/>
                              <a:gd name="T4" fmla="*/ 88 w 96"/>
                              <a:gd name="T5" fmla="*/ 0 h 112"/>
                              <a:gd name="T6" fmla="*/ 96 w 96"/>
                              <a:gd name="T7" fmla="*/ 8 h 112"/>
                              <a:gd name="T8" fmla="*/ 96 w 96"/>
                              <a:gd name="T9" fmla="*/ 104 h 112"/>
                              <a:gd name="T10" fmla="*/ 88 w 96"/>
                              <a:gd name="T11" fmla="*/ 112 h 112"/>
                              <a:gd name="T12" fmla="*/ 8 w 96"/>
                              <a:gd name="T13" fmla="*/ 112 h 112"/>
                              <a:gd name="T14" fmla="*/ 0 w 96"/>
                              <a:gd name="T15" fmla="*/ 104 h 112"/>
                              <a:gd name="T16" fmla="*/ 0 w 96"/>
                              <a:gd name="T17" fmla="*/ 8 h 112"/>
                              <a:gd name="T18" fmla="*/ 16 w 96"/>
                              <a:gd name="T19" fmla="*/ 104 h 112"/>
                              <a:gd name="T20" fmla="*/ 8 w 96"/>
                              <a:gd name="T21" fmla="*/ 96 h 112"/>
                              <a:gd name="T22" fmla="*/ 88 w 96"/>
                              <a:gd name="T23" fmla="*/ 96 h 112"/>
                              <a:gd name="T24" fmla="*/ 80 w 96"/>
                              <a:gd name="T25" fmla="*/ 104 h 112"/>
                              <a:gd name="T26" fmla="*/ 80 w 96"/>
                              <a:gd name="T27" fmla="*/ 8 h 112"/>
                              <a:gd name="T28" fmla="*/ 88 w 96"/>
                              <a:gd name="T29" fmla="*/ 16 h 112"/>
                              <a:gd name="T30" fmla="*/ 8 w 96"/>
                              <a:gd name="T31" fmla="*/ 16 h 112"/>
                              <a:gd name="T32" fmla="*/ 16 w 96"/>
                              <a:gd name="T33" fmla="*/ 8 h 112"/>
                              <a:gd name="T34" fmla="*/ 16 w 96"/>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12">
                                <a:moveTo>
                                  <a:pt x="0" y="8"/>
                                </a:moveTo>
                                <a:cubicBezTo>
                                  <a:pt x="0" y="4"/>
                                  <a:pt x="4" y="0"/>
                                  <a:pt x="8" y="0"/>
                                </a:cubicBezTo>
                                <a:lnTo>
                                  <a:pt x="88" y="0"/>
                                </a:lnTo>
                                <a:cubicBezTo>
                                  <a:pt x="93" y="0"/>
                                  <a:pt x="96" y="4"/>
                                  <a:pt x="96" y="8"/>
                                </a:cubicBezTo>
                                <a:lnTo>
                                  <a:pt x="96" y="104"/>
                                </a:lnTo>
                                <a:cubicBezTo>
                                  <a:pt x="96" y="109"/>
                                  <a:pt x="93" y="112"/>
                                  <a:pt x="88" y="112"/>
                                </a:cubicBezTo>
                                <a:lnTo>
                                  <a:pt x="8" y="112"/>
                                </a:lnTo>
                                <a:cubicBezTo>
                                  <a:pt x="4" y="112"/>
                                  <a:pt x="0" y="109"/>
                                  <a:pt x="0" y="104"/>
                                </a:cubicBezTo>
                                <a:lnTo>
                                  <a:pt x="0" y="8"/>
                                </a:lnTo>
                                <a:close/>
                                <a:moveTo>
                                  <a:pt x="16" y="104"/>
                                </a:moveTo>
                                <a:lnTo>
                                  <a:pt x="8" y="96"/>
                                </a:lnTo>
                                <a:lnTo>
                                  <a:pt x="88" y="96"/>
                                </a:lnTo>
                                <a:lnTo>
                                  <a:pt x="80" y="104"/>
                                </a:lnTo>
                                <a:lnTo>
                                  <a:pt x="80" y="8"/>
                                </a:lnTo>
                                <a:lnTo>
                                  <a:pt x="88"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95" name="Rectangle 91"/>
                        <wps:cNvSpPr>
                          <a:spLocks noChangeArrowheads="1"/>
                        </wps:cNvSpPr>
                        <wps:spPr bwMode="auto">
                          <a:xfrm>
                            <a:off x="4019" y="4924"/>
                            <a:ext cx="78" cy="51"/>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Freeform 92"/>
                        <wps:cNvSpPr>
                          <a:spLocks noEditPoints="1"/>
                        </wps:cNvSpPr>
                        <wps:spPr bwMode="auto">
                          <a:xfrm>
                            <a:off x="4011" y="4915"/>
                            <a:ext cx="93" cy="69"/>
                          </a:xfrm>
                          <a:custGeom>
                            <a:avLst/>
                            <a:gdLst>
                              <a:gd name="T0" fmla="*/ 0 w 96"/>
                              <a:gd name="T1" fmla="*/ 8 h 64"/>
                              <a:gd name="T2" fmla="*/ 8 w 96"/>
                              <a:gd name="T3" fmla="*/ 0 h 64"/>
                              <a:gd name="T4" fmla="*/ 88 w 96"/>
                              <a:gd name="T5" fmla="*/ 0 h 64"/>
                              <a:gd name="T6" fmla="*/ 96 w 96"/>
                              <a:gd name="T7" fmla="*/ 8 h 64"/>
                              <a:gd name="T8" fmla="*/ 96 w 96"/>
                              <a:gd name="T9" fmla="*/ 56 h 64"/>
                              <a:gd name="T10" fmla="*/ 88 w 96"/>
                              <a:gd name="T11" fmla="*/ 64 h 64"/>
                              <a:gd name="T12" fmla="*/ 8 w 96"/>
                              <a:gd name="T13" fmla="*/ 64 h 64"/>
                              <a:gd name="T14" fmla="*/ 0 w 96"/>
                              <a:gd name="T15" fmla="*/ 56 h 64"/>
                              <a:gd name="T16" fmla="*/ 0 w 96"/>
                              <a:gd name="T17" fmla="*/ 8 h 64"/>
                              <a:gd name="T18" fmla="*/ 16 w 96"/>
                              <a:gd name="T19" fmla="*/ 56 h 64"/>
                              <a:gd name="T20" fmla="*/ 8 w 96"/>
                              <a:gd name="T21" fmla="*/ 48 h 64"/>
                              <a:gd name="T22" fmla="*/ 88 w 96"/>
                              <a:gd name="T23" fmla="*/ 48 h 64"/>
                              <a:gd name="T24" fmla="*/ 80 w 96"/>
                              <a:gd name="T25" fmla="*/ 56 h 64"/>
                              <a:gd name="T26" fmla="*/ 80 w 96"/>
                              <a:gd name="T27" fmla="*/ 8 h 64"/>
                              <a:gd name="T28" fmla="*/ 88 w 96"/>
                              <a:gd name="T29" fmla="*/ 16 h 64"/>
                              <a:gd name="T30" fmla="*/ 8 w 96"/>
                              <a:gd name="T31" fmla="*/ 16 h 64"/>
                              <a:gd name="T32" fmla="*/ 16 w 96"/>
                              <a:gd name="T33" fmla="*/ 8 h 64"/>
                              <a:gd name="T34" fmla="*/ 16 w 96"/>
                              <a:gd name="T35" fmla="*/ 5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64">
                                <a:moveTo>
                                  <a:pt x="0" y="8"/>
                                </a:moveTo>
                                <a:cubicBezTo>
                                  <a:pt x="0" y="4"/>
                                  <a:pt x="4" y="0"/>
                                  <a:pt x="8" y="0"/>
                                </a:cubicBezTo>
                                <a:lnTo>
                                  <a:pt x="88" y="0"/>
                                </a:lnTo>
                                <a:cubicBezTo>
                                  <a:pt x="93" y="0"/>
                                  <a:pt x="96" y="4"/>
                                  <a:pt x="96" y="8"/>
                                </a:cubicBezTo>
                                <a:lnTo>
                                  <a:pt x="96" y="56"/>
                                </a:lnTo>
                                <a:cubicBezTo>
                                  <a:pt x="96" y="61"/>
                                  <a:pt x="93" y="64"/>
                                  <a:pt x="88" y="64"/>
                                </a:cubicBezTo>
                                <a:lnTo>
                                  <a:pt x="8" y="64"/>
                                </a:lnTo>
                                <a:cubicBezTo>
                                  <a:pt x="4" y="64"/>
                                  <a:pt x="0" y="61"/>
                                  <a:pt x="0" y="56"/>
                                </a:cubicBezTo>
                                <a:lnTo>
                                  <a:pt x="0" y="8"/>
                                </a:lnTo>
                                <a:close/>
                                <a:moveTo>
                                  <a:pt x="16" y="56"/>
                                </a:moveTo>
                                <a:lnTo>
                                  <a:pt x="8" y="48"/>
                                </a:lnTo>
                                <a:lnTo>
                                  <a:pt x="88" y="48"/>
                                </a:lnTo>
                                <a:lnTo>
                                  <a:pt x="80" y="56"/>
                                </a:lnTo>
                                <a:lnTo>
                                  <a:pt x="80" y="8"/>
                                </a:lnTo>
                                <a:lnTo>
                                  <a:pt x="88" y="16"/>
                                </a:lnTo>
                                <a:lnTo>
                                  <a:pt x="8" y="16"/>
                                </a:lnTo>
                                <a:lnTo>
                                  <a:pt x="16" y="8"/>
                                </a:lnTo>
                                <a:lnTo>
                                  <a:pt x="16" y="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97" name="Rectangle 93"/>
                        <wps:cNvSpPr>
                          <a:spLocks noChangeArrowheads="1"/>
                        </wps:cNvSpPr>
                        <wps:spPr bwMode="auto">
                          <a:xfrm>
                            <a:off x="4862" y="4924"/>
                            <a:ext cx="62" cy="51"/>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94"/>
                        <wps:cNvSpPr>
                          <a:spLocks noEditPoints="1"/>
                        </wps:cNvSpPr>
                        <wps:spPr bwMode="auto">
                          <a:xfrm>
                            <a:off x="4854" y="4915"/>
                            <a:ext cx="78" cy="69"/>
                          </a:xfrm>
                          <a:custGeom>
                            <a:avLst/>
                            <a:gdLst>
                              <a:gd name="T0" fmla="*/ 0 w 80"/>
                              <a:gd name="T1" fmla="*/ 8 h 64"/>
                              <a:gd name="T2" fmla="*/ 8 w 80"/>
                              <a:gd name="T3" fmla="*/ 0 h 64"/>
                              <a:gd name="T4" fmla="*/ 72 w 80"/>
                              <a:gd name="T5" fmla="*/ 0 h 64"/>
                              <a:gd name="T6" fmla="*/ 80 w 80"/>
                              <a:gd name="T7" fmla="*/ 8 h 64"/>
                              <a:gd name="T8" fmla="*/ 80 w 80"/>
                              <a:gd name="T9" fmla="*/ 56 h 64"/>
                              <a:gd name="T10" fmla="*/ 72 w 80"/>
                              <a:gd name="T11" fmla="*/ 64 h 64"/>
                              <a:gd name="T12" fmla="*/ 8 w 80"/>
                              <a:gd name="T13" fmla="*/ 64 h 64"/>
                              <a:gd name="T14" fmla="*/ 0 w 80"/>
                              <a:gd name="T15" fmla="*/ 56 h 64"/>
                              <a:gd name="T16" fmla="*/ 0 w 80"/>
                              <a:gd name="T17" fmla="*/ 8 h 64"/>
                              <a:gd name="T18" fmla="*/ 16 w 80"/>
                              <a:gd name="T19" fmla="*/ 56 h 64"/>
                              <a:gd name="T20" fmla="*/ 8 w 80"/>
                              <a:gd name="T21" fmla="*/ 48 h 64"/>
                              <a:gd name="T22" fmla="*/ 72 w 80"/>
                              <a:gd name="T23" fmla="*/ 48 h 64"/>
                              <a:gd name="T24" fmla="*/ 64 w 80"/>
                              <a:gd name="T25" fmla="*/ 56 h 64"/>
                              <a:gd name="T26" fmla="*/ 64 w 80"/>
                              <a:gd name="T27" fmla="*/ 8 h 64"/>
                              <a:gd name="T28" fmla="*/ 72 w 80"/>
                              <a:gd name="T29" fmla="*/ 16 h 64"/>
                              <a:gd name="T30" fmla="*/ 8 w 80"/>
                              <a:gd name="T31" fmla="*/ 16 h 64"/>
                              <a:gd name="T32" fmla="*/ 16 w 80"/>
                              <a:gd name="T33" fmla="*/ 8 h 64"/>
                              <a:gd name="T34" fmla="*/ 16 w 80"/>
                              <a:gd name="T35" fmla="*/ 5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64">
                                <a:moveTo>
                                  <a:pt x="0" y="8"/>
                                </a:moveTo>
                                <a:cubicBezTo>
                                  <a:pt x="0" y="4"/>
                                  <a:pt x="4" y="0"/>
                                  <a:pt x="8" y="0"/>
                                </a:cubicBezTo>
                                <a:lnTo>
                                  <a:pt x="72" y="0"/>
                                </a:lnTo>
                                <a:cubicBezTo>
                                  <a:pt x="77" y="0"/>
                                  <a:pt x="80" y="4"/>
                                  <a:pt x="80" y="8"/>
                                </a:cubicBezTo>
                                <a:lnTo>
                                  <a:pt x="80" y="56"/>
                                </a:lnTo>
                                <a:cubicBezTo>
                                  <a:pt x="80" y="61"/>
                                  <a:pt x="77" y="64"/>
                                  <a:pt x="72" y="64"/>
                                </a:cubicBezTo>
                                <a:lnTo>
                                  <a:pt x="8" y="64"/>
                                </a:lnTo>
                                <a:cubicBezTo>
                                  <a:pt x="4" y="64"/>
                                  <a:pt x="0" y="61"/>
                                  <a:pt x="0" y="56"/>
                                </a:cubicBezTo>
                                <a:lnTo>
                                  <a:pt x="0" y="8"/>
                                </a:lnTo>
                                <a:close/>
                                <a:moveTo>
                                  <a:pt x="16" y="56"/>
                                </a:moveTo>
                                <a:lnTo>
                                  <a:pt x="8" y="48"/>
                                </a:lnTo>
                                <a:lnTo>
                                  <a:pt x="72" y="48"/>
                                </a:lnTo>
                                <a:lnTo>
                                  <a:pt x="64" y="56"/>
                                </a:lnTo>
                                <a:lnTo>
                                  <a:pt x="64" y="8"/>
                                </a:lnTo>
                                <a:lnTo>
                                  <a:pt x="72" y="16"/>
                                </a:lnTo>
                                <a:lnTo>
                                  <a:pt x="8" y="16"/>
                                </a:lnTo>
                                <a:lnTo>
                                  <a:pt x="16" y="8"/>
                                </a:lnTo>
                                <a:lnTo>
                                  <a:pt x="16" y="5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199" name="Rectangle 95"/>
                        <wps:cNvSpPr>
                          <a:spLocks noChangeArrowheads="1"/>
                        </wps:cNvSpPr>
                        <wps:spPr bwMode="auto">
                          <a:xfrm>
                            <a:off x="5690" y="4958"/>
                            <a:ext cx="78" cy="17"/>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96"/>
                        <wps:cNvSpPr>
                          <a:spLocks noEditPoints="1"/>
                        </wps:cNvSpPr>
                        <wps:spPr bwMode="auto">
                          <a:xfrm>
                            <a:off x="5682" y="4950"/>
                            <a:ext cx="93"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01" name="Rectangle 97"/>
                        <wps:cNvSpPr>
                          <a:spLocks noChangeArrowheads="1"/>
                        </wps:cNvSpPr>
                        <wps:spPr bwMode="auto">
                          <a:xfrm>
                            <a:off x="6517" y="4958"/>
                            <a:ext cx="78" cy="17"/>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Freeform 98"/>
                        <wps:cNvSpPr>
                          <a:spLocks noEditPoints="1"/>
                        </wps:cNvSpPr>
                        <wps:spPr bwMode="auto">
                          <a:xfrm>
                            <a:off x="6509"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03" name="Rectangle 99"/>
                        <wps:cNvSpPr>
                          <a:spLocks noChangeArrowheads="1"/>
                        </wps:cNvSpPr>
                        <wps:spPr bwMode="auto">
                          <a:xfrm>
                            <a:off x="7345" y="4958"/>
                            <a:ext cx="78" cy="17"/>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100"/>
                        <wps:cNvSpPr>
                          <a:spLocks noEditPoints="1"/>
                        </wps:cNvSpPr>
                        <wps:spPr bwMode="auto">
                          <a:xfrm>
                            <a:off x="7337"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05" name="Rectangle 101"/>
                        <wps:cNvSpPr>
                          <a:spLocks noChangeArrowheads="1"/>
                        </wps:cNvSpPr>
                        <wps:spPr bwMode="auto">
                          <a:xfrm>
                            <a:off x="8173" y="4958"/>
                            <a:ext cx="78" cy="17"/>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02"/>
                        <wps:cNvSpPr>
                          <a:spLocks noEditPoints="1"/>
                        </wps:cNvSpPr>
                        <wps:spPr bwMode="auto">
                          <a:xfrm>
                            <a:off x="8165"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07" name="Rectangle 103"/>
                        <wps:cNvSpPr>
                          <a:spLocks noChangeArrowheads="1"/>
                        </wps:cNvSpPr>
                        <wps:spPr bwMode="auto">
                          <a:xfrm>
                            <a:off x="3269" y="4752"/>
                            <a:ext cx="78" cy="223"/>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Freeform 104"/>
                        <wps:cNvSpPr>
                          <a:spLocks noEditPoints="1"/>
                        </wps:cNvSpPr>
                        <wps:spPr bwMode="auto">
                          <a:xfrm>
                            <a:off x="3261" y="4743"/>
                            <a:ext cx="94" cy="241"/>
                          </a:xfrm>
                          <a:custGeom>
                            <a:avLst/>
                            <a:gdLst>
                              <a:gd name="T0" fmla="*/ 0 w 96"/>
                              <a:gd name="T1" fmla="*/ 8 h 224"/>
                              <a:gd name="T2" fmla="*/ 8 w 96"/>
                              <a:gd name="T3" fmla="*/ 0 h 224"/>
                              <a:gd name="T4" fmla="*/ 88 w 96"/>
                              <a:gd name="T5" fmla="*/ 0 h 224"/>
                              <a:gd name="T6" fmla="*/ 96 w 96"/>
                              <a:gd name="T7" fmla="*/ 8 h 224"/>
                              <a:gd name="T8" fmla="*/ 96 w 96"/>
                              <a:gd name="T9" fmla="*/ 216 h 224"/>
                              <a:gd name="T10" fmla="*/ 88 w 96"/>
                              <a:gd name="T11" fmla="*/ 224 h 224"/>
                              <a:gd name="T12" fmla="*/ 8 w 96"/>
                              <a:gd name="T13" fmla="*/ 224 h 224"/>
                              <a:gd name="T14" fmla="*/ 0 w 96"/>
                              <a:gd name="T15" fmla="*/ 216 h 224"/>
                              <a:gd name="T16" fmla="*/ 0 w 96"/>
                              <a:gd name="T17" fmla="*/ 8 h 224"/>
                              <a:gd name="T18" fmla="*/ 16 w 96"/>
                              <a:gd name="T19" fmla="*/ 216 h 224"/>
                              <a:gd name="T20" fmla="*/ 8 w 96"/>
                              <a:gd name="T21" fmla="*/ 208 h 224"/>
                              <a:gd name="T22" fmla="*/ 88 w 96"/>
                              <a:gd name="T23" fmla="*/ 208 h 224"/>
                              <a:gd name="T24" fmla="*/ 80 w 96"/>
                              <a:gd name="T25" fmla="*/ 216 h 224"/>
                              <a:gd name="T26" fmla="*/ 80 w 96"/>
                              <a:gd name="T27" fmla="*/ 8 h 224"/>
                              <a:gd name="T28" fmla="*/ 88 w 96"/>
                              <a:gd name="T29" fmla="*/ 16 h 224"/>
                              <a:gd name="T30" fmla="*/ 8 w 96"/>
                              <a:gd name="T31" fmla="*/ 16 h 224"/>
                              <a:gd name="T32" fmla="*/ 16 w 96"/>
                              <a:gd name="T33" fmla="*/ 8 h 224"/>
                              <a:gd name="T34" fmla="*/ 16 w 96"/>
                              <a:gd name="T35" fmla="*/ 21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224">
                                <a:moveTo>
                                  <a:pt x="0" y="8"/>
                                </a:moveTo>
                                <a:cubicBezTo>
                                  <a:pt x="0" y="4"/>
                                  <a:pt x="4" y="0"/>
                                  <a:pt x="8" y="0"/>
                                </a:cubicBezTo>
                                <a:lnTo>
                                  <a:pt x="88" y="0"/>
                                </a:lnTo>
                                <a:cubicBezTo>
                                  <a:pt x="93" y="0"/>
                                  <a:pt x="96" y="4"/>
                                  <a:pt x="96" y="8"/>
                                </a:cubicBezTo>
                                <a:lnTo>
                                  <a:pt x="96" y="216"/>
                                </a:lnTo>
                                <a:cubicBezTo>
                                  <a:pt x="96" y="221"/>
                                  <a:pt x="93" y="224"/>
                                  <a:pt x="88" y="224"/>
                                </a:cubicBezTo>
                                <a:lnTo>
                                  <a:pt x="8" y="224"/>
                                </a:lnTo>
                                <a:cubicBezTo>
                                  <a:pt x="4" y="224"/>
                                  <a:pt x="0" y="221"/>
                                  <a:pt x="0" y="216"/>
                                </a:cubicBezTo>
                                <a:lnTo>
                                  <a:pt x="0" y="8"/>
                                </a:lnTo>
                                <a:close/>
                                <a:moveTo>
                                  <a:pt x="16" y="216"/>
                                </a:moveTo>
                                <a:lnTo>
                                  <a:pt x="8" y="208"/>
                                </a:lnTo>
                                <a:lnTo>
                                  <a:pt x="88" y="208"/>
                                </a:lnTo>
                                <a:lnTo>
                                  <a:pt x="80" y="216"/>
                                </a:lnTo>
                                <a:lnTo>
                                  <a:pt x="80" y="8"/>
                                </a:lnTo>
                                <a:lnTo>
                                  <a:pt x="88" y="16"/>
                                </a:lnTo>
                                <a:lnTo>
                                  <a:pt x="8" y="16"/>
                                </a:lnTo>
                                <a:lnTo>
                                  <a:pt x="16" y="8"/>
                                </a:lnTo>
                                <a:lnTo>
                                  <a:pt x="16" y="21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09" name="Rectangle 105"/>
                        <wps:cNvSpPr>
                          <a:spLocks noChangeArrowheads="1"/>
                        </wps:cNvSpPr>
                        <wps:spPr bwMode="auto">
                          <a:xfrm>
                            <a:off x="4097" y="4855"/>
                            <a:ext cx="78" cy="12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106"/>
                        <wps:cNvSpPr>
                          <a:spLocks noEditPoints="1"/>
                        </wps:cNvSpPr>
                        <wps:spPr bwMode="auto">
                          <a:xfrm>
                            <a:off x="4089" y="4846"/>
                            <a:ext cx="93" cy="138"/>
                          </a:xfrm>
                          <a:custGeom>
                            <a:avLst/>
                            <a:gdLst>
                              <a:gd name="T0" fmla="*/ 0 w 96"/>
                              <a:gd name="T1" fmla="*/ 8 h 128"/>
                              <a:gd name="T2" fmla="*/ 8 w 96"/>
                              <a:gd name="T3" fmla="*/ 0 h 128"/>
                              <a:gd name="T4" fmla="*/ 88 w 96"/>
                              <a:gd name="T5" fmla="*/ 0 h 128"/>
                              <a:gd name="T6" fmla="*/ 96 w 96"/>
                              <a:gd name="T7" fmla="*/ 8 h 128"/>
                              <a:gd name="T8" fmla="*/ 96 w 96"/>
                              <a:gd name="T9" fmla="*/ 120 h 128"/>
                              <a:gd name="T10" fmla="*/ 88 w 96"/>
                              <a:gd name="T11" fmla="*/ 128 h 128"/>
                              <a:gd name="T12" fmla="*/ 8 w 96"/>
                              <a:gd name="T13" fmla="*/ 128 h 128"/>
                              <a:gd name="T14" fmla="*/ 0 w 96"/>
                              <a:gd name="T15" fmla="*/ 120 h 128"/>
                              <a:gd name="T16" fmla="*/ 0 w 96"/>
                              <a:gd name="T17" fmla="*/ 8 h 128"/>
                              <a:gd name="T18" fmla="*/ 16 w 96"/>
                              <a:gd name="T19" fmla="*/ 120 h 128"/>
                              <a:gd name="T20" fmla="*/ 8 w 96"/>
                              <a:gd name="T21" fmla="*/ 112 h 128"/>
                              <a:gd name="T22" fmla="*/ 88 w 96"/>
                              <a:gd name="T23" fmla="*/ 112 h 128"/>
                              <a:gd name="T24" fmla="*/ 80 w 96"/>
                              <a:gd name="T25" fmla="*/ 120 h 128"/>
                              <a:gd name="T26" fmla="*/ 80 w 96"/>
                              <a:gd name="T27" fmla="*/ 8 h 128"/>
                              <a:gd name="T28" fmla="*/ 88 w 96"/>
                              <a:gd name="T29" fmla="*/ 16 h 128"/>
                              <a:gd name="T30" fmla="*/ 8 w 96"/>
                              <a:gd name="T31" fmla="*/ 16 h 128"/>
                              <a:gd name="T32" fmla="*/ 16 w 96"/>
                              <a:gd name="T33" fmla="*/ 8 h 128"/>
                              <a:gd name="T34" fmla="*/ 16 w 96"/>
                              <a:gd name="T35" fmla="*/ 12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28">
                                <a:moveTo>
                                  <a:pt x="0" y="8"/>
                                </a:moveTo>
                                <a:cubicBezTo>
                                  <a:pt x="0" y="4"/>
                                  <a:pt x="4" y="0"/>
                                  <a:pt x="8" y="0"/>
                                </a:cubicBezTo>
                                <a:lnTo>
                                  <a:pt x="88" y="0"/>
                                </a:lnTo>
                                <a:cubicBezTo>
                                  <a:pt x="93" y="0"/>
                                  <a:pt x="96" y="4"/>
                                  <a:pt x="96" y="8"/>
                                </a:cubicBezTo>
                                <a:lnTo>
                                  <a:pt x="96" y="120"/>
                                </a:lnTo>
                                <a:cubicBezTo>
                                  <a:pt x="96" y="125"/>
                                  <a:pt x="93" y="128"/>
                                  <a:pt x="88" y="128"/>
                                </a:cubicBezTo>
                                <a:lnTo>
                                  <a:pt x="8" y="128"/>
                                </a:lnTo>
                                <a:cubicBezTo>
                                  <a:pt x="4" y="128"/>
                                  <a:pt x="0" y="125"/>
                                  <a:pt x="0" y="120"/>
                                </a:cubicBezTo>
                                <a:lnTo>
                                  <a:pt x="0" y="8"/>
                                </a:lnTo>
                                <a:close/>
                                <a:moveTo>
                                  <a:pt x="16" y="120"/>
                                </a:moveTo>
                                <a:lnTo>
                                  <a:pt x="8" y="112"/>
                                </a:lnTo>
                                <a:lnTo>
                                  <a:pt x="88" y="112"/>
                                </a:lnTo>
                                <a:lnTo>
                                  <a:pt x="80" y="120"/>
                                </a:lnTo>
                                <a:lnTo>
                                  <a:pt x="80" y="8"/>
                                </a:lnTo>
                                <a:lnTo>
                                  <a:pt x="88" y="16"/>
                                </a:lnTo>
                                <a:lnTo>
                                  <a:pt x="8" y="16"/>
                                </a:lnTo>
                                <a:lnTo>
                                  <a:pt x="16" y="8"/>
                                </a:lnTo>
                                <a:lnTo>
                                  <a:pt x="16" y="12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11" name="Rectangle 107"/>
                        <wps:cNvSpPr>
                          <a:spLocks noChangeArrowheads="1"/>
                        </wps:cNvSpPr>
                        <wps:spPr bwMode="auto">
                          <a:xfrm>
                            <a:off x="4924" y="4855"/>
                            <a:ext cx="78" cy="12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108"/>
                        <wps:cNvSpPr>
                          <a:spLocks noEditPoints="1"/>
                        </wps:cNvSpPr>
                        <wps:spPr bwMode="auto">
                          <a:xfrm>
                            <a:off x="4917" y="4846"/>
                            <a:ext cx="93" cy="138"/>
                          </a:xfrm>
                          <a:custGeom>
                            <a:avLst/>
                            <a:gdLst>
                              <a:gd name="T0" fmla="*/ 0 w 96"/>
                              <a:gd name="T1" fmla="*/ 8 h 128"/>
                              <a:gd name="T2" fmla="*/ 8 w 96"/>
                              <a:gd name="T3" fmla="*/ 0 h 128"/>
                              <a:gd name="T4" fmla="*/ 88 w 96"/>
                              <a:gd name="T5" fmla="*/ 0 h 128"/>
                              <a:gd name="T6" fmla="*/ 96 w 96"/>
                              <a:gd name="T7" fmla="*/ 8 h 128"/>
                              <a:gd name="T8" fmla="*/ 96 w 96"/>
                              <a:gd name="T9" fmla="*/ 120 h 128"/>
                              <a:gd name="T10" fmla="*/ 88 w 96"/>
                              <a:gd name="T11" fmla="*/ 128 h 128"/>
                              <a:gd name="T12" fmla="*/ 8 w 96"/>
                              <a:gd name="T13" fmla="*/ 128 h 128"/>
                              <a:gd name="T14" fmla="*/ 0 w 96"/>
                              <a:gd name="T15" fmla="*/ 120 h 128"/>
                              <a:gd name="T16" fmla="*/ 0 w 96"/>
                              <a:gd name="T17" fmla="*/ 8 h 128"/>
                              <a:gd name="T18" fmla="*/ 16 w 96"/>
                              <a:gd name="T19" fmla="*/ 120 h 128"/>
                              <a:gd name="T20" fmla="*/ 8 w 96"/>
                              <a:gd name="T21" fmla="*/ 112 h 128"/>
                              <a:gd name="T22" fmla="*/ 88 w 96"/>
                              <a:gd name="T23" fmla="*/ 112 h 128"/>
                              <a:gd name="T24" fmla="*/ 80 w 96"/>
                              <a:gd name="T25" fmla="*/ 120 h 128"/>
                              <a:gd name="T26" fmla="*/ 80 w 96"/>
                              <a:gd name="T27" fmla="*/ 8 h 128"/>
                              <a:gd name="T28" fmla="*/ 88 w 96"/>
                              <a:gd name="T29" fmla="*/ 16 h 128"/>
                              <a:gd name="T30" fmla="*/ 8 w 96"/>
                              <a:gd name="T31" fmla="*/ 16 h 128"/>
                              <a:gd name="T32" fmla="*/ 16 w 96"/>
                              <a:gd name="T33" fmla="*/ 8 h 128"/>
                              <a:gd name="T34" fmla="*/ 16 w 96"/>
                              <a:gd name="T35" fmla="*/ 12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28">
                                <a:moveTo>
                                  <a:pt x="0" y="8"/>
                                </a:moveTo>
                                <a:cubicBezTo>
                                  <a:pt x="0" y="4"/>
                                  <a:pt x="4" y="0"/>
                                  <a:pt x="8" y="0"/>
                                </a:cubicBezTo>
                                <a:lnTo>
                                  <a:pt x="88" y="0"/>
                                </a:lnTo>
                                <a:cubicBezTo>
                                  <a:pt x="93" y="0"/>
                                  <a:pt x="96" y="4"/>
                                  <a:pt x="96" y="8"/>
                                </a:cubicBezTo>
                                <a:lnTo>
                                  <a:pt x="96" y="120"/>
                                </a:lnTo>
                                <a:cubicBezTo>
                                  <a:pt x="96" y="125"/>
                                  <a:pt x="93" y="128"/>
                                  <a:pt x="88" y="128"/>
                                </a:cubicBezTo>
                                <a:lnTo>
                                  <a:pt x="8" y="128"/>
                                </a:lnTo>
                                <a:cubicBezTo>
                                  <a:pt x="4" y="128"/>
                                  <a:pt x="0" y="125"/>
                                  <a:pt x="0" y="120"/>
                                </a:cubicBezTo>
                                <a:lnTo>
                                  <a:pt x="0" y="8"/>
                                </a:lnTo>
                                <a:close/>
                                <a:moveTo>
                                  <a:pt x="16" y="120"/>
                                </a:moveTo>
                                <a:lnTo>
                                  <a:pt x="8" y="112"/>
                                </a:lnTo>
                                <a:lnTo>
                                  <a:pt x="88" y="112"/>
                                </a:lnTo>
                                <a:lnTo>
                                  <a:pt x="80" y="120"/>
                                </a:lnTo>
                                <a:lnTo>
                                  <a:pt x="80" y="8"/>
                                </a:lnTo>
                                <a:lnTo>
                                  <a:pt x="88" y="16"/>
                                </a:lnTo>
                                <a:lnTo>
                                  <a:pt x="8" y="16"/>
                                </a:lnTo>
                                <a:lnTo>
                                  <a:pt x="16" y="8"/>
                                </a:lnTo>
                                <a:lnTo>
                                  <a:pt x="16" y="12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13" name="Rectangle 109"/>
                        <wps:cNvSpPr>
                          <a:spLocks noChangeArrowheads="1"/>
                        </wps:cNvSpPr>
                        <wps:spPr bwMode="auto">
                          <a:xfrm>
                            <a:off x="5768" y="4941"/>
                            <a:ext cx="62" cy="34"/>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Freeform 110"/>
                        <wps:cNvSpPr>
                          <a:spLocks noEditPoints="1"/>
                        </wps:cNvSpPr>
                        <wps:spPr bwMode="auto">
                          <a:xfrm>
                            <a:off x="5760" y="4932"/>
                            <a:ext cx="78" cy="52"/>
                          </a:xfrm>
                          <a:custGeom>
                            <a:avLst/>
                            <a:gdLst>
                              <a:gd name="T0" fmla="*/ 0 w 80"/>
                              <a:gd name="T1" fmla="*/ 8 h 48"/>
                              <a:gd name="T2" fmla="*/ 8 w 80"/>
                              <a:gd name="T3" fmla="*/ 0 h 48"/>
                              <a:gd name="T4" fmla="*/ 72 w 80"/>
                              <a:gd name="T5" fmla="*/ 0 h 48"/>
                              <a:gd name="T6" fmla="*/ 80 w 80"/>
                              <a:gd name="T7" fmla="*/ 8 h 48"/>
                              <a:gd name="T8" fmla="*/ 80 w 80"/>
                              <a:gd name="T9" fmla="*/ 40 h 48"/>
                              <a:gd name="T10" fmla="*/ 72 w 80"/>
                              <a:gd name="T11" fmla="*/ 48 h 48"/>
                              <a:gd name="T12" fmla="*/ 8 w 80"/>
                              <a:gd name="T13" fmla="*/ 48 h 48"/>
                              <a:gd name="T14" fmla="*/ 0 w 80"/>
                              <a:gd name="T15" fmla="*/ 40 h 48"/>
                              <a:gd name="T16" fmla="*/ 0 w 80"/>
                              <a:gd name="T17" fmla="*/ 8 h 48"/>
                              <a:gd name="T18" fmla="*/ 16 w 80"/>
                              <a:gd name="T19" fmla="*/ 40 h 48"/>
                              <a:gd name="T20" fmla="*/ 8 w 80"/>
                              <a:gd name="T21" fmla="*/ 32 h 48"/>
                              <a:gd name="T22" fmla="*/ 72 w 80"/>
                              <a:gd name="T23" fmla="*/ 32 h 48"/>
                              <a:gd name="T24" fmla="*/ 64 w 80"/>
                              <a:gd name="T25" fmla="*/ 40 h 48"/>
                              <a:gd name="T26" fmla="*/ 64 w 80"/>
                              <a:gd name="T27" fmla="*/ 8 h 48"/>
                              <a:gd name="T28" fmla="*/ 72 w 80"/>
                              <a:gd name="T29" fmla="*/ 16 h 48"/>
                              <a:gd name="T30" fmla="*/ 8 w 80"/>
                              <a:gd name="T31" fmla="*/ 16 h 48"/>
                              <a:gd name="T32" fmla="*/ 16 w 80"/>
                              <a:gd name="T33" fmla="*/ 8 h 48"/>
                              <a:gd name="T34" fmla="*/ 16 w 80"/>
                              <a:gd name="T35" fmla="*/ 4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48">
                                <a:moveTo>
                                  <a:pt x="0" y="8"/>
                                </a:moveTo>
                                <a:cubicBezTo>
                                  <a:pt x="0" y="4"/>
                                  <a:pt x="4" y="0"/>
                                  <a:pt x="8" y="0"/>
                                </a:cubicBezTo>
                                <a:lnTo>
                                  <a:pt x="72" y="0"/>
                                </a:lnTo>
                                <a:cubicBezTo>
                                  <a:pt x="77" y="0"/>
                                  <a:pt x="80" y="4"/>
                                  <a:pt x="80" y="8"/>
                                </a:cubicBezTo>
                                <a:lnTo>
                                  <a:pt x="80" y="40"/>
                                </a:lnTo>
                                <a:cubicBezTo>
                                  <a:pt x="80" y="45"/>
                                  <a:pt x="77" y="48"/>
                                  <a:pt x="72" y="48"/>
                                </a:cubicBezTo>
                                <a:lnTo>
                                  <a:pt x="8" y="48"/>
                                </a:lnTo>
                                <a:cubicBezTo>
                                  <a:pt x="4" y="48"/>
                                  <a:pt x="0" y="45"/>
                                  <a:pt x="0" y="40"/>
                                </a:cubicBezTo>
                                <a:lnTo>
                                  <a:pt x="0" y="8"/>
                                </a:lnTo>
                                <a:close/>
                                <a:moveTo>
                                  <a:pt x="16" y="40"/>
                                </a:moveTo>
                                <a:lnTo>
                                  <a:pt x="8" y="32"/>
                                </a:lnTo>
                                <a:lnTo>
                                  <a:pt x="72" y="32"/>
                                </a:lnTo>
                                <a:lnTo>
                                  <a:pt x="64" y="40"/>
                                </a:lnTo>
                                <a:lnTo>
                                  <a:pt x="64" y="8"/>
                                </a:lnTo>
                                <a:lnTo>
                                  <a:pt x="72" y="16"/>
                                </a:lnTo>
                                <a:lnTo>
                                  <a:pt x="8" y="16"/>
                                </a:lnTo>
                                <a:lnTo>
                                  <a:pt x="16" y="8"/>
                                </a:lnTo>
                                <a:lnTo>
                                  <a:pt x="16" y="4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15" name="Rectangle 111"/>
                        <wps:cNvSpPr>
                          <a:spLocks noChangeArrowheads="1"/>
                        </wps:cNvSpPr>
                        <wps:spPr bwMode="auto">
                          <a:xfrm>
                            <a:off x="6595" y="4941"/>
                            <a:ext cx="78" cy="34"/>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Freeform 112"/>
                        <wps:cNvSpPr>
                          <a:spLocks noEditPoints="1"/>
                        </wps:cNvSpPr>
                        <wps:spPr bwMode="auto">
                          <a:xfrm>
                            <a:off x="6588" y="4932"/>
                            <a:ext cx="93" cy="52"/>
                          </a:xfrm>
                          <a:custGeom>
                            <a:avLst/>
                            <a:gdLst>
                              <a:gd name="T0" fmla="*/ 0 w 96"/>
                              <a:gd name="T1" fmla="*/ 8 h 48"/>
                              <a:gd name="T2" fmla="*/ 8 w 96"/>
                              <a:gd name="T3" fmla="*/ 0 h 48"/>
                              <a:gd name="T4" fmla="*/ 88 w 96"/>
                              <a:gd name="T5" fmla="*/ 0 h 48"/>
                              <a:gd name="T6" fmla="*/ 96 w 96"/>
                              <a:gd name="T7" fmla="*/ 8 h 48"/>
                              <a:gd name="T8" fmla="*/ 96 w 96"/>
                              <a:gd name="T9" fmla="*/ 40 h 48"/>
                              <a:gd name="T10" fmla="*/ 88 w 96"/>
                              <a:gd name="T11" fmla="*/ 48 h 48"/>
                              <a:gd name="T12" fmla="*/ 8 w 96"/>
                              <a:gd name="T13" fmla="*/ 48 h 48"/>
                              <a:gd name="T14" fmla="*/ 0 w 96"/>
                              <a:gd name="T15" fmla="*/ 40 h 48"/>
                              <a:gd name="T16" fmla="*/ 0 w 96"/>
                              <a:gd name="T17" fmla="*/ 8 h 48"/>
                              <a:gd name="T18" fmla="*/ 16 w 96"/>
                              <a:gd name="T19" fmla="*/ 40 h 48"/>
                              <a:gd name="T20" fmla="*/ 8 w 96"/>
                              <a:gd name="T21" fmla="*/ 32 h 48"/>
                              <a:gd name="T22" fmla="*/ 88 w 96"/>
                              <a:gd name="T23" fmla="*/ 32 h 48"/>
                              <a:gd name="T24" fmla="*/ 80 w 96"/>
                              <a:gd name="T25" fmla="*/ 40 h 48"/>
                              <a:gd name="T26" fmla="*/ 80 w 96"/>
                              <a:gd name="T27" fmla="*/ 8 h 48"/>
                              <a:gd name="T28" fmla="*/ 88 w 96"/>
                              <a:gd name="T29" fmla="*/ 16 h 48"/>
                              <a:gd name="T30" fmla="*/ 8 w 96"/>
                              <a:gd name="T31" fmla="*/ 16 h 48"/>
                              <a:gd name="T32" fmla="*/ 16 w 96"/>
                              <a:gd name="T33" fmla="*/ 8 h 48"/>
                              <a:gd name="T34" fmla="*/ 16 w 96"/>
                              <a:gd name="T35" fmla="*/ 4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8">
                                <a:moveTo>
                                  <a:pt x="0" y="8"/>
                                </a:moveTo>
                                <a:cubicBezTo>
                                  <a:pt x="0" y="4"/>
                                  <a:pt x="4" y="0"/>
                                  <a:pt x="8" y="0"/>
                                </a:cubicBezTo>
                                <a:lnTo>
                                  <a:pt x="88" y="0"/>
                                </a:lnTo>
                                <a:cubicBezTo>
                                  <a:pt x="93" y="0"/>
                                  <a:pt x="96" y="4"/>
                                  <a:pt x="96" y="8"/>
                                </a:cubicBezTo>
                                <a:lnTo>
                                  <a:pt x="96" y="40"/>
                                </a:lnTo>
                                <a:cubicBezTo>
                                  <a:pt x="96" y="45"/>
                                  <a:pt x="93" y="48"/>
                                  <a:pt x="88" y="48"/>
                                </a:cubicBezTo>
                                <a:lnTo>
                                  <a:pt x="8" y="48"/>
                                </a:lnTo>
                                <a:cubicBezTo>
                                  <a:pt x="4" y="48"/>
                                  <a:pt x="0" y="45"/>
                                  <a:pt x="0" y="40"/>
                                </a:cubicBezTo>
                                <a:lnTo>
                                  <a:pt x="0" y="8"/>
                                </a:lnTo>
                                <a:close/>
                                <a:moveTo>
                                  <a:pt x="16" y="40"/>
                                </a:moveTo>
                                <a:lnTo>
                                  <a:pt x="8" y="32"/>
                                </a:lnTo>
                                <a:lnTo>
                                  <a:pt x="88" y="32"/>
                                </a:lnTo>
                                <a:lnTo>
                                  <a:pt x="80" y="40"/>
                                </a:lnTo>
                                <a:lnTo>
                                  <a:pt x="80" y="8"/>
                                </a:lnTo>
                                <a:lnTo>
                                  <a:pt x="88" y="16"/>
                                </a:lnTo>
                                <a:lnTo>
                                  <a:pt x="8" y="16"/>
                                </a:lnTo>
                                <a:lnTo>
                                  <a:pt x="16" y="8"/>
                                </a:lnTo>
                                <a:lnTo>
                                  <a:pt x="16" y="4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17" name="Rectangle 113"/>
                        <wps:cNvSpPr>
                          <a:spLocks noChangeArrowheads="1"/>
                        </wps:cNvSpPr>
                        <wps:spPr bwMode="auto">
                          <a:xfrm>
                            <a:off x="7423" y="4907"/>
                            <a:ext cx="78" cy="68"/>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114"/>
                        <wps:cNvSpPr>
                          <a:spLocks noEditPoints="1"/>
                        </wps:cNvSpPr>
                        <wps:spPr bwMode="auto">
                          <a:xfrm>
                            <a:off x="7415" y="4898"/>
                            <a:ext cx="94" cy="86"/>
                          </a:xfrm>
                          <a:custGeom>
                            <a:avLst/>
                            <a:gdLst>
                              <a:gd name="T0" fmla="*/ 0 w 96"/>
                              <a:gd name="T1" fmla="*/ 8 h 80"/>
                              <a:gd name="T2" fmla="*/ 8 w 96"/>
                              <a:gd name="T3" fmla="*/ 0 h 80"/>
                              <a:gd name="T4" fmla="*/ 88 w 96"/>
                              <a:gd name="T5" fmla="*/ 0 h 80"/>
                              <a:gd name="T6" fmla="*/ 96 w 96"/>
                              <a:gd name="T7" fmla="*/ 8 h 80"/>
                              <a:gd name="T8" fmla="*/ 96 w 96"/>
                              <a:gd name="T9" fmla="*/ 72 h 80"/>
                              <a:gd name="T10" fmla="*/ 88 w 96"/>
                              <a:gd name="T11" fmla="*/ 80 h 80"/>
                              <a:gd name="T12" fmla="*/ 8 w 96"/>
                              <a:gd name="T13" fmla="*/ 80 h 80"/>
                              <a:gd name="T14" fmla="*/ 0 w 96"/>
                              <a:gd name="T15" fmla="*/ 72 h 80"/>
                              <a:gd name="T16" fmla="*/ 0 w 96"/>
                              <a:gd name="T17" fmla="*/ 8 h 80"/>
                              <a:gd name="T18" fmla="*/ 16 w 96"/>
                              <a:gd name="T19" fmla="*/ 72 h 80"/>
                              <a:gd name="T20" fmla="*/ 8 w 96"/>
                              <a:gd name="T21" fmla="*/ 64 h 80"/>
                              <a:gd name="T22" fmla="*/ 88 w 96"/>
                              <a:gd name="T23" fmla="*/ 64 h 80"/>
                              <a:gd name="T24" fmla="*/ 80 w 96"/>
                              <a:gd name="T25" fmla="*/ 72 h 80"/>
                              <a:gd name="T26" fmla="*/ 80 w 96"/>
                              <a:gd name="T27" fmla="*/ 8 h 80"/>
                              <a:gd name="T28" fmla="*/ 88 w 96"/>
                              <a:gd name="T29" fmla="*/ 16 h 80"/>
                              <a:gd name="T30" fmla="*/ 8 w 96"/>
                              <a:gd name="T31" fmla="*/ 16 h 80"/>
                              <a:gd name="T32" fmla="*/ 16 w 96"/>
                              <a:gd name="T33" fmla="*/ 8 h 80"/>
                              <a:gd name="T34" fmla="*/ 16 w 96"/>
                              <a:gd name="T35"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80">
                                <a:moveTo>
                                  <a:pt x="0" y="8"/>
                                </a:moveTo>
                                <a:cubicBezTo>
                                  <a:pt x="0" y="4"/>
                                  <a:pt x="4" y="0"/>
                                  <a:pt x="8" y="0"/>
                                </a:cubicBezTo>
                                <a:lnTo>
                                  <a:pt x="88" y="0"/>
                                </a:lnTo>
                                <a:cubicBezTo>
                                  <a:pt x="93" y="0"/>
                                  <a:pt x="96" y="4"/>
                                  <a:pt x="96" y="8"/>
                                </a:cubicBezTo>
                                <a:lnTo>
                                  <a:pt x="96" y="72"/>
                                </a:lnTo>
                                <a:cubicBezTo>
                                  <a:pt x="96" y="77"/>
                                  <a:pt x="93" y="80"/>
                                  <a:pt x="88" y="80"/>
                                </a:cubicBezTo>
                                <a:lnTo>
                                  <a:pt x="8" y="80"/>
                                </a:lnTo>
                                <a:cubicBezTo>
                                  <a:pt x="4" y="80"/>
                                  <a:pt x="0" y="77"/>
                                  <a:pt x="0" y="72"/>
                                </a:cubicBezTo>
                                <a:lnTo>
                                  <a:pt x="0" y="8"/>
                                </a:lnTo>
                                <a:close/>
                                <a:moveTo>
                                  <a:pt x="16" y="72"/>
                                </a:moveTo>
                                <a:lnTo>
                                  <a:pt x="8" y="64"/>
                                </a:lnTo>
                                <a:lnTo>
                                  <a:pt x="88" y="64"/>
                                </a:lnTo>
                                <a:lnTo>
                                  <a:pt x="80" y="72"/>
                                </a:lnTo>
                                <a:lnTo>
                                  <a:pt x="80" y="8"/>
                                </a:lnTo>
                                <a:lnTo>
                                  <a:pt x="88" y="16"/>
                                </a:lnTo>
                                <a:lnTo>
                                  <a:pt x="8" y="16"/>
                                </a:lnTo>
                                <a:lnTo>
                                  <a:pt x="16" y="8"/>
                                </a:lnTo>
                                <a:lnTo>
                                  <a:pt x="16" y="72"/>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19" name="Rectangle 115"/>
                        <wps:cNvSpPr>
                          <a:spLocks noChangeArrowheads="1"/>
                        </wps:cNvSpPr>
                        <wps:spPr bwMode="auto">
                          <a:xfrm>
                            <a:off x="8251" y="4907"/>
                            <a:ext cx="78" cy="68"/>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116"/>
                        <wps:cNvSpPr>
                          <a:spLocks noEditPoints="1"/>
                        </wps:cNvSpPr>
                        <wps:spPr bwMode="auto">
                          <a:xfrm>
                            <a:off x="8243" y="4898"/>
                            <a:ext cx="94" cy="86"/>
                          </a:xfrm>
                          <a:custGeom>
                            <a:avLst/>
                            <a:gdLst>
                              <a:gd name="T0" fmla="*/ 0 w 96"/>
                              <a:gd name="T1" fmla="*/ 8 h 80"/>
                              <a:gd name="T2" fmla="*/ 8 w 96"/>
                              <a:gd name="T3" fmla="*/ 0 h 80"/>
                              <a:gd name="T4" fmla="*/ 88 w 96"/>
                              <a:gd name="T5" fmla="*/ 0 h 80"/>
                              <a:gd name="T6" fmla="*/ 96 w 96"/>
                              <a:gd name="T7" fmla="*/ 8 h 80"/>
                              <a:gd name="T8" fmla="*/ 96 w 96"/>
                              <a:gd name="T9" fmla="*/ 72 h 80"/>
                              <a:gd name="T10" fmla="*/ 88 w 96"/>
                              <a:gd name="T11" fmla="*/ 80 h 80"/>
                              <a:gd name="T12" fmla="*/ 8 w 96"/>
                              <a:gd name="T13" fmla="*/ 80 h 80"/>
                              <a:gd name="T14" fmla="*/ 0 w 96"/>
                              <a:gd name="T15" fmla="*/ 72 h 80"/>
                              <a:gd name="T16" fmla="*/ 0 w 96"/>
                              <a:gd name="T17" fmla="*/ 8 h 80"/>
                              <a:gd name="T18" fmla="*/ 16 w 96"/>
                              <a:gd name="T19" fmla="*/ 72 h 80"/>
                              <a:gd name="T20" fmla="*/ 8 w 96"/>
                              <a:gd name="T21" fmla="*/ 64 h 80"/>
                              <a:gd name="T22" fmla="*/ 88 w 96"/>
                              <a:gd name="T23" fmla="*/ 64 h 80"/>
                              <a:gd name="T24" fmla="*/ 80 w 96"/>
                              <a:gd name="T25" fmla="*/ 72 h 80"/>
                              <a:gd name="T26" fmla="*/ 80 w 96"/>
                              <a:gd name="T27" fmla="*/ 8 h 80"/>
                              <a:gd name="T28" fmla="*/ 88 w 96"/>
                              <a:gd name="T29" fmla="*/ 16 h 80"/>
                              <a:gd name="T30" fmla="*/ 8 w 96"/>
                              <a:gd name="T31" fmla="*/ 16 h 80"/>
                              <a:gd name="T32" fmla="*/ 16 w 96"/>
                              <a:gd name="T33" fmla="*/ 8 h 80"/>
                              <a:gd name="T34" fmla="*/ 16 w 96"/>
                              <a:gd name="T35"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80">
                                <a:moveTo>
                                  <a:pt x="0" y="8"/>
                                </a:moveTo>
                                <a:cubicBezTo>
                                  <a:pt x="0" y="4"/>
                                  <a:pt x="4" y="0"/>
                                  <a:pt x="8" y="0"/>
                                </a:cubicBezTo>
                                <a:lnTo>
                                  <a:pt x="88" y="0"/>
                                </a:lnTo>
                                <a:cubicBezTo>
                                  <a:pt x="93" y="0"/>
                                  <a:pt x="96" y="4"/>
                                  <a:pt x="96" y="8"/>
                                </a:cubicBezTo>
                                <a:lnTo>
                                  <a:pt x="96" y="72"/>
                                </a:lnTo>
                                <a:cubicBezTo>
                                  <a:pt x="96" y="77"/>
                                  <a:pt x="93" y="80"/>
                                  <a:pt x="88" y="80"/>
                                </a:cubicBezTo>
                                <a:lnTo>
                                  <a:pt x="8" y="80"/>
                                </a:lnTo>
                                <a:cubicBezTo>
                                  <a:pt x="4" y="80"/>
                                  <a:pt x="0" y="77"/>
                                  <a:pt x="0" y="72"/>
                                </a:cubicBezTo>
                                <a:lnTo>
                                  <a:pt x="0" y="8"/>
                                </a:lnTo>
                                <a:close/>
                                <a:moveTo>
                                  <a:pt x="16" y="72"/>
                                </a:moveTo>
                                <a:lnTo>
                                  <a:pt x="8" y="64"/>
                                </a:lnTo>
                                <a:lnTo>
                                  <a:pt x="88" y="64"/>
                                </a:lnTo>
                                <a:lnTo>
                                  <a:pt x="80" y="72"/>
                                </a:lnTo>
                                <a:lnTo>
                                  <a:pt x="80" y="8"/>
                                </a:lnTo>
                                <a:lnTo>
                                  <a:pt x="88" y="16"/>
                                </a:lnTo>
                                <a:lnTo>
                                  <a:pt x="8" y="16"/>
                                </a:lnTo>
                                <a:lnTo>
                                  <a:pt x="16" y="8"/>
                                </a:lnTo>
                                <a:lnTo>
                                  <a:pt x="16" y="72"/>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21" name="Rectangle 117"/>
                        <wps:cNvSpPr>
                          <a:spLocks noChangeArrowheads="1"/>
                        </wps:cNvSpPr>
                        <wps:spPr bwMode="auto">
                          <a:xfrm>
                            <a:off x="3425" y="4717"/>
                            <a:ext cx="63" cy="258"/>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118"/>
                        <wps:cNvSpPr>
                          <a:spLocks noEditPoints="1"/>
                        </wps:cNvSpPr>
                        <wps:spPr bwMode="auto">
                          <a:xfrm>
                            <a:off x="3417" y="4708"/>
                            <a:ext cx="78" cy="276"/>
                          </a:xfrm>
                          <a:custGeom>
                            <a:avLst/>
                            <a:gdLst>
                              <a:gd name="T0" fmla="*/ 0 w 80"/>
                              <a:gd name="T1" fmla="*/ 8 h 256"/>
                              <a:gd name="T2" fmla="*/ 8 w 80"/>
                              <a:gd name="T3" fmla="*/ 0 h 256"/>
                              <a:gd name="T4" fmla="*/ 72 w 80"/>
                              <a:gd name="T5" fmla="*/ 0 h 256"/>
                              <a:gd name="T6" fmla="*/ 80 w 80"/>
                              <a:gd name="T7" fmla="*/ 8 h 256"/>
                              <a:gd name="T8" fmla="*/ 80 w 80"/>
                              <a:gd name="T9" fmla="*/ 248 h 256"/>
                              <a:gd name="T10" fmla="*/ 72 w 80"/>
                              <a:gd name="T11" fmla="*/ 256 h 256"/>
                              <a:gd name="T12" fmla="*/ 8 w 80"/>
                              <a:gd name="T13" fmla="*/ 256 h 256"/>
                              <a:gd name="T14" fmla="*/ 0 w 80"/>
                              <a:gd name="T15" fmla="*/ 248 h 256"/>
                              <a:gd name="T16" fmla="*/ 0 w 80"/>
                              <a:gd name="T17" fmla="*/ 8 h 256"/>
                              <a:gd name="T18" fmla="*/ 16 w 80"/>
                              <a:gd name="T19" fmla="*/ 248 h 256"/>
                              <a:gd name="T20" fmla="*/ 8 w 80"/>
                              <a:gd name="T21" fmla="*/ 240 h 256"/>
                              <a:gd name="T22" fmla="*/ 72 w 80"/>
                              <a:gd name="T23" fmla="*/ 240 h 256"/>
                              <a:gd name="T24" fmla="*/ 64 w 80"/>
                              <a:gd name="T25" fmla="*/ 248 h 256"/>
                              <a:gd name="T26" fmla="*/ 64 w 80"/>
                              <a:gd name="T27" fmla="*/ 8 h 256"/>
                              <a:gd name="T28" fmla="*/ 72 w 80"/>
                              <a:gd name="T29" fmla="*/ 16 h 256"/>
                              <a:gd name="T30" fmla="*/ 8 w 80"/>
                              <a:gd name="T31" fmla="*/ 16 h 256"/>
                              <a:gd name="T32" fmla="*/ 16 w 80"/>
                              <a:gd name="T33" fmla="*/ 8 h 256"/>
                              <a:gd name="T34" fmla="*/ 16 w 80"/>
                              <a:gd name="T35" fmla="*/ 24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256">
                                <a:moveTo>
                                  <a:pt x="0" y="8"/>
                                </a:moveTo>
                                <a:cubicBezTo>
                                  <a:pt x="0" y="4"/>
                                  <a:pt x="4" y="0"/>
                                  <a:pt x="8" y="0"/>
                                </a:cubicBezTo>
                                <a:lnTo>
                                  <a:pt x="72" y="0"/>
                                </a:lnTo>
                                <a:cubicBezTo>
                                  <a:pt x="77" y="0"/>
                                  <a:pt x="80" y="4"/>
                                  <a:pt x="80" y="8"/>
                                </a:cubicBezTo>
                                <a:lnTo>
                                  <a:pt x="80" y="248"/>
                                </a:lnTo>
                                <a:cubicBezTo>
                                  <a:pt x="80" y="253"/>
                                  <a:pt x="77" y="256"/>
                                  <a:pt x="72" y="256"/>
                                </a:cubicBezTo>
                                <a:lnTo>
                                  <a:pt x="8" y="256"/>
                                </a:lnTo>
                                <a:cubicBezTo>
                                  <a:pt x="4" y="256"/>
                                  <a:pt x="0" y="253"/>
                                  <a:pt x="0" y="248"/>
                                </a:cubicBezTo>
                                <a:lnTo>
                                  <a:pt x="0" y="8"/>
                                </a:lnTo>
                                <a:close/>
                                <a:moveTo>
                                  <a:pt x="16" y="248"/>
                                </a:moveTo>
                                <a:lnTo>
                                  <a:pt x="8" y="240"/>
                                </a:lnTo>
                                <a:lnTo>
                                  <a:pt x="72" y="240"/>
                                </a:lnTo>
                                <a:lnTo>
                                  <a:pt x="64" y="248"/>
                                </a:lnTo>
                                <a:lnTo>
                                  <a:pt x="64" y="8"/>
                                </a:lnTo>
                                <a:lnTo>
                                  <a:pt x="72" y="16"/>
                                </a:lnTo>
                                <a:lnTo>
                                  <a:pt x="8" y="16"/>
                                </a:lnTo>
                                <a:lnTo>
                                  <a:pt x="16" y="8"/>
                                </a:lnTo>
                                <a:lnTo>
                                  <a:pt x="16" y="24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23" name="Rectangle 119"/>
                        <wps:cNvSpPr>
                          <a:spLocks noChangeArrowheads="1"/>
                        </wps:cNvSpPr>
                        <wps:spPr bwMode="auto">
                          <a:xfrm>
                            <a:off x="4253" y="4838"/>
                            <a:ext cx="78" cy="137"/>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120"/>
                        <wps:cNvSpPr>
                          <a:spLocks noEditPoints="1"/>
                        </wps:cNvSpPr>
                        <wps:spPr bwMode="auto">
                          <a:xfrm>
                            <a:off x="4245" y="4829"/>
                            <a:ext cx="94" cy="155"/>
                          </a:xfrm>
                          <a:custGeom>
                            <a:avLst/>
                            <a:gdLst>
                              <a:gd name="T0" fmla="*/ 0 w 96"/>
                              <a:gd name="T1" fmla="*/ 8 h 144"/>
                              <a:gd name="T2" fmla="*/ 8 w 96"/>
                              <a:gd name="T3" fmla="*/ 0 h 144"/>
                              <a:gd name="T4" fmla="*/ 88 w 96"/>
                              <a:gd name="T5" fmla="*/ 0 h 144"/>
                              <a:gd name="T6" fmla="*/ 96 w 96"/>
                              <a:gd name="T7" fmla="*/ 8 h 144"/>
                              <a:gd name="T8" fmla="*/ 96 w 96"/>
                              <a:gd name="T9" fmla="*/ 136 h 144"/>
                              <a:gd name="T10" fmla="*/ 88 w 96"/>
                              <a:gd name="T11" fmla="*/ 144 h 144"/>
                              <a:gd name="T12" fmla="*/ 8 w 96"/>
                              <a:gd name="T13" fmla="*/ 144 h 144"/>
                              <a:gd name="T14" fmla="*/ 0 w 96"/>
                              <a:gd name="T15" fmla="*/ 136 h 144"/>
                              <a:gd name="T16" fmla="*/ 0 w 96"/>
                              <a:gd name="T17" fmla="*/ 8 h 144"/>
                              <a:gd name="T18" fmla="*/ 16 w 96"/>
                              <a:gd name="T19" fmla="*/ 136 h 144"/>
                              <a:gd name="T20" fmla="*/ 8 w 96"/>
                              <a:gd name="T21" fmla="*/ 128 h 144"/>
                              <a:gd name="T22" fmla="*/ 88 w 96"/>
                              <a:gd name="T23" fmla="*/ 128 h 144"/>
                              <a:gd name="T24" fmla="*/ 80 w 96"/>
                              <a:gd name="T25" fmla="*/ 136 h 144"/>
                              <a:gd name="T26" fmla="*/ 80 w 96"/>
                              <a:gd name="T27" fmla="*/ 8 h 144"/>
                              <a:gd name="T28" fmla="*/ 88 w 96"/>
                              <a:gd name="T29" fmla="*/ 16 h 144"/>
                              <a:gd name="T30" fmla="*/ 8 w 96"/>
                              <a:gd name="T31" fmla="*/ 16 h 144"/>
                              <a:gd name="T32" fmla="*/ 16 w 96"/>
                              <a:gd name="T33" fmla="*/ 8 h 144"/>
                              <a:gd name="T34" fmla="*/ 16 w 96"/>
                              <a:gd name="T35" fmla="*/ 13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44">
                                <a:moveTo>
                                  <a:pt x="0" y="8"/>
                                </a:moveTo>
                                <a:cubicBezTo>
                                  <a:pt x="0" y="4"/>
                                  <a:pt x="4" y="0"/>
                                  <a:pt x="8" y="0"/>
                                </a:cubicBezTo>
                                <a:lnTo>
                                  <a:pt x="88" y="0"/>
                                </a:lnTo>
                                <a:cubicBezTo>
                                  <a:pt x="93" y="0"/>
                                  <a:pt x="96" y="4"/>
                                  <a:pt x="96" y="8"/>
                                </a:cubicBezTo>
                                <a:lnTo>
                                  <a:pt x="96" y="136"/>
                                </a:lnTo>
                                <a:cubicBezTo>
                                  <a:pt x="96" y="141"/>
                                  <a:pt x="93" y="144"/>
                                  <a:pt x="88" y="144"/>
                                </a:cubicBezTo>
                                <a:lnTo>
                                  <a:pt x="8" y="144"/>
                                </a:lnTo>
                                <a:cubicBezTo>
                                  <a:pt x="4" y="144"/>
                                  <a:pt x="0" y="141"/>
                                  <a:pt x="0" y="136"/>
                                </a:cubicBezTo>
                                <a:lnTo>
                                  <a:pt x="0" y="8"/>
                                </a:lnTo>
                                <a:close/>
                                <a:moveTo>
                                  <a:pt x="16" y="136"/>
                                </a:moveTo>
                                <a:lnTo>
                                  <a:pt x="8" y="128"/>
                                </a:lnTo>
                                <a:lnTo>
                                  <a:pt x="88" y="128"/>
                                </a:lnTo>
                                <a:lnTo>
                                  <a:pt x="80" y="136"/>
                                </a:lnTo>
                                <a:lnTo>
                                  <a:pt x="80" y="8"/>
                                </a:lnTo>
                                <a:lnTo>
                                  <a:pt x="88" y="16"/>
                                </a:lnTo>
                                <a:lnTo>
                                  <a:pt x="8" y="16"/>
                                </a:lnTo>
                                <a:lnTo>
                                  <a:pt x="16" y="8"/>
                                </a:lnTo>
                                <a:lnTo>
                                  <a:pt x="16" y="13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25" name="Rectangle 121"/>
                        <wps:cNvSpPr>
                          <a:spLocks noChangeArrowheads="1"/>
                        </wps:cNvSpPr>
                        <wps:spPr bwMode="auto">
                          <a:xfrm>
                            <a:off x="5080" y="4803"/>
                            <a:ext cx="79" cy="172"/>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122"/>
                        <wps:cNvSpPr>
                          <a:spLocks noEditPoints="1"/>
                        </wps:cNvSpPr>
                        <wps:spPr bwMode="auto">
                          <a:xfrm>
                            <a:off x="5073" y="4795"/>
                            <a:ext cx="93" cy="189"/>
                          </a:xfrm>
                          <a:custGeom>
                            <a:avLst/>
                            <a:gdLst>
                              <a:gd name="T0" fmla="*/ 0 w 96"/>
                              <a:gd name="T1" fmla="*/ 8 h 176"/>
                              <a:gd name="T2" fmla="*/ 8 w 96"/>
                              <a:gd name="T3" fmla="*/ 0 h 176"/>
                              <a:gd name="T4" fmla="*/ 88 w 96"/>
                              <a:gd name="T5" fmla="*/ 0 h 176"/>
                              <a:gd name="T6" fmla="*/ 96 w 96"/>
                              <a:gd name="T7" fmla="*/ 8 h 176"/>
                              <a:gd name="T8" fmla="*/ 96 w 96"/>
                              <a:gd name="T9" fmla="*/ 168 h 176"/>
                              <a:gd name="T10" fmla="*/ 88 w 96"/>
                              <a:gd name="T11" fmla="*/ 176 h 176"/>
                              <a:gd name="T12" fmla="*/ 8 w 96"/>
                              <a:gd name="T13" fmla="*/ 176 h 176"/>
                              <a:gd name="T14" fmla="*/ 0 w 96"/>
                              <a:gd name="T15" fmla="*/ 168 h 176"/>
                              <a:gd name="T16" fmla="*/ 0 w 96"/>
                              <a:gd name="T17" fmla="*/ 8 h 176"/>
                              <a:gd name="T18" fmla="*/ 16 w 96"/>
                              <a:gd name="T19" fmla="*/ 168 h 176"/>
                              <a:gd name="T20" fmla="*/ 8 w 96"/>
                              <a:gd name="T21" fmla="*/ 160 h 176"/>
                              <a:gd name="T22" fmla="*/ 88 w 96"/>
                              <a:gd name="T23" fmla="*/ 160 h 176"/>
                              <a:gd name="T24" fmla="*/ 80 w 96"/>
                              <a:gd name="T25" fmla="*/ 168 h 176"/>
                              <a:gd name="T26" fmla="*/ 80 w 96"/>
                              <a:gd name="T27" fmla="*/ 8 h 176"/>
                              <a:gd name="T28" fmla="*/ 88 w 96"/>
                              <a:gd name="T29" fmla="*/ 16 h 176"/>
                              <a:gd name="T30" fmla="*/ 8 w 96"/>
                              <a:gd name="T31" fmla="*/ 16 h 176"/>
                              <a:gd name="T32" fmla="*/ 16 w 96"/>
                              <a:gd name="T33" fmla="*/ 8 h 176"/>
                              <a:gd name="T34" fmla="*/ 16 w 96"/>
                              <a:gd name="T35" fmla="*/ 16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76">
                                <a:moveTo>
                                  <a:pt x="0" y="8"/>
                                </a:moveTo>
                                <a:cubicBezTo>
                                  <a:pt x="0" y="4"/>
                                  <a:pt x="4" y="0"/>
                                  <a:pt x="8" y="0"/>
                                </a:cubicBezTo>
                                <a:lnTo>
                                  <a:pt x="88" y="0"/>
                                </a:lnTo>
                                <a:cubicBezTo>
                                  <a:pt x="93" y="0"/>
                                  <a:pt x="96" y="4"/>
                                  <a:pt x="96" y="8"/>
                                </a:cubicBezTo>
                                <a:lnTo>
                                  <a:pt x="96" y="168"/>
                                </a:lnTo>
                                <a:cubicBezTo>
                                  <a:pt x="96" y="173"/>
                                  <a:pt x="93" y="176"/>
                                  <a:pt x="88" y="176"/>
                                </a:cubicBezTo>
                                <a:lnTo>
                                  <a:pt x="8" y="176"/>
                                </a:lnTo>
                                <a:cubicBezTo>
                                  <a:pt x="4" y="176"/>
                                  <a:pt x="0" y="173"/>
                                  <a:pt x="0" y="168"/>
                                </a:cubicBezTo>
                                <a:lnTo>
                                  <a:pt x="0" y="8"/>
                                </a:lnTo>
                                <a:close/>
                                <a:moveTo>
                                  <a:pt x="16" y="168"/>
                                </a:moveTo>
                                <a:lnTo>
                                  <a:pt x="8" y="160"/>
                                </a:lnTo>
                                <a:lnTo>
                                  <a:pt x="88" y="160"/>
                                </a:lnTo>
                                <a:lnTo>
                                  <a:pt x="80" y="168"/>
                                </a:lnTo>
                                <a:lnTo>
                                  <a:pt x="80" y="8"/>
                                </a:lnTo>
                                <a:lnTo>
                                  <a:pt x="88" y="16"/>
                                </a:lnTo>
                                <a:lnTo>
                                  <a:pt x="8" y="16"/>
                                </a:lnTo>
                                <a:lnTo>
                                  <a:pt x="16" y="8"/>
                                </a:lnTo>
                                <a:lnTo>
                                  <a:pt x="16" y="16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27" name="Rectangle 123"/>
                        <wps:cNvSpPr>
                          <a:spLocks noChangeArrowheads="1"/>
                        </wps:cNvSpPr>
                        <wps:spPr bwMode="auto">
                          <a:xfrm>
                            <a:off x="5908" y="4958"/>
                            <a:ext cx="78" cy="17"/>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Freeform 124"/>
                        <wps:cNvSpPr>
                          <a:spLocks noEditPoints="1"/>
                        </wps:cNvSpPr>
                        <wps:spPr bwMode="auto">
                          <a:xfrm>
                            <a:off x="5900" y="4950"/>
                            <a:ext cx="94" cy="34"/>
                          </a:xfrm>
                          <a:custGeom>
                            <a:avLst/>
                            <a:gdLst>
                              <a:gd name="T0" fmla="*/ 0 w 96"/>
                              <a:gd name="T1" fmla="*/ 8 h 32"/>
                              <a:gd name="T2" fmla="*/ 8 w 96"/>
                              <a:gd name="T3" fmla="*/ 0 h 32"/>
                              <a:gd name="T4" fmla="*/ 88 w 96"/>
                              <a:gd name="T5" fmla="*/ 0 h 32"/>
                              <a:gd name="T6" fmla="*/ 96 w 96"/>
                              <a:gd name="T7" fmla="*/ 8 h 32"/>
                              <a:gd name="T8" fmla="*/ 96 w 96"/>
                              <a:gd name="T9" fmla="*/ 24 h 32"/>
                              <a:gd name="T10" fmla="*/ 88 w 96"/>
                              <a:gd name="T11" fmla="*/ 32 h 32"/>
                              <a:gd name="T12" fmla="*/ 8 w 96"/>
                              <a:gd name="T13" fmla="*/ 32 h 32"/>
                              <a:gd name="T14" fmla="*/ 0 w 96"/>
                              <a:gd name="T15" fmla="*/ 24 h 32"/>
                              <a:gd name="T16" fmla="*/ 0 w 96"/>
                              <a:gd name="T17" fmla="*/ 8 h 32"/>
                              <a:gd name="T18" fmla="*/ 16 w 96"/>
                              <a:gd name="T19" fmla="*/ 24 h 32"/>
                              <a:gd name="T20" fmla="*/ 8 w 96"/>
                              <a:gd name="T21" fmla="*/ 16 h 32"/>
                              <a:gd name="T22" fmla="*/ 88 w 96"/>
                              <a:gd name="T23" fmla="*/ 16 h 32"/>
                              <a:gd name="T24" fmla="*/ 80 w 96"/>
                              <a:gd name="T25" fmla="*/ 24 h 32"/>
                              <a:gd name="T26" fmla="*/ 80 w 96"/>
                              <a:gd name="T27" fmla="*/ 8 h 32"/>
                              <a:gd name="T28" fmla="*/ 88 w 96"/>
                              <a:gd name="T29" fmla="*/ 16 h 32"/>
                              <a:gd name="T30" fmla="*/ 8 w 96"/>
                              <a:gd name="T31" fmla="*/ 16 h 32"/>
                              <a:gd name="T32" fmla="*/ 16 w 96"/>
                              <a:gd name="T33" fmla="*/ 8 h 32"/>
                              <a:gd name="T34" fmla="*/ 16 w 96"/>
                              <a:gd name="T35"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32">
                                <a:moveTo>
                                  <a:pt x="0" y="8"/>
                                </a:moveTo>
                                <a:cubicBezTo>
                                  <a:pt x="0" y="4"/>
                                  <a:pt x="4" y="0"/>
                                  <a:pt x="8" y="0"/>
                                </a:cubicBezTo>
                                <a:lnTo>
                                  <a:pt x="88" y="0"/>
                                </a:lnTo>
                                <a:cubicBezTo>
                                  <a:pt x="93" y="0"/>
                                  <a:pt x="96" y="4"/>
                                  <a:pt x="96" y="8"/>
                                </a:cubicBezTo>
                                <a:lnTo>
                                  <a:pt x="96" y="24"/>
                                </a:lnTo>
                                <a:cubicBezTo>
                                  <a:pt x="96" y="29"/>
                                  <a:pt x="93" y="32"/>
                                  <a:pt x="88" y="32"/>
                                </a:cubicBezTo>
                                <a:lnTo>
                                  <a:pt x="8" y="32"/>
                                </a:lnTo>
                                <a:cubicBezTo>
                                  <a:pt x="4" y="32"/>
                                  <a:pt x="0" y="29"/>
                                  <a:pt x="0" y="24"/>
                                </a:cubicBezTo>
                                <a:lnTo>
                                  <a:pt x="0" y="8"/>
                                </a:lnTo>
                                <a:close/>
                                <a:moveTo>
                                  <a:pt x="16" y="24"/>
                                </a:moveTo>
                                <a:lnTo>
                                  <a:pt x="8" y="16"/>
                                </a:lnTo>
                                <a:lnTo>
                                  <a:pt x="88" y="16"/>
                                </a:lnTo>
                                <a:lnTo>
                                  <a:pt x="80" y="24"/>
                                </a:lnTo>
                                <a:lnTo>
                                  <a:pt x="80" y="8"/>
                                </a:lnTo>
                                <a:lnTo>
                                  <a:pt x="88" y="16"/>
                                </a:lnTo>
                                <a:lnTo>
                                  <a:pt x="8" y="16"/>
                                </a:lnTo>
                                <a:lnTo>
                                  <a:pt x="16" y="8"/>
                                </a:lnTo>
                                <a:lnTo>
                                  <a:pt x="16" y="2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29" name="Rectangle 125"/>
                        <wps:cNvSpPr>
                          <a:spLocks noChangeArrowheads="1"/>
                        </wps:cNvSpPr>
                        <wps:spPr bwMode="auto">
                          <a:xfrm>
                            <a:off x="6736" y="4941"/>
                            <a:ext cx="78" cy="34"/>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126"/>
                        <wps:cNvSpPr>
                          <a:spLocks noEditPoints="1"/>
                        </wps:cNvSpPr>
                        <wps:spPr bwMode="auto">
                          <a:xfrm>
                            <a:off x="6728" y="4932"/>
                            <a:ext cx="94" cy="52"/>
                          </a:xfrm>
                          <a:custGeom>
                            <a:avLst/>
                            <a:gdLst>
                              <a:gd name="T0" fmla="*/ 0 w 96"/>
                              <a:gd name="T1" fmla="*/ 8 h 48"/>
                              <a:gd name="T2" fmla="*/ 8 w 96"/>
                              <a:gd name="T3" fmla="*/ 0 h 48"/>
                              <a:gd name="T4" fmla="*/ 88 w 96"/>
                              <a:gd name="T5" fmla="*/ 0 h 48"/>
                              <a:gd name="T6" fmla="*/ 96 w 96"/>
                              <a:gd name="T7" fmla="*/ 8 h 48"/>
                              <a:gd name="T8" fmla="*/ 96 w 96"/>
                              <a:gd name="T9" fmla="*/ 40 h 48"/>
                              <a:gd name="T10" fmla="*/ 88 w 96"/>
                              <a:gd name="T11" fmla="*/ 48 h 48"/>
                              <a:gd name="T12" fmla="*/ 8 w 96"/>
                              <a:gd name="T13" fmla="*/ 48 h 48"/>
                              <a:gd name="T14" fmla="*/ 0 w 96"/>
                              <a:gd name="T15" fmla="*/ 40 h 48"/>
                              <a:gd name="T16" fmla="*/ 0 w 96"/>
                              <a:gd name="T17" fmla="*/ 8 h 48"/>
                              <a:gd name="T18" fmla="*/ 16 w 96"/>
                              <a:gd name="T19" fmla="*/ 40 h 48"/>
                              <a:gd name="T20" fmla="*/ 8 w 96"/>
                              <a:gd name="T21" fmla="*/ 32 h 48"/>
                              <a:gd name="T22" fmla="*/ 88 w 96"/>
                              <a:gd name="T23" fmla="*/ 32 h 48"/>
                              <a:gd name="T24" fmla="*/ 80 w 96"/>
                              <a:gd name="T25" fmla="*/ 40 h 48"/>
                              <a:gd name="T26" fmla="*/ 80 w 96"/>
                              <a:gd name="T27" fmla="*/ 8 h 48"/>
                              <a:gd name="T28" fmla="*/ 88 w 96"/>
                              <a:gd name="T29" fmla="*/ 16 h 48"/>
                              <a:gd name="T30" fmla="*/ 8 w 96"/>
                              <a:gd name="T31" fmla="*/ 16 h 48"/>
                              <a:gd name="T32" fmla="*/ 16 w 96"/>
                              <a:gd name="T33" fmla="*/ 8 h 48"/>
                              <a:gd name="T34" fmla="*/ 16 w 96"/>
                              <a:gd name="T35" fmla="*/ 4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48">
                                <a:moveTo>
                                  <a:pt x="0" y="8"/>
                                </a:moveTo>
                                <a:cubicBezTo>
                                  <a:pt x="0" y="4"/>
                                  <a:pt x="4" y="0"/>
                                  <a:pt x="8" y="0"/>
                                </a:cubicBezTo>
                                <a:lnTo>
                                  <a:pt x="88" y="0"/>
                                </a:lnTo>
                                <a:cubicBezTo>
                                  <a:pt x="93" y="0"/>
                                  <a:pt x="96" y="4"/>
                                  <a:pt x="96" y="8"/>
                                </a:cubicBezTo>
                                <a:lnTo>
                                  <a:pt x="96" y="40"/>
                                </a:lnTo>
                                <a:cubicBezTo>
                                  <a:pt x="96" y="45"/>
                                  <a:pt x="93" y="48"/>
                                  <a:pt x="88" y="48"/>
                                </a:cubicBezTo>
                                <a:lnTo>
                                  <a:pt x="8" y="48"/>
                                </a:lnTo>
                                <a:cubicBezTo>
                                  <a:pt x="4" y="48"/>
                                  <a:pt x="0" y="45"/>
                                  <a:pt x="0" y="40"/>
                                </a:cubicBezTo>
                                <a:lnTo>
                                  <a:pt x="0" y="8"/>
                                </a:lnTo>
                                <a:close/>
                                <a:moveTo>
                                  <a:pt x="16" y="40"/>
                                </a:moveTo>
                                <a:lnTo>
                                  <a:pt x="8" y="32"/>
                                </a:lnTo>
                                <a:lnTo>
                                  <a:pt x="88" y="32"/>
                                </a:lnTo>
                                <a:lnTo>
                                  <a:pt x="80" y="40"/>
                                </a:lnTo>
                                <a:lnTo>
                                  <a:pt x="80" y="8"/>
                                </a:lnTo>
                                <a:lnTo>
                                  <a:pt x="88" y="16"/>
                                </a:lnTo>
                                <a:lnTo>
                                  <a:pt x="8" y="16"/>
                                </a:lnTo>
                                <a:lnTo>
                                  <a:pt x="16" y="8"/>
                                </a:lnTo>
                                <a:lnTo>
                                  <a:pt x="16" y="4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31" name="Rectangle 127"/>
                        <wps:cNvSpPr>
                          <a:spLocks noChangeArrowheads="1"/>
                        </wps:cNvSpPr>
                        <wps:spPr bwMode="auto">
                          <a:xfrm>
                            <a:off x="7579" y="4907"/>
                            <a:ext cx="63" cy="68"/>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Freeform 128"/>
                        <wps:cNvSpPr>
                          <a:spLocks noEditPoints="1"/>
                        </wps:cNvSpPr>
                        <wps:spPr bwMode="auto">
                          <a:xfrm>
                            <a:off x="7571" y="4898"/>
                            <a:ext cx="79" cy="86"/>
                          </a:xfrm>
                          <a:custGeom>
                            <a:avLst/>
                            <a:gdLst>
                              <a:gd name="T0" fmla="*/ 0 w 80"/>
                              <a:gd name="T1" fmla="*/ 8 h 80"/>
                              <a:gd name="T2" fmla="*/ 8 w 80"/>
                              <a:gd name="T3" fmla="*/ 0 h 80"/>
                              <a:gd name="T4" fmla="*/ 72 w 80"/>
                              <a:gd name="T5" fmla="*/ 0 h 80"/>
                              <a:gd name="T6" fmla="*/ 80 w 80"/>
                              <a:gd name="T7" fmla="*/ 8 h 80"/>
                              <a:gd name="T8" fmla="*/ 80 w 80"/>
                              <a:gd name="T9" fmla="*/ 72 h 80"/>
                              <a:gd name="T10" fmla="*/ 72 w 80"/>
                              <a:gd name="T11" fmla="*/ 80 h 80"/>
                              <a:gd name="T12" fmla="*/ 8 w 80"/>
                              <a:gd name="T13" fmla="*/ 80 h 80"/>
                              <a:gd name="T14" fmla="*/ 0 w 80"/>
                              <a:gd name="T15" fmla="*/ 72 h 80"/>
                              <a:gd name="T16" fmla="*/ 0 w 80"/>
                              <a:gd name="T17" fmla="*/ 8 h 80"/>
                              <a:gd name="T18" fmla="*/ 16 w 80"/>
                              <a:gd name="T19" fmla="*/ 72 h 80"/>
                              <a:gd name="T20" fmla="*/ 8 w 80"/>
                              <a:gd name="T21" fmla="*/ 64 h 80"/>
                              <a:gd name="T22" fmla="*/ 72 w 80"/>
                              <a:gd name="T23" fmla="*/ 64 h 80"/>
                              <a:gd name="T24" fmla="*/ 64 w 80"/>
                              <a:gd name="T25" fmla="*/ 72 h 80"/>
                              <a:gd name="T26" fmla="*/ 64 w 80"/>
                              <a:gd name="T27" fmla="*/ 8 h 80"/>
                              <a:gd name="T28" fmla="*/ 72 w 80"/>
                              <a:gd name="T29" fmla="*/ 16 h 80"/>
                              <a:gd name="T30" fmla="*/ 8 w 80"/>
                              <a:gd name="T31" fmla="*/ 16 h 80"/>
                              <a:gd name="T32" fmla="*/ 16 w 80"/>
                              <a:gd name="T33" fmla="*/ 8 h 80"/>
                              <a:gd name="T34" fmla="*/ 16 w 80"/>
                              <a:gd name="T35"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80">
                                <a:moveTo>
                                  <a:pt x="0" y="8"/>
                                </a:moveTo>
                                <a:cubicBezTo>
                                  <a:pt x="0" y="4"/>
                                  <a:pt x="4" y="0"/>
                                  <a:pt x="8" y="0"/>
                                </a:cubicBezTo>
                                <a:lnTo>
                                  <a:pt x="72" y="0"/>
                                </a:lnTo>
                                <a:cubicBezTo>
                                  <a:pt x="77" y="0"/>
                                  <a:pt x="80" y="4"/>
                                  <a:pt x="80" y="8"/>
                                </a:cubicBezTo>
                                <a:lnTo>
                                  <a:pt x="80" y="72"/>
                                </a:lnTo>
                                <a:cubicBezTo>
                                  <a:pt x="80" y="77"/>
                                  <a:pt x="77" y="80"/>
                                  <a:pt x="72" y="80"/>
                                </a:cubicBezTo>
                                <a:lnTo>
                                  <a:pt x="8" y="80"/>
                                </a:lnTo>
                                <a:cubicBezTo>
                                  <a:pt x="4" y="80"/>
                                  <a:pt x="0" y="77"/>
                                  <a:pt x="0" y="72"/>
                                </a:cubicBezTo>
                                <a:lnTo>
                                  <a:pt x="0" y="8"/>
                                </a:lnTo>
                                <a:close/>
                                <a:moveTo>
                                  <a:pt x="16" y="72"/>
                                </a:moveTo>
                                <a:lnTo>
                                  <a:pt x="8" y="64"/>
                                </a:lnTo>
                                <a:lnTo>
                                  <a:pt x="72" y="64"/>
                                </a:lnTo>
                                <a:lnTo>
                                  <a:pt x="64" y="72"/>
                                </a:lnTo>
                                <a:lnTo>
                                  <a:pt x="64" y="8"/>
                                </a:lnTo>
                                <a:lnTo>
                                  <a:pt x="72" y="16"/>
                                </a:lnTo>
                                <a:lnTo>
                                  <a:pt x="8" y="16"/>
                                </a:lnTo>
                                <a:lnTo>
                                  <a:pt x="16" y="8"/>
                                </a:lnTo>
                                <a:lnTo>
                                  <a:pt x="16" y="72"/>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33" name="Rectangle 129"/>
                        <wps:cNvSpPr>
                          <a:spLocks noChangeArrowheads="1"/>
                        </wps:cNvSpPr>
                        <wps:spPr bwMode="auto">
                          <a:xfrm>
                            <a:off x="8407" y="4889"/>
                            <a:ext cx="78" cy="86"/>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Freeform 130"/>
                        <wps:cNvSpPr>
                          <a:spLocks noEditPoints="1"/>
                        </wps:cNvSpPr>
                        <wps:spPr bwMode="auto">
                          <a:xfrm>
                            <a:off x="8399" y="4881"/>
                            <a:ext cx="94" cy="103"/>
                          </a:xfrm>
                          <a:custGeom>
                            <a:avLst/>
                            <a:gdLst>
                              <a:gd name="T0" fmla="*/ 0 w 96"/>
                              <a:gd name="T1" fmla="*/ 8 h 96"/>
                              <a:gd name="T2" fmla="*/ 8 w 96"/>
                              <a:gd name="T3" fmla="*/ 0 h 96"/>
                              <a:gd name="T4" fmla="*/ 88 w 96"/>
                              <a:gd name="T5" fmla="*/ 0 h 96"/>
                              <a:gd name="T6" fmla="*/ 96 w 96"/>
                              <a:gd name="T7" fmla="*/ 8 h 96"/>
                              <a:gd name="T8" fmla="*/ 96 w 96"/>
                              <a:gd name="T9" fmla="*/ 88 h 96"/>
                              <a:gd name="T10" fmla="*/ 88 w 96"/>
                              <a:gd name="T11" fmla="*/ 96 h 96"/>
                              <a:gd name="T12" fmla="*/ 8 w 96"/>
                              <a:gd name="T13" fmla="*/ 96 h 96"/>
                              <a:gd name="T14" fmla="*/ 0 w 96"/>
                              <a:gd name="T15" fmla="*/ 88 h 96"/>
                              <a:gd name="T16" fmla="*/ 0 w 96"/>
                              <a:gd name="T17" fmla="*/ 8 h 96"/>
                              <a:gd name="T18" fmla="*/ 16 w 96"/>
                              <a:gd name="T19" fmla="*/ 88 h 96"/>
                              <a:gd name="T20" fmla="*/ 8 w 96"/>
                              <a:gd name="T21" fmla="*/ 80 h 96"/>
                              <a:gd name="T22" fmla="*/ 88 w 96"/>
                              <a:gd name="T23" fmla="*/ 80 h 96"/>
                              <a:gd name="T24" fmla="*/ 80 w 96"/>
                              <a:gd name="T25" fmla="*/ 88 h 96"/>
                              <a:gd name="T26" fmla="*/ 80 w 96"/>
                              <a:gd name="T27" fmla="*/ 8 h 96"/>
                              <a:gd name="T28" fmla="*/ 88 w 96"/>
                              <a:gd name="T29" fmla="*/ 16 h 96"/>
                              <a:gd name="T30" fmla="*/ 8 w 96"/>
                              <a:gd name="T31" fmla="*/ 16 h 96"/>
                              <a:gd name="T32" fmla="*/ 16 w 96"/>
                              <a:gd name="T33" fmla="*/ 8 h 96"/>
                              <a:gd name="T34" fmla="*/ 16 w 96"/>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96">
                                <a:moveTo>
                                  <a:pt x="0" y="8"/>
                                </a:moveTo>
                                <a:cubicBezTo>
                                  <a:pt x="0" y="4"/>
                                  <a:pt x="4" y="0"/>
                                  <a:pt x="8" y="0"/>
                                </a:cubicBezTo>
                                <a:lnTo>
                                  <a:pt x="88" y="0"/>
                                </a:lnTo>
                                <a:cubicBezTo>
                                  <a:pt x="93" y="0"/>
                                  <a:pt x="96" y="4"/>
                                  <a:pt x="96" y="8"/>
                                </a:cubicBezTo>
                                <a:lnTo>
                                  <a:pt x="96" y="88"/>
                                </a:lnTo>
                                <a:cubicBezTo>
                                  <a:pt x="96" y="93"/>
                                  <a:pt x="93" y="96"/>
                                  <a:pt x="88" y="96"/>
                                </a:cubicBezTo>
                                <a:lnTo>
                                  <a:pt x="8" y="96"/>
                                </a:lnTo>
                                <a:cubicBezTo>
                                  <a:pt x="4" y="96"/>
                                  <a:pt x="0" y="93"/>
                                  <a:pt x="0" y="88"/>
                                </a:cubicBezTo>
                                <a:lnTo>
                                  <a:pt x="0" y="8"/>
                                </a:lnTo>
                                <a:close/>
                                <a:moveTo>
                                  <a:pt x="16" y="88"/>
                                </a:moveTo>
                                <a:lnTo>
                                  <a:pt x="8" y="80"/>
                                </a:lnTo>
                                <a:lnTo>
                                  <a:pt x="88" y="80"/>
                                </a:lnTo>
                                <a:lnTo>
                                  <a:pt x="80" y="88"/>
                                </a:lnTo>
                                <a:lnTo>
                                  <a:pt x="80" y="8"/>
                                </a:lnTo>
                                <a:lnTo>
                                  <a:pt x="88"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35" name="Rectangle 131"/>
                        <wps:cNvSpPr>
                          <a:spLocks noChangeArrowheads="1"/>
                        </wps:cNvSpPr>
                        <wps:spPr bwMode="auto">
                          <a:xfrm>
                            <a:off x="3488" y="2529"/>
                            <a:ext cx="78" cy="244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32"/>
                        <wps:cNvSpPr>
                          <a:spLocks noEditPoints="1"/>
                        </wps:cNvSpPr>
                        <wps:spPr bwMode="auto">
                          <a:xfrm>
                            <a:off x="3480" y="2520"/>
                            <a:ext cx="93" cy="2464"/>
                          </a:xfrm>
                          <a:custGeom>
                            <a:avLst/>
                            <a:gdLst>
                              <a:gd name="T0" fmla="*/ 0 w 96"/>
                              <a:gd name="T1" fmla="*/ 8 h 2288"/>
                              <a:gd name="T2" fmla="*/ 8 w 96"/>
                              <a:gd name="T3" fmla="*/ 0 h 2288"/>
                              <a:gd name="T4" fmla="*/ 88 w 96"/>
                              <a:gd name="T5" fmla="*/ 0 h 2288"/>
                              <a:gd name="T6" fmla="*/ 96 w 96"/>
                              <a:gd name="T7" fmla="*/ 8 h 2288"/>
                              <a:gd name="T8" fmla="*/ 96 w 96"/>
                              <a:gd name="T9" fmla="*/ 2280 h 2288"/>
                              <a:gd name="T10" fmla="*/ 88 w 96"/>
                              <a:gd name="T11" fmla="*/ 2288 h 2288"/>
                              <a:gd name="T12" fmla="*/ 8 w 96"/>
                              <a:gd name="T13" fmla="*/ 2288 h 2288"/>
                              <a:gd name="T14" fmla="*/ 0 w 96"/>
                              <a:gd name="T15" fmla="*/ 2280 h 2288"/>
                              <a:gd name="T16" fmla="*/ 0 w 96"/>
                              <a:gd name="T17" fmla="*/ 8 h 2288"/>
                              <a:gd name="T18" fmla="*/ 16 w 96"/>
                              <a:gd name="T19" fmla="*/ 2280 h 2288"/>
                              <a:gd name="T20" fmla="*/ 8 w 96"/>
                              <a:gd name="T21" fmla="*/ 2272 h 2288"/>
                              <a:gd name="T22" fmla="*/ 88 w 96"/>
                              <a:gd name="T23" fmla="*/ 2272 h 2288"/>
                              <a:gd name="T24" fmla="*/ 80 w 96"/>
                              <a:gd name="T25" fmla="*/ 2280 h 2288"/>
                              <a:gd name="T26" fmla="*/ 80 w 96"/>
                              <a:gd name="T27" fmla="*/ 8 h 2288"/>
                              <a:gd name="T28" fmla="*/ 88 w 96"/>
                              <a:gd name="T29" fmla="*/ 16 h 2288"/>
                              <a:gd name="T30" fmla="*/ 8 w 96"/>
                              <a:gd name="T31" fmla="*/ 16 h 2288"/>
                              <a:gd name="T32" fmla="*/ 16 w 96"/>
                              <a:gd name="T33" fmla="*/ 8 h 2288"/>
                              <a:gd name="T34" fmla="*/ 16 w 96"/>
                              <a:gd name="T35" fmla="*/ 2280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2288">
                                <a:moveTo>
                                  <a:pt x="0" y="8"/>
                                </a:moveTo>
                                <a:cubicBezTo>
                                  <a:pt x="0" y="4"/>
                                  <a:pt x="4" y="0"/>
                                  <a:pt x="8" y="0"/>
                                </a:cubicBezTo>
                                <a:lnTo>
                                  <a:pt x="88" y="0"/>
                                </a:lnTo>
                                <a:cubicBezTo>
                                  <a:pt x="93" y="0"/>
                                  <a:pt x="96" y="4"/>
                                  <a:pt x="96" y="8"/>
                                </a:cubicBezTo>
                                <a:lnTo>
                                  <a:pt x="96" y="2280"/>
                                </a:lnTo>
                                <a:cubicBezTo>
                                  <a:pt x="96" y="2285"/>
                                  <a:pt x="93" y="2288"/>
                                  <a:pt x="88" y="2288"/>
                                </a:cubicBezTo>
                                <a:lnTo>
                                  <a:pt x="8" y="2288"/>
                                </a:lnTo>
                                <a:cubicBezTo>
                                  <a:pt x="4" y="2288"/>
                                  <a:pt x="0" y="2285"/>
                                  <a:pt x="0" y="2280"/>
                                </a:cubicBezTo>
                                <a:lnTo>
                                  <a:pt x="0" y="8"/>
                                </a:lnTo>
                                <a:close/>
                                <a:moveTo>
                                  <a:pt x="16" y="2280"/>
                                </a:moveTo>
                                <a:lnTo>
                                  <a:pt x="8" y="2272"/>
                                </a:lnTo>
                                <a:lnTo>
                                  <a:pt x="88" y="2272"/>
                                </a:lnTo>
                                <a:lnTo>
                                  <a:pt x="80" y="2280"/>
                                </a:lnTo>
                                <a:lnTo>
                                  <a:pt x="80" y="8"/>
                                </a:lnTo>
                                <a:lnTo>
                                  <a:pt x="88" y="16"/>
                                </a:lnTo>
                                <a:lnTo>
                                  <a:pt x="8" y="16"/>
                                </a:lnTo>
                                <a:lnTo>
                                  <a:pt x="16" y="8"/>
                                </a:lnTo>
                                <a:lnTo>
                                  <a:pt x="16" y="228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37" name="Rectangle 133"/>
                        <wps:cNvSpPr>
                          <a:spLocks noChangeArrowheads="1"/>
                        </wps:cNvSpPr>
                        <wps:spPr bwMode="auto">
                          <a:xfrm>
                            <a:off x="4331" y="3373"/>
                            <a:ext cx="62" cy="160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134"/>
                        <wps:cNvSpPr>
                          <a:spLocks noEditPoints="1"/>
                        </wps:cNvSpPr>
                        <wps:spPr bwMode="auto">
                          <a:xfrm>
                            <a:off x="4323" y="3365"/>
                            <a:ext cx="78" cy="1619"/>
                          </a:xfrm>
                          <a:custGeom>
                            <a:avLst/>
                            <a:gdLst>
                              <a:gd name="T0" fmla="*/ 0 w 80"/>
                              <a:gd name="T1" fmla="*/ 8 h 1504"/>
                              <a:gd name="T2" fmla="*/ 8 w 80"/>
                              <a:gd name="T3" fmla="*/ 0 h 1504"/>
                              <a:gd name="T4" fmla="*/ 72 w 80"/>
                              <a:gd name="T5" fmla="*/ 0 h 1504"/>
                              <a:gd name="T6" fmla="*/ 80 w 80"/>
                              <a:gd name="T7" fmla="*/ 8 h 1504"/>
                              <a:gd name="T8" fmla="*/ 80 w 80"/>
                              <a:gd name="T9" fmla="*/ 1496 h 1504"/>
                              <a:gd name="T10" fmla="*/ 72 w 80"/>
                              <a:gd name="T11" fmla="*/ 1504 h 1504"/>
                              <a:gd name="T12" fmla="*/ 8 w 80"/>
                              <a:gd name="T13" fmla="*/ 1504 h 1504"/>
                              <a:gd name="T14" fmla="*/ 0 w 80"/>
                              <a:gd name="T15" fmla="*/ 1496 h 1504"/>
                              <a:gd name="T16" fmla="*/ 0 w 80"/>
                              <a:gd name="T17" fmla="*/ 8 h 1504"/>
                              <a:gd name="T18" fmla="*/ 16 w 80"/>
                              <a:gd name="T19" fmla="*/ 1496 h 1504"/>
                              <a:gd name="T20" fmla="*/ 8 w 80"/>
                              <a:gd name="T21" fmla="*/ 1488 h 1504"/>
                              <a:gd name="T22" fmla="*/ 72 w 80"/>
                              <a:gd name="T23" fmla="*/ 1488 h 1504"/>
                              <a:gd name="T24" fmla="*/ 64 w 80"/>
                              <a:gd name="T25" fmla="*/ 1496 h 1504"/>
                              <a:gd name="T26" fmla="*/ 64 w 80"/>
                              <a:gd name="T27" fmla="*/ 8 h 1504"/>
                              <a:gd name="T28" fmla="*/ 72 w 80"/>
                              <a:gd name="T29" fmla="*/ 16 h 1504"/>
                              <a:gd name="T30" fmla="*/ 8 w 80"/>
                              <a:gd name="T31" fmla="*/ 16 h 1504"/>
                              <a:gd name="T32" fmla="*/ 16 w 80"/>
                              <a:gd name="T33" fmla="*/ 8 h 1504"/>
                              <a:gd name="T34" fmla="*/ 16 w 80"/>
                              <a:gd name="T35" fmla="*/ 1496 h 1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504">
                                <a:moveTo>
                                  <a:pt x="0" y="8"/>
                                </a:moveTo>
                                <a:cubicBezTo>
                                  <a:pt x="0" y="4"/>
                                  <a:pt x="4" y="0"/>
                                  <a:pt x="8" y="0"/>
                                </a:cubicBezTo>
                                <a:lnTo>
                                  <a:pt x="72" y="0"/>
                                </a:lnTo>
                                <a:cubicBezTo>
                                  <a:pt x="77" y="0"/>
                                  <a:pt x="80" y="4"/>
                                  <a:pt x="80" y="8"/>
                                </a:cubicBezTo>
                                <a:lnTo>
                                  <a:pt x="80" y="1496"/>
                                </a:lnTo>
                                <a:cubicBezTo>
                                  <a:pt x="80" y="1501"/>
                                  <a:pt x="77" y="1504"/>
                                  <a:pt x="72" y="1504"/>
                                </a:cubicBezTo>
                                <a:lnTo>
                                  <a:pt x="8" y="1504"/>
                                </a:lnTo>
                                <a:cubicBezTo>
                                  <a:pt x="4" y="1504"/>
                                  <a:pt x="0" y="1501"/>
                                  <a:pt x="0" y="1496"/>
                                </a:cubicBezTo>
                                <a:lnTo>
                                  <a:pt x="0" y="8"/>
                                </a:lnTo>
                                <a:close/>
                                <a:moveTo>
                                  <a:pt x="16" y="1496"/>
                                </a:moveTo>
                                <a:lnTo>
                                  <a:pt x="8" y="1488"/>
                                </a:lnTo>
                                <a:lnTo>
                                  <a:pt x="72" y="1488"/>
                                </a:lnTo>
                                <a:lnTo>
                                  <a:pt x="64" y="1496"/>
                                </a:lnTo>
                                <a:lnTo>
                                  <a:pt x="64" y="8"/>
                                </a:lnTo>
                                <a:lnTo>
                                  <a:pt x="72" y="16"/>
                                </a:lnTo>
                                <a:lnTo>
                                  <a:pt x="8" y="16"/>
                                </a:lnTo>
                                <a:lnTo>
                                  <a:pt x="16" y="8"/>
                                </a:lnTo>
                                <a:lnTo>
                                  <a:pt x="16" y="1496"/>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39" name="Rectangle 135"/>
                        <wps:cNvSpPr>
                          <a:spLocks noChangeArrowheads="1"/>
                        </wps:cNvSpPr>
                        <wps:spPr bwMode="auto">
                          <a:xfrm>
                            <a:off x="5159" y="3322"/>
                            <a:ext cx="78" cy="16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136"/>
                        <wps:cNvSpPr>
                          <a:spLocks noEditPoints="1"/>
                        </wps:cNvSpPr>
                        <wps:spPr bwMode="auto">
                          <a:xfrm>
                            <a:off x="5151" y="3313"/>
                            <a:ext cx="93" cy="1671"/>
                          </a:xfrm>
                          <a:custGeom>
                            <a:avLst/>
                            <a:gdLst>
                              <a:gd name="T0" fmla="*/ 0 w 96"/>
                              <a:gd name="T1" fmla="*/ 8 h 1552"/>
                              <a:gd name="T2" fmla="*/ 8 w 96"/>
                              <a:gd name="T3" fmla="*/ 0 h 1552"/>
                              <a:gd name="T4" fmla="*/ 88 w 96"/>
                              <a:gd name="T5" fmla="*/ 0 h 1552"/>
                              <a:gd name="T6" fmla="*/ 96 w 96"/>
                              <a:gd name="T7" fmla="*/ 8 h 1552"/>
                              <a:gd name="T8" fmla="*/ 96 w 96"/>
                              <a:gd name="T9" fmla="*/ 1544 h 1552"/>
                              <a:gd name="T10" fmla="*/ 88 w 96"/>
                              <a:gd name="T11" fmla="*/ 1552 h 1552"/>
                              <a:gd name="T12" fmla="*/ 8 w 96"/>
                              <a:gd name="T13" fmla="*/ 1552 h 1552"/>
                              <a:gd name="T14" fmla="*/ 0 w 96"/>
                              <a:gd name="T15" fmla="*/ 1544 h 1552"/>
                              <a:gd name="T16" fmla="*/ 0 w 96"/>
                              <a:gd name="T17" fmla="*/ 8 h 1552"/>
                              <a:gd name="T18" fmla="*/ 16 w 96"/>
                              <a:gd name="T19" fmla="*/ 1544 h 1552"/>
                              <a:gd name="T20" fmla="*/ 8 w 96"/>
                              <a:gd name="T21" fmla="*/ 1536 h 1552"/>
                              <a:gd name="T22" fmla="*/ 88 w 96"/>
                              <a:gd name="T23" fmla="*/ 1536 h 1552"/>
                              <a:gd name="T24" fmla="*/ 80 w 96"/>
                              <a:gd name="T25" fmla="*/ 1544 h 1552"/>
                              <a:gd name="T26" fmla="*/ 80 w 96"/>
                              <a:gd name="T27" fmla="*/ 8 h 1552"/>
                              <a:gd name="T28" fmla="*/ 88 w 96"/>
                              <a:gd name="T29" fmla="*/ 16 h 1552"/>
                              <a:gd name="T30" fmla="*/ 8 w 96"/>
                              <a:gd name="T31" fmla="*/ 16 h 1552"/>
                              <a:gd name="T32" fmla="*/ 16 w 96"/>
                              <a:gd name="T33" fmla="*/ 8 h 1552"/>
                              <a:gd name="T34" fmla="*/ 16 w 96"/>
                              <a:gd name="T35" fmla="*/ 1544 h 1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1552">
                                <a:moveTo>
                                  <a:pt x="0" y="8"/>
                                </a:moveTo>
                                <a:cubicBezTo>
                                  <a:pt x="0" y="4"/>
                                  <a:pt x="4" y="0"/>
                                  <a:pt x="8" y="0"/>
                                </a:cubicBezTo>
                                <a:lnTo>
                                  <a:pt x="88" y="0"/>
                                </a:lnTo>
                                <a:cubicBezTo>
                                  <a:pt x="93" y="0"/>
                                  <a:pt x="96" y="4"/>
                                  <a:pt x="96" y="8"/>
                                </a:cubicBezTo>
                                <a:lnTo>
                                  <a:pt x="96" y="1544"/>
                                </a:lnTo>
                                <a:cubicBezTo>
                                  <a:pt x="96" y="1549"/>
                                  <a:pt x="93" y="1552"/>
                                  <a:pt x="88" y="1552"/>
                                </a:cubicBezTo>
                                <a:lnTo>
                                  <a:pt x="8" y="1552"/>
                                </a:lnTo>
                                <a:cubicBezTo>
                                  <a:pt x="4" y="1552"/>
                                  <a:pt x="0" y="1549"/>
                                  <a:pt x="0" y="1544"/>
                                </a:cubicBezTo>
                                <a:lnTo>
                                  <a:pt x="0" y="8"/>
                                </a:lnTo>
                                <a:close/>
                                <a:moveTo>
                                  <a:pt x="16" y="1544"/>
                                </a:moveTo>
                                <a:lnTo>
                                  <a:pt x="8" y="1536"/>
                                </a:lnTo>
                                <a:lnTo>
                                  <a:pt x="88" y="1536"/>
                                </a:lnTo>
                                <a:lnTo>
                                  <a:pt x="80" y="1544"/>
                                </a:lnTo>
                                <a:lnTo>
                                  <a:pt x="80" y="8"/>
                                </a:lnTo>
                                <a:lnTo>
                                  <a:pt x="88" y="16"/>
                                </a:lnTo>
                                <a:lnTo>
                                  <a:pt x="8" y="16"/>
                                </a:lnTo>
                                <a:lnTo>
                                  <a:pt x="16" y="8"/>
                                </a:lnTo>
                                <a:lnTo>
                                  <a:pt x="16" y="154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41" name="Rectangle 137"/>
                        <wps:cNvSpPr>
                          <a:spLocks noChangeArrowheads="1"/>
                        </wps:cNvSpPr>
                        <wps:spPr bwMode="auto">
                          <a:xfrm>
                            <a:off x="5986" y="4441"/>
                            <a:ext cx="78" cy="53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138"/>
                        <wps:cNvSpPr>
                          <a:spLocks noEditPoints="1"/>
                        </wps:cNvSpPr>
                        <wps:spPr bwMode="auto">
                          <a:xfrm>
                            <a:off x="5978" y="4433"/>
                            <a:ext cx="94" cy="551"/>
                          </a:xfrm>
                          <a:custGeom>
                            <a:avLst/>
                            <a:gdLst>
                              <a:gd name="T0" fmla="*/ 0 w 96"/>
                              <a:gd name="T1" fmla="*/ 8 h 512"/>
                              <a:gd name="T2" fmla="*/ 8 w 96"/>
                              <a:gd name="T3" fmla="*/ 0 h 512"/>
                              <a:gd name="T4" fmla="*/ 88 w 96"/>
                              <a:gd name="T5" fmla="*/ 0 h 512"/>
                              <a:gd name="T6" fmla="*/ 96 w 96"/>
                              <a:gd name="T7" fmla="*/ 8 h 512"/>
                              <a:gd name="T8" fmla="*/ 96 w 96"/>
                              <a:gd name="T9" fmla="*/ 504 h 512"/>
                              <a:gd name="T10" fmla="*/ 88 w 96"/>
                              <a:gd name="T11" fmla="*/ 512 h 512"/>
                              <a:gd name="T12" fmla="*/ 8 w 96"/>
                              <a:gd name="T13" fmla="*/ 512 h 512"/>
                              <a:gd name="T14" fmla="*/ 0 w 96"/>
                              <a:gd name="T15" fmla="*/ 504 h 512"/>
                              <a:gd name="T16" fmla="*/ 0 w 96"/>
                              <a:gd name="T17" fmla="*/ 8 h 512"/>
                              <a:gd name="T18" fmla="*/ 16 w 96"/>
                              <a:gd name="T19" fmla="*/ 504 h 512"/>
                              <a:gd name="T20" fmla="*/ 8 w 96"/>
                              <a:gd name="T21" fmla="*/ 496 h 512"/>
                              <a:gd name="T22" fmla="*/ 88 w 96"/>
                              <a:gd name="T23" fmla="*/ 496 h 512"/>
                              <a:gd name="T24" fmla="*/ 80 w 96"/>
                              <a:gd name="T25" fmla="*/ 504 h 512"/>
                              <a:gd name="T26" fmla="*/ 80 w 96"/>
                              <a:gd name="T27" fmla="*/ 8 h 512"/>
                              <a:gd name="T28" fmla="*/ 88 w 96"/>
                              <a:gd name="T29" fmla="*/ 16 h 512"/>
                              <a:gd name="T30" fmla="*/ 8 w 96"/>
                              <a:gd name="T31" fmla="*/ 16 h 512"/>
                              <a:gd name="T32" fmla="*/ 16 w 96"/>
                              <a:gd name="T33" fmla="*/ 8 h 512"/>
                              <a:gd name="T34" fmla="*/ 16 w 96"/>
                              <a:gd name="T35" fmla="*/ 50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512">
                                <a:moveTo>
                                  <a:pt x="0" y="8"/>
                                </a:moveTo>
                                <a:cubicBezTo>
                                  <a:pt x="0" y="4"/>
                                  <a:pt x="4" y="0"/>
                                  <a:pt x="8" y="0"/>
                                </a:cubicBezTo>
                                <a:lnTo>
                                  <a:pt x="88" y="0"/>
                                </a:lnTo>
                                <a:cubicBezTo>
                                  <a:pt x="93" y="0"/>
                                  <a:pt x="96" y="4"/>
                                  <a:pt x="96" y="8"/>
                                </a:cubicBezTo>
                                <a:lnTo>
                                  <a:pt x="96" y="504"/>
                                </a:lnTo>
                                <a:cubicBezTo>
                                  <a:pt x="96" y="509"/>
                                  <a:pt x="93" y="512"/>
                                  <a:pt x="88" y="512"/>
                                </a:cubicBezTo>
                                <a:lnTo>
                                  <a:pt x="8" y="512"/>
                                </a:lnTo>
                                <a:cubicBezTo>
                                  <a:pt x="4" y="512"/>
                                  <a:pt x="0" y="509"/>
                                  <a:pt x="0" y="504"/>
                                </a:cubicBezTo>
                                <a:lnTo>
                                  <a:pt x="0" y="8"/>
                                </a:lnTo>
                                <a:close/>
                                <a:moveTo>
                                  <a:pt x="16" y="504"/>
                                </a:moveTo>
                                <a:lnTo>
                                  <a:pt x="8" y="496"/>
                                </a:lnTo>
                                <a:lnTo>
                                  <a:pt x="88" y="496"/>
                                </a:lnTo>
                                <a:lnTo>
                                  <a:pt x="80" y="504"/>
                                </a:lnTo>
                                <a:lnTo>
                                  <a:pt x="80" y="8"/>
                                </a:lnTo>
                                <a:lnTo>
                                  <a:pt x="88" y="16"/>
                                </a:lnTo>
                                <a:lnTo>
                                  <a:pt x="8" y="16"/>
                                </a:lnTo>
                                <a:lnTo>
                                  <a:pt x="16" y="8"/>
                                </a:lnTo>
                                <a:lnTo>
                                  <a:pt x="16" y="5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43" name="Rectangle 139"/>
                        <wps:cNvSpPr>
                          <a:spLocks noChangeArrowheads="1"/>
                        </wps:cNvSpPr>
                        <wps:spPr bwMode="auto">
                          <a:xfrm>
                            <a:off x="6814" y="4441"/>
                            <a:ext cx="78" cy="53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140"/>
                        <wps:cNvSpPr>
                          <a:spLocks noEditPoints="1"/>
                        </wps:cNvSpPr>
                        <wps:spPr bwMode="auto">
                          <a:xfrm>
                            <a:off x="6806" y="4433"/>
                            <a:ext cx="94" cy="551"/>
                          </a:xfrm>
                          <a:custGeom>
                            <a:avLst/>
                            <a:gdLst>
                              <a:gd name="T0" fmla="*/ 0 w 96"/>
                              <a:gd name="T1" fmla="*/ 8 h 512"/>
                              <a:gd name="T2" fmla="*/ 8 w 96"/>
                              <a:gd name="T3" fmla="*/ 0 h 512"/>
                              <a:gd name="T4" fmla="*/ 88 w 96"/>
                              <a:gd name="T5" fmla="*/ 0 h 512"/>
                              <a:gd name="T6" fmla="*/ 96 w 96"/>
                              <a:gd name="T7" fmla="*/ 8 h 512"/>
                              <a:gd name="T8" fmla="*/ 96 w 96"/>
                              <a:gd name="T9" fmla="*/ 504 h 512"/>
                              <a:gd name="T10" fmla="*/ 88 w 96"/>
                              <a:gd name="T11" fmla="*/ 512 h 512"/>
                              <a:gd name="T12" fmla="*/ 8 w 96"/>
                              <a:gd name="T13" fmla="*/ 512 h 512"/>
                              <a:gd name="T14" fmla="*/ 0 w 96"/>
                              <a:gd name="T15" fmla="*/ 504 h 512"/>
                              <a:gd name="T16" fmla="*/ 0 w 96"/>
                              <a:gd name="T17" fmla="*/ 8 h 512"/>
                              <a:gd name="T18" fmla="*/ 16 w 96"/>
                              <a:gd name="T19" fmla="*/ 504 h 512"/>
                              <a:gd name="T20" fmla="*/ 8 w 96"/>
                              <a:gd name="T21" fmla="*/ 496 h 512"/>
                              <a:gd name="T22" fmla="*/ 88 w 96"/>
                              <a:gd name="T23" fmla="*/ 496 h 512"/>
                              <a:gd name="T24" fmla="*/ 80 w 96"/>
                              <a:gd name="T25" fmla="*/ 504 h 512"/>
                              <a:gd name="T26" fmla="*/ 80 w 96"/>
                              <a:gd name="T27" fmla="*/ 8 h 512"/>
                              <a:gd name="T28" fmla="*/ 88 w 96"/>
                              <a:gd name="T29" fmla="*/ 16 h 512"/>
                              <a:gd name="T30" fmla="*/ 8 w 96"/>
                              <a:gd name="T31" fmla="*/ 16 h 512"/>
                              <a:gd name="T32" fmla="*/ 16 w 96"/>
                              <a:gd name="T33" fmla="*/ 8 h 512"/>
                              <a:gd name="T34" fmla="*/ 16 w 96"/>
                              <a:gd name="T35" fmla="*/ 504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512">
                                <a:moveTo>
                                  <a:pt x="0" y="8"/>
                                </a:moveTo>
                                <a:cubicBezTo>
                                  <a:pt x="0" y="4"/>
                                  <a:pt x="4" y="0"/>
                                  <a:pt x="8" y="0"/>
                                </a:cubicBezTo>
                                <a:lnTo>
                                  <a:pt x="88" y="0"/>
                                </a:lnTo>
                                <a:cubicBezTo>
                                  <a:pt x="93" y="0"/>
                                  <a:pt x="96" y="4"/>
                                  <a:pt x="96" y="8"/>
                                </a:cubicBezTo>
                                <a:lnTo>
                                  <a:pt x="96" y="504"/>
                                </a:lnTo>
                                <a:cubicBezTo>
                                  <a:pt x="96" y="509"/>
                                  <a:pt x="93" y="512"/>
                                  <a:pt x="88" y="512"/>
                                </a:cubicBezTo>
                                <a:lnTo>
                                  <a:pt x="8" y="512"/>
                                </a:lnTo>
                                <a:cubicBezTo>
                                  <a:pt x="4" y="512"/>
                                  <a:pt x="0" y="509"/>
                                  <a:pt x="0" y="504"/>
                                </a:cubicBezTo>
                                <a:lnTo>
                                  <a:pt x="0" y="8"/>
                                </a:lnTo>
                                <a:close/>
                                <a:moveTo>
                                  <a:pt x="16" y="504"/>
                                </a:moveTo>
                                <a:lnTo>
                                  <a:pt x="8" y="496"/>
                                </a:lnTo>
                                <a:lnTo>
                                  <a:pt x="88" y="496"/>
                                </a:lnTo>
                                <a:lnTo>
                                  <a:pt x="80" y="504"/>
                                </a:lnTo>
                                <a:lnTo>
                                  <a:pt x="80" y="8"/>
                                </a:lnTo>
                                <a:lnTo>
                                  <a:pt x="88" y="16"/>
                                </a:lnTo>
                                <a:lnTo>
                                  <a:pt x="8" y="16"/>
                                </a:lnTo>
                                <a:lnTo>
                                  <a:pt x="16" y="8"/>
                                </a:lnTo>
                                <a:lnTo>
                                  <a:pt x="16" y="5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45" name="Rectangle 141"/>
                        <wps:cNvSpPr>
                          <a:spLocks noChangeArrowheads="1"/>
                        </wps:cNvSpPr>
                        <wps:spPr bwMode="auto">
                          <a:xfrm>
                            <a:off x="7642" y="4683"/>
                            <a:ext cx="78" cy="2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142"/>
                        <wps:cNvSpPr>
                          <a:spLocks noEditPoints="1"/>
                        </wps:cNvSpPr>
                        <wps:spPr bwMode="auto">
                          <a:xfrm>
                            <a:off x="7634" y="4674"/>
                            <a:ext cx="94" cy="310"/>
                          </a:xfrm>
                          <a:custGeom>
                            <a:avLst/>
                            <a:gdLst>
                              <a:gd name="T0" fmla="*/ 0 w 96"/>
                              <a:gd name="T1" fmla="*/ 8 h 288"/>
                              <a:gd name="T2" fmla="*/ 8 w 96"/>
                              <a:gd name="T3" fmla="*/ 0 h 288"/>
                              <a:gd name="T4" fmla="*/ 88 w 96"/>
                              <a:gd name="T5" fmla="*/ 0 h 288"/>
                              <a:gd name="T6" fmla="*/ 96 w 96"/>
                              <a:gd name="T7" fmla="*/ 8 h 288"/>
                              <a:gd name="T8" fmla="*/ 96 w 96"/>
                              <a:gd name="T9" fmla="*/ 280 h 288"/>
                              <a:gd name="T10" fmla="*/ 88 w 96"/>
                              <a:gd name="T11" fmla="*/ 288 h 288"/>
                              <a:gd name="T12" fmla="*/ 8 w 96"/>
                              <a:gd name="T13" fmla="*/ 288 h 288"/>
                              <a:gd name="T14" fmla="*/ 0 w 96"/>
                              <a:gd name="T15" fmla="*/ 280 h 288"/>
                              <a:gd name="T16" fmla="*/ 0 w 96"/>
                              <a:gd name="T17" fmla="*/ 8 h 288"/>
                              <a:gd name="T18" fmla="*/ 16 w 96"/>
                              <a:gd name="T19" fmla="*/ 280 h 288"/>
                              <a:gd name="T20" fmla="*/ 8 w 96"/>
                              <a:gd name="T21" fmla="*/ 272 h 288"/>
                              <a:gd name="T22" fmla="*/ 88 w 96"/>
                              <a:gd name="T23" fmla="*/ 272 h 288"/>
                              <a:gd name="T24" fmla="*/ 80 w 96"/>
                              <a:gd name="T25" fmla="*/ 280 h 288"/>
                              <a:gd name="T26" fmla="*/ 80 w 96"/>
                              <a:gd name="T27" fmla="*/ 8 h 288"/>
                              <a:gd name="T28" fmla="*/ 88 w 96"/>
                              <a:gd name="T29" fmla="*/ 16 h 288"/>
                              <a:gd name="T30" fmla="*/ 8 w 96"/>
                              <a:gd name="T31" fmla="*/ 16 h 288"/>
                              <a:gd name="T32" fmla="*/ 16 w 96"/>
                              <a:gd name="T33" fmla="*/ 8 h 288"/>
                              <a:gd name="T34" fmla="*/ 16 w 96"/>
                              <a:gd name="T35" fmla="*/ 28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 h="288">
                                <a:moveTo>
                                  <a:pt x="0" y="8"/>
                                </a:moveTo>
                                <a:cubicBezTo>
                                  <a:pt x="0" y="4"/>
                                  <a:pt x="4" y="0"/>
                                  <a:pt x="8" y="0"/>
                                </a:cubicBezTo>
                                <a:lnTo>
                                  <a:pt x="88" y="0"/>
                                </a:lnTo>
                                <a:cubicBezTo>
                                  <a:pt x="93" y="0"/>
                                  <a:pt x="96" y="4"/>
                                  <a:pt x="96" y="8"/>
                                </a:cubicBezTo>
                                <a:lnTo>
                                  <a:pt x="96" y="280"/>
                                </a:lnTo>
                                <a:cubicBezTo>
                                  <a:pt x="96" y="285"/>
                                  <a:pt x="93" y="288"/>
                                  <a:pt x="88" y="288"/>
                                </a:cubicBezTo>
                                <a:lnTo>
                                  <a:pt x="8" y="288"/>
                                </a:lnTo>
                                <a:cubicBezTo>
                                  <a:pt x="4" y="288"/>
                                  <a:pt x="0" y="285"/>
                                  <a:pt x="0" y="280"/>
                                </a:cubicBezTo>
                                <a:lnTo>
                                  <a:pt x="0" y="8"/>
                                </a:lnTo>
                                <a:close/>
                                <a:moveTo>
                                  <a:pt x="16" y="280"/>
                                </a:moveTo>
                                <a:lnTo>
                                  <a:pt x="8" y="272"/>
                                </a:lnTo>
                                <a:lnTo>
                                  <a:pt x="88" y="272"/>
                                </a:lnTo>
                                <a:lnTo>
                                  <a:pt x="80" y="280"/>
                                </a:lnTo>
                                <a:lnTo>
                                  <a:pt x="80" y="8"/>
                                </a:lnTo>
                                <a:lnTo>
                                  <a:pt x="88" y="16"/>
                                </a:lnTo>
                                <a:lnTo>
                                  <a:pt x="8" y="16"/>
                                </a:lnTo>
                                <a:lnTo>
                                  <a:pt x="16" y="8"/>
                                </a:lnTo>
                                <a:lnTo>
                                  <a:pt x="16" y="28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47" name="Rectangle 143"/>
                        <wps:cNvSpPr>
                          <a:spLocks noChangeArrowheads="1"/>
                        </wps:cNvSpPr>
                        <wps:spPr bwMode="auto">
                          <a:xfrm>
                            <a:off x="8485" y="4683"/>
                            <a:ext cx="63" cy="29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Freeform 144"/>
                        <wps:cNvSpPr>
                          <a:spLocks noEditPoints="1"/>
                        </wps:cNvSpPr>
                        <wps:spPr bwMode="auto">
                          <a:xfrm>
                            <a:off x="8477" y="4674"/>
                            <a:ext cx="78" cy="310"/>
                          </a:xfrm>
                          <a:custGeom>
                            <a:avLst/>
                            <a:gdLst>
                              <a:gd name="T0" fmla="*/ 0 w 80"/>
                              <a:gd name="T1" fmla="*/ 8 h 288"/>
                              <a:gd name="T2" fmla="*/ 8 w 80"/>
                              <a:gd name="T3" fmla="*/ 0 h 288"/>
                              <a:gd name="T4" fmla="*/ 72 w 80"/>
                              <a:gd name="T5" fmla="*/ 0 h 288"/>
                              <a:gd name="T6" fmla="*/ 80 w 80"/>
                              <a:gd name="T7" fmla="*/ 8 h 288"/>
                              <a:gd name="T8" fmla="*/ 80 w 80"/>
                              <a:gd name="T9" fmla="*/ 280 h 288"/>
                              <a:gd name="T10" fmla="*/ 72 w 80"/>
                              <a:gd name="T11" fmla="*/ 288 h 288"/>
                              <a:gd name="T12" fmla="*/ 8 w 80"/>
                              <a:gd name="T13" fmla="*/ 288 h 288"/>
                              <a:gd name="T14" fmla="*/ 0 w 80"/>
                              <a:gd name="T15" fmla="*/ 280 h 288"/>
                              <a:gd name="T16" fmla="*/ 0 w 80"/>
                              <a:gd name="T17" fmla="*/ 8 h 288"/>
                              <a:gd name="T18" fmla="*/ 16 w 80"/>
                              <a:gd name="T19" fmla="*/ 280 h 288"/>
                              <a:gd name="T20" fmla="*/ 8 w 80"/>
                              <a:gd name="T21" fmla="*/ 272 h 288"/>
                              <a:gd name="T22" fmla="*/ 72 w 80"/>
                              <a:gd name="T23" fmla="*/ 272 h 288"/>
                              <a:gd name="T24" fmla="*/ 64 w 80"/>
                              <a:gd name="T25" fmla="*/ 280 h 288"/>
                              <a:gd name="T26" fmla="*/ 64 w 80"/>
                              <a:gd name="T27" fmla="*/ 8 h 288"/>
                              <a:gd name="T28" fmla="*/ 72 w 80"/>
                              <a:gd name="T29" fmla="*/ 16 h 288"/>
                              <a:gd name="T30" fmla="*/ 8 w 80"/>
                              <a:gd name="T31" fmla="*/ 16 h 288"/>
                              <a:gd name="T32" fmla="*/ 16 w 80"/>
                              <a:gd name="T33" fmla="*/ 8 h 288"/>
                              <a:gd name="T34" fmla="*/ 16 w 80"/>
                              <a:gd name="T35" fmla="*/ 28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288">
                                <a:moveTo>
                                  <a:pt x="0" y="8"/>
                                </a:moveTo>
                                <a:cubicBezTo>
                                  <a:pt x="0" y="4"/>
                                  <a:pt x="4" y="0"/>
                                  <a:pt x="8" y="0"/>
                                </a:cubicBezTo>
                                <a:lnTo>
                                  <a:pt x="72" y="0"/>
                                </a:lnTo>
                                <a:cubicBezTo>
                                  <a:pt x="77" y="0"/>
                                  <a:pt x="80" y="4"/>
                                  <a:pt x="80" y="8"/>
                                </a:cubicBezTo>
                                <a:lnTo>
                                  <a:pt x="80" y="280"/>
                                </a:lnTo>
                                <a:cubicBezTo>
                                  <a:pt x="80" y="285"/>
                                  <a:pt x="77" y="288"/>
                                  <a:pt x="72" y="288"/>
                                </a:cubicBezTo>
                                <a:lnTo>
                                  <a:pt x="8" y="288"/>
                                </a:lnTo>
                                <a:cubicBezTo>
                                  <a:pt x="4" y="288"/>
                                  <a:pt x="0" y="285"/>
                                  <a:pt x="0" y="280"/>
                                </a:cubicBezTo>
                                <a:lnTo>
                                  <a:pt x="0" y="8"/>
                                </a:lnTo>
                                <a:close/>
                                <a:moveTo>
                                  <a:pt x="16" y="280"/>
                                </a:moveTo>
                                <a:lnTo>
                                  <a:pt x="8" y="272"/>
                                </a:lnTo>
                                <a:lnTo>
                                  <a:pt x="72" y="272"/>
                                </a:lnTo>
                                <a:lnTo>
                                  <a:pt x="64" y="280"/>
                                </a:lnTo>
                                <a:lnTo>
                                  <a:pt x="64" y="8"/>
                                </a:lnTo>
                                <a:lnTo>
                                  <a:pt x="72" y="16"/>
                                </a:lnTo>
                                <a:lnTo>
                                  <a:pt x="8" y="16"/>
                                </a:lnTo>
                                <a:lnTo>
                                  <a:pt x="16" y="8"/>
                                </a:lnTo>
                                <a:lnTo>
                                  <a:pt x="16" y="28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49" name="Rectangle 145"/>
                        <wps:cNvSpPr>
                          <a:spLocks noChangeArrowheads="1"/>
                        </wps:cNvSpPr>
                        <wps:spPr bwMode="auto">
                          <a:xfrm>
                            <a:off x="2730" y="2202"/>
                            <a:ext cx="16" cy="2773"/>
                          </a:xfrm>
                          <a:prstGeom prst="rect">
                            <a:avLst/>
                          </a:pr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50" name="Freeform 146"/>
                        <wps:cNvSpPr>
                          <a:spLocks noEditPoints="1"/>
                        </wps:cNvSpPr>
                        <wps:spPr bwMode="auto">
                          <a:xfrm>
                            <a:off x="2691" y="2193"/>
                            <a:ext cx="47" cy="2791"/>
                          </a:xfrm>
                          <a:custGeom>
                            <a:avLst/>
                            <a:gdLst>
                              <a:gd name="T0" fmla="*/ 0 w 47"/>
                              <a:gd name="T1" fmla="*/ 2774 h 2791"/>
                              <a:gd name="T2" fmla="*/ 47 w 47"/>
                              <a:gd name="T3" fmla="*/ 2774 h 2791"/>
                              <a:gd name="T4" fmla="*/ 47 w 47"/>
                              <a:gd name="T5" fmla="*/ 2791 h 2791"/>
                              <a:gd name="T6" fmla="*/ 0 w 47"/>
                              <a:gd name="T7" fmla="*/ 2791 h 2791"/>
                              <a:gd name="T8" fmla="*/ 0 w 47"/>
                              <a:gd name="T9" fmla="*/ 2774 h 2791"/>
                              <a:gd name="T10" fmla="*/ 0 w 47"/>
                              <a:gd name="T11" fmla="*/ 2429 h 2791"/>
                              <a:gd name="T12" fmla="*/ 47 w 47"/>
                              <a:gd name="T13" fmla="*/ 2429 h 2791"/>
                              <a:gd name="T14" fmla="*/ 47 w 47"/>
                              <a:gd name="T15" fmla="*/ 2447 h 2791"/>
                              <a:gd name="T16" fmla="*/ 0 w 47"/>
                              <a:gd name="T17" fmla="*/ 2447 h 2791"/>
                              <a:gd name="T18" fmla="*/ 0 w 47"/>
                              <a:gd name="T19" fmla="*/ 2429 h 2791"/>
                              <a:gd name="T20" fmla="*/ 0 w 47"/>
                              <a:gd name="T21" fmla="*/ 2085 h 2791"/>
                              <a:gd name="T22" fmla="*/ 47 w 47"/>
                              <a:gd name="T23" fmla="*/ 2085 h 2791"/>
                              <a:gd name="T24" fmla="*/ 47 w 47"/>
                              <a:gd name="T25" fmla="*/ 2102 h 2791"/>
                              <a:gd name="T26" fmla="*/ 0 w 47"/>
                              <a:gd name="T27" fmla="*/ 2102 h 2791"/>
                              <a:gd name="T28" fmla="*/ 0 w 47"/>
                              <a:gd name="T29" fmla="*/ 2085 h 2791"/>
                              <a:gd name="T30" fmla="*/ 0 w 47"/>
                              <a:gd name="T31" fmla="*/ 1740 h 2791"/>
                              <a:gd name="T32" fmla="*/ 47 w 47"/>
                              <a:gd name="T33" fmla="*/ 1740 h 2791"/>
                              <a:gd name="T34" fmla="*/ 47 w 47"/>
                              <a:gd name="T35" fmla="*/ 1757 h 2791"/>
                              <a:gd name="T36" fmla="*/ 0 w 47"/>
                              <a:gd name="T37" fmla="*/ 1757 h 2791"/>
                              <a:gd name="T38" fmla="*/ 0 w 47"/>
                              <a:gd name="T39" fmla="*/ 1740 h 2791"/>
                              <a:gd name="T40" fmla="*/ 0 w 47"/>
                              <a:gd name="T41" fmla="*/ 1396 h 2791"/>
                              <a:gd name="T42" fmla="*/ 47 w 47"/>
                              <a:gd name="T43" fmla="*/ 1396 h 2791"/>
                              <a:gd name="T44" fmla="*/ 47 w 47"/>
                              <a:gd name="T45" fmla="*/ 1413 h 2791"/>
                              <a:gd name="T46" fmla="*/ 0 w 47"/>
                              <a:gd name="T47" fmla="*/ 1413 h 2791"/>
                              <a:gd name="T48" fmla="*/ 0 w 47"/>
                              <a:gd name="T49" fmla="*/ 1396 h 2791"/>
                              <a:gd name="T50" fmla="*/ 0 w 47"/>
                              <a:gd name="T51" fmla="*/ 1034 h 2791"/>
                              <a:gd name="T52" fmla="*/ 47 w 47"/>
                              <a:gd name="T53" fmla="*/ 1034 h 2791"/>
                              <a:gd name="T54" fmla="*/ 47 w 47"/>
                              <a:gd name="T55" fmla="*/ 1051 h 2791"/>
                              <a:gd name="T56" fmla="*/ 0 w 47"/>
                              <a:gd name="T57" fmla="*/ 1051 h 2791"/>
                              <a:gd name="T58" fmla="*/ 0 w 47"/>
                              <a:gd name="T59" fmla="*/ 1034 h 2791"/>
                              <a:gd name="T60" fmla="*/ 0 w 47"/>
                              <a:gd name="T61" fmla="*/ 689 h 2791"/>
                              <a:gd name="T62" fmla="*/ 47 w 47"/>
                              <a:gd name="T63" fmla="*/ 689 h 2791"/>
                              <a:gd name="T64" fmla="*/ 47 w 47"/>
                              <a:gd name="T65" fmla="*/ 706 h 2791"/>
                              <a:gd name="T66" fmla="*/ 0 w 47"/>
                              <a:gd name="T67" fmla="*/ 706 h 2791"/>
                              <a:gd name="T68" fmla="*/ 0 w 47"/>
                              <a:gd name="T69" fmla="*/ 689 h 2791"/>
                              <a:gd name="T70" fmla="*/ 0 w 47"/>
                              <a:gd name="T71" fmla="*/ 345 h 2791"/>
                              <a:gd name="T72" fmla="*/ 47 w 47"/>
                              <a:gd name="T73" fmla="*/ 345 h 2791"/>
                              <a:gd name="T74" fmla="*/ 47 w 47"/>
                              <a:gd name="T75" fmla="*/ 362 h 2791"/>
                              <a:gd name="T76" fmla="*/ 0 w 47"/>
                              <a:gd name="T77" fmla="*/ 362 h 2791"/>
                              <a:gd name="T78" fmla="*/ 0 w 47"/>
                              <a:gd name="T79" fmla="*/ 345 h 2791"/>
                              <a:gd name="T80" fmla="*/ 0 w 47"/>
                              <a:gd name="T81" fmla="*/ 0 h 2791"/>
                              <a:gd name="T82" fmla="*/ 47 w 47"/>
                              <a:gd name="T83" fmla="*/ 0 h 2791"/>
                              <a:gd name="T84" fmla="*/ 47 w 47"/>
                              <a:gd name="T85" fmla="*/ 17 h 2791"/>
                              <a:gd name="T86" fmla="*/ 0 w 47"/>
                              <a:gd name="T87" fmla="*/ 17 h 2791"/>
                              <a:gd name="T88" fmla="*/ 0 w 47"/>
                              <a:gd name="T89" fmla="*/ 0 h 2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7" h="2791">
                                <a:moveTo>
                                  <a:pt x="0" y="2774"/>
                                </a:moveTo>
                                <a:lnTo>
                                  <a:pt x="47" y="2774"/>
                                </a:lnTo>
                                <a:lnTo>
                                  <a:pt x="47" y="2791"/>
                                </a:lnTo>
                                <a:lnTo>
                                  <a:pt x="0" y="2791"/>
                                </a:lnTo>
                                <a:lnTo>
                                  <a:pt x="0" y="2774"/>
                                </a:lnTo>
                                <a:close/>
                                <a:moveTo>
                                  <a:pt x="0" y="2429"/>
                                </a:moveTo>
                                <a:lnTo>
                                  <a:pt x="47" y="2429"/>
                                </a:lnTo>
                                <a:lnTo>
                                  <a:pt x="47" y="2447"/>
                                </a:lnTo>
                                <a:lnTo>
                                  <a:pt x="0" y="2447"/>
                                </a:lnTo>
                                <a:lnTo>
                                  <a:pt x="0" y="2429"/>
                                </a:lnTo>
                                <a:close/>
                                <a:moveTo>
                                  <a:pt x="0" y="2085"/>
                                </a:moveTo>
                                <a:lnTo>
                                  <a:pt x="47" y="2085"/>
                                </a:lnTo>
                                <a:lnTo>
                                  <a:pt x="47" y="2102"/>
                                </a:lnTo>
                                <a:lnTo>
                                  <a:pt x="0" y="2102"/>
                                </a:lnTo>
                                <a:lnTo>
                                  <a:pt x="0" y="2085"/>
                                </a:lnTo>
                                <a:close/>
                                <a:moveTo>
                                  <a:pt x="0" y="1740"/>
                                </a:moveTo>
                                <a:lnTo>
                                  <a:pt x="47" y="1740"/>
                                </a:lnTo>
                                <a:lnTo>
                                  <a:pt x="47" y="1757"/>
                                </a:lnTo>
                                <a:lnTo>
                                  <a:pt x="0" y="1757"/>
                                </a:lnTo>
                                <a:lnTo>
                                  <a:pt x="0" y="1740"/>
                                </a:lnTo>
                                <a:close/>
                                <a:moveTo>
                                  <a:pt x="0" y="1396"/>
                                </a:moveTo>
                                <a:lnTo>
                                  <a:pt x="47" y="1396"/>
                                </a:lnTo>
                                <a:lnTo>
                                  <a:pt x="47" y="1413"/>
                                </a:lnTo>
                                <a:lnTo>
                                  <a:pt x="0" y="1413"/>
                                </a:lnTo>
                                <a:lnTo>
                                  <a:pt x="0" y="1396"/>
                                </a:lnTo>
                                <a:close/>
                                <a:moveTo>
                                  <a:pt x="0" y="1034"/>
                                </a:moveTo>
                                <a:lnTo>
                                  <a:pt x="47" y="1034"/>
                                </a:lnTo>
                                <a:lnTo>
                                  <a:pt x="47" y="1051"/>
                                </a:lnTo>
                                <a:lnTo>
                                  <a:pt x="0" y="1051"/>
                                </a:lnTo>
                                <a:lnTo>
                                  <a:pt x="0" y="1034"/>
                                </a:lnTo>
                                <a:close/>
                                <a:moveTo>
                                  <a:pt x="0" y="689"/>
                                </a:moveTo>
                                <a:lnTo>
                                  <a:pt x="47" y="689"/>
                                </a:lnTo>
                                <a:lnTo>
                                  <a:pt x="47" y="706"/>
                                </a:lnTo>
                                <a:lnTo>
                                  <a:pt x="0" y="706"/>
                                </a:lnTo>
                                <a:lnTo>
                                  <a:pt x="0" y="689"/>
                                </a:lnTo>
                                <a:close/>
                                <a:moveTo>
                                  <a:pt x="0" y="345"/>
                                </a:moveTo>
                                <a:lnTo>
                                  <a:pt x="47" y="345"/>
                                </a:lnTo>
                                <a:lnTo>
                                  <a:pt x="47" y="362"/>
                                </a:lnTo>
                                <a:lnTo>
                                  <a:pt x="0" y="362"/>
                                </a:lnTo>
                                <a:lnTo>
                                  <a:pt x="0" y="345"/>
                                </a:lnTo>
                                <a:close/>
                                <a:moveTo>
                                  <a:pt x="0" y="0"/>
                                </a:moveTo>
                                <a:lnTo>
                                  <a:pt x="47" y="0"/>
                                </a:lnTo>
                                <a:lnTo>
                                  <a:pt x="47" y="17"/>
                                </a:lnTo>
                                <a:lnTo>
                                  <a:pt x="0" y="17"/>
                                </a:lnTo>
                                <a:lnTo>
                                  <a:pt x="0" y="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51" name="Rectangle 147"/>
                        <wps:cNvSpPr>
                          <a:spLocks noChangeArrowheads="1"/>
                        </wps:cNvSpPr>
                        <wps:spPr bwMode="auto">
                          <a:xfrm>
                            <a:off x="2738" y="4967"/>
                            <a:ext cx="6653" cy="17"/>
                          </a:xfrm>
                          <a:prstGeom prst="rect">
                            <a:avLst/>
                          </a:pr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52" name="Rectangle 148"/>
                        <wps:cNvSpPr>
                          <a:spLocks noChangeArrowheads="1"/>
                        </wps:cNvSpPr>
                        <wps:spPr bwMode="auto">
                          <a:xfrm>
                            <a:off x="2738" y="4967"/>
                            <a:ext cx="6653" cy="17"/>
                          </a:xfrm>
                          <a:prstGeom prst="rect">
                            <a:avLst/>
                          </a:pr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53" name="Freeform 149"/>
                        <wps:cNvSpPr>
                          <a:spLocks noEditPoints="1"/>
                        </wps:cNvSpPr>
                        <wps:spPr bwMode="auto">
                          <a:xfrm>
                            <a:off x="2730" y="4975"/>
                            <a:ext cx="6669" cy="1103"/>
                          </a:xfrm>
                          <a:custGeom>
                            <a:avLst/>
                            <a:gdLst>
                              <a:gd name="T0" fmla="*/ 16 w 6669"/>
                              <a:gd name="T1" fmla="*/ 0 h 1103"/>
                              <a:gd name="T2" fmla="*/ 16 w 6669"/>
                              <a:gd name="T3" fmla="*/ 1103 h 1103"/>
                              <a:gd name="T4" fmla="*/ 0 w 6669"/>
                              <a:gd name="T5" fmla="*/ 1103 h 1103"/>
                              <a:gd name="T6" fmla="*/ 0 w 6669"/>
                              <a:gd name="T7" fmla="*/ 0 h 1103"/>
                              <a:gd name="T8" fmla="*/ 16 w 6669"/>
                              <a:gd name="T9" fmla="*/ 0 h 1103"/>
                              <a:gd name="T10" fmla="*/ 843 w 6669"/>
                              <a:gd name="T11" fmla="*/ 0 h 1103"/>
                              <a:gd name="T12" fmla="*/ 843 w 6669"/>
                              <a:gd name="T13" fmla="*/ 1103 h 1103"/>
                              <a:gd name="T14" fmla="*/ 828 w 6669"/>
                              <a:gd name="T15" fmla="*/ 1103 h 1103"/>
                              <a:gd name="T16" fmla="*/ 828 w 6669"/>
                              <a:gd name="T17" fmla="*/ 0 h 1103"/>
                              <a:gd name="T18" fmla="*/ 843 w 6669"/>
                              <a:gd name="T19" fmla="*/ 0 h 1103"/>
                              <a:gd name="T20" fmla="*/ 1671 w 6669"/>
                              <a:gd name="T21" fmla="*/ 0 h 1103"/>
                              <a:gd name="T22" fmla="*/ 1671 w 6669"/>
                              <a:gd name="T23" fmla="*/ 1103 h 1103"/>
                              <a:gd name="T24" fmla="*/ 1656 w 6669"/>
                              <a:gd name="T25" fmla="*/ 1103 h 1103"/>
                              <a:gd name="T26" fmla="*/ 1656 w 6669"/>
                              <a:gd name="T27" fmla="*/ 0 h 1103"/>
                              <a:gd name="T28" fmla="*/ 1671 w 6669"/>
                              <a:gd name="T29" fmla="*/ 0 h 1103"/>
                              <a:gd name="T30" fmla="*/ 2514 w 6669"/>
                              <a:gd name="T31" fmla="*/ 0 h 1103"/>
                              <a:gd name="T32" fmla="*/ 2514 w 6669"/>
                              <a:gd name="T33" fmla="*/ 1103 h 1103"/>
                              <a:gd name="T34" fmla="*/ 2499 w 6669"/>
                              <a:gd name="T35" fmla="*/ 1103 h 1103"/>
                              <a:gd name="T36" fmla="*/ 2499 w 6669"/>
                              <a:gd name="T37" fmla="*/ 0 h 1103"/>
                              <a:gd name="T38" fmla="*/ 2514 w 6669"/>
                              <a:gd name="T39" fmla="*/ 0 h 1103"/>
                              <a:gd name="T40" fmla="*/ 3342 w 6669"/>
                              <a:gd name="T41" fmla="*/ 0 h 1103"/>
                              <a:gd name="T42" fmla="*/ 3342 w 6669"/>
                              <a:gd name="T43" fmla="*/ 1103 h 1103"/>
                              <a:gd name="T44" fmla="*/ 3327 w 6669"/>
                              <a:gd name="T45" fmla="*/ 1103 h 1103"/>
                              <a:gd name="T46" fmla="*/ 3327 w 6669"/>
                              <a:gd name="T47" fmla="*/ 0 h 1103"/>
                              <a:gd name="T48" fmla="*/ 3342 w 6669"/>
                              <a:gd name="T49" fmla="*/ 0 h 1103"/>
                              <a:gd name="T50" fmla="*/ 4170 w 6669"/>
                              <a:gd name="T51" fmla="*/ 0 h 1103"/>
                              <a:gd name="T52" fmla="*/ 4170 w 6669"/>
                              <a:gd name="T53" fmla="*/ 1103 h 1103"/>
                              <a:gd name="T54" fmla="*/ 4154 w 6669"/>
                              <a:gd name="T55" fmla="*/ 1103 h 1103"/>
                              <a:gd name="T56" fmla="*/ 4154 w 6669"/>
                              <a:gd name="T57" fmla="*/ 0 h 1103"/>
                              <a:gd name="T58" fmla="*/ 4170 w 6669"/>
                              <a:gd name="T59" fmla="*/ 0 h 1103"/>
                              <a:gd name="T60" fmla="*/ 4998 w 6669"/>
                              <a:gd name="T61" fmla="*/ 0 h 1103"/>
                              <a:gd name="T62" fmla="*/ 4998 w 6669"/>
                              <a:gd name="T63" fmla="*/ 1103 h 1103"/>
                              <a:gd name="T64" fmla="*/ 4982 w 6669"/>
                              <a:gd name="T65" fmla="*/ 1103 h 1103"/>
                              <a:gd name="T66" fmla="*/ 4982 w 6669"/>
                              <a:gd name="T67" fmla="*/ 0 h 1103"/>
                              <a:gd name="T68" fmla="*/ 4998 w 6669"/>
                              <a:gd name="T69" fmla="*/ 0 h 1103"/>
                              <a:gd name="T70" fmla="*/ 5825 w 6669"/>
                              <a:gd name="T71" fmla="*/ 0 h 1103"/>
                              <a:gd name="T72" fmla="*/ 5825 w 6669"/>
                              <a:gd name="T73" fmla="*/ 1103 h 1103"/>
                              <a:gd name="T74" fmla="*/ 5810 w 6669"/>
                              <a:gd name="T75" fmla="*/ 1103 h 1103"/>
                              <a:gd name="T76" fmla="*/ 5810 w 6669"/>
                              <a:gd name="T77" fmla="*/ 0 h 1103"/>
                              <a:gd name="T78" fmla="*/ 5825 w 6669"/>
                              <a:gd name="T79" fmla="*/ 0 h 1103"/>
                              <a:gd name="T80" fmla="*/ 6669 w 6669"/>
                              <a:gd name="T81" fmla="*/ 0 h 1103"/>
                              <a:gd name="T82" fmla="*/ 6669 w 6669"/>
                              <a:gd name="T83" fmla="*/ 1103 h 1103"/>
                              <a:gd name="T84" fmla="*/ 6653 w 6669"/>
                              <a:gd name="T85" fmla="*/ 1103 h 1103"/>
                              <a:gd name="T86" fmla="*/ 6653 w 6669"/>
                              <a:gd name="T87" fmla="*/ 0 h 1103"/>
                              <a:gd name="T88" fmla="*/ 6669 w 6669"/>
                              <a:gd name="T89" fmla="*/ 0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69" h="1103">
                                <a:moveTo>
                                  <a:pt x="16" y="0"/>
                                </a:moveTo>
                                <a:lnTo>
                                  <a:pt x="16" y="1103"/>
                                </a:lnTo>
                                <a:lnTo>
                                  <a:pt x="0" y="1103"/>
                                </a:lnTo>
                                <a:lnTo>
                                  <a:pt x="0" y="0"/>
                                </a:lnTo>
                                <a:lnTo>
                                  <a:pt x="16" y="0"/>
                                </a:lnTo>
                                <a:close/>
                                <a:moveTo>
                                  <a:pt x="843" y="0"/>
                                </a:moveTo>
                                <a:lnTo>
                                  <a:pt x="843" y="1103"/>
                                </a:lnTo>
                                <a:lnTo>
                                  <a:pt x="828" y="1103"/>
                                </a:lnTo>
                                <a:lnTo>
                                  <a:pt x="828" y="0"/>
                                </a:lnTo>
                                <a:lnTo>
                                  <a:pt x="843" y="0"/>
                                </a:lnTo>
                                <a:close/>
                                <a:moveTo>
                                  <a:pt x="1671" y="0"/>
                                </a:moveTo>
                                <a:lnTo>
                                  <a:pt x="1671" y="1103"/>
                                </a:lnTo>
                                <a:lnTo>
                                  <a:pt x="1656" y="1103"/>
                                </a:lnTo>
                                <a:lnTo>
                                  <a:pt x="1656" y="0"/>
                                </a:lnTo>
                                <a:lnTo>
                                  <a:pt x="1671" y="0"/>
                                </a:lnTo>
                                <a:close/>
                                <a:moveTo>
                                  <a:pt x="2514" y="0"/>
                                </a:moveTo>
                                <a:lnTo>
                                  <a:pt x="2514" y="1103"/>
                                </a:lnTo>
                                <a:lnTo>
                                  <a:pt x="2499" y="1103"/>
                                </a:lnTo>
                                <a:lnTo>
                                  <a:pt x="2499" y="0"/>
                                </a:lnTo>
                                <a:lnTo>
                                  <a:pt x="2514" y="0"/>
                                </a:lnTo>
                                <a:close/>
                                <a:moveTo>
                                  <a:pt x="3342" y="0"/>
                                </a:moveTo>
                                <a:lnTo>
                                  <a:pt x="3342" y="1103"/>
                                </a:lnTo>
                                <a:lnTo>
                                  <a:pt x="3327" y="1103"/>
                                </a:lnTo>
                                <a:lnTo>
                                  <a:pt x="3327" y="0"/>
                                </a:lnTo>
                                <a:lnTo>
                                  <a:pt x="3342" y="0"/>
                                </a:lnTo>
                                <a:close/>
                                <a:moveTo>
                                  <a:pt x="4170" y="0"/>
                                </a:moveTo>
                                <a:lnTo>
                                  <a:pt x="4170" y="1103"/>
                                </a:lnTo>
                                <a:lnTo>
                                  <a:pt x="4154" y="1103"/>
                                </a:lnTo>
                                <a:lnTo>
                                  <a:pt x="4154" y="0"/>
                                </a:lnTo>
                                <a:lnTo>
                                  <a:pt x="4170" y="0"/>
                                </a:lnTo>
                                <a:close/>
                                <a:moveTo>
                                  <a:pt x="4998" y="0"/>
                                </a:moveTo>
                                <a:lnTo>
                                  <a:pt x="4998" y="1103"/>
                                </a:lnTo>
                                <a:lnTo>
                                  <a:pt x="4982" y="1103"/>
                                </a:lnTo>
                                <a:lnTo>
                                  <a:pt x="4982" y="0"/>
                                </a:lnTo>
                                <a:lnTo>
                                  <a:pt x="4998" y="0"/>
                                </a:lnTo>
                                <a:close/>
                                <a:moveTo>
                                  <a:pt x="5825" y="0"/>
                                </a:moveTo>
                                <a:lnTo>
                                  <a:pt x="5825" y="1103"/>
                                </a:lnTo>
                                <a:lnTo>
                                  <a:pt x="5810" y="1103"/>
                                </a:lnTo>
                                <a:lnTo>
                                  <a:pt x="5810" y="0"/>
                                </a:lnTo>
                                <a:lnTo>
                                  <a:pt x="5825" y="0"/>
                                </a:lnTo>
                                <a:close/>
                                <a:moveTo>
                                  <a:pt x="6669" y="0"/>
                                </a:moveTo>
                                <a:lnTo>
                                  <a:pt x="6669" y="1103"/>
                                </a:lnTo>
                                <a:lnTo>
                                  <a:pt x="6653" y="1103"/>
                                </a:lnTo>
                                <a:lnTo>
                                  <a:pt x="6653" y="0"/>
                                </a:lnTo>
                                <a:lnTo>
                                  <a:pt x="6669" y="0"/>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54" name="Rectangle 150"/>
                        <wps:cNvSpPr>
                          <a:spLocks noChangeArrowheads="1"/>
                        </wps:cNvSpPr>
                        <wps:spPr bwMode="auto">
                          <a:xfrm>
                            <a:off x="2746" y="4991"/>
                            <a:ext cx="81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Pr="00BA3AAF" w:rsidRDefault="00A46D50" w:rsidP="00F96D7E">
                              <w:pPr>
                                <w:spacing w:line="200" w:lineRule="exact"/>
                                <w:jc w:val="center"/>
                              </w:pPr>
                              <w:r>
                                <w:rPr>
                                  <w:rFonts w:cs="Calibri"/>
                                  <w:color w:val="000000"/>
                                  <w:sz w:val="18"/>
                                  <w:szCs w:val="18"/>
                                  <w:lang w:val="en-US"/>
                                </w:rPr>
                                <w:t>Общо</w:t>
                              </w:r>
                              <w:r>
                                <w:rPr>
                                  <w:rFonts w:cs="Calibri"/>
                                  <w:color w:val="000000"/>
                                  <w:sz w:val="18"/>
                                  <w:szCs w:val="18"/>
                                </w:rPr>
                                <w:t xml:space="preserve"> внесени прокурорски актове в съда</w:t>
                              </w:r>
                            </w:p>
                          </w:txbxContent>
                        </wps:txbx>
                        <wps:bodyPr rot="0" vert="horz" wrap="square" lIns="0" tIns="0" rIns="0" bIns="0" anchor="t" anchorCtr="0">
                          <a:noAutofit/>
                        </wps:bodyPr>
                      </wps:wsp>
                      <wps:wsp>
                        <wps:cNvPr id="255" name="Rectangle 151"/>
                        <wps:cNvSpPr>
                          <a:spLocks noChangeArrowheads="1"/>
                        </wps:cNvSpPr>
                        <wps:spPr bwMode="auto">
                          <a:xfrm>
                            <a:off x="3895" y="5423"/>
                            <a:ext cx="22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ОА</w:t>
                              </w:r>
                            </w:p>
                          </w:txbxContent>
                        </wps:txbx>
                        <wps:bodyPr rot="0" vert="horz" wrap="square" lIns="0" tIns="0" rIns="0" bIns="0" anchor="t" anchorCtr="0">
                          <a:noAutofit/>
                        </wps:bodyPr>
                      </wps:wsp>
                      <wps:wsp>
                        <wps:cNvPr id="256" name="Rectangle 152"/>
                        <wps:cNvSpPr>
                          <a:spLocks noChangeArrowheads="1"/>
                        </wps:cNvSpPr>
                        <wps:spPr bwMode="auto">
                          <a:xfrm>
                            <a:off x="4444" y="5329"/>
                            <a:ext cx="72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pPr>
                                <w:jc w:val="center"/>
                              </w:pPr>
                              <w:r>
                                <w:rPr>
                                  <w:rFonts w:cs="Calibri"/>
                                  <w:color w:val="000000"/>
                                  <w:sz w:val="18"/>
                                  <w:szCs w:val="18"/>
                                  <w:lang w:val="en-US"/>
                                </w:rPr>
                                <w:t>лица по ОА</w:t>
                              </w:r>
                            </w:p>
                          </w:txbxContent>
                        </wps:txbx>
                        <wps:bodyPr rot="0" vert="horz" wrap="square" lIns="0" tIns="0" rIns="0" bIns="0" anchor="t" anchorCtr="0">
                          <a:noAutofit/>
                        </wps:bodyPr>
                      </wps:wsp>
                      <wps:wsp>
                        <wps:cNvPr id="257" name="Rectangle 153"/>
                        <wps:cNvSpPr>
                          <a:spLocks noChangeArrowheads="1"/>
                        </wps:cNvSpPr>
                        <wps:spPr bwMode="auto">
                          <a:xfrm>
                            <a:off x="5296" y="5315"/>
                            <a:ext cx="69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Pr="00BA3AAF" w:rsidRDefault="00A46D50" w:rsidP="00F96D7E">
                              <w:pPr>
                                <w:jc w:val="center"/>
                              </w:pPr>
                              <w:r>
                                <w:rPr>
                                  <w:rFonts w:cs="Calibri"/>
                                  <w:color w:val="000000"/>
                                  <w:sz w:val="18"/>
                                  <w:szCs w:val="18"/>
                                  <w:lang w:val="en-US"/>
                                </w:rPr>
                                <w:t>споразумен</w:t>
                              </w:r>
                              <w:r>
                                <w:rPr>
                                  <w:rFonts w:cs="Calibri"/>
                                  <w:color w:val="000000"/>
                                  <w:sz w:val="18"/>
                                  <w:szCs w:val="18"/>
                                </w:rPr>
                                <w:t>ия</w:t>
                              </w:r>
                            </w:p>
                          </w:txbxContent>
                        </wps:txbx>
                        <wps:bodyPr rot="0" vert="horz" wrap="square" lIns="0" tIns="0" rIns="0" bIns="0" anchor="t" anchorCtr="0">
                          <a:noAutofit/>
                        </wps:bodyPr>
                      </wps:wsp>
                      <wps:wsp>
                        <wps:cNvPr id="258" name="Rectangle 154"/>
                        <wps:cNvSpPr>
                          <a:spLocks noChangeArrowheads="1"/>
                        </wps:cNvSpPr>
                        <wps:spPr bwMode="auto">
                          <a:xfrm>
                            <a:off x="6215" y="5207"/>
                            <a:ext cx="6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лица по </w:t>
                              </w:r>
                            </w:p>
                          </w:txbxContent>
                        </wps:txbx>
                        <wps:bodyPr rot="0" vert="horz" wrap="square" lIns="0" tIns="0" rIns="0" bIns="0" anchor="t" anchorCtr="0">
                          <a:noAutofit/>
                        </wps:bodyPr>
                      </wps:wsp>
                      <wps:wsp>
                        <wps:cNvPr id="259" name="Rectangle 155"/>
                        <wps:cNvSpPr>
                          <a:spLocks noChangeArrowheads="1"/>
                        </wps:cNvSpPr>
                        <wps:spPr bwMode="auto">
                          <a:xfrm>
                            <a:off x="6090" y="5414"/>
                            <a:ext cx="71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Pr="00BA3AAF" w:rsidRDefault="00A46D50" w:rsidP="00F96D7E">
                              <w:pPr>
                                <w:jc w:val="center"/>
                              </w:pPr>
                              <w:r>
                                <w:rPr>
                                  <w:rFonts w:cs="Calibri"/>
                                  <w:color w:val="000000"/>
                                  <w:sz w:val="18"/>
                                  <w:szCs w:val="18"/>
                                  <w:lang w:val="en-US"/>
                                </w:rPr>
                                <w:t>споразумен</w:t>
                              </w:r>
                              <w:r>
                                <w:rPr>
                                  <w:rFonts w:cs="Calibri"/>
                                  <w:color w:val="000000"/>
                                  <w:sz w:val="18"/>
                                  <w:szCs w:val="18"/>
                                </w:rPr>
                                <w:t>ия</w:t>
                              </w:r>
                            </w:p>
                          </w:txbxContent>
                        </wps:txbx>
                        <wps:bodyPr rot="0" vert="horz" wrap="square" lIns="0" tIns="0" rIns="0" bIns="0" anchor="t" anchorCtr="0">
                          <a:noAutofit/>
                        </wps:bodyPr>
                      </wps:wsp>
                      <wps:wsp>
                        <wps:cNvPr id="260" name="Rectangle 156"/>
                        <wps:cNvSpPr>
                          <a:spLocks noChangeArrowheads="1"/>
                        </wps:cNvSpPr>
                        <wps:spPr bwMode="auto">
                          <a:xfrm>
                            <a:off x="6970" y="5329"/>
                            <a:ext cx="66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pPr>
                                <w:jc w:val="center"/>
                              </w:pPr>
                              <w:r>
                                <w:rPr>
                                  <w:rFonts w:cs="Calibri"/>
                                  <w:color w:val="000000"/>
                                  <w:sz w:val="18"/>
                                  <w:szCs w:val="18"/>
                                  <w:lang w:val="en-US"/>
                                </w:rPr>
                                <w:t>чл.78а от НК</w:t>
                              </w:r>
                            </w:p>
                          </w:txbxContent>
                        </wps:txbx>
                        <wps:bodyPr rot="0" vert="horz" wrap="square" lIns="0" tIns="0" rIns="0" bIns="0" anchor="t" anchorCtr="0">
                          <a:noAutofit/>
                        </wps:bodyPr>
                      </wps:wsp>
                      <wps:wsp>
                        <wps:cNvPr id="261" name="Rectangle 157"/>
                        <wps:cNvSpPr>
                          <a:spLocks noChangeArrowheads="1"/>
                        </wps:cNvSpPr>
                        <wps:spPr bwMode="auto">
                          <a:xfrm>
                            <a:off x="7732" y="5235"/>
                            <a:ext cx="812"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pPr>
                                <w:jc w:val="center"/>
                              </w:pPr>
                              <w:r>
                                <w:rPr>
                                  <w:rFonts w:cs="Calibri"/>
                                  <w:color w:val="000000"/>
                                  <w:sz w:val="18"/>
                                  <w:szCs w:val="18"/>
                                </w:rPr>
                                <w:t xml:space="preserve">Лица по </w:t>
                              </w:r>
                              <w:r>
                                <w:rPr>
                                  <w:rFonts w:cs="Calibri"/>
                                  <w:color w:val="000000"/>
                                  <w:sz w:val="18"/>
                                  <w:szCs w:val="18"/>
                                  <w:lang w:val="en-US"/>
                                </w:rPr>
                                <w:t xml:space="preserve">чл.78а </w:t>
                              </w:r>
                              <w:r>
                                <w:rPr>
                                  <w:rFonts w:cs="Calibri"/>
                                  <w:color w:val="000000"/>
                                  <w:sz w:val="18"/>
                                  <w:szCs w:val="18"/>
                                  <w:lang w:val="en-US"/>
                                </w:rPr>
                                <w:br/>
                                <w:t>от НК</w:t>
                              </w:r>
                            </w:p>
                          </w:txbxContent>
                        </wps:txbx>
                        <wps:bodyPr rot="0" vert="horz" wrap="square" lIns="0" tIns="0" rIns="0" bIns="0" anchor="t" anchorCtr="0">
                          <a:noAutofit/>
                        </wps:bodyPr>
                      </wps:wsp>
                      <wps:wsp>
                        <wps:cNvPr id="262" name="Freeform 158"/>
                        <wps:cNvSpPr>
                          <a:spLocks noEditPoints="1"/>
                        </wps:cNvSpPr>
                        <wps:spPr bwMode="auto">
                          <a:xfrm>
                            <a:off x="1871" y="6069"/>
                            <a:ext cx="7528" cy="302"/>
                          </a:xfrm>
                          <a:custGeom>
                            <a:avLst/>
                            <a:gdLst>
                              <a:gd name="T0" fmla="*/ 8 w 7528"/>
                              <a:gd name="T1" fmla="*/ 0 h 302"/>
                              <a:gd name="T2" fmla="*/ 7520 w 7528"/>
                              <a:gd name="T3" fmla="*/ 0 h 302"/>
                              <a:gd name="T4" fmla="*/ 7520 w 7528"/>
                              <a:gd name="T5" fmla="*/ 18 h 302"/>
                              <a:gd name="T6" fmla="*/ 8 w 7528"/>
                              <a:gd name="T7" fmla="*/ 18 h 302"/>
                              <a:gd name="T8" fmla="*/ 8 w 7528"/>
                              <a:gd name="T9" fmla="*/ 0 h 302"/>
                              <a:gd name="T10" fmla="*/ 16 w 7528"/>
                              <a:gd name="T11" fmla="*/ 9 h 302"/>
                              <a:gd name="T12" fmla="*/ 16 w 7528"/>
                              <a:gd name="T13" fmla="*/ 302 h 302"/>
                              <a:gd name="T14" fmla="*/ 0 w 7528"/>
                              <a:gd name="T15" fmla="*/ 302 h 302"/>
                              <a:gd name="T16" fmla="*/ 0 w 7528"/>
                              <a:gd name="T17" fmla="*/ 9 h 302"/>
                              <a:gd name="T18" fmla="*/ 16 w 7528"/>
                              <a:gd name="T19" fmla="*/ 9 h 302"/>
                              <a:gd name="T20" fmla="*/ 875 w 7528"/>
                              <a:gd name="T21" fmla="*/ 9 h 302"/>
                              <a:gd name="T22" fmla="*/ 875 w 7528"/>
                              <a:gd name="T23" fmla="*/ 302 h 302"/>
                              <a:gd name="T24" fmla="*/ 859 w 7528"/>
                              <a:gd name="T25" fmla="*/ 302 h 302"/>
                              <a:gd name="T26" fmla="*/ 859 w 7528"/>
                              <a:gd name="T27" fmla="*/ 9 h 302"/>
                              <a:gd name="T28" fmla="*/ 875 w 7528"/>
                              <a:gd name="T29" fmla="*/ 9 h 302"/>
                              <a:gd name="T30" fmla="*/ 1702 w 7528"/>
                              <a:gd name="T31" fmla="*/ 9 h 302"/>
                              <a:gd name="T32" fmla="*/ 1702 w 7528"/>
                              <a:gd name="T33" fmla="*/ 302 h 302"/>
                              <a:gd name="T34" fmla="*/ 1687 w 7528"/>
                              <a:gd name="T35" fmla="*/ 302 h 302"/>
                              <a:gd name="T36" fmla="*/ 1687 w 7528"/>
                              <a:gd name="T37" fmla="*/ 9 h 302"/>
                              <a:gd name="T38" fmla="*/ 1702 w 7528"/>
                              <a:gd name="T39" fmla="*/ 9 h 302"/>
                              <a:gd name="T40" fmla="*/ 2530 w 7528"/>
                              <a:gd name="T41" fmla="*/ 9 h 302"/>
                              <a:gd name="T42" fmla="*/ 2530 w 7528"/>
                              <a:gd name="T43" fmla="*/ 302 h 302"/>
                              <a:gd name="T44" fmla="*/ 2515 w 7528"/>
                              <a:gd name="T45" fmla="*/ 302 h 302"/>
                              <a:gd name="T46" fmla="*/ 2515 w 7528"/>
                              <a:gd name="T47" fmla="*/ 9 h 302"/>
                              <a:gd name="T48" fmla="*/ 2530 w 7528"/>
                              <a:gd name="T49" fmla="*/ 9 h 302"/>
                              <a:gd name="T50" fmla="*/ 3373 w 7528"/>
                              <a:gd name="T51" fmla="*/ 9 h 302"/>
                              <a:gd name="T52" fmla="*/ 3373 w 7528"/>
                              <a:gd name="T53" fmla="*/ 302 h 302"/>
                              <a:gd name="T54" fmla="*/ 3358 w 7528"/>
                              <a:gd name="T55" fmla="*/ 302 h 302"/>
                              <a:gd name="T56" fmla="*/ 3358 w 7528"/>
                              <a:gd name="T57" fmla="*/ 9 h 302"/>
                              <a:gd name="T58" fmla="*/ 3373 w 7528"/>
                              <a:gd name="T59" fmla="*/ 9 h 302"/>
                              <a:gd name="T60" fmla="*/ 4201 w 7528"/>
                              <a:gd name="T61" fmla="*/ 9 h 302"/>
                              <a:gd name="T62" fmla="*/ 4201 w 7528"/>
                              <a:gd name="T63" fmla="*/ 302 h 302"/>
                              <a:gd name="T64" fmla="*/ 4186 w 7528"/>
                              <a:gd name="T65" fmla="*/ 302 h 302"/>
                              <a:gd name="T66" fmla="*/ 4186 w 7528"/>
                              <a:gd name="T67" fmla="*/ 9 h 302"/>
                              <a:gd name="T68" fmla="*/ 4201 w 7528"/>
                              <a:gd name="T69" fmla="*/ 9 h 302"/>
                              <a:gd name="T70" fmla="*/ 5029 w 7528"/>
                              <a:gd name="T71" fmla="*/ 9 h 302"/>
                              <a:gd name="T72" fmla="*/ 5029 w 7528"/>
                              <a:gd name="T73" fmla="*/ 302 h 302"/>
                              <a:gd name="T74" fmla="*/ 5013 w 7528"/>
                              <a:gd name="T75" fmla="*/ 302 h 302"/>
                              <a:gd name="T76" fmla="*/ 5013 w 7528"/>
                              <a:gd name="T77" fmla="*/ 9 h 302"/>
                              <a:gd name="T78" fmla="*/ 5029 w 7528"/>
                              <a:gd name="T79" fmla="*/ 9 h 302"/>
                              <a:gd name="T80" fmla="*/ 5857 w 7528"/>
                              <a:gd name="T81" fmla="*/ 9 h 302"/>
                              <a:gd name="T82" fmla="*/ 5857 w 7528"/>
                              <a:gd name="T83" fmla="*/ 302 h 302"/>
                              <a:gd name="T84" fmla="*/ 5841 w 7528"/>
                              <a:gd name="T85" fmla="*/ 302 h 302"/>
                              <a:gd name="T86" fmla="*/ 5841 w 7528"/>
                              <a:gd name="T87" fmla="*/ 9 h 302"/>
                              <a:gd name="T88" fmla="*/ 5857 w 7528"/>
                              <a:gd name="T89" fmla="*/ 9 h 302"/>
                              <a:gd name="T90" fmla="*/ 6684 w 7528"/>
                              <a:gd name="T91" fmla="*/ 9 h 302"/>
                              <a:gd name="T92" fmla="*/ 6684 w 7528"/>
                              <a:gd name="T93" fmla="*/ 302 h 302"/>
                              <a:gd name="T94" fmla="*/ 6669 w 7528"/>
                              <a:gd name="T95" fmla="*/ 302 h 302"/>
                              <a:gd name="T96" fmla="*/ 6669 w 7528"/>
                              <a:gd name="T97" fmla="*/ 9 h 302"/>
                              <a:gd name="T98" fmla="*/ 6684 w 7528"/>
                              <a:gd name="T99" fmla="*/ 9 h 302"/>
                              <a:gd name="T100" fmla="*/ 7528 w 7528"/>
                              <a:gd name="T101" fmla="*/ 9 h 302"/>
                              <a:gd name="T102" fmla="*/ 7528 w 7528"/>
                              <a:gd name="T103" fmla="*/ 302 h 302"/>
                              <a:gd name="T104" fmla="*/ 7512 w 7528"/>
                              <a:gd name="T105" fmla="*/ 302 h 302"/>
                              <a:gd name="T106" fmla="*/ 7512 w 7528"/>
                              <a:gd name="T107" fmla="*/ 9 h 302"/>
                              <a:gd name="T108" fmla="*/ 7528 w 7528"/>
                              <a:gd name="T109" fmla="*/ 9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2">
                                <a:moveTo>
                                  <a:pt x="8" y="0"/>
                                </a:moveTo>
                                <a:lnTo>
                                  <a:pt x="7520" y="0"/>
                                </a:lnTo>
                                <a:lnTo>
                                  <a:pt x="7520" y="18"/>
                                </a:lnTo>
                                <a:lnTo>
                                  <a:pt x="8" y="18"/>
                                </a:lnTo>
                                <a:lnTo>
                                  <a:pt x="8" y="0"/>
                                </a:lnTo>
                                <a:close/>
                                <a:moveTo>
                                  <a:pt x="16" y="9"/>
                                </a:moveTo>
                                <a:lnTo>
                                  <a:pt x="16" y="302"/>
                                </a:lnTo>
                                <a:lnTo>
                                  <a:pt x="0" y="302"/>
                                </a:lnTo>
                                <a:lnTo>
                                  <a:pt x="0" y="9"/>
                                </a:lnTo>
                                <a:lnTo>
                                  <a:pt x="16" y="9"/>
                                </a:lnTo>
                                <a:close/>
                                <a:moveTo>
                                  <a:pt x="875" y="9"/>
                                </a:moveTo>
                                <a:lnTo>
                                  <a:pt x="875" y="302"/>
                                </a:lnTo>
                                <a:lnTo>
                                  <a:pt x="859" y="302"/>
                                </a:lnTo>
                                <a:lnTo>
                                  <a:pt x="859" y="9"/>
                                </a:lnTo>
                                <a:lnTo>
                                  <a:pt x="875" y="9"/>
                                </a:lnTo>
                                <a:close/>
                                <a:moveTo>
                                  <a:pt x="1702" y="9"/>
                                </a:moveTo>
                                <a:lnTo>
                                  <a:pt x="1702" y="302"/>
                                </a:lnTo>
                                <a:lnTo>
                                  <a:pt x="1687" y="302"/>
                                </a:lnTo>
                                <a:lnTo>
                                  <a:pt x="1687" y="9"/>
                                </a:lnTo>
                                <a:lnTo>
                                  <a:pt x="1702" y="9"/>
                                </a:lnTo>
                                <a:close/>
                                <a:moveTo>
                                  <a:pt x="2530" y="9"/>
                                </a:moveTo>
                                <a:lnTo>
                                  <a:pt x="2530" y="302"/>
                                </a:lnTo>
                                <a:lnTo>
                                  <a:pt x="2515" y="302"/>
                                </a:lnTo>
                                <a:lnTo>
                                  <a:pt x="2515" y="9"/>
                                </a:lnTo>
                                <a:lnTo>
                                  <a:pt x="2530" y="9"/>
                                </a:lnTo>
                                <a:close/>
                                <a:moveTo>
                                  <a:pt x="3373" y="9"/>
                                </a:moveTo>
                                <a:lnTo>
                                  <a:pt x="3373" y="302"/>
                                </a:lnTo>
                                <a:lnTo>
                                  <a:pt x="3358" y="302"/>
                                </a:lnTo>
                                <a:lnTo>
                                  <a:pt x="3358" y="9"/>
                                </a:lnTo>
                                <a:lnTo>
                                  <a:pt x="3373" y="9"/>
                                </a:lnTo>
                                <a:close/>
                                <a:moveTo>
                                  <a:pt x="4201" y="9"/>
                                </a:moveTo>
                                <a:lnTo>
                                  <a:pt x="4201" y="302"/>
                                </a:lnTo>
                                <a:lnTo>
                                  <a:pt x="4186" y="302"/>
                                </a:lnTo>
                                <a:lnTo>
                                  <a:pt x="4186" y="9"/>
                                </a:lnTo>
                                <a:lnTo>
                                  <a:pt x="4201" y="9"/>
                                </a:lnTo>
                                <a:close/>
                                <a:moveTo>
                                  <a:pt x="5029" y="9"/>
                                </a:moveTo>
                                <a:lnTo>
                                  <a:pt x="5029" y="302"/>
                                </a:lnTo>
                                <a:lnTo>
                                  <a:pt x="5013" y="302"/>
                                </a:lnTo>
                                <a:lnTo>
                                  <a:pt x="5013" y="9"/>
                                </a:lnTo>
                                <a:lnTo>
                                  <a:pt x="5029" y="9"/>
                                </a:lnTo>
                                <a:close/>
                                <a:moveTo>
                                  <a:pt x="5857" y="9"/>
                                </a:moveTo>
                                <a:lnTo>
                                  <a:pt x="5857" y="302"/>
                                </a:lnTo>
                                <a:lnTo>
                                  <a:pt x="5841" y="302"/>
                                </a:lnTo>
                                <a:lnTo>
                                  <a:pt x="5841" y="9"/>
                                </a:lnTo>
                                <a:lnTo>
                                  <a:pt x="5857" y="9"/>
                                </a:lnTo>
                                <a:close/>
                                <a:moveTo>
                                  <a:pt x="6684" y="9"/>
                                </a:moveTo>
                                <a:lnTo>
                                  <a:pt x="6684" y="302"/>
                                </a:lnTo>
                                <a:lnTo>
                                  <a:pt x="6669" y="302"/>
                                </a:lnTo>
                                <a:lnTo>
                                  <a:pt x="6669" y="9"/>
                                </a:lnTo>
                                <a:lnTo>
                                  <a:pt x="6684" y="9"/>
                                </a:lnTo>
                                <a:close/>
                                <a:moveTo>
                                  <a:pt x="7528" y="9"/>
                                </a:moveTo>
                                <a:lnTo>
                                  <a:pt x="7528" y="302"/>
                                </a:lnTo>
                                <a:lnTo>
                                  <a:pt x="7512" y="302"/>
                                </a:lnTo>
                                <a:lnTo>
                                  <a:pt x="7512" y="9"/>
                                </a:lnTo>
                                <a:lnTo>
                                  <a:pt x="7528" y="9"/>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63" name="Rectangle 159"/>
                        <wps:cNvSpPr>
                          <a:spLocks noChangeArrowheads="1"/>
                        </wps:cNvSpPr>
                        <wps:spPr bwMode="auto">
                          <a:xfrm>
                            <a:off x="1926" y="6181"/>
                            <a:ext cx="94" cy="87"/>
                          </a:xfrm>
                          <a:prstGeom prst="rect">
                            <a:avLst/>
                          </a:prstGeom>
                          <a:solidFill>
                            <a:srgbClr val="99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Freeform 160"/>
                        <wps:cNvSpPr>
                          <a:spLocks noEditPoints="1"/>
                        </wps:cNvSpPr>
                        <wps:spPr bwMode="auto">
                          <a:xfrm>
                            <a:off x="1918" y="6173"/>
                            <a:ext cx="109" cy="103"/>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65" name="Rectangle 161"/>
                        <wps:cNvSpPr>
                          <a:spLocks noChangeArrowheads="1"/>
                        </wps:cNvSpPr>
                        <wps:spPr bwMode="auto">
                          <a:xfrm>
                            <a:off x="2056" y="6114"/>
                            <a:ext cx="5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Глава ІІ</w:t>
                              </w:r>
                            </w:p>
                          </w:txbxContent>
                        </wps:txbx>
                        <wps:bodyPr rot="0" vert="horz" wrap="square" lIns="0" tIns="0" rIns="0" bIns="0" anchor="t" anchorCtr="0">
                          <a:noAutofit/>
                        </wps:bodyPr>
                      </wps:wsp>
                      <wps:wsp>
                        <wps:cNvPr id="266" name="Rectangle 162"/>
                        <wps:cNvSpPr>
                          <a:spLocks noChangeArrowheads="1"/>
                        </wps:cNvSpPr>
                        <wps:spPr bwMode="auto">
                          <a:xfrm>
                            <a:off x="3041" y="612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365</w:t>
                              </w:r>
                            </w:p>
                          </w:txbxContent>
                        </wps:txbx>
                        <wps:bodyPr rot="0" vert="horz" wrap="square" lIns="0" tIns="0" rIns="0" bIns="0" anchor="t" anchorCtr="0">
                          <a:noAutofit/>
                        </wps:bodyPr>
                      </wps:wsp>
                      <wps:wsp>
                        <wps:cNvPr id="267" name="Rectangle 163"/>
                        <wps:cNvSpPr>
                          <a:spLocks noChangeArrowheads="1"/>
                        </wps:cNvSpPr>
                        <wps:spPr bwMode="auto">
                          <a:xfrm>
                            <a:off x="3871" y="612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245</w:t>
                              </w:r>
                            </w:p>
                          </w:txbxContent>
                        </wps:txbx>
                        <wps:bodyPr rot="0" vert="horz" wrap="square" lIns="0" tIns="0" rIns="0" bIns="0" anchor="t" anchorCtr="0">
                          <a:noAutofit/>
                        </wps:bodyPr>
                      </wps:wsp>
                      <wps:wsp>
                        <wps:cNvPr id="268" name="Rectangle 164"/>
                        <wps:cNvSpPr>
                          <a:spLocks noChangeArrowheads="1"/>
                        </wps:cNvSpPr>
                        <wps:spPr bwMode="auto">
                          <a:xfrm>
                            <a:off x="4702" y="612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278</w:t>
                              </w:r>
                            </w:p>
                          </w:txbxContent>
                        </wps:txbx>
                        <wps:bodyPr rot="0" vert="horz" wrap="square" lIns="0" tIns="0" rIns="0" bIns="0" anchor="t" anchorCtr="0">
                          <a:noAutofit/>
                        </wps:bodyPr>
                      </wps:wsp>
                      <wps:wsp>
                        <wps:cNvPr id="269" name="Rectangle 165"/>
                        <wps:cNvSpPr>
                          <a:spLocks noChangeArrowheads="1"/>
                        </wps:cNvSpPr>
                        <wps:spPr bwMode="auto">
                          <a:xfrm>
                            <a:off x="5574" y="612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63</w:t>
                              </w:r>
                            </w:p>
                          </w:txbxContent>
                        </wps:txbx>
                        <wps:bodyPr rot="0" vert="horz" wrap="square" lIns="0" tIns="0" rIns="0" bIns="0" anchor="t" anchorCtr="0">
                          <a:noAutofit/>
                        </wps:bodyPr>
                      </wps:wsp>
                      <wps:wsp>
                        <wps:cNvPr id="270" name="Rectangle 166"/>
                        <wps:cNvSpPr>
                          <a:spLocks noChangeArrowheads="1"/>
                        </wps:cNvSpPr>
                        <wps:spPr bwMode="auto">
                          <a:xfrm>
                            <a:off x="6404" y="612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67</w:t>
                              </w:r>
                            </w:p>
                          </w:txbxContent>
                        </wps:txbx>
                        <wps:bodyPr rot="0" vert="horz" wrap="square" lIns="0" tIns="0" rIns="0" bIns="0" anchor="t" anchorCtr="0">
                          <a:noAutofit/>
                        </wps:bodyPr>
                      </wps:wsp>
                      <wps:wsp>
                        <wps:cNvPr id="271" name="Rectangle 167"/>
                        <wps:cNvSpPr>
                          <a:spLocks noChangeArrowheads="1"/>
                        </wps:cNvSpPr>
                        <wps:spPr bwMode="auto">
                          <a:xfrm>
                            <a:off x="7235" y="612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57</w:t>
                              </w:r>
                            </w:p>
                          </w:txbxContent>
                        </wps:txbx>
                        <wps:bodyPr rot="0" vert="horz" wrap="square" lIns="0" tIns="0" rIns="0" bIns="0" anchor="t" anchorCtr="0">
                          <a:noAutofit/>
                        </wps:bodyPr>
                      </wps:wsp>
                      <wps:wsp>
                        <wps:cNvPr id="272" name="Rectangle 168"/>
                        <wps:cNvSpPr>
                          <a:spLocks noChangeArrowheads="1"/>
                        </wps:cNvSpPr>
                        <wps:spPr bwMode="auto">
                          <a:xfrm>
                            <a:off x="8066" y="612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66</w:t>
                              </w:r>
                            </w:p>
                          </w:txbxContent>
                        </wps:txbx>
                        <wps:bodyPr rot="0" vert="horz" wrap="square" lIns="0" tIns="0" rIns="0" bIns="0" anchor="t" anchorCtr="0">
                          <a:noAutofit/>
                        </wps:bodyPr>
                      </wps:wsp>
                      <wps:wsp>
                        <wps:cNvPr id="273" name="Freeform 169"/>
                        <wps:cNvSpPr>
                          <a:spLocks noEditPoints="1"/>
                        </wps:cNvSpPr>
                        <wps:spPr bwMode="auto">
                          <a:xfrm>
                            <a:off x="1871" y="6362"/>
                            <a:ext cx="7528" cy="302"/>
                          </a:xfrm>
                          <a:custGeom>
                            <a:avLst/>
                            <a:gdLst>
                              <a:gd name="T0" fmla="*/ 8 w 7528"/>
                              <a:gd name="T1" fmla="*/ 0 h 302"/>
                              <a:gd name="T2" fmla="*/ 7520 w 7528"/>
                              <a:gd name="T3" fmla="*/ 0 h 302"/>
                              <a:gd name="T4" fmla="*/ 7520 w 7528"/>
                              <a:gd name="T5" fmla="*/ 18 h 302"/>
                              <a:gd name="T6" fmla="*/ 8 w 7528"/>
                              <a:gd name="T7" fmla="*/ 18 h 302"/>
                              <a:gd name="T8" fmla="*/ 8 w 7528"/>
                              <a:gd name="T9" fmla="*/ 0 h 302"/>
                              <a:gd name="T10" fmla="*/ 16 w 7528"/>
                              <a:gd name="T11" fmla="*/ 9 h 302"/>
                              <a:gd name="T12" fmla="*/ 16 w 7528"/>
                              <a:gd name="T13" fmla="*/ 302 h 302"/>
                              <a:gd name="T14" fmla="*/ 0 w 7528"/>
                              <a:gd name="T15" fmla="*/ 302 h 302"/>
                              <a:gd name="T16" fmla="*/ 0 w 7528"/>
                              <a:gd name="T17" fmla="*/ 9 h 302"/>
                              <a:gd name="T18" fmla="*/ 16 w 7528"/>
                              <a:gd name="T19" fmla="*/ 9 h 302"/>
                              <a:gd name="T20" fmla="*/ 875 w 7528"/>
                              <a:gd name="T21" fmla="*/ 9 h 302"/>
                              <a:gd name="T22" fmla="*/ 875 w 7528"/>
                              <a:gd name="T23" fmla="*/ 302 h 302"/>
                              <a:gd name="T24" fmla="*/ 859 w 7528"/>
                              <a:gd name="T25" fmla="*/ 302 h 302"/>
                              <a:gd name="T26" fmla="*/ 859 w 7528"/>
                              <a:gd name="T27" fmla="*/ 9 h 302"/>
                              <a:gd name="T28" fmla="*/ 875 w 7528"/>
                              <a:gd name="T29" fmla="*/ 9 h 302"/>
                              <a:gd name="T30" fmla="*/ 1702 w 7528"/>
                              <a:gd name="T31" fmla="*/ 9 h 302"/>
                              <a:gd name="T32" fmla="*/ 1702 w 7528"/>
                              <a:gd name="T33" fmla="*/ 302 h 302"/>
                              <a:gd name="T34" fmla="*/ 1687 w 7528"/>
                              <a:gd name="T35" fmla="*/ 302 h 302"/>
                              <a:gd name="T36" fmla="*/ 1687 w 7528"/>
                              <a:gd name="T37" fmla="*/ 9 h 302"/>
                              <a:gd name="T38" fmla="*/ 1702 w 7528"/>
                              <a:gd name="T39" fmla="*/ 9 h 302"/>
                              <a:gd name="T40" fmla="*/ 2530 w 7528"/>
                              <a:gd name="T41" fmla="*/ 9 h 302"/>
                              <a:gd name="T42" fmla="*/ 2530 w 7528"/>
                              <a:gd name="T43" fmla="*/ 302 h 302"/>
                              <a:gd name="T44" fmla="*/ 2515 w 7528"/>
                              <a:gd name="T45" fmla="*/ 302 h 302"/>
                              <a:gd name="T46" fmla="*/ 2515 w 7528"/>
                              <a:gd name="T47" fmla="*/ 9 h 302"/>
                              <a:gd name="T48" fmla="*/ 2530 w 7528"/>
                              <a:gd name="T49" fmla="*/ 9 h 302"/>
                              <a:gd name="T50" fmla="*/ 3373 w 7528"/>
                              <a:gd name="T51" fmla="*/ 9 h 302"/>
                              <a:gd name="T52" fmla="*/ 3373 w 7528"/>
                              <a:gd name="T53" fmla="*/ 302 h 302"/>
                              <a:gd name="T54" fmla="*/ 3358 w 7528"/>
                              <a:gd name="T55" fmla="*/ 302 h 302"/>
                              <a:gd name="T56" fmla="*/ 3358 w 7528"/>
                              <a:gd name="T57" fmla="*/ 9 h 302"/>
                              <a:gd name="T58" fmla="*/ 3373 w 7528"/>
                              <a:gd name="T59" fmla="*/ 9 h 302"/>
                              <a:gd name="T60" fmla="*/ 4201 w 7528"/>
                              <a:gd name="T61" fmla="*/ 9 h 302"/>
                              <a:gd name="T62" fmla="*/ 4201 w 7528"/>
                              <a:gd name="T63" fmla="*/ 302 h 302"/>
                              <a:gd name="T64" fmla="*/ 4186 w 7528"/>
                              <a:gd name="T65" fmla="*/ 302 h 302"/>
                              <a:gd name="T66" fmla="*/ 4186 w 7528"/>
                              <a:gd name="T67" fmla="*/ 9 h 302"/>
                              <a:gd name="T68" fmla="*/ 4201 w 7528"/>
                              <a:gd name="T69" fmla="*/ 9 h 302"/>
                              <a:gd name="T70" fmla="*/ 5029 w 7528"/>
                              <a:gd name="T71" fmla="*/ 9 h 302"/>
                              <a:gd name="T72" fmla="*/ 5029 w 7528"/>
                              <a:gd name="T73" fmla="*/ 302 h 302"/>
                              <a:gd name="T74" fmla="*/ 5013 w 7528"/>
                              <a:gd name="T75" fmla="*/ 302 h 302"/>
                              <a:gd name="T76" fmla="*/ 5013 w 7528"/>
                              <a:gd name="T77" fmla="*/ 9 h 302"/>
                              <a:gd name="T78" fmla="*/ 5029 w 7528"/>
                              <a:gd name="T79" fmla="*/ 9 h 302"/>
                              <a:gd name="T80" fmla="*/ 5857 w 7528"/>
                              <a:gd name="T81" fmla="*/ 9 h 302"/>
                              <a:gd name="T82" fmla="*/ 5857 w 7528"/>
                              <a:gd name="T83" fmla="*/ 302 h 302"/>
                              <a:gd name="T84" fmla="*/ 5841 w 7528"/>
                              <a:gd name="T85" fmla="*/ 302 h 302"/>
                              <a:gd name="T86" fmla="*/ 5841 w 7528"/>
                              <a:gd name="T87" fmla="*/ 9 h 302"/>
                              <a:gd name="T88" fmla="*/ 5857 w 7528"/>
                              <a:gd name="T89" fmla="*/ 9 h 302"/>
                              <a:gd name="T90" fmla="*/ 6684 w 7528"/>
                              <a:gd name="T91" fmla="*/ 9 h 302"/>
                              <a:gd name="T92" fmla="*/ 6684 w 7528"/>
                              <a:gd name="T93" fmla="*/ 302 h 302"/>
                              <a:gd name="T94" fmla="*/ 6669 w 7528"/>
                              <a:gd name="T95" fmla="*/ 302 h 302"/>
                              <a:gd name="T96" fmla="*/ 6669 w 7528"/>
                              <a:gd name="T97" fmla="*/ 9 h 302"/>
                              <a:gd name="T98" fmla="*/ 6684 w 7528"/>
                              <a:gd name="T99" fmla="*/ 9 h 302"/>
                              <a:gd name="T100" fmla="*/ 7528 w 7528"/>
                              <a:gd name="T101" fmla="*/ 9 h 302"/>
                              <a:gd name="T102" fmla="*/ 7528 w 7528"/>
                              <a:gd name="T103" fmla="*/ 302 h 302"/>
                              <a:gd name="T104" fmla="*/ 7512 w 7528"/>
                              <a:gd name="T105" fmla="*/ 302 h 302"/>
                              <a:gd name="T106" fmla="*/ 7512 w 7528"/>
                              <a:gd name="T107" fmla="*/ 9 h 302"/>
                              <a:gd name="T108" fmla="*/ 7528 w 7528"/>
                              <a:gd name="T109" fmla="*/ 9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2">
                                <a:moveTo>
                                  <a:pt x="8" y="0"/>
                                </a:moveTo>
                                <a:lnTo>
                                  <a:pt x="7520" y="0"/>
                                </a:lnTo>
                                <a:lnTo>
                                  <a:pt x="7520" y="18"/>
                                </a:lnTo>
                                <a:lnTo>
                                  <a:pt x="8" y="18"/>
                                </a:lnTo>
                                <a:lnTo>
                                  <a:pt x="8" y="0"/>
                                </a:lnTo>
                                <a:close/>
                                <a:moveTo>
                                  <a:pt x="16" y="9"/>
                                </a:moveTo>
                                <a:lnTo>
                                  <a:pt x="16" y="302"/>
                                </a:lnTo>
                                <a:lnTo>
                                  <a:pt x="0" y="302"/>
                                </a:lnTo>
                                <a:lnTo>
                                  <a:pt x="0" y="9"/>
                                </a:lnTo>
                                <a:lnTo>
                                  <a:pt x="16" y="9"/>
                                </a:lnTo>
                                <a:close/>
                                <a:moveTo>
                                  <a:pt x="875" y="9"/>
                                </a:moveTo>
                                <a:lnTo>
                                  <a:pt x="875" y="302"/>
                                </a:lnTo>
                                <a:lnTo>
                                  <a:pt x="859" y="302"/>
                                </a:lnTo>
                                <a:lnTo>
                                  <a:pt x="859" y="9"/>
                                </a:lnTo>
                                <a:lnTo>
                                  <a:pt x="875" y="9"/>
                                </a:lnTo>
                                <a:close/>
                                <a:moveTo>
                                  <a:pt x="1702" y="9"/>
                                </a:moveTo>
                                <a:lnTo>
                                  <a:pt x="1702" y="302"/>
                                </a:lnTo>
                                <a:lnTo>
                                  <a:pt x="1687" y="302"/>
                                </a:lnTo>
                                <a:lnTo>
                                  <a:pt x="1687" y="9"/>
                                </a:lnTo>
                                <a:lnTo>
                                  <a:pt x="1702" y="9"/>
                                </a:lnTo>
                                <a:close/>
                                <a:moveTo>
                                  <a:pt x="2530" y="9"/>
                                </a:moveTo>
                                <a:lnTo>
                                  <a:pt x="2530" y="302"/>
                                </a:lnTo>
                                <a:lnTo>
                                  <a:pt x="2515" y="302"/>
                                </a:lnTo>
                                <a:lnTo>
                                  <a:pt x="2515" y="9"/>
                                </a:lnTo>
                                <a:lnTo>
                                  <a:pt x="2530" y="9"/>
                                </a:lnTo>
                                <a:close/>
                                <a:moveTo>
                                  <a:pt x="3373" y="9"/>
                                </a:moveTo>
                                <a:lnTo>
                                  <a:pt x="3373" y="302"/>
                                </a:lnTo>
                                <a:lnTo>
                                  <a:pt x="3358" y="302"/>
                                </a:lnTo>
                                <a:lnTo>
                                  <a:pt x="3358" y="9"/>
                                </a:lnTo>
                                <a:lnTo>
                                  <a:pt x="3373" y="9"/>
                                </a:lnTo>
                                <a:close/>
                                <a:moveTo>
                                  <a:pt x="4201" y="9"/>
                                </a:moveTo>
                                <a:lnTo>
                                  <a:pt x="4201" y="302"/>
                                </a:lnTo>
                                <a:lnTo>
                                  <a:pt x="4186" y="302"/>
                                </a:lnTo>
                                <a:lnTo>
                                  <a:pt x="4186" y="9"/>
                                </a:lnTo>
                                <a:lnTo>
                                  <a:pt x="4201" y="9"/>
                                </a:lnTo>
                                <a:close/>
                                <a:moveTo>
                                  <a:pt x="5029" y="9"/>
                                </a:moveTo>
                                <a:lnTo>
                                  <a:pt x="5029" y="302"/>
                                </a:lnTo>
                                <a:lnTo>
                                  <a:pt x="5013" y="302"/>
                                </a:lnTo>
                                <a:lnTo>
                                  <a:pt x="5013" y="9"/>
                                </a:lnTo>
                                <a:lnTo>
                                  <a:pt x="5029" y="9"/>
                                </a:lnTo>
                                <a:close/>
                                <a:moveTo>
                                  <a:pt x="5857" y="9"/>
                                </a:moveTo>
                                <a:lnTo>
                                  <a:pt x="5857" y="302"/>
                                </a:lnTo>
                                <a:lnTo>
                                  <a:pt x="5841" y="302"/>
                                </a:lnTo>
                                <a:lnTo>
                                  <a:pt x="5841" y="9"/>
                                </a:lnTo>
                                <a:lnTo>
                                  <a:pt x="5857" y="9"/>
                                </a:lnTo>
                                <a:close/>
                                <a:moveTo>
                                  <a:pt x="6684" y="9"/>
                                </a:moveTo>
                                <a:lnTo>
                                  <a:pt x="6684" y="302"/>
                                </a:lnTo>
                                <a:lnTo>
                                  <a:pt x="6669" y="302"/>
                                </a:lnTo>
                                <a:lnTo>
                                  <a:pt x="6669" y="9"/>
                                </a:lnTo>
                                <a:lnTo>
                                  <a:pt x="6684" y="9"/>
                                </a:lnTo>
                                <a:close/>
                                <a:moveTo>
                                  <a:pt x="7528" y="9"/>
                                </a:moveTo>
                                <a:lnTo>
                                  <a:pt x="7528" y="302"/>
                                </a:lnTo>
                                <a:lnTo>
                                  <a:pt x="7512" y="302"/>
                                </a:lnTo>
                                <a:lnTo>
                                  <a:pt x="7512" y="9"/>
                                </a:lnTo>
                                <a:lnTo>
                                  <a:pt x="7528" y="9"/>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74" name="Rectangle 170"/>
                        <wps:cNvSpPr>
                          <a:spLocks noChangeArrowheads="1"/>
                        </wps:cNvSpPr>
                        <wps:spPr bwMode="auto">
                          <a:xfrm>
                            <a:off x="1926" y="6474"/>
                            <a:ext cx="94" cy="86"/>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Freeform 171"/>
                        <wps:cNvSpPr>
                          <a:spLocks noEditPoints="1"/>
                        </wps:cNvSpPr>
                        <wps:spPr bwMode="auto">
                          <a:xfrm>
                            <a:off x="1918" y="6466"/>
                            <a:ext cx="109" cy="103"/>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76" name="Rectangle 172"/>
                        <wps:cNvSpPr>
                          <a:spLocks noChangeArrowheads="1"/>
                        </wps:cNvSpPr>
                        <wps:spPr bwMode="auto">
                          <a:xfrm>
                            <a:off x="2045" y="6408"/>
                            <a:ext cx="6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Глава ІІІ</w:t>
                              </w:r>
                            </w:p>
                          </w:txbxContent>
                        </wps:txbx>
                        <wps:bodyPr rot="0" vert="horz" wrap="square" lIns="0" tIns="0" rIns="0" bIns="0" anchor="t" anchorCtr="0">
                          <a:noAutofit/>
                        </wps:bodyPr>
                      </wps:wsp>
                      <wps:wsp>
                        <wps:cNvPr id="277" name="Rectangle 173"/>
                        <wps:cNvSpPr>
                          <a:spLocks noChangeArrowheads="1"/>
                        </wps:cNvSpPr>
                        <wps:spPr bwMode="auto">
                          <a:xfrm>
                            <a:off x="3081" y="641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16</w:t>
                              </w:r>
                            </w:p>
                          </w:txbxContent>
                        </wps:txbx>
                        <wps:bodyPr rot="0" vert="horz" wrap="square" lIns="0" tIns="0" rIns="0" bIns="0" anchor="t" anchorCtr="0">
                          <a:noAutofit/>
                        </wps:bodyPr>
                      </wps:wsp>
                      <wps:wsp>
                        <wps:cNvPr id="278" name="Rectangle 174"/>
                        <wps:cNvSpPr>
                          <a:spLocks noChangeArrowheads="1"/>
                        </wps:cNvSpPr>
                        <wps:spPr bwMode="auto">
                          <a:xfrm>
                            <a:off x="3912" y="641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13</w:t>
                              </w:r>
                            </w:p>
                          </w:txbxContent>
                        </wps:txbx>
                        <wps:bodyPr rot="0" vert="horz" wrap="square" lIns="0" tIns="0" rIns="0" bIns="0" anchor="t" anchorCtr="0">
                          <a:noAutofit/>
                        </wps:bodyPr>
                      </wps:wsp>
                      <wps:wsp>
                        <wps:cNvPr id="279" name="Rectangle 175"/>
                        <wps:cNvSpPr>
                          <a:spLocks noChangeArrowheads="1"/>
                        </wps:cNvSpPr>
                        <wps:spPr bwMode="auto">
                          <a:xfrm>
                            <a:off x="4743" y="641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14</w:t>
                              </w:r>
                            </w:p>
                          </w:txbxContent>
                        </wps:txbx>
                        <wps:bodyPr rot="0" vert="horz" wrap="square" lIns="0" tIns="0" rIns="0" bIns="0" anchor="t" anchorCtr="0">
                          <a:noAutofit/>
                        </wps:bodyPr>
                      </wps:wsp>
                      <wps:wsp>
                        <wps:cNvPr id="280" name="Rectangle 176"/>
                        <wps:cNvSpPr>
                          <a:spLocks noChangeArrowheads="1"/>
                        </wps:cNvSpPr>
                        <wps:spPr bwMode="auto">
                          <a:xfrm>
                            <a:off x="5614" y="6413"/>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w:t>
                              </w:r>
                            </w:p>
                          </w:txbxContent>
                        </wps:txbx>
                        <wps:bodyPr rot="0" vert="horz" wrap="square" lIns="0" tIns="0" rIns="0" bIns="0" anchor="t" anchorCtr="0">
                          <a:noAutofit/>
                        </wps:bodyPr>
                      </wps:wsp>
                      <wps:wsp>
                        <wps:cNvPr id="281" name="Rectangle 177"/>
                        <wps:cNvSpPr>
                          <a:spLocks noChangeArrowheads="1"/>
                        </wps:cNvSpPr>
                        <wps:spPr bwMode="auto">
                          <a:xfrm>
                            <a:off x="6445" y="6413"/>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w:t>
                              </w:r>
                            </w:p>
                          </w:txbxContent>
                        </wps:txbx>
                        <wps:bodyPr rot="0" vert="horz" wrap="square" lIns="0" tIns="0" rIns="0" bIns="0" anchor="t" anchorCtr="0">
                          <a:noAutofit/>
                        </wps:bodyPr>
                      </wps:wsp>
                      <wps:wsp>
                        <wps:cNvPr id="282" name="Rectangle 178"/>
                        <wps:cNvSpPr>
                          <a:spLocks noChangeArrowheads="1"/>
                        </wps:cNvSpPr>
                        <wps:spPr bwMode="auto">
                          <a:xfrm>
                            <a:off x="7276" y="6413"/>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w:t>
                              </w:r>
                            </w:p>
                          </w:txbxContent>
                        </wps:txbx>
                        <wps:bodyPr rot="0" vert="horz" wrap="square" lIns="0" tIns="0" rIns="0" bIns="0" anchor="t" anchorCtr="0">
                          <a:noAutofit/>
                        </wps:bodyPr>
                      </wps:wsp>
                      <wps:wsp>
                        <wps:cNvPr id="283" name="Rectangle 179"/>
                        <wps:cNvSpPr>
                          <a:spLocks noChangeArrowheads="1"/>
                        </wps:cNvSpPr>
                        <wps:spPr bwMode="auto">
                          <a:xfrm>
                            <a:off x="8107" y="6413"/>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w:t>
                              </w:r>
                            </w:p>
                          </w:txbxContent>
                        </wps:txbx>
                        <wps:bodyPr rot="0" vert="horz" wrap="square" lIns="0" tIns="0" rIns="0" bIns="0" anchor="t" anchorCtr="0">
                          <a:noAutofit/>
                        </wps:bodyPr>
                      </wps:wsp>
                      <wps:wsp>
                        <wps:cNvPr id="284" name="Freeform 180"/>
                        <wps:cNvSpPr>
                          <a:spLocks noEditPoints="1"/>
                        </wps:cNvSpPr>
                        <wps:spPr bwMode="auto">
                          <a:xfrm>
                            <a:off x="1871" y="6655"/>
                            <a:ext cx="7528" cy="302"/>
                          </a:xfrm>
                          <a:custGeom>
                            <a:avLst/>
                            <a:gdLst>
                              <a:gd name="T0" fmla="*/ 8 w 7528"/>
                              <a:gd name="T1" fmla="*/ 0 h 302"/>
                              <a:gd name="T2" fmla="*/ 7520 w 7528"/>
                              <a:gd name="T3" fmla="*/ 0 h 302"/>
                              <a:gd name="T4" fmla="*/ 7520 w 7528"/>
                              <a:gd name="T5" fmla="*/ 17 h 302"/>
                              <a:gd name="T6" fmla="*/ 8 w 7528"/>
                              <a:gd name="T7" fmla="*/ 17 h 302"/>
                              <a:gd name="T8" fmla="*/ 8 w 7528"/>
                              <a:gd name="T9" fmla="*/ 0 h 302"/>
                              <a:gd name="T10" fmla="*/ 16 w 7528"/>
                              <a:gd name="T11" fmla="*/ 9 h 302"/>
                              <a:gd name="T12" fmla="*/ 16 w 7528"/>
                              <a:gd name="T13" fmla="*/ 302 h 302"/>
                              <a:gd name="T14" fmla="*/ 0 w 7528"/>
                              <a:gd name="T15" fmla="*/ 302 h 302"/>
                              <a:gd name="T16" fmla="*/ 0 w 7528"/>
                              <a:gd name="T17" fmla="*/ 9 h 302"/>
                              <a:gd name="T18" fmla="*/ 16 w 7528"/>
                              <a:gd name="T19" fmla="*/ 9 h 302"/>
                              <a:gd name="T20" fmla="*/ 875 w 7528"/>
                              <a:gd name="T21" fmla="*/ 9 h 302"/>
                              <a:gd name="T22" fmla="*/ 875 w 7528"/>
                              <a:gd name="T23" fmla="*/ 302 h 302"/>
                              <a:gd name="T24" fmla="*/ 859 w 7528"/>
                              <a:gd name="T25" fmla="*/ 302 h 302"/>
                              <a:gd name="T26" fmla="*/ 859 w 7528"/>
                              <a:gd name="T27" fmla="*/ 9 h 302"/>
                              <a:gd name="T28" fmla="*/ 875 w 7528"/>
                              <a:gd name="T29" fmla="*/ 9 h 302"/>
                              <a:gd name="T30" fmla="*/ 1702 w 7528"/>
                              <a:gd name="T31" fmla="*/ 9 h 302"/>
                              <a:gd name="T32" fmla="*/ 1702 w 7528"/>
                              <a:gd name="T33" fmla="*/ 302 h 302"/>
                              <a:gd name="T34" fmla="*/ 1687 w 7528"/>
                              <a:gd name="T35" fmla="*/ 302 h 302"/>
                              <a:gd name="T36" fmla="*/ 1687 w 7528"/>
                              <a:gd name="T37" fmla="*/ 9 h 302"/>
                              <a:gd name="T38" fmla="*/ 1702 w 7528"/>
                              <a:gd name="T39" fmla="*/ 9 h 302"/>
                              <a:gd name="T40" fmla="*/ 2530 w 7528"/>
                              <a:gd name="T41" fmla="*/ 9 h 302"/>
                              <a:gd name="T42" fmla="*/ 2530 w 7528"/>
                              <a:gd name="T43" fmla="*/ 302 h 302"/>
                              <a:gd name="T44" fmla="*/ 2515 w 7528"/>
                              <a:gd name="T45" fmla="*/ 302 h 302"/>
                              <a:gd name="T46" fmla="*/ 2515 w 7528"/>
                              <a:gd name="T47" fmla="*/ 9 h 302"/>
                              <a:gd name="T48" fmla="*/ 2530 w 7528"/>
                              <a:gd name="T49" fmla="*/ 9 h 302"/>
                              <a:gd name="T50" fmla="*/ 3373 w 7528"/>
                              <a:gd name="T51" fmla="*/ 9 h 302"/>
                              <a:gd name="T52" fmla="*/ 3373 w 7528"/>
                              <a:gd name="T53" fmla="*/ 302 h 302"/>
                              <a:gd name="T54" fmla="*/ 3358 w 7528"/>
                              <a:gd name="T55" fmla="*/ 302 h 302"/>
                              <a:gd name="T56" fmla="*/ 3358 w 7528"/>
                              <a:gd name="T57" fmla="*/ 9 h 302"/>
                              <a:gd name="T58" fmla="*/ 3373 w 7528"/>
                              <a:gd name="T59" fmla="*/ 9 h 302"/>
                              <a:gd name="T60" fmla="*/ 4201 w 7528"/>
                              <a:gd name="T61" fmla="*/ 9 h 302"/>
                              <a:gd name="T62" fmla="*/ 4201 w 7528"/>
                              <a:gd name="T63" fmla="*/ 302 h 302"/>
                              <a:gd name="T64" fmla="*/ 4186 w 7528"/>
                              <a:gd name="T65" fmla="*/ 302 h 302"/>
                              <a:gd name="T66" fmla="*/ 4186 w 7528"/>
                              <a:gd name="T67" fmla="*/ 9 h 302"/>
                              <a:gd name="T68" fmla="*/ 4201 w 7528"/>
                              <a:gd name="T69" fmla="*/ 9 h 302"/>
                              <a:gd name="T70" fmla="*/ 5029 w 7528"/>
                              <a:gd name="T71" fmla="*/ 9 h 302"/>
                              <a:gd name="T72" fmla="*/ 5029 w 7528"/>
                              <a:gd name="T73" fmla="*/ 302 h 302"/>
                              <a:gd name="T74" fmla="*/ 5013 w 7528"/>
                              <a:gd name="T75" fmla="*/ 302 h 302"/>
                              <a:gd name="T76" fmla="*/ 5013 w 7528"/>
                              <a:gd name="T77" fmla="*/ 9 h 302"/>
                              <a:gd name="T78" fmla="*/ 5029 w 7528"/>
                              <a:gd name="T79" fmla="*/ 9 h 302"/>
                              <a:gd name="T80" fmla="*/ 5857 w 7528"/>
                              <a:gd name="T81" fmla="*/ 9 h 302"/>
                              <a:gd name="T82" fmla="*/ 5857 w 7528"/>
                              <a:gd name="T83" fmla="*/ 302 h 302"/>
                              <a:gd name="T84" fmla="*/ 5841 w 7528"/>
                              <a:gd name="T85" fmla="*/ 302 h 302"/>
                              <a:gd name="T86" fmla="*/ 5841 w 7528"/>
                              <a:gd name="T87" fmla="*/ 9 h 302"/>
                              <a:gd name="T88" fmla="*/ 5857 w 7528"/>
                              <a:gd name="T89" fmla="*/ 9 h 302"/>
                              <a:gd name="T90" fmla="*/ 6684 w 7528"/>
                              <a:gd name="T91" fmla="*/ 9 h 302"/>
                              <a:gd name="T92" fmla="*/ 6684 w 7528"/>
                              <a:gd name="T93" fmla="*/ 302 h 302"/>
                              <a:gd name="T94" fmla="*/ 6669 w 7528"/>
                              <a:gd name="T95" fmla="*/ 302 h 302"/>
                              <a:gd name="T96" fmla="*/ 6669 w 7528"/>
                              <a:gd name="T97" fmla="*/ 9 h 302"/>
                              <a:gd name="T98" fmla="*/ 6684 w 7528"/>
                              <a:gd name="T99" fmla="*/ 9 h 302"/>
                              <a:gd name="T100" fmla="*/ 7528 w 7528"/>
                              <a:gd name="T101" fmla="*/ 9 h 302"/>
                              <a:gd name="T102" fmla="*/ 7528 w 7528"/>
                              <a:gd name="T103" fmla="*/ 302 h 302"/>
                              <a:gd name="T104" fmla="*/ 7512 w 7528"/>
                              <a:gd name="T105" fmla="*/ 302 h 302"/>
                              <a:gd name="T106" fmla="*/ 7512 w 7528"/>
                              <a:gd name="T107" fmla="*/ 9 h 302"/>
                              <a:gd name="T108" fmla="*/ 7528 w 7528"/>
                              <a:gd name="T109" fmla="*/ 9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2">
                                <a:moveTo>
                                  <a:pt x="8" y="0"/>
                                </a:moveTo>
                                <a:lnTo>
                                  <a:pt x="7520" y="0"/>
                                </a:lnTo>
                                <a:lnTo>
                                  <a:pt x="7520" y="17"/>
                                </a:lnTo>
                                <a:lnTo>
                                  <a:pt x="8" y="17"/>
                                </a:lnTo>
                                <a:lnTo>
                                  <a:pt x="8" y="0"/>
                                </a:lnTo>
                                <a:close/>
                                <a:moveTo>
                                  <a:pt x="16" y="9"/>
                                </a:moveTo>
                                <a:lnTo>
                                  <a:pt x="16" y="302"/>
                                </a:lnTo>
                                <a:lnTo>
                                  <a:pt x="0" y="302"/>
                                </a:lnTo>
                                <a:lnTo>
                                  <a:pt x="0" y="9"/>
                                </a:lnTo>
                                <a:lnTo>
                                  <a:pt x="16" y="9"/>
                                </a:lnTo>
                                <a:close/>
                                <a:moveTo>
                                  <a:pt x="875" y="9"/>
                                </a:moveTo>
                                <a:lnTo>
                                  <a:pt x="875" y="302"/>
                                </a:lnTo>
                                <a:lnTo>
                                  <a:pt x="859" y="302"/>
                                </a:lnTo>
                                <a:lnTo>
                                  <a:pt x="859" y="9"/>
                                </a:lnTo>
                                <a:lnTo>
                                  <a:pt x="875" y="9"/>
                                </a:lnTo>
                                <a:close/>
                                <a:moveTo>
                                  <a:pt x="1702" y="9"/>
                                </a:moveTo>
                                <a:lnTo>
                                  <a:pt x="1702" y="302"/>
                                </a:lnTo>
                                <a:lnTo>
                                  <a:pt x="1687" y="302"/>
                                </a:lnTo>
                                <a:lnTo>
                                  <a:pt x="1687" y="9"/>
                                </a:lnTo>
                                <a:lnTo>
                                  <a:pt x="1702" y="9"/>
                                </a:lnTo>
                                <a:close/>
                                <a:moveTo>
                                  <a:pt x="2530" y="9"/>
                                </a:moveTo>
                                <a:lnTo>
                                  <a:pt x="2530" y="302"/>
                                </a:lnTo>
                                <a:lnTo>
                                  <a:pt x="2515" y="302"/>
                                </a:lnTo>
                                <a:lnTo>
                                  <a:pt x="2515" y="9"/>
                                </a:lnTo>
                                <a:lnTo>
                                  <a:pt x="2530" y="9"/>
                                </a:lnTo>
                                <a:close/>
                                <a:moveTo>
                                  <a:pt x="3373" y="9"/>
                                </a:moveTo>
                                <a:lnTo>
                                  <a:pt x="3373" y="302"/>
                                </a:lnTo>
                                <a:lnTo>
                                  <a:pt x="3358" y="302"/>
                                </a:lnTo>
                                <a:lnTo>
                                  <a:pt x="3358" y="9"/>
                                </a:lnTo>
                                <a:lnTo>
                                  <a:pt x="3373" y="9"/>
                                </a:lnTo>
                                <a:close/>
                                <a:moveTo>
                                  <a:pt x="4201" y="9"/>
                                </a:moveTo>
                                <a:lnTo>
                                  <a:pt x="4201" y="302"/>
                                </a:lnTo>
                                <a:lnTo>
                                  <a:pt x="4186" y="302"/>
                                </a:lnTo>
                                <a:lnTo>
                                  <a:pt x="4186" y="9"/>
                                </a:lnTo>
                                <a:lnTo>
                                  <a:pt x="4201" y="9"/>
                                </a:lnTo>
                                <a:close/>
                                <a:moveTo>
                                  <a:pt x="5029" y="9"/>
                                </a:moveTo>
                                <a:lnTo>
                                  <a:pt x="5029" y="302"/>
                                </a:lnTo>
                                <a:lnTo>
                                  <a:pt x="5013" y="302"/>
                                </a:lnTo>
                                <a:lnTo>
                                  <a:pt x="5013" y="9"/>
                                </a:lnTo>
                                <a:lnTo>
                                  <a:pt x="5029" y="9"/>
                                </a:lnTo>
                                <a:close/>
                                <a:moveTo>
                                  <a:pt x="5857" y="9"/>
                                </a:moveTo>
                                <a:lnTo>
                                  <a:pt x="5857" y="302"/>
                                </a:lnTo>
                                <a:lnTo>
                                  <a:pt x="5841" y="302"/>
                                </a:lnTo>
                                <a:lnTo>
                                  <a:pt x="5841" y="9"/>
                                </a:lnTo>
                                <a:lnTo>
                                  <a:pt x="5857" y="9"/>
                                </a:lnTo>
                                <a:close/>
                                <a:moveTo>
                                  <a:pt x="6684" y="9"/>
                                </a:moveTo>
                                <a:lnTo>
                                  <a:pt x="6684" y="302"/>
                                </a:lnTo>
                                <a:lnTo>
                                  <a:pt x="6669" y="302"/>
                                </a:lnTo>
                                <a:lnTo>
                                  <a:pt x="6669" y="9"/>
                                </a:lnTo>
                                <a:lnTo>
                                  <a:pt x="6684" y="9"/>
                                </a:lnTo>
                                <a:close/>
                                <a:moveTo>
                                  <a:pt x="7528" y="9"/>
                                </a:moveTo>
                                <a:lnTo>
                                  <a:pt x="7528" y="302"/>
                                </a:lnTo>
                                <a:lnTo>
                                  <a:pt x="7512" y="302"/>
                                </a:lnTo>
                                <a:lnTo>
                                  <a:pt x="7512" y="9"/>
                                </a:lnTo>
                                <a:lnTo>
                                  <a:pt x="7528" y="9"/>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85" name="Rectangle 181"/>
                        <wps:cNvSpPr>
                          <a:spLocks noChangeArrowheads="1"/>
                        </wps:cNvSpPr>
                        <wps:spPr bwMode="auto">
                          <a:xfrm>
                            <a:off x="1926" y="6767"/>
                            <a:ext cx="94" cy="86"/>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82"/>
                        <wps:cNvSpPr>
                          <a:spLocks noEditPoints="1"/>
                        </wps:cNvSpPr>
                        <wps:spPr bwMode="auto">
                          <a:xfrm>
                            <a:off x="1918" y="6759"/>
                            <a:ext cx="109" cy="103"/>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87" name="Rectangle 183"/>
                        <wps:cNvSpPr>
                          <a:spLocks noChangeArrowheads="1"/>
                        </wps:cNvSpPr>
                        <wps:spPr bwMode="auto">
                          <a:xfrm>
                            <a:off x="2051" y="6701"/>
                            <a:ext cx="12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txbxContent>
                        </wps:txbx>
                        <wps:bodyPr rot="0" vert="horz" wrap="square" lIns="0" tIns="0" rIns="0" bIns="0" anchor="t" anchorCtr="0">
                          <a:noAutofit/>
                        </wps:bodyPr>
                      </wps:wsp>
                      <wps:wsp>
                        <wps:cNvPr id="288" name="Rectangle 184"/>
                        <wps:cNvSpPr>
                          <a:spLocks noChangeArrowheads="1"/>
                        </wps:cNvSpPr>
                        <wps:spPr bwMode="auto">
                          <a:xfrm>
                            <a:off x="2519" y="6701"/>
                            <a:ext cx="1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V</w:t>
                              </w:r>
                            </w:p>
                          </w:txbxContent>
                        </wps:txbx>
                        <wps:bodyPr rot="0" vert="horz" wrap="square" lIns="0" tIns="0" rIns="0" bIns="0" anchor="t" anchorCtr="0">
                          <a:noAutofit/>
                        </wps:bodyPr>
                      </wps:wsp>
                      <wps:wsp>
                        <wps:cNvPr id="289" name="Rectangle 185"/>
                        <wps:cNvSpPr>
                          <a:spLocks noChangeArrowheads="1"/>
                        </wps:cNvSpPr>
                        <wps:spPr bwMode="auto">
                          <a:xfrm>
                            <a:off x="3081" y="6707"/>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86</w:t>
                              </w:r>
                            </w:p>
                          </w:txbxContent>
                        </wps:txbx>
                        <wps:bodyPr rot="0" vert="horz" wrap="square" lIns="0" tIns="0" rIns="0" bIns="0" anchor="t" anchorCtr="0">
                          <a:noAutofit/>
                        </wps:bodyPr>
                      </wps:wsp>
                      <wps:wsp>
                        <wps:cNvPr id="290" name="Rectangle 186"/>
                        <wps:cNvSpPr>
                          <a:spLocks noChangeArrowheads="1"/>
                        </wps:cNvSpPr>
                        <wps:spPr bwMode="auto">
                          <a:xfrm>
                            <a:off x="3912" y="6707"/>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81</w:t>
                              </w:r>
                            </w:p>
                          </w:txbxContent>
                        </wps:txbx>
                        <wps:bodyPr rot="0" vert="horz" wrap="square" lIns="0" tIns="0" rIns="0" bIns="0" anchor="t" anchorCtr="0">
                          <a:noAutofit/>
                        </wps:bodyPr>
                      </wps:wsp>
                      <wps:wsp>
                        <wps:cNvPr id="291" name="Rectangle 187"/>
                        <wps:cNvSpPr>
                          <a:spLocks noChangeArrowheads="1"/>
                        </wps:cNvSpPr>
                        <wps:spPr bwMode="auto">
                          <a:xfrm>
                            <a:off x="4743" y="6707"/>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81</w:t>
                              </w:r>
                            </w:p>
                          </w:txbxContent>
                        </wps:txbx>
                        <wps:bodyPr rot="0" vert="horz" wrap="square" lIns="0" tIns="0" rIns="0" bIns="0" anchor="t" anchorCtr="0">
                          <a:noAutofit/>
                        </wps:bodyPr>
                      </wps:wsp>
                      <wps:wsp>
                        <wps:cNvPr id="292" name="Rectangle 188"/>
                        <wps:cNvSpPr>
                          <a:spLocks noChangeArrowheads="1"/>
                        </wps:cNvSpPr>
                        <wps:spPr bwMode="auto">
                          <a:xfrm>
                            <a:off x="5614" y="670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w:t>
                              </w:r>
                            </w:p>
                          </w:txbxContent>
                        </wps:txbx>
                        <wps:bodyPr rot="0" vert="horz" wrap="square" lIns="0" tIns="0" rIns="0" bIns="0" anchor="t" anchorCtr="0">
                          <a:noAutofit/>
                        </wps:bodyPr>
                      </wps:wsp>
                      <wps:wsp>
                        <wps:cNvPr id="293" name="Rectangle 189"/>
                        <wps:cNvSpPr>
                          <a:spLocks noChangeArrowheads="1"/>
                        </wps:cNvSpPr>
                        <wps:spPr bwMode="auto">
                          <a:xfrm>
                            <a:off x="6445" y="670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w:t>
                              </w:r>
                            </w:p>
                          </w:txbxContent>
                        </wps:txbx>
                        <wps:bodyPr rot="0" vert="horz" wrap="square" lIns="0" tIns="0" rIns="0" bIns="0" anchor="t" anchorCtr="0">
                          <a:noAutofit/>
                        </wps:bodyPr>
                      </wps:wsp>
                      <wps:wsp>
                        <wps:cNvPr id="294" name="Rectangle 190"/>
                        <wps:cNvSpPr>
                          <a:spLocks noChangeArrowheads="1"/>
                        </wps:cNvSpPr>
                        <wps:spPr bwMode="auto">
                          <a:xfrm>
                            <a:off x="7276" y="670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4</w:t>
                              </w:r>
                            </w:p>
                          </w:txbxContent>
                        </wps:txbx>
                        <wps:bodyPr rot="0" vert="horz" wrap="square" lIns="0" tIns="0" rIns="0" bIns="0" anchor="t" anchorCtr="0">
                          <a:noAutofit/>
                        </wps:bodyPr>
                      </wps:wsp>
                      <wps:wsp>
                        <wps:cNvPr id="295" name="Rectangle 191"/>
                        <wps:cNvSpPr>
                          <a:spLocks noChangeArrowheads="1"/>
                        </wps:cNvSpPr>
                        <wps:spPr bwMode="auto">
                          <a:xfrm>
                            <a:off x="8107" y="670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4</w:t>
                              </w:r>
                            </w:p>
                          </w:txbxContent>
                        </wps:txbx>
                        <wps:bodyPr rot="0" vert="horz" wrap="square" lIns="0" tIns="0" rIns="0" bIns="0" anchor="t" anchorCtr="0">
                          <a:noAutofit/>
                        </wps:bodyPr>
                      </wps:wsp>
                      <wps:wsp>
                        <wps:cNvPr id="296" name="Freeform 192"/>
                        <wps:cNvSpPr>
                          <a:spLocks noEditPoints="1"/>
                        </wps:cNvSpPr>
                        <wps:spPr bwMode="auto">
                          <a:xfrm>
                            <a:off x="1871" y="6948"/>
                            <a:ext cx="7528" cy="302"/>
                          </a:xfrm>
                          <a:custGeom>
                            <a:avLst/>
                            <a:gdLst>
                              <a:gd name="T0" fmla="*/ 8 w 7528"/>
                              <a:gd name="T1" fmla="*/ 0 h 302"/>
                              <a:gd name="T2" fmla="*/ 7520 w 7528"/>
                              <a:gd name="T3" fmla="*/ 0 h 302"/>
                              <a:gd name="T4" fmla="*/ 7520 w 7528"/>
                              <a:gd name="T5" fmla="*/ 17 h 302"/>
                              <a:gd name="T6" fmla="*/ 8 w 7528"/>
                              <a:gd name="T7" fmla="*/ 17 h 302"/>
                              <a:gd name="T8" fmla="*/ 8 w 7528"/>
                              <a:gd name="T9" fmla="*/ 0 h 302"/>
                              <a:gd name="T10" fmla="*/ 16 w 7528"/>
                              <a:gd name="T11" fmla="*/ 9 h 302"/>
                              <a:gd name="T12" fmla="*/ 16 w 7528"/>
                              <a:gd name="T13" fmla="*/ 302 h 302"/>
                              <a:gd name="T14" fmla="*/ 0 w 7528"/>
                              <a:gd name="T15" fmla="*/ 302 h 302"/>
                              <a:gd name="T16" fmla="*/ 0 w 7528"/>
                              <a:gd name="T17" fmla="*/ 9 h 302"/>
                              <a:gd name="T18" fmla="*/ 16 w 7528"/>
                              <a:gd name="T19" fmla="*/ 9 h 302"/>
                              <a:gd name="T20" fmla="*/ 875 w 7528"/>
                              <a:gd name="T21" fmla="*/ 9 h 302"/>
                              <a:gd name="T22" fmla="*/ 875 w 7528"/>
                              <a:gd name="T23" fmla="*/ 302 h 302"/>
                              <a:gd name="T24" fmla="*/ 859 w 7528"/>
                              <a:gd name="T25" fmla="*/ 302 h 302"/>
                              <a:gd name="T26" fmla="*/ 859 w 7528"/>
                              <a:gd name="T27" fmla="*/ 9 h 302"/>
                              <a:gd name="T28" fmla="*/ 875 w 7528"/>
                              <a:gd name="T29" fmla="*/ 9 h 302"/>
                              <a:gd name="T30" fmla="*/ 1702 w 7528"/>
                              <a:gd name="T31" fmla="*/ 9 h 302"/>
                              <a:gd name="T32" fmla="*/ 1702 w 7528"/>
                              <a:gd name="T33" fmla="*/ 302 h 302"/>
                              <a:gd name="T34" fmla="*/ 1687 w 7528"/>
                              <a:gd name="T35" fmla="*/ 302 h 302"/>
                              <a:gd name="T36" fmla="*/ 1687 w 7528"/>
                              <a:gd name="T37" fmla="*/ 9 h 302"/>
                              <a:gd name="T38" fmla="*/ 1702 w 7528"/>
                              <a:gd name="T39" fmla="*/ 9 h 302"/>
                              <a:gd name="T40" fmla="*/ 2530 w 7528"/>
                              <a:gd name="T41" fmla="*/ 9 h 302"/>
                              <a:gd name="T42" fmla="*/ 2530 w 7528"/>
                              <a:gd name="T43" fmla="*/ 302 h 302"/>
                              <a:gd name="T44" fmla="*/ 2515 w 7528"/>
                              <a:gd name="T45" fmla="*/ 302 h 302"/>
                              <a:gd name="T46" fmla="*/ 2515 w 7528"/>
                              <a:gd name="T47" fmla="*/ 9 h 302"/>
                              <a:gd name="T48" fmla="*/ 2530 w 7528"/>
                              <a:gd name="T49" fmla="*/ 9 h 302"/>
                              <a:gd name="T50" fmla="*/ 3373 w 7528"/>
                              <a:gd name="T51" fmla="*/ 9 h 302"/>
                              <a:gd name="T52" fmla="*/ 3373 w 7528"/>
                              <a:gd name="T53" fmla="*/ 302 h 302"/>
                              <a:gd name="T54" fmla="*/ 3358 w 7528"/>
                              <a:gd name="T55" fmla="*/ 302 h 302"/>
                              <a:gd name="T56" fmla="*/ 3358 w 7528"/>
                              <a:gd name="T57" fmla="*/ 9 h 302"/>
                              <a:gd name="T58" fmla="*/ 3373 w 7528"/>
                              <a:gd name="T59" fmla="*/ 9 h 302"/>
                              <a:gd name="T60" fmla="*/ 4201 w 7528"/>
                              <a:gd name="T61" fmla="*/ 9 h 302"/>
                              <a:gd name="T62" fmla="*/ 4201 w 7528"/>
                              <a:gd name="T63" fmla="*/ 302 h 302"/>
                              <a:gd name="T64" fmla="*/ 4186 w 7528"/>
                              <a:gd name="T65" fmla="*/ 302 h 302"/>
                              <a:gd name="T66" fmla="*/ 4186 w 7528"/>
                              <a:gd name="T67" fmla="*/ 9 h 302"/>
                              <a:gd name="T68" fmla="*/ 4201 w 7528"/>
                              <a:gd name="T69" fmla="*/ 9 h 302"/>
                              <a:gd name="T70" fmla="*/ 5029 w 7528"/>
                              <a:gd name="T71" fmla="*/ 9 h 302"/>
                              <a:gd name="T72" fmla="*/ 5029 w 7528"/>
                              <a:gd name="T73" fmla="*/ 302 h 302"/>
                              <a:gd name="T74" fmla="*/ 5013 w 7528"/>
                              <a:gd name="T75" fmla="*/ 302 h 302"/>
                              <a:gd name="T76" fmla="*/ 5013 w 7528"/>
                              <a:gd name="T77" fmla="*/ 9 h 302"/>
                              <a:gd name="T78" fmla="*/ 5029 w 7528"/>
                              <a:gd name="T79" fmla="*/ 9 h 302"/>
                              <a:gd name="T80" fmla="*/ 5857 w 7528"/>
                              <a:gd name="T81" fmla="*/ 9 h 302"/>
                              <a:gd name="T82" fmla="*/ 5857 w 7528"/>
                              <a:gd name="T83" fmla="*/ 302 h 302"/>
                              <a:gd name="T84" fmla="*/ 5841 w 7528"/>
                              <a:gd name="T85" fmla="*/ 302 h 302"/>
                              <a:gd name="T86" fmla="*/ 5841 w 7528"/>
                              <a:gd name="T87" fmla="*/ 9 h 302"/>
                              <a:gd name="T88" fmla="*/ 5857 w 7528"/>
                              <a:gd name="T89" fmla="*/ 9 h 302"/>
                              <a:gd name="T90" fmla="*/ 6684 w 7528"/>
                              <a:gd name="T91" fmla="*/ 9 h 302"/>
                              <a:gd name="T92" fmla="*/ 6684 w 7528"/>
                              <a:gd name="T93" fmla="*/ 302 h 302"/>
                              <a:gd name="T94" fmla="*/ 6669 w 7528"/>
                              <a:gd name="T95" fmla="*/ 302 h 302"/>
                              <a:gd name="T96" fmla="*/ 6669 w 7528"/>
                              <a:gd name="T97" fmla="*/ 9 h 302"/>
                              <a:gd name="T98" fmla="*/ 6684 w 7528"/>
                              <a:gd name="T99" fmla="*/ 9 h 302"/>
                              <a:gd name="T100" fmla="*/ 7528 w 7528"/>
                              <a:gd name="T101" fmla="*/ 9 h 302"/>
                              <a:gd name="T102" fmla="*/ 7528 w 7528"/>
                              <a:gd name="T103" fmla="*/ 302 h 302"/>
                              <a:gd name="T104" fmla="*/ 7512 w 7528"/>
                              <a:gd name="T105" fmla="*/ 302 h 302"/>
                              <a:gd name="T106" fmla="*/ 7512 w 7528"/>
                              <a:gd name="T107" fmla="*/ 9 h 302"/>
                              <a:gd name="T108" fmla="*/ 7528 w 7528"/>
                              <a:gd name="T109" fmla="*/ 9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2">
                                <a:moveTo>
                                  <a:pt x="8" y="0"/>
                                </a:moveTo>
                                <a:lnTo>
                                  <a:pt x="7520" y="0"/>
                                </a:lnTo>
                                <a:lnTo>
                                  <a:pt x="7520" y="17"/>
                                </a:lnTo>
                                <a:lnTo>
                                  <a:pt x="8" y="17"/>
                                </a:lnTo>
                                <a:lnTo>
                                  <a:pt x="8" y="0"/>
                                </a:lnTo>
                                <a:close/>
                                <a:moveTo>
                                  <a:pt x="16" y="9"/>
                                </a:moveTo>
                                <a:lnTo>
                                  <a:pt x="16" y="302"/>
                                </a:lnTo>
                                <a:lnTo>
                                  <a:pt x="0" y="302"/>
                                </a:lnTo>
                                <a:lnTo>
                                  <a:pt x="0" y="9"/>
                                </a:lnTo>
                                <a:lnTo>
                                  <a:pt x="16" y="9"/>
                                </a:lnTo>
                                <a:close/>
                                <a:moveTo>
                                  <a:pt x="875" y="9"/>
                                </a:moveTo>
                                <a:lnTo>
                                  <a:pt x="875" y="302"/>
                                </a:lnTo>
                                <a:lnTo>
                                  <a:pt x="859" y="302"/>
                                </a:lnTo>
                                <a:lnTo>
                                  <a:pt x="859" y="9"/>
                                </a:lnTo>
                                <a:lnTo>
                                  <a:pt x="875" y="9"/>
                                </a:lnTo>
                                <a:close/>
                                <a:moveTo>
                                  <a:pt x="1702" y="9"/>
                                </a:moveTo>
                                <a:lnTo>
                                  <a:pt x="1702" y="302"/>
                                </a:lnTo>
                                <a:lnTo>
                                  <a:pt x="1687" y="302"/>
                                </a:lnTo>
                                <a:lnTo>
                                  <a:pt x="1687" y="9"/>
                                </a:lnTo>
                                <a:lnTo>
                                  <a:pt x="1702" y="9"/>
                                </a:lnTo>
                                <a:close/>
                                <a:moveTo>
                                  <a:pt x="2530" y="9"/>
                                </a:moveTo>
                                <a:lnTo>
                                  <a:pt x="2530" y="302"/>
                                </a:lnTo>
                                <a:lnTo>
                                  <a:pt x="2515" y="302"/>
                                </a:lnTo>
                                <a:lnTo>
                                  <a:pt x="2515" y="9"/>
                                </a:lnTo>
                                <a:lnTo>
                                  <a:pt x="2530" y="9"/>
                                </a:lnTo>
                                <a:close/>
                                <a:moveTo>
                                  <a:pt x="3373" y="9"/>
                                </a:moveTo>
                                <a:lnTo>
                                  <a:pt x="3373" y="302"/>
                                </a:lnTo>
                                <a:lnTo>
                                  <a:pt x="3358" y="302"/>
                                </a:lnTo>
                                <a:lnTo>
                                  <a:pt x="3358" y="9"/>
                                </a:lnTo>
                                <a:lnTo>
                                  <a:pt x="3373" y="9"/>
                                </a:lnTo>
                                <a:close/>
                                <a:moveTo>
                                  <a:pt x="4201" y="9"/>
                                </a:moveTo>
                                <a:lnTo>
                                  <a:pt x="4201" y="302"/>
                                </a:lnTo>
                                <a:lnTo>
                                  <a:pt x="4186" y="302"/>
                                </a:lnTo>
                                <a:lnTo>
                                  <a:pt x="4186" y="9"/>
                                </a:lnTo>
                                <a:lnTo>
                                  <a:pt x="4201" y="9"/>
                                </a:lnTo>
                                <a:close/>
                                <a:moveTo>
                                  <a:pt x="5029" y="9"/>
                                </a:moveTo>
                                <a:lnTo>
                                  <a:pt x="5029" y="302"/>
                                </a:lnTo>
                                <a:lnTo>
                                  <a:pt x="5013" y="302"/>
                                </a:lnTo>
                                <a:lnTo>
                                  <a:pt x="5013" y="9"/>
                                </a:lnTo>
                                <a:lnTo>
                                  <a:pt x="5029" y="9"/>
                                </a:lnTo>
                                <a:close/>
                                <a:moveTo>
                                  <a:pt x="5857" y="9"/>
                                </a:moveTo>
                                <a:lnTo>
                                  <a:pt x="5857" y="302"/>
                                </a:lnTo>
                                <a:lnTo>
                                  <a:pt x="5841" y="302"/>
                                </a:lnTo>
                                <a:lnTo>
                                  <a:pt x="5841" y="9"/>
                                </a:lnTo>
                                <a:lnTo>
                                  <a:pt x="5857" y="9"/>
                                </a:lnTo>
                                <a:close/>
                                <a:moveTo>
                                  <a:pt x="6684" y="9"/>
                                </a:moveTo>
                                <a:lnTo>
                                  <a:pt x="6684" y="302"/>
                                </a:lnTo>
                                <a:lnTo>
                                  <a:pt x="6669" y="302"/>
                                </a:lnTo>
                                <a:lnTo>
                                  <a:pt x="6669" y="9"/>
                                </a:lnTo>
                                <a:lnTo>
                                  <a:pt x="6684" y="9"/>
                                </a:lnTo>
                                <a:close/>
                                <a:moveTo>
                                  <a:pt x="7528" y="9"/>
                                </a:moveTo>
                                <a:lnTo>
                                  <a:pt x="7528" y="302"/>
                                </a:lnTo>
                                <a:lnTo>
                                  <a:pt x="7512" y="302"/>
                                </a:lnTo>
                                <a:lnTo>
                                  <a:pt x="7512" y="9"/>
                                </a:lnTo>
                                <a:lnTo>
                                  <a:pt x="7528" y="9"/>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97" name="Rectangle 193"/>
                        <wps:cNvSpPr>
                          <a:spLocks noChangeArrowheads="1"/>
                        </wps:cNvSpPr>
                        <wps:spPr bwMode="auto">
                          <a:xfrm>
                            <a:off x="1926" y="7060"/>
                            <a:ext cx="94" cy="86"/>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194"/>
                        <wps:cNvSpPr>
                          <a:spLocks noEditPoints="1"/>
                        </wps:cNvSpPr>
                        <wps:spPr bwMode="auto">
                          <a:xfrm>
                            <a:off x="1918" y="7052"/>
                            <a:ext cx="109" cy="103"/>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299" name="Rectangle 195"/>
                        <wps:cNvSpPr>
                          <a:spLocks noChangeArrowheads="1"/>
                        </wps:cNvSpPr>
                        <wps:spPr bwMode="auto">
                          <a:xfrm>
                            <a:off x="2062" y="6995"/>
                            <a:ext cx="42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Глава </w:t>
                              </w:r>
                            </w:p>
                          </w:txbxContent>
                        </wps:txbx>
                        <wps:bodyPr rot="0" vert="horz" wrap="square" lIns="0" tIns="0" rIns="0" bIns="0" anchor="t" anchorCtr="0">
                          <a:noAutofit/>
                        </wps:bodyPr>
                      </wps:wsp>
                      <wps:wsp>
                        <wps:cNvPr id="300" name="Rectangle 196"/>
                        <wps:cNvSpPr>
                          <a:spLocks noChangeArrowheads="1"/>
                        </wps:cNvSpPr>
                        <wps:spPr bwMode="auto">
                          <a:xfrm>
                            <a:off x="2483" y="6995"/>
                            <a:ext cx="1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V</w:t>
                              </w:r>
                            </w:p>
                          </w:txbxContent>
                        </wps:txbx>
                        <wps:bodyPr rot="0" vert="horz" wrap="square" lIns="0" tIns="0" rIns="0" bIns="0" anchor="t" anchorCtr="0">
                          <a:noAutofit/>
                        </wps:bodyPr>
                      </wps:wsp>
                      <wps:wsp>
                        <wps:cNvPr id="301" name="Rectangle 197"/>
                        <wps:cNvSpPr>
                          <a:spLocks noChangeArrowheads="1"/>
                        </wps:cNvSpPr>
                        <wps:spPr bwMode="auto">
                          <a:xfrm>
                            <a:off x="3041" y="700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775</w:t>
                              </w:r>
                            </w:p>
                          </w:txbxContent>
                        </wps:txbx>
                        <wps:bodyPr rot="0" vert="horz" wrap="square" lIns="0" tIns="0" rIns="0" bIns="0" anchor="t" anchorCtr="0">
                          <a:noAutofit/>
                        </wps:bodyPr>
                      </wps:wsp>
                      <wps:wsp>
                        <wps:cNvPr id="302" name="Rectangle 198"/>
                        <wps:cNvSpPr>
                          <a:spLocks noChangeArrowheads="1"/>
                        </wps:cNvSpPr>
                        <wps:spPr bwMode="auto">
                          <a:xfrm>
                            <a:off x="3871" y="700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596</w:t>
                              </w:r>
                            </w:p>
                          </w:txbxContent>
                        </wps:txbx>
                        <wps:bodyPr rot="0" vert="horz" wrap="square" lIns="0" tIns="0" rIns="0" bIns="0" anchor="t" anchorCtr="0">
                          <a:noAutofit/>
                        </wps:bodyPr>
                      </wps:wsp>
                      <wps:wsp>
                        <wps:cNvPr id="303" name="Rectangle 199"/>
                        <wps:cNvSpPr>
                          <a:spLocks noChangeArrowheads="1"/>
                        </wps:cNvSpPr>
                        <wps:spPr bwMode="auto">
                          <a:xfrm>
                            <a:off x="4702" y="700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677</w:t>
                              </w:r>
                            </w:p>
                          </w:txbxContent>
                        </wps:txbx>
                        <wps:bodyPr rot="0" vert="horz" wrap="square" lIns="0" tIns="0" rIns="0" bIns="0" anchor="t" anchorCtr="0">
                          <a:noAutofit/>
                        </wps:bodyPr>
                      </wps:wsp>
                      <wps:wsp>
                        <wps:cNvPr id="304" name="Rectangle 200"/>
                        <wps:cNvSpPr>
                          <a:spLocks noChangeArrowheads="1"/>
                        </wps:cNvSpPr>
                        <wps:spPr bwMode="auto">
                          <a:xfrm>
                            <a:off x="5533" y="700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174</w:t>
                              </w:r>
                            </w:p>
                          </w:txbxContent>
                        </wps:txbx>
                        <wps:bodyPr rot="0" vert="horz" wrap="square" lIns="0" tIns="0" rIns="0" bIns="0" anchor="t" anchorCtr="0">
                          <a:noAutofit/>
                        </wps:bodyPr>
                      </wps:wsp>
                      <wps:wsp>
                        <wps:cNvPr id="305" name="Rectangle 201"/>
                        <wps:cNvSpPr>
                          <a:spLocks noChangeArrowheads="1"/>
                        </wps:cNvSpPr>
                        <wps:spPr bwMode="auto">
                          <a:xfrm>
                            <a:off x="6364" y="700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200</w:t>
                              </w:r>
                            </w:p>
                          </w:txbxContent>
                        </wps:txbx>
                        <wps:bodyPr rot="0" vert="horz" wrap="square" lIns="0" tIns="0" rIns="0" bIns="0" anchor="t" anchorCtr="0">
                          <a:noAutofit/>
                        </wps:bodyPr>
                      </wps:wsp>
                      <wps:wsp>
                        <wps:cNvPr id="306" name="Rectangle 202"/>
                        <wps:cNvSpPr>
                          <a:spLocks noChangeArrowheads="1"/>
                        </wps:cNvSpPr>
                        <wps:spPr bwMode="auto">
                          <a:xfrm>
                            <a:off x="7276" y="7000"/>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5</w:t>
                              </w:r>
                            </w:p>
                          </w:txbxContent>
                        </wps:txbx>
                        <wps:bodyPr rot="0" vert="horz" wrap="square" lIns="0" tIns="0" rIns="0" bIns="0" anchor="t" anchorCtr="0">
                          <a:noAutofit/>
                        </wps:bodyPr>
                      </wps:wsp>
                      <wps:wsp>
                        <wps:cNvPr id="307" name="Rectangle 203"/>
                        <wps:cNvSpPr>
                          <a:spLocks noChangeArrowheads="1"/>
                        </wps:cNvSpPr>
                        <wps:spPr bwMode="auto">
                          <a:xfrm>
                            <a:off x="8107" y="7000"/>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5</w:t>
                              </w:r>
                            </w:p>
                          </w:txbxContent>
                        </wps:txbx>
                        <wps:bodyPr rot="0" vert="horz" wrap="square" lIns="0" tIns="0" rIns="0" bIns="0" anchor="t" anchorCtr="0">
                          <a:noAutofit/>
                        </wps:bodyPr>
                      </wps:wsp>
                      <wps:wsp>
                        <wps:cNvPr id="308" name="Freeform 204"/>
                        <wps:cNvSpPr>
                          <a:spLocks noEditPoints="1"/>
                        </wps:cNvSpPr>
                        <wps:spPr bwMode="auto">
                          <a:xfrm>
                            <a:off x="1871" y="7241"/>
                            <a:ext cx="7528" cy="302"/>
                          </a:xfrm>
                          <a:custGeom>
                            <a:avLst/>
                            <a:gdLst>
                              <a:gd name="T0" fmla="*/ 8 w 7528"/>
                              <a:gd name="T1" fmla="*/ 0 h 302"/>
                              <a:gd name="T2" fmla="*/ 7520 w 7528"/>
                              <a:gd name="T3" fmla="*/ 0 h 302"/>
                              <a:gd name="T4" fmla="*/ 7520 w 7528"/>
                              <a:gd name="T5" fmla="*/ 17 h 302"/>
                              <a:gd name="T6" fmla="*/ 8 w 7528"/>
                              <a:gd name="T7" fmla="*/ 17 h 302"/>
                              <a:gd name="T8" fmla="*/ 8 w 7528"/>
                              <a:gd name="T9" fmla="*/ 0 h 302"/>
                              <a:gd name="T10" fmla="*/ 16 w 7528"/>
                              <a:gd name="T11" fmla="*/ 9 h 302"/>
                              <a:gd name="T12" fmla="*/ 16 w 7528"/>
                              <a:gd name="T13" fmla="*/ 302 h 302"/>
                              <a:gd name="T14" fmla="*/ 0 w 7528"/>
                              <a:gd name="T15" fmla="*/ 302 h 302"/>
                              <a:gd name="T16" fmla="*/ 0 w 7528"/>
                              <a:gd name="T17" fmla="*/ 9 h 302"/>
                              <a:gd name="T18" fmla="*/ 16 w 7528"/>
                              <a:gd name="T19" fmla="*/ 9 h 302"/>
                              <a:gd name="T20" fmla="*/ 875 w 7528"/>
                              <a:gd name="T21" fmla="*/ 9 h 302"/>
                              <a:gd name="T22" fmla="*/ 875 w 7528"/>
                              <a:gd name="T23" fmla="*/ 302 h 302"/>
                              <a:gd name="T24" fmla="*/ 859 w 7528"/>
                              <a:gd name="T25" fmla="*/ 302 h 302"/>
                              <a:gd name="T26" fmla="*/ 859 w 7528"/>
                              <a:gd name="T27" fmla="*/ 9 h 302"/>
                              <a:gd name="T28" fmla="*/ 875 w 7528"/>
                              <a:gd name="T29" fmla="*/ 9 h 302"/>
                              <a:gd name="T30" fmla="*/ 1702 w 7528"/>
                              <a:gd name="T31" fmla="*/ 9 h 302"/>
                              <a:gd name="T32" fmla="*/ 1702 w 7528"/>
                              <a:gd name="T33" fmla="*/ 302 h 302"/>
                              <a:gd name="T34" fmla="*/ 1687 w 7528"/>
                              <a:gd name="T35" fmla="*/ 302 h 302"/>
                              <a:gd name="T36" fmla="*/ 1687 w 7528"/>
                              <a:gd name="T37" fmla="*/ 9 h 302"/>
                              <a:gd name="T38" fmla="*/ 1702 w 7528"/>
                              <a:gd name="T39" fmla="*/ 9 h 302"/>
                              <a:gd name="T40" fmla="*/ 2530 w 7528"/>
                              <a:gd name="T41" fmla="*/ 9 h 302"/>
                              <a:gd name="T42" fmla="*/ 2530 w 7528"/>
                              <a:gd name="T43" fmla="*/ 302 h 302"/>
                              <a:gd name="T44" fmla="*/ 2515 w 7528"/>
                              <a:gd name="T45" fmla="*/ 302 h 302"/>
                              <a:gd name="T46" fmla="*/ 2515 w 7528"/>
                              <a:gd name="T47" fmla="*/ 9 h 302"/>
                              <a:gd name="T48" fmla="*/ 2530 w 7528"/>
                              <a:gd name="T49" fmla="*/ 9 h 302"/>
                              <a:gd name="T50" fmla="*/ 3373 w 7528"/>
                              <a:gd name="T51" fmla="*/ 9 h 302"/>
                              <a:gd name="T52" fmla="*/ 3373 w 7528"/>
                              <a:gd name="T53" fmla="*/ 302 h 302"/>
                              <a:gd name="T54" fmla="*/ 3358 w 7528"/>
                              <a:gd name="T55" fmla="*/ 302 h 302"/>
                              <a:gd name="T56" fmla="*/ 3358 w 7528"/>
                              <a:gd name="T57" fmla="*/ 9 h 302"/>
                              <a:gd name="T58" fmla="*/ 3373 w 7528"/>
                              <a:gd name="T59" fmla="*/ 9 h 302"/>
                              <a:gd name="T60" fmla="*/ 4201 w 7528"/>
                              <a:gd name="T61" fmla="*/ 9 h 302"/>
                              <a:gd name="T62" fmla="*/ 4201 w 7528"/>
                              <a:gd name="T63" fmla="*/ 302 h 302"/>
                              <a:gd name="T64" fmla="*/ 4186 w 7528"/>
                              <a:gd name="T65" fmla="*/ 302 h 302"/>
                              <a:gd name="T66" fmla="*/ 4186 w 7528"/>
                              <a:gd name="T67" fmla="*/ 9 h 302"/>
                              <a:gd name="T68" fmla="*/ 4201 w 7528"/>
                              <a:gd name="T69" fmla="*/ 9 h 302"/>
                              <a:gd name="T70" fmla="*/ 5029 w 7528"/>
                              <a:gd name="T71" fmla="*/ 9 h 302"/>
                              <a:gd name="T72" fmla="*/ 5029 w 7528"/>
                              <a:gd name="T73" fmla="*/ 302 h 302"/>
                              <a:gd name="T74" fmla="*/ 5013 w 7528"/>
                              <a:gd name="T75" fmla="*/ 302 h 302"/>
                              <a:gd name="T76" fmla="*/ 5013 w 7528"/>
                              <a:gd name="T77" fmla="*/ 9 h 302"/>
                              <a:gd name="T78" fmla="*/ 5029 w 7528"/>
                              <a:gd name="T79" fmla="*/ 9 h 302"/>
                              <a:gd name="T80" fmla="*/ 5857 w 7528"/>
                              <a:gd name="T81" fmla="*/ 9 h 302"/>
                              <a:gd name="T82" fmla="*/ 5857 w 7528"/>
                              <a:gd name="T83" fmla="*/ 302 h 302"/>
                              <a:gd name="T84" fmla="*/ 5841 w 7528"/>
                              <a:gd name="T85" fmla="*/ 302 h 302"/>
                              <a:gd name="T86" fmla="*/ 5841 w 7528"/>
                              <a:gd name="T87" fmla="*/ 9 h 302"/>
                              <a:gd name="T88" fmla="*/ 5857 w 7528"/>
                              <a:gd name="T89" fmla="*/ 9 h 302"/>
                              <a:gd name="T90" fmla="*/ 6684 w 7528"/>
                              <a:gd name="T91" fmla="*/ 9 h 302"/>
                              <a:gd name="T92" fmla="*/ 6684 w 7528"/>
                              <a:gd name="T93" fmla="*/ 302 h 302"/>
                              <a:gd name="T94" fmla="*/ 6669 w 7528"/>
                              <a:gd name="T95" fmla="*/ 302 h 302"/>
                              <a:gd name="T96" fmla="*/ 6669 w 7528"/>
                              <a:gd name="T97" fmla="*/ 9 h 302"/>
                              <a:gd name="T98" fmla="*/ 6684 w 7528"/>
                              <a:gd name="T99" fmla="*/ 9 h 302"/>
                              <a:gd name="T100" fmla="*/ 7528 w 7528"/>
                              <a:gd name="T101" fmla="*/ 9 h 302"/>
                              <a:gd name="T102" fmla="*/ 7528 w 7528"/>
                              <a:gd name="T103" fmla="*/ 302 h 302"/>
                              <a:gd name="T104" fmla="*/ 7512 w 7528"/>
                              <a:gd name="T105" fmla="*/ 302 h 302"/>
                              <a:gd name="T106" fmla="*/ 7512 w 7528"/>
                              <a:gd name="T107" fmla="*/ 9 h 302"/>
                              <a:gd name="T108" fmla="*/ 7528 w 7528"/>
                              <a:gd name="T109" fmla="*/ 9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2">
                                <a:moveTo>
                                  <a:pt x="8" y="0"/>
                                </a:moveTo>
                                <a:lnTo>
                                  <a:pt x="7520" y="0"/>
                                </a:lnTo>
                                <a:lnTo>
                                  <a:pt x="7520" y="17"/>
                                </a:lnTo>
                                <a:lnTo>
                                  <a:pt x="8" y="17"/>
                                </a:lnTo>
                                <a:lnTo>
                                  <a:pt x="8" y="0"/>
                                </a:lnTo>
                                <a:close/>
                                <a:moveTo>
                                  <a:pt x="16" y="9"/>
                                </a:moveTo>
                                <a:lnTo>
                                  <a:pt x="16" y="302"/>
                                </a:lnTo>
                                <a:lnTo>
                                  <a:pt x="0" y="302"/>
                                </a:lnTo>
                                <a:lnTo>
                                  <a:pt x="0" y="9"/>
                                </a:lnTo>
                                <a:lnTo>
                                  <a:pt x="16" y="9"/>
                                </a:lnTo>
                                <a:close/>
                                <a:moveTo>
                                  <a:pt x="875" y="9"/>
                                </a:moveTo>
                                <a:lnTo>
                                  <a:pt x="875" y="302"/>
                                </a:lnTo>
                                <a:lnTo>
                                  <a:pt x="859" y="302"/>
                                </a:lnTo>
                                <a:lnTo>
                                  <a:pt x="859" y="9"/>
                                </a:lnTo>
                                <a:lnTo>
                                  <a:pt x="875" y="9"/>
                                </a:lnTo>
                                <a:close/>
                                <a:moveTo>
                                  <a:pt x="1702" y="9"/>
                                </a:moveTo>
                                <a:lnTo>
                                  <a:pt x="1702" y="302"/>
                                </a:lnTo>
                                <a:lnTo>
                                  <a:pt x="1687" y="302"/>
                                </a:lnTo>
                                <a:lnTo>
                                  <a:pt x="1687" y="9"/>
                                </a:lnTo>
                                <a:lnTo>
                                  <a:pt x="1702" y="9"/>
                                </a:lnTo>
                                <a:close/>
                                <a:moveTo>
                                  <a:pt x="2530" y="9"/>
                                </a:moveTo>
                                <a:lnTo>
                                  <a:pt x="2530" y="302"/>
                                </a:lnTo>
                                <a:lnTo>
                                  <a:pt x="2515" y="302"/>
                                </a:lnTo>
                                <a:lnTo>
                                  <a:pt x="2515" y="9"/>
                                </a:lnTo>
                                <a:lnTo>
                                  <a:pt x="2530" y="9"/>
                                </a:lnTo>
                                <a:close/>
                                <a:moveTo>
                                  <a:pt x="3373" y="9"/>
                                </a:moveTo>
                                <a:lnTo>
                                  <a:pt x="3373" y="302"/>
                                </a:lnTo>
                                <a:lnTo>
                                  <a:pt x="3358" y="302"/>
                                </a:lnTo>
                                <a:lnTo>
                                  <a:pt x="3358" y="9"/>
                                </a:lnTo>
                                <a:lnTo>
                                  <a:pt x="3373" y="9"/>
                                </a:lnTo>
                                <a:close/>
                                <a:moveTo>
                                  <a:pt x="4201" y="9"/>
                                </a:moveTo>
                                <a:lnTo>
                                  <a:pt x="4201" y="302"/>
                                </a:lnTo>
                                <a:lnTo>
                                  <a:pt x="4186" y="302"/>
                                </a:lnTo>
                                <a:lnTo>
                                  <a:pt x="4186" y="9"/>
                                </a:lnTo>
                                <a:lnTo>
                                  <a:pt x="4201" y="9"/>
                                </a:lnTo>
                                <a:close/>
                                <a:moveTo>
                                  <a:pt x="5029" y="9"/>
                                </a:moveTo>
                                <a:lnTo>
                                  <a:pt x="5029" y="302"/>
                                </a:lnTo>
                                <a:lnTo>
                                  <a:pt x="5013" y="302"/>
                                </a:lnTo>
                                <a:lnTo>
                                  <a:pt x="5013" y="9"/>
                                </a:lnTo>
                                <a:lnTo>
                                  <a:pt x="5029" y="9"/>
                                </a:lnTo>
                                <a:close/>
                                <a:moveTo>
                                  <a:pt x="5857" y="9"/>
                                </a:moveTo>
                                <a:lnTo>
                                  <a:pt x="5857" y="302"/>
                                </a:lnTo>
                                <a:lnTo>
                                  <a:pt x="5841" y="302"/>
                                </a:lnTo>
                                <a:lnTo>
                                  <a:pt x="5841" y="9"/>
                                </a:lnTo>
                                <a:lnTo>
                                  <a:pt x="5857" y="9"/>
                                </a:lnTo>
                                <a:close/>
                                <a:moveTo>
                                  <a:pt x="6684" y="9"/>
                                </a:moveTo>
                                <a:lnTo>
                                  <a:pt x="6684" y="302"/>
                                </a:lnTo>
                                <a:lnTo>
                                  <a:pt x="6669" y="302"/>
                                </a:lnTo>
                                <a:lnTo>
                                  <a:pt x="6669" y="9"/>
                                </a:lnTo>
                                <a:lnTo>
                                  <a:pt x="6684" y="9"/>
                                </a:lnTo>
                                <a:close/>
                                <a:moveTo>
                                  <a:pt x="7528" y="9"/>
                                </a:moveTo>
                                <a:lnTo>
                                  <a:pt x="7528" y="302"/>
                                </a:lnTo>
                                <a:lnTo>
                                  <a:pt x="7512" y="302"/>
                                </a:lnTo>
                                <a:lnTo>
                                  <a:pt x="7512" y="9"/>
                                </a:lnTo>
                                <a:lnTo>
                                  <a:pt x="7528" y="9"/>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09" name="Rectangle 205"/>
                        <wps:cNvSpPr>
                          <a:spLocks noChangeArrowheads="1"/>
                        </wps:cNvSpPr>
                        <wps:spPr bwMode="auto">
                          <a:xfrm>
                            <a:off x="1926" y="7353"/>
                            <a:ext cx="94" cy="86"/>
                          </a:xfrm>
                          <a:prstGeom prst="rect">
                            <a:avLst/>
                          </a:prstGeom>
                          <a:solidFill>
                            <a:srgbClr val="6600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Freeform 206"/>
                        <wps:cNvSpPr>
                          <a:spLocks noEditPoints="1"/>
                        </wps:cNvSpPr>
                        <wps:spPr bwMode="auto">
                          <a:xfrm>
                            <a:off x="1918" y="7344"/>
                            <a:ext cx="109" cy="104"/>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11" name="Rectangle 207"/>
                        <wps:cNvSpPr>
                          <a:spLocks noChangeArrowheads="1"/>
                        </wps:cNvSpPr>
                        <wps:spPr bwMode="auto">
                          <a:xfrm>
                            <a:off x="2051" y="7288"/>
                            <a:ext cx="42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Глава </w:t>
                              </w:r>
                            </w:p>
                          </w:txbxContent>
                        </wps:txbx>
                        <wps:bodyPr rot="0" vert="horz" wrap="square" lIns="0" tIns="0" rIns="0" bIns="0" anchor="t" anchorCtr="0">
                          <a:noAutofit/>
                        </wps:bodyPr>
                      </wps:wsp>
                      <wps:wsp>
                        <wps:cNvPr id="312" name="Rectangle 208"/>
                        <wps:cNvSpPr>
                          <a:spLocks noChangeArrowheads="1"/>
                        </wps:cNvSpPr>
                        <wps:spPr bwMode="auto">
                          <a:xfrm>
                            <a:off x="2472" y="7288"/>
                            <a:ext cx="1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V</w:t>
                              </w:r>
                            </w:p>
                          </w:txbxContent>
                        </wps:txbx>
                        <wps:bodyPr rot="0" vert="horz" wrap="square" lIns="0" tIns="0" rIns="0" bIns="0" anchor="t" anchorCtr="0">
                          <a:noAutofit/>
                        </wps:bodyPr>
                      </wps:wsp>
                      <wps:wsp>
                        <wps:cNvPr id="313" name="Rectangle 209"/>
                        <wps:cNvSpPr>
                          <a:spLocks noChangeArrowheads="1"/>
                        </wps:cNvSpPr>
                        <wps:spPr bwMode="auto">
                          <a:xfrm>
                            <a:off x="2566" y="7288"/>
                            <a:ext cx="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І</w:t>
                              </w:r>
                            </w:p>
                          </w:txbxContent>
                        </wps:txbx>
                        <wps:bodyPr rot="0" vert="horz" wrap="square" lIns="0" tIns="0" rIns="0" bIns="0" anchor="t" anchorCtr="0">
                          <a:noAutofit/>
                        </wps:bodyPr>
                      </wps:wsp>
                      <wps:wsp>
                        <wps:cNvPr id="314" name="Rectangle 210"/>
                        <wps:cNvSpPr>
                          <a:spLocks noChangeArrowheads="1"/>
                        </wps:cNvSpPr>
                        <wps:spPr bwMode="auto">
                          <a:xfrm>
                            <a:off x="3041" y="7293"/>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111</w:t>
                              </w:r>
                            </w:p>
                          </w:txbxContent>
                        </wps:txbx>
                        <wps:bodyPr rot="0" vert="horz" wrap="square" lIns="0" tIns="0" rIns="0" bIns="0" anchor="t" anchorCtr="0">
                          <a:noAutofit/>
                        </wps:bodyPr>
                      </wps:wsp>
                      <wps:wsp>
                        <wps:cNvPr id="315" name="Rectangle 211"/>
                        <wps:cNvSpPr>
                          <a:spLocks noChangeArrowheads="1"/>
                        </wps:cNvSpPr>
                        <wps:spPr bwMode="auto">
                          <a:xfrm>
                            <a:off x="3912" y="729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75</w:t>
                              </w:r>
                            </w:p>
                          </w:txbxContent>
                        </wps:txbx>
                        <wps:bodyPr rot="0" vert="horz" wrap="square" lIns="0" tIns="0" rIns="0" bIns="0" anchor="t" anchorCtr="0">
                          <a:noAutofit/>
                        </wps:bodyPr>
                      </wps:wsp>
                      <wps:wsp>
                        <wps:cNvPr id="316" name="Rectangle 212"/>
                        <wps:cNvSpPr>
                          <a:spLocks noChangeArrowheads="1"/>
                        </wps:cNvSpPr>
                        <wps:spPr bwMode="auto">
                          <a:xfrm>
                            <a:off x="4743" y="729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92</w:t>
                              </w:r>
                            </w:p>
                          </w:txbxContent>
                        </wps:txbx>
                        <wps:bodyPr rot="0" vert="horz" wrap="square" lIns="0" tIns="0" rIns="0" bIns="0" anchor="t" anchorCtr="0">
                          <a:noAutofit/>
                        </wps:bodyPr>
                      </wps:wsp>
                      <wps:wsp>
                        <wps:cNvPr id="317" name="Rectangle 213"/>
                        <wps:cNvSpPr>
                          <a:spLocks noChangeArrowheads="1"/>
                        </wps:cNvSpPr>
                        <wps:spPr bwMode="auto">
                          <a:xfrm>
                            <a:off x="5574" y="729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20</w:t>
                              </w:r>
                            </w:p>
                          </w:txbxContent>
                        </wps:txbx>
                        <wps:bodyPr rot="0" vert="horz" wrap="square" lIns="0" tIns="0" rIns="0" bIns="0" anchor="t" anchorCtr="0">
                          <a:noAutofit/>
                        </wps:bodyPr>
                      </wps:wsp>
                      <wps:wsp>
                        <wps:cNvPr id="318" name="Rectangle 214"/>
                        <wps:cNvSpPr>
                          <a:spLocks noChangeArrowheads="1"/>
                        </wps:cNvSpPr>
                        <wps:spPr bwMode="auto">
                          <a:xfrm>
                            <a:off x="6404" y="729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20</w:t>
                              </w:r>
                            </w:p>
                          </w:txbxContent>
                        </wps:txbx>
                        <wps:bodyPr rot="0" vert="horz" wrap="square" lIns="0" tIns="0" rIns="0" bIns="0" anchor="t" anchorCtr="0">
                          <a:noAutofit/>
                        </wps:bodyPr>
                      </wps:wsp>
                      <wps:wsp>
                        <wps:cNvPr id="319" name="Rectangle 215"/>
                        <wps:cNvSpPr>
                          <a:spLocks noChangeArrowheads="1"/>
                        </wps:cNvSpPr>
                        <wps:spPr bwMode="auto">
                          <a:xfrm>
                            <a:off x="7235" y="729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16</w:t>
                              </w:r>
                            </w:p>
                          </w:txbxContent>
                        </wps:txbx>
                        <wps:bodyPr rot="0" vert="horz" wrap="square" lIns="0" tIns="0" rIns="0" bIns="0" anchor="t" anchorCtr="0">
                          <a:noAutofit/>
                        </wps:bodyPr>
                      </wps:wsp>
                      <wps:wsp>
                        <wps:cNvPr id="320" name="Rectangle 216"/>
                        <wps:cNvSpPr>
                          <a:spLocks noChangeArrowheads="1"/>
                        </wps:cNvSpPr>
                        <wps:spPr bwMode="auto">
                          <a:xfrm>
                            <a:off x="8066" y="7293"/>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17</w:t>
                              </w:r>
                            </w:p>
                          </w:txbxContent>
                        </wps:txbx>
                        <wps:bodyPr rot="0" vert="horz" wrap="square" lIns="0" tIns="0" rIns="0" bIns="0" anchor="t" anchorCtr="0">
                          <a:noAutofit/>
                        </wps:bodyPr>
                      </wps:wsp>
                      <wps:wsp>
                        <wps:cNvPr id="321" name="Freeform 217"/>
                        <wps:cNvSpPr>
                          <a:spLocks noEditPoints="1"/>
                        </wps:cNvSpPr>
                        <wps:spPr bwMode="auto">
                          <a:xfrm>
                            <a:off x="1871" y="7534"/>
                            <a:ext cx="7528" cy="301"/>
                          </a:xfrm>
                          <a:custGeom>
                            <a:avLst/>
                            <a:gdLst>
                              <a:gd name="T0" fmla="*/ 8 w 7528"/>
                              <a:gd name="T1" fmla="*/ 0 h 301"/>
                              <a:gd name="T2" fmla="*/ 7520 w 7528"/>
                              <a:gd name="T3" fmla="*/ 0 h 301"/>
                              <a:gd name="T4" fmla="*/ 7520 w 7528"/>
                              <a:gd name="T5" fmla="*/ 17 h 301"/>
                              <a:gd name="T6" fmla="*/ 8 w 7528"/>
                              <a:gd name="T7" fmla="*/ 17 h 301"/>
                              <a:gd name="T8" fmla="*/ 8 w 7528"/>
                              <a:gd name="T9" fmla="*/ 0 h 301"/>
                              <a:gd name="T10" fmla="*/ 16 w 7528"/>
                              <a:gd name="T11" fmla="*/ 9 h 301"/>
                              <a:gd name="T12" fmla="*/ 16 w 7528"/>
                              <a:gd name="T13" fmla="*/ 301 h 301"/>
                              <a:gd name="T14" fmla="*/ 0 w 7528"/>
                              <a:gd name="T15" fmla="*/ 301 h 301"/>
                              <a:gd name="T16" fmla="*/ 0 w 7528"/>
                              <a:gd name="T17" fmla="*/ 9 h 301"/>
                              <a:gd name="T18" fmla="*/ 16 w 7528"/>
                              <a:gd name="T19" fmla="*/ 9 h 301"/>
                              <a:gd name="T20" fmla="*/ 875 w 7528"/>
                              <a:gd name="T21" fmla="*/ 9 h 301"/>
                              <a:gd name="T22" fmla="*/ 875 w 7528"/>
                              <a:gd name="T23" fmla="*/ 301 h 301"/>
                              <a:gd name="T24" fmla="*/ 859 w 7528"/>
                              <a:gd name="T25" fmla="*/ 301 h 301"/>
                              <a:gd name="T26" fmla="*/ 859 w 7528"/>
                              <a:gd name="T27" fmla="*/ 9 h 301"/>
                              <a:gd name="T28" fmla="*/ 875 w 7528"/>
                              <a:gd name="T29" fmla="*/ 9 h 301"/>
                              <a:gd name="T30" fmla="*/ 1702 w 7528"/>
                              <a:gd name="T31" fmla="*/ 9 h 301"/>
                              <a:gd name="T32" fmla="*/ 1702 w 7528"/>
                              <a:gd name="T33" fmla="*/ 301 h 301"/>
                              <a:gd name="T34" fmla="*/ 1687 w 7528"/>
                              <a:gd name="T35" fmla="*/ 301 h 301"/>
                              <a:gd name="T36" fmla="*/ 1687 w 7528"/>
                              <a:gd name="T37" fmla="*/ 9 h 301"/>
                              <a:gd name="T38" fmla="*/ 1702 w 7528"/>
                              <a:gd name="T39" fmla="*/ 9 h 301"/>
                              <a:gd name="T40" fmla="*/ 2530 w 7528"/>
                              <a:gd name="T41" fmla="*/ 9 h 301"/>
                              <a:gd name="T42" fmla="*/ 2530 w 7528"/>
                              <a:gd name="T43" fmla="*/ 301 h 301"/>
                              <a:gd name="T44" fmla="*/ 2515 w 7528"/>
                              <a:gd name="T45" fmla="*/ 301 h 301"/>
                              <a:gd name="T46" fmla="*/ 2515 w 7528"/>
                              <a:gd name="T47" fmla="*/ 9 h 301"/>
                              <a:gd name="T48" fmla="*/ 2530 w 7528"/>
                              <a:gd name="T49" fmla="*/ 9 h 301"/>
                              <a:gd name="T50" fmla="*/ 3373 w 7528"/>
                              <a:gd name="T51" fmla="*/ 9 h 301"/>
                              <a:gd name="T52" fmla="*/ 3373 w 7528"/>
                              <a:gd name="T53" fmla="*/ 301 h 301"/>
                              <a:gd name="T54" fmla="*/ 3358 w 7528"/>
                              <a:gd name="T55" fmla="*/ 301 h 301"/>
                              <a:gd name="T56" fmla="*/ 3358 w 7528"/>
                              <a:gd name="T57" fmla="*/ 9 h 301"/>
                              <a:gd name="T58" fmla="*/ 3373 w 7528"/>
                              <a:gd name="T59" fmla="*/ 9 h 301"/>
                              <a:gd name="T60" fmla="*/ 4201 w 7528"/>
                              <a:gd name="T61" fmla="*/ 9 h 301"/>
                              <a:gd name="T62" fmla="*/ 4201 w 7528"/>
                              <a:gd name="T63" fmla="*/ 301 h 301"/>
                              <a:gd name="T64" fmla="*/ 4186 w 7528"/>
                              <a:gd name="T65" fmla="*/ 301 h 301"/>
                              <a:gd name="T66" fmla="*/ 4186 w 7528"/>
                              <a:gd name="T67" fmla="*/ 9 h 301"/>
                              <a:gd name="T68" fmla="*/ 4201 w 7528"/>
                              <a:gd name="T69" fmla="*/ 9 h 301"/>
                              <a:gd name="T70" fmla="*/ 5029 w 7528"/>
                              <a:gd name="T71" fmla="*/ 9 h 301"/>
                              <a:gd name="T72" fmla="*/ 5029 w 7528"/>
                              <a:gd name="T73" fmla="*/ 301 h 301"/>
                              <a:gd name="T74" fmla="*/ 5013 w 7528"/>
                              <a:gd name="T75" fmla="*/ 301 h 301"/>
                              <a:gd name="T76" fmla="*/ 5013 w 7528"/>
                              <a:gd name="T77" fmla="*/ 9 h 301"/>
                              <a:gd name="T78" fmla="*/ 5029 w 7528"/>
                              <a:gd name="T79" fmla="*/ 9 h 301"/>
                              <a:gd name="T80" fmla="*/ 5857 w 7528"/>
                              <a:gd name="T81" fmla="*/ 9 h 301"/>
                              <a:gd name="T82" fmla="*/ 5857 w 7528"/>
                              <a:gd name="T83" fmla="*/ 301 h 301"/>
                              <a:gd name="T84" fmla="*/ 5841 w 7528"/>
                              <a:gd name="T85" fmla="*/ 301 h 301"/>
                              <a:gd name="T86" fmla="*/ 5841 w 7528"/>
                              <a:gd name="T87" fmla="*/ 9 h 301"/>
                              <a:gd name="T88" fmla="*/ 5857 w 7528"/>
                              <a:gd name="T89" fmla="*/ 9 h 301"/>
                              <a:gd name="T90" fmla="*/ 6684 w 7528"/>
                              <a:gd name="T91" fmla="*/ 9 h 301"/>
                              <a:gd name="T92" fmla="*/ 6684 w 7528"/>
                              <a:gd name="T93" fmla="*/ 301 h 301"/>
                              <a:gd name="T94" fmla="*/ 6669 w 7528"/>
                              <a:gd name="T95" fmla="*/ 301 h 301"/>
                              <a:gd name="T96" fmla="*/ 6669 w 7528"/>
                              <a:gd name="T97" fmla="*/ 9 h 301"/>
                              <a:gd name="T98" fmla="*/ 6684 w 7528"/>
                              <a:gd name="T99" fmla="*/ 9 h 301"/>
                              <a:gd name="T100" fmla="*/ 7528 w 7528"/>
                              <a:gd name="T101" fmla="*/ 9 h 301"/>
                              <a:gd name="T102" fmla="*/ 7528 w 7528"/>
                              <a:gd name="T103" fmla="*/ 301 h 301"/>
                              <a:gd name="T104" fmla="*/ 7512 w 7528"/>
                              <a:gd name="T105" fmla="*/ 301 h 301"/>
                              <a:gd name="T106" fmla="*/ 7512 w 7528"/>
                              <a:gd name="T107" fmla="*/ 9 h 301"/>
                              <a:gd name="T108" fmla="*/ 7528 w 7528"/>
                              <a:gd name="T109" fmla="*/ 9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1">
                                <a:moveTo>
                                  <a:pt x="8" y="0"/>
                                </a:moveTo>
                                <a:lnTo>
                                  <a:pt x="7520" y="0"/>
                                </a:lnTo>
                                <a:lnTo>
                                  <a:pt x="7520" y="17"/>
                                </a:lnTo>
                                <a:lnTo>
                                  <a:pt x="8" y="17"/>
                                </a:lnTo>
                                <a:lnTo>
                                  <a:pt x="8" y="0"/>
                                </a:lnTo>
                                <a:close/>
                                <a:moveTo>
                                  <a:pt x="16" y="9"/>
                                </a:moveTo>
                                <a:lnTo>
                                  <a:pt x="16" y="301"/>
                                </a:lnTo>
                                <a:lnTo>
                                  <a:pt x="0" y="301"/>
                                </a:lnTo>
                                <a:lnTo>
                                  <a:pt x="0" y="9"/>
                                </a:lnTo>
                                <a:lnTo>
                                  <a:pt x="16" y="9"/>
                                </a:lnTo>
                                <a:close/>
                                <a:moveTo>
                                  <a:pt x="875" y="9"/>
                                </a:moveTo>
                                <a:lnTo>
                                  <a:pt x="875" y="301"/>
                                </a:lnTo>
                                <a:lnTo>
                                  <a:pt x="859" y="301"/>
                                </a:lnTo>
                                <a:lnTo>
                                  <a:pt x="859" y="9"/>
                                </a:lnTo>
                                <a:lnTo>
                                  <a:pt x="875" y="9"/>
                                </a:lnTo>
                                <a:close/>
                                <a:moveTo>
                                  <a:pt x="1702" y="9"/>
                                </a:moveTo>
                                <a:lnTo>
                                  <a:pt x="1702" y="301"/>
                                </a:lnTo>
                                <a:lnTo>
                                  <a:pt x="1687" y="301"/>
                                </a:lnTo>
                                <a:lnTo>
                                  <a:pt x="1687" y="9"/>
                                </a:lnTo>
                                <a:lnTo>
                                  <a:pt x="1702" y="9"/>
                                </a:lnTo>
                                <a:close/>
                                <a:moveTo>
                                  <a:pt x="2530" y="9"/>
                                </a:moveTo>
                                <a:lnTo>
                                  <a:pt x="2530" y="301"/>
                                </a:lnTo>
                                <a:lnTo>
                                  <a:pt x="2515" y="301"/>
                                </a:lnTo>
                                <a:lnTo>
                                  <a:pt x="2515" y="9"/>
                                </a:lnTo>
                                <a:lnTo>
                                  <a:pt x="2530" y="9"/>
                                </a:lnTo>
                                <a:close/>
                                <a:moveTo>
                                  <a:pt x="3373" y="9"/>
                                </a:moveTo>
                                <a:lnTo>
                                  <a:pt x="3373" y="301"/>
                                </a:lnTo>
                                <a:lnTo>
                                  <a:pt x="3358" y="301"/>
                                </a:lnTo>
                                <a:lnTo>
                                  <a:pt x="3358" y="9"/>
                                </a:lnTo>
                                <a:lnTo>
                                  <a:pt x="3373" y="9"/>
                                </a:lnTo>
                                <a:close/>
                                <a:moveTo>
                                  <a:pt x="4201" y="9"/>
                                </a:moveTo>
                                <a:lnTo>
                                  <a:pt x="4201" y="301"/>
                                </a:lnTo>
                                <a:lnTo>
                                  <a:pt x="4186" y="301"/>
                                </a:lnTo>
                                <a:lnTo>
                                  <a:pt x="4186" y="9"/>
                                </a:lnTo>
                                <a:lnTo>
                                  <a:pt x="4201" y="9"/>
                                </a:lnTo>
                                <a:close/>
                                <a:moveTo>
                                  <a:pt x="5029" y="9"/>
                                </a:moveTo>
                                <a:lnTo>
                                  <a:pt x="5029" y="301"/>
                                </a:lnTo>
                                <a:lnTo>
                                  <a:pt x="5013" y="301"/>
                                </a:lnTo>
                                <a:lnTo>
                                  <a:pt x="5013" y="9"/>
                                </a:lnTo>
                                <a:lnTo>
                                  <a:pt x="5029" y="9"/>
                                </a:lnTo>
                                <a:close/>
                                <a:moveTo>
                                  <a:pt x="5857" y="9"/>
                                </a:moveTo>
                                <a:lnTo>
                                  <a:pt x="5857" y="301"/>
                                </a:lnTo>
                                <a:lnTo>
                                  <a:pt x="5841" y="301"/>
                                </a:lnTo>
                                <a:lnTo>
                                  <a:pt x="5841" y="9"/>
                                </a:lnTo>
                                <a:lnTo>
                                  <a:pt x="5857" y="9"/>
                                </a:lnTo>
                                <a:close/>
                                <a:moveTo>
                                  <a:pt x="6684" y="9"/>
                                </a:moveTo>
                                <a:lnTo>
                                  <a:pt x="6684" y="301"/>
                                </a:lnTo>
                                <a:lnTo>
                                  <a:pt x="6669" y="301"/>
                                </a:lnTo>
                                <a:lnTo>
                                  <a:pt x="6669" y="9"/>
                                </a:lnTo>
                                <a:lnTo>
                                  <a:pt x="6684" y="9"/>
                                </a:lnTo>
                                <a:close/>
                                <a:moveTo>
                                  <a:pt x="7528" y="9"/>
                                </a:moveTo>
                                <a:lnTo>
                                  <a:pt x="7528" y="301"/>
                                </a:lnTo>
                                <a:lnTo>
                                  <a:pt x="7512" y="301"/>
                                </a:lnTo>
                                <a:lnTo>
                                  <a:pt x="7512" y="9"/>
                                </a:lnTo>
                                <a:lnTo>
                                  <a:pt x="7528" y="9"/>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22" name="Rectangle 218"/>
                        <wps:cNvSpPr>
                          <a:spLocks noChangeArrowheads="1"/>
                        </wps:cNvSpPr>
                        <wps:spPr bwMode="auto">
                          <a:xfrm>
                            <a:off x="1926" y="7646"/>
                            <a:ext cx="94" cy="86"/>
                          </a:xfrm>
                          <a:prstGeom prst="rect">
                            <a:avLst/>
                          </a:prstGeom>
                          <a:solidFill>
                            <a:srgbClr val="FF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Freeform 219"/>
                        <wps:cNvSpPr>
                          <a:spLocks noEditPoints="1"/>
                        </wps:cNvSpPr>
                        <wps:spPr bwMode="auto">
                          <a:xfrm>
                            <a:off x="1918" y="7637"/>
                            <a:ext cx="109" cy="104"/>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24" name="Rectangle 220"/>
                        <wps:cNvSpPr>
                          <a:spLocks noChangeArrowheads="1"/>
                        </wps:cNvSpPr>
                        <wps:spPr bwMode="auto">
                          <a:xfrm>
                            <a:off x="2055" y="7582"/>
                            <a:ext cx="42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Глава </w:t>
                              </w:r>
                            </w:p>
                          </w:txbxContent>
                        </wps:txbx>
                        <wps:bodyPr rot="0" vert="horz" wrap="square" lIns="0" tIns="0" rIns="0" bIns="0" anchor="t" anchorCtr="0">
                          <a:noAutofit/>
                        </wps:bodyPr>
                      </wps:wsp>
                      <wps:wsp>
                        <wps:cNvPr id="325" name="Rectangle 221"/>
                        <wps:cNvSpPr>
                          <a:spLocks noChangeArrowheads="1"/>
                        </wps:cNvSpPr>
                        <wps:spPr bwMode="auto">
                          <a:xfrm>
                            <a:off x="2477" y="7582"/>
                            <a:ext cx="1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V</w:t>
                              </w:r>
                            </w:p>
                          </w:txbxContent>
                        </wps:txbx>
                        <wps:bodyPr rot="0" vert="horz" wrap="square" lIns="0" tIns="0" rIns="0" bIns="0" anchor="t" anchorCtr="0">
                          <a:noAutofit/>
                        </wps:bodyPr>
                      </wps:wsp>
                      <wps:wsp>
                        <wps:cNvPr id="326" name="Rectangle 222"/>
                        <wps:cNvSpPr>
                          <a:spLocks noChangeArrowheads="1"/>
                        </wps:cNvSpPr>
                        <wps:spPr bwMode="auto">
                          <a:xfrm>
                            <a:off x="2570" y="7582"/>
                            <a:ext cx="9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ІІ</w:t>
                              </w:r>
                            </w:p>
                          </w:txbxContent>
                        </wps:txbx>
                        <wps:bodyPr rot="0" vert="horz" wrap="square" lIns="0" tIns="0" rIns="0" bIns="0" anchor="t" anchorCtr="0">
                          <a:noAutofit/>
                        </wps:bodyPr>
                      </wps:wsp>
                      <wps:wsp>
                        <wps:cNvPr id="327" name="Rectangle 223"/>
                        <wps:cNvSpPr>
                          <a:spLocks noChangeArrowheads="1"/>
                        </wps:cNvSpPr>
                        <wps:spPr bwMode="auto">
                          <a:xfrm>
                            <a:off x="3081" y="7587"/>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33</w:t>
                              </w:r>
                            </w:p>
                          </w:txbxContent>
                        </wps:txbx>
                        <wps:bodyPr rot="0" vert="horz" wrap="square" lIns="0" tIns="0" rIns="0" bIns="0" anchor="t" anchorCtr="0">
                          <a:noAutofit/>
                        </wps:bodyPr>
                      </wps:wsp>
                      <wps:wsp>
                        <wps:cNvPr id="328" name="Rectangle 224"/>
                        <wps:cNvSpPr>
                          <a:spLocks noChangeArrowheads="1"/>
                        </wps:cNvSpPr>
                        <wps:spPr bwMode="auto">
                          <a:xfrm>
                            <a:off x="3912" y="7587"/>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30</w:t>
                              </w:r>
                            </w:p>
                          </w:txbxContent>
                        </wps:txbx>
                        <wps:bodyPr rot="0" vert="horz" wrap="square" lIns="0" tIns="0" rIns="0" bIns="0" anchor="t" anchorCtr="0">
                          <a:noAutofit/>
                        </wps:bodyPr>
                      </wps:wsp>
                      <wps:wsp>
                        <wps:cNvPr id="329" name="Rectangle 225"/>
                        <wps:cNvSpPr>
                          <a:spLocks noChangeArrowheads="1"/>
                        </wps:cNvSpPr>
                        <wps:spPr bwMode="auto">
                          <a:xfrm>
                            <a:off x="4743" y="7587"/>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38</w:t>
                              </w:r>
                            </w:p>
                          </w:txbxContent>
                        </wps:txbx>
                        <wps:bodyPr rot="0" vert="horz" wrap="square" lIns="0" tIns="0" rIns="0" bIns="0" anchor="t" anchorCtr="0">
                          <a:noAutofit/>
                        </wps:bodyPr>
                      </wps:wsp>
                      <wps:wsp>
                        <wps:cNvPr id="330" name="Rectangle 226"/>
                        <wps:cNvSpPr>
                          <a:spLocks noChangeArrowheads="1"/>
                        </wps:cNvSpPr>
                        <wps:spPr bwMode="auto">
                          <a:xfrm>
                            <a:off x="5614" y="758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31" name="Rectangle 227"/>
                        <wps:cNvSpPr>
                          <a:spLocks noChangeArrowheads="1"/>
                        </wps:cNvSpPr>
                        <wps:spPr bwMode="auto">
                          <a:xfrm>
                            <a:off x="6445" y="758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32" name="Rectangle 228"/>
                        <wps:cNvSpPr>
                          <a:spLocks noChangeArrowheads="1"/>
                        </wps:cNvSpPr>
                        <wps:spPr bwMode="auto">
                          <a:xfrm>
                            <a:off x="7276" y="758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w:t>
                              </w:r>
                            </w:p>
                          </w:txbxContent>
                        </wps:txbx>
                        <wps:bodyPr rot="0" vert="horz" wrap="square" lIns="0" tIns="0" rIns="0" bIns="0" anchor="t" anchorCtr="0">
                          <a:noAutofit/>
                        </wps:bodyPr>
                      </wps:wsp>
                      <wps:wsp>
                        <wps:cNvPr id="333" name="Rectangle 229"/>
                        <wps:cNvSpPr>
                          <a:spLocks noChangeArrowheads="1"/>
                        </wps:cNvSpPr>
                        <wps:spPr bwMode="auto">
                          <a:xfrm>
                            <a:off x="8107" y="758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w:t>
                              </w:r>
                            </w:p>
                          </w:txbxContent>
                        </wps:txbx>
                        <wps:bodyPr rot="0" vert="horz" wrap="square" lIns="0" tIns="0" rIns="0" bIns="0" anchor="t" anchorCtr="0">
                          <a:noAutofit/>
                        </wps:bodyPr>
                      </wps:wsp>
                      <wps:wsp>
                        <wps:cNvPr id="334" name="Freeform 230"/>
                        <wps:cNvSpPr>
                          <a:spLocks noEditPoints="1"/>
                        </wps:cNvSpPr>
                        <wps:spPr bwMode="auto">
                          <a:xfrm>
                            <a:off x="1871" y="7827"/>
                            <a:ext cx="7528" cy="301"/>
                          </a:xfrm>
                          <a:custGeom>
                            <a:avLst/>
                            <a:gdLst>
                              <a:gd name="T0" fmla="*/ 8 w 7528"/>
                              <a:gd name="T1" fmla="*/ 0 h 301"/>
                              <a:gd name="T2" fmla="*/ 7520 w 7528"/>
                              <a:gd name="T3" fmla="*/ 0 h 301"/>
                              <a:gd name="T4" fmla="*/ 7520 w 7528"/>
                              <a:gd name="T5" fmla="*/ 17 h 301"/>
                              <a:gd name="T6" fmla="*/ 8 w 7528"/>
                              <a:gd name="T7" fmla="*/ 17 h 301"/>
                              <a:gd name="T8" fmla="*/ 8 w 7528"/>
                              <a:gd name="T9" fmla="*/ 0 h 301"/>
                              <a:gd name="T10" fmla="*/ 16 w 7528"/>
                              <a:gd name="T11" fmla="*/ 8 h 301"/>
                              <a:gd name="T12" fmla="*/ 16 w 7528"/>
                              <a:gd name="T13" fmla="*/ 301 h 301"/>
                              <a:gd name="T14" fmla="*/ 0 w 7528"/>
                              <a:gd name="T15" fmla="*/ 301 h 301"/>
                              <a:gd name="T16" fmla="*/ 0 w 7528"/>
                              <a:gd name="T17" fmla="*/ 8 h 301"/>
                              <a:gd name="T18" fmla="*/ 16 w 7528"/>
                              <a:gd name="T19" fmla="*/ 8 h 301"/>
                              <a:gd name="T20" fmla="*/ 875 w 7528"/>
                              <a:gd name="T21" fmla="*/ 8 h 301"/>
                              <a:gd name="T22" fmla="*/ 875 w 7528"/>
                              <a:gd name="T23" fmla="*/ 301 h 301"/>
                              <a:gd name="T24" fmla="*/ 859 w 7528"/>
                              <a:gd name="T25" fmla="*/ 301 h 301"/>
                              <a:gd name="T26" fmla="*/ 859 w 7528"/>
                              <a:gd name="T27" fmla="*/ 8 h 301"/>
                              <a:gd name="T28" fmla="*/ 875 w 7528"/>
                              <a:gd name="T29" fmla="*/ 8 h 301"/>
                              <a:gd name="T30" fmla="*/ 1702 w 7528"/>
                              <a:gd name="T31" fmla="*/ 8 h 301"/>
                              <a:gd name="T32" fmla="*/ 1702 w 7528"/>
                              <a:gd name="T33" fmla="*/ 301 h 301"/>
                              <a:gd name="T34" fmla="*/ 1687 w 7528"/>
                              <a:gd name="T35" fmla="*/ 301 h 301"/>
                              <a:gd name="T36" fmla="*/ 1687 w 7528"/>
                              <a:gd name="T37" fmla="*/ 8 h 301"/>
                              <a:gd name="T38" fmla="*/ 1702 w 7528"/>
                              <a:gd name="T39" fmla="*/ 8 h 301"/>
                              <a:gd name="T40" fmla="*/ 2530 w 7528"/>
                              <a:gd name="T41" fmla="*/ 8 h 301"/>
                              <a:gd name="T42" fmla="*/ 2530 w 7528"/>
                              <a:gd name="T43" fmla="*/ 301 h 301"/>
                              <a:gd name="T44" fmla="*/ 2515 w 7528"/>
                              <a:gd name="T45" fmla="*/ 301 h 301"/>
                              <a:gd name="T46" fmla="*/ 2515 w 7528"/>
                              <a:gd name="T47" fmla="*/ 8 h 301"/>
                              <a:gd name="T48" fmla="*/ 2530 w 7528"/>
                              <a:gd name="T49" fmla="*/ 8 h 301"/>
                              <a:gd name="T50" fmla="*/ 3373 w 7528"/>
                              <a:gd name="T51" fmla="*/ 8 h 301"/>
                              <a:gd name="T52" fmla="*/ 3373 w 7528"/>
                              <a:gd name="T53" fmla="*/ 301 h 301"/>
                              <a:gd name="T54" fmla="*/ 3358 w 7528"/>
                              <a:gd name="T55" fmla="*/ 301 h 301"/>
                              <a:gd name="T56" fmla="*/ 3358 w 7528"/>
                              <a:gd name="T57" fmla="*/ 8 h 301"/>
                              <a:gd name="T58" fmla="*/ 3373 w 7528"/>
                              <a:gd name="T59" fmla="*/ 8 h 301"/>
                              <a:gd name="T60" fmla="*/ 4201 w 7528"/>
                              <a:gd name="T61" fmla="*/ 8 h 301"/>
                              <a:gd name="T62" fmla="*/ 4201 w 7528"/>
                              <a:gd name="T63" fmla="*/ 301 h 301"/>
                              <a:gd name="T64" fmla="*/ 4186 w 7528"/>
                              <a:gd name="T65" fmla="*/ 301 h 301"/>
                              <a:gd name="T66" fmla="*/ 4186 w 7528"/>
                              <a:gd name="T67" fmla="*/ 8 h 301"/>
                              <a:gd name="T68" fmla="*/ 4201 w 7528"/>
                              <a:gd name="T69" fmla="*/ 8 h 301"/>
                              <a:gd name="T70" fmla="*/ 5029 w 7528"/>
                              <a:gd name="T71" fmla="*/ 8 h 301"/>
                              <a:gd name="T72" fmla="*/ 5029 w 7528"/>
                              <a:gd name="T73" fmla="*/ 301 h 301"/>
                              <a:gd name="T74" fmla="*/ 5013 w 7528"/>
                              <a:gd name="T75" fmla="*/ 301 h 301"/>
                              <a:gd name="T76" fmla="*/ 5013 w 7528"/>
                              <a:gd name="T77" fmla="*/ 8 h 301"/>
                              <a:gd name="T78" fmla="*/ 5029 w 7528"/>
                              <a:gd name="T79" fmla="*/ 8 h 301"/>
                              <a:gd name="T80" fmla="*/ 5857 w 7528"/>
                              <a:gd name="T81" fmla="*/ 8 h 301"/>
                              <a:gd name="T82" fmla="*/ 5857 w 7528"/>
                              <a:gd name="T83" fmla="*/ 301 h 301"/>
                              <a:gd name="T84" fmla="*/ 5841 w 7528"/>
                              <a:gd name="T85" fmla="*/ 301 h 301"/>
                              <a:gd name="T86" fmla="*/ 5841 w 7528"/>
                              <a:gd name="T87" fmla="*/ 8 h 301"/>
                              <a:gd name="T88" fmla="*/ 5857 w 7528"/>
                              <a:gd name="T89" fmla="*/ 8 h 301"/>
                              <a:gd name="T90" fmla="*/ 6684 w 7528"/>
                              <a:gd name="T91" fmla="*/ 8 h 301"/>
                              <a:gd name="T92" fmla="*/ 6684 w 7528"/>
                              <a:gd name="T93" fmla="*/ 301 h 301"/>
                              <a:gd name="T94" fmla="*/ 6669 w 7528"/>
                              <a:gd name="T95" fmla="*/ 301 h 301"/>
                              <a:gd name="T96" fmla="*/ 6669 w 7528"/>
                              <a:gd name="T97" fmla="*/ 8 h 301"/>
                              <a:gd name="T98" fmla="*/ 6684 w 7528"/>
                              <a:gd name="T99" fmla="*/ 8 h 301"/>
                              <a:gd name="T100" fmla="*/ 7528 w 7528"/>
                              <a:gd name="T101" fmla="*/ 8 h 301"/>
                              <a:gd name="T102" fmla="*/ 7528 w 7528"/>
                              <a:gd name="T103" fmla="*/ 301 h 301"/>
                              <a:gd name="T104" fmla="*/ 7512 w 7528"/>
                              <a:gd name="T105" fmla="*/ 301 h 301"/>
                              <a:gd name="T106" fmla="*/ 7512 w 7528"/>
                              <a:gd name="T107" fmla="*/ 8 h 301"/>
                              <a:gd name="T108" fmla="*/ 7528 w 7528"/>
                              <a:gd name="T109" fmla="*/ 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1">
                                <a:moveTo>
                                  <a:pt x="8" y="0"/>
                                </a:moveTo>
                                <a:lnTo>
                                  <a:pt x="7520" y="0"/>
                                </a:lnTo>
                                <a:lnTo>
                                  <a:pt x="7520" y="17"/>
                                </a:lnTo>
                                <a:lnTo>
                                  <a:pt x="8" y="17"/>
                                </a:lnTo>
                                <a:lnTo>
                                  <a:pt x="8" y="0"/>
                                </a:lnTo>
                                <a:close/>
                                <a:moveTo>
                                  <a:pt x="16" y="8"/>
                                </a:moveTo>
                                <a:lnTo>
                                  <a:pt x="16" y="301"/>
                                </a:lnTo>
                                <a:lnTo>
                                  <a:pt x="0" y="301"/>
                                </a:lnTo>
                                <a:lnTo>
                                  <a:pt x="0" y="8"/>
                                </a:lnTo>
                                <a:lnTo>
                                  <a:pt x="16" y="8"/>
                                </a:lnTo>
                                <a:close/>
                                <a:moveTo>
                                  <a:pt x="875" y="8"/>
                                </a:moveTo>
                                <a:lnTo>
                                  <a:pt x="875" y="301"/>
                                </a:lnTo>
                                <a:lnTo>
                                  <a:pt x="859" y="301"/>
                                </a:lnTo>
                                <a:lnTo>
                                  <a:pt x="859" y="8"/>
                                </a:lnTo>
                                <a:lnTo>
                                  <a:pt x="875" y="8"/>
                                </a:lnTo>
                                <a:close/>
                                <a:moveTo>
                                  <a:pt x="1702" y="8"/>
                                </a:moveTo>
                                <a:lnTo>
                                  <a:pt x="1702" y="301"/>
                                </a:lnTo>
                                <a:lnTo>
                                  <a:pt x="1687" y="301"/>
                                </a:lnTo>
                                <a:lnTo>
                                  <a:pt x="1687" y="8"/>
                                </a:lnTo>
                                <a:lnTo>
                                  <a:pt x="1702" y="8"/>
                                </a:lnTo>
                                <a:close/>
                                <a:moveTo>
                                  <a:pt x="2530" y="8"/>
                                </a:moveTo>
                                <a:lnTo>
                                  <a:pt x="2530" y="301"/>
                                </a:lnTo>
                                <a:lnTo>
                                  <a:pt x="2515" y="301"/>
                                </a:lnTo>
                                <a:lnTo>
                                  <a:pt x="2515" y="8"/>
                                </a:lnTo>
                                <a:lnTo>
                                  <a:pt x="2530" y="8"/>
                                </a:lnTo>
                                <a:close/>
                                <a:moveTo>
                                  <a:pt x="3373" y="8"/>
                                </a:moveTo>
                                <a:lnTo>
                                  <a:pt x="3373" y="301"/>
                                </a:lnTo>
                                <a:lnTo>
                                  <a:pt x="3358" y="301"/>
                                </a:lnTo>
                                <a:lnTo>
                                  <a:pt x="3358" y="8"/>
                                </a:lnTo>
                                <a:lnTo>
                                  <a:pt x="3373" y="8"/>
                                </a:lnTo>
                                <a:close/>
                                <a:moveTo>
                                  <a:pt x="4201" y="8"/>
                                </a:moveTo>
                                <a:lnTo>
                                  <a:pt x="4201" y="301"/>
                                </a:lnTo>
                                <a:lnTo>
                                  <a:pt x="4186" y="301"/>
                                </a:lnTo>
                                <a:lnTo>
                                  <a:pt x="4186" y="8"/>
                                </a:lnTo>
                                <a:lnTo>
                                  <a:pt x="4201" y="8"/>
                                </a:lnTo>
                                <a:close/>
                                <a:moveTo>
                                  <a:pt x="5029" y="8"/>
                                </a:moveTo>
                                <a:lnTo>
                                  <a:pt x="5029" y="301"/>
                                </a:lnTo>
                                <a:lnTo>
                                  <a:pt x="5013" y="301"/>
                                </a:lnTo>
                                <a:lnTo>
                                  <a:pt x="5013" y="8"/>
                                </a:lnTo>
                                <a:lnTo>
                                  <a:pt x="5029" y="8"/>
                                </a:lnTo>
                                <a:close/>
                                <a:moveTo>
                                  <a:pt x="5857" y="8"/>
                                </a:moveTo>
                                <a:lnTo>
                                  <a:pt x="5857" y="301"/>
                                </a:lnTo>
                                <a:lnTo>
                                  <a:pt x="5841" y="301"/>
                                </a:lnTo>
                                <a:lnTo>
                                  <a:pt x="5841" y="8"/>
                                </a:lnTo>
                                <a:lnTo>
                                  <a:pt x="5857" y="8"/>
                                </a:lnTo>
                                <a:close/>
                                <a:moveTo>
                                  <a:pt x="6684" y="8"/>
                                </a:moveTo>
                                <a:lnTo>
                                  <a:pt x="6684" y="301"/>
                                </a:lnTo>
                                <a:lnTo>
                                  <a:pt x="6669" y="301"/>
                                </a:lnTo>
                                <a:lnTo>
                                  <a:pt x="6669" y="8"/>
                                </a:lnTo>
                                <a:lnTo>
                                  <a:pt x="6684" y="8"/>
                                </a:lnTo>
                                <a:close/>
                                <a:moveTo>
                                  <a:pt x="7528" y="8"/>
                                </a:moveTo>
                                <a:lnTo>
                                  <a:pt x="7528" y="301"/>
                                </a:lnTo>
                                <a:lnTo>
                                  <a:pt x="7512" y="301"/>
                                </a:lnTo>
                                <a:lnTo>
                                  <a:pt x="7512" y="8"/>
                                </a:lnTo>
                                <a:lnTo>
                                  <a:pt x="7528" y="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35" name="Rectangle 231"/>
                        <wps:cNvSpPr>
                          <a:spLocks noChangeArrowheads="1"/>
                        </wps:cNvSpPr>
                        <wps:spPr bwMode="auto">
                          <a:xfrm>
                            <a:off x="1926" y="7939"/>
                            <a:ext cx="94" cy="86"/>
                          </a:xfrm>
                          <a:prstGeom prst="rect">
                            <a:avLst/>
                          </a:prstGeom>
                          <a:solidFill>
                            <a:srgbClr val="00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Freeform 232"/>
                        <wps:cNvSpPr>
                          <a:spLocks noEditPoints="1"/>
                        </wps:cNvSpPr>
                        <wps:spPr bwMode="auto">
                          <a:xfrm>
                            <a:off x="1918" y="7930"/>
                            <a:ext cx="109" cy="104"/>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37" name="Rectangle 233"/>
                        <wps:cNvSpPr>
                          <a:spLocks noChangeArrowheads="1"/>
                        </wps:cNvSpPr>
                        <wps:spPr bwMode="auto">
                          <a:xfrm>
                            <a:off x="2044" y="7875"/>
                            <a:ext cx="42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Глава </w:t>
                              </w:r>
                            </w:p>
                          </w:txbxContent>
                        </wps:txbx>
                        <wps:bodyPr rot="0" vert="horz" wrap="square" lIns="0" tIns="0" rIns="0" bIns="0" anchor="t" anchorCtr="0">
                          <a:noAutofit/>
                        </wps:bodyPr>
                      </wps:wsp>
                      <wps:wsp>
                        <wps:cNvPr id="338" name="Rectangle 234"/>
                        <wps:cNvSpPr>
                          <a:spLocks noChangeArrowheads="1"/>
                        </wps:cNvSpPr>
                        <wps:spPr bwMode="auto">
                          <a:xfrm>
                            <a:off x="2466" y="7875"/>
                            <a:ext cx="1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V</w:t>
                              </w:r>
                            </w:p>
                          </w:txbxContent>
                        </wps:txbx>
                        <wps:bodyPr rot="0" vert="horz" wrap="square" lIns="0" tIns="0" rIns="0" bIns="0" anchor="t" anchorCtr="0">
                          <a:noAutofit/>
                        </wps:bodyPr>
                      </wps:wsp>
                      <wps:wsp>
                        <wps:cNvPr id="339" name="Rectangle 235"/>
                        <wps:cNvSpPr>
                          <a:spLocks noChangeArrowheads="1"/>
                        </wps:cNvSpPr>
                        <wps:spPr bwMode="auto">
                          <a:xfrm>
                            <a:off x="2559" y="7875"/>
                            <a:ext cx="13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ІІІ</w:t>
                              </w:r>
                            </w:p>
                          </w:txbxContent>
                        </wps:txbx>
                        <wps:bodyPr rot="0" vert="horz" wrap="square" lIns="0" tIns="0" rIns="0" bIns="0" anchor="t" anchorCtr="0">
                          <a:noAutofit/>
                        </wps:bodyPr>
                      </wps:wsp>
                      <wps:wsp>
                        <wps:cNvPr id="340" name="Rectangle 236"/>
                        <wps:cNvSpPr>
                          <a:spLocks noChangeArrowheads="1"/>
                        </wps:cNvSpPr>
                        <wps:spPr bwMode="auto">
                          <a:xfrm>
                            <a:off x="3081"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60</w:t>
                              </w:r>
                            </w:p>
                          </w:txbxContent>
                        </wps:txbx>
                        <wps:bodyPr rot="0" vert="horz" wrap="square" lIns="0" tIns="0" rIns="0" bIns="0" anchor="t" anchorCtr="0">
                          <a:noAutofit/>
                        </wps:bodyPr>
                      </wps:wsp>
                      <wps:wsp>
                        <wps:cNvPr id="341" name="Rectangle 237"/>
                        <wps:cNvSpPr>
                          <a:spLocks noChangeArrowheads="1"/>
                        </wps:cNvSpPr>
                        <wps:spPr bwMode="auto">
                          <a:xfrm>
                            <a:off x="3912"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32</w:t>
                              </w:r>
                            </w:p>
                          </w:txbxContent>
                        </wps:txbx>
                        <wps:bodyPr rot="0" vert="horz" wrap="square" lIns="0" tIns="0" rIns="0" bIns="0" anchor="t" anchorCtr="0">
                          <a:noAutofit/>
                        </wps:bodyPr>
                      </wps:wsp>
                      <wps:wsp>
                        <wps:cNvPr id="342" name="Rectangle 238"/>
                        <wps:cNvSpPr>
                          <a:spLocks noChangeArrowheads="1"/>
                        </wps:cNvSpPr>
                        <wps:spPr bwMode="auto">
                          <a:xfrm>
                            <a:off x="4743"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35</w:t>
                              </w:r>
                            </w:p>
                          </w:txbxContent>
                        </wps:txbx>
                        <wps:bodyPr rot="0" vert="horz" wrap="square" lIns="0" tIns="0" rIns="0" bIns="0" anchor="t" anchorCtr="0">
                          <a:noAutofit/>
                        </wps:bodyPr>
                      </wps:wsp>
                      <wps:wsp>
                        <wps:cNvPr id="343" name="Rectangle 239"/>
                        <wps:cNvSpPr>
                          <a:spLocks noChangeArrowheads="1"/>
                        </wps:cNvSpPr>
                        <wps:spPr bwMode="auto">
                          <a:xfrm>
                            <a:off x="5574"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13</w:t>
                              </w:r>
                            </w:p>
                          </w:txbxContent>
                        </wps:txbx>
                        <wps:bodyPr rot="0" vert="horz" wrap="square" lIns="0" tIns="0" rIns="0" bIns="0" anchor="t" anchorCtr="0">
                          <a:noAutofit/>
                        </wps:bodyPr>
                      </wps:wsp>
                      <wps:wsp>
                        <wps:cNvPr id="344" name="Rectangle 240"/>
                        <wps:cNvSpPr>
                          <a:spLocks noChangeArrowheads="1"/>
                        </wps:cNvSpPr>
                        <wps:spPr bwMode="auto">
                          <a:xfrm>
                            <a:off x="6404"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16</w:t>
                              </w:r>
                            </w:p>
                          </w:txbxContent>
                        </wps:txbx>
                        <wps:bodyPr rot="0" vert="horz" wrap="square" lIns="0" tIns="0" rIns="0" bIns="0" anchor="t" anchorCtr="0">
                          <a:noAutofit/>
                        </wps:bodyPr>
                      </wps:wsp>
                      <wps:wsp>
                        <wps:cNvPr id="345" name="Rectangle 241"/>
                        <wps:cNvSpPr>
                          <a:spLocks noChangeArrowheads="1"/>
                        </wps:cNvSpPr>
                        <wps:spPr bwMode="auto">
                          <a:xfrm>
                            <a:off x="7235"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15</w:t>
                              </w:r>
                            </w:p>
                          </w:txbxContent>
                        </wps:txbx>
                        <wps:bodyPr rot="0" vert="horz" wrap="square" lIns="0" tIns="0" rIns="0" bIns="0" anchor="t" anchorCtr="0">
                          <a:noAutofit/>
                        </wps:bodyPr>
                      </wps:wsp>
                      <wps:wsp>
                        <wps:cNvPr id="346" name="Rectangle 242"/>
                        <wps:cNvSpPr>
                          <a:spLocks noChangeArrowheads="1"/>
                        </wps:cNvSpPr>
                        <wps:spPr bwMode="auto">
                          <a:xfrm>
                            <a:off x="8066" y="7880"/>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15</w:t>
                              </w:r>
                            </w:p>
                          </w:txbxContent>
                        </wps:txbx>
                        <wps:bodyPr rot="0" vert="horz" wrap="square" lIns="0" tIns="0" rIns="0" bIns="0" anchor="t" anchorCtr="0">
                          <a:noAutofit/>
                        </wps:bodyPr>
                      </wps:wsp>
                      <wps:wsp>
                        <wps:cNvPr id="347" name="Freeform 243"/>
                        <wps:cNvSpPr>
                          <a:spLocks noEditPoints="1"/>
                        </wps:cNvSpPr>
                        <wps:spPr bwMode="auto">
                          <a:xfrm>
                            <a:off x="1871" y="8120"/>
                            <a:ext cx="7528" cy="301"/>
                          </a:xfrm>
                          <a:custGeom>
                            <a:avLst/>
                            <a:gdLst>
                              <a:gd name="T0" fmla="*/ 8 w 7528"/>
                              <a:gd name="T1" fmla="*/ 0 h 301"/>
                              <a:gd name="T2" fmla="*/ 7520 w 7528"/>
                              <a:gd name="T3" fmla="*/ 0 h 301"/>
                              <a:gd name="T4" fmla="*/ 7520 w 7528"/>
                              <a:gd name="T5" fmla="*/ 17 h 301"/>
                              <a:gd name="T6" fmla="*/ 8 w 7528"/>
                              <a:gd name="T7" fmla="*/ 17 h 301"/>
                              <a:gd name="T8" fmla="*/ 8 w 7528"/>
                              <a:gd name="T9" fmla="*/ 0 h 301"/>
                              <a:gd name="T10" fmla="*/ 16 w 7528"/>
                              <a:gd name="T11" fmla="*/ 8 h 301"/>
                              <a:gd name="T12" fmla="*/ 16 w 7528"/>
                              <a:gd name="T13" fmla="*/ 301 h 301"/>
                              <a:gd name="T14" fmla="*/ 0 w 7528"/>
                              <a:gd name="T15" fmla="*/ 301 h 301"/>
                              <a:gd name="T16" fmla="*/ 0 w 7528"/>
                              <a:gd name="T17" fmla="*/ 8 h 301"/>
                              <a:gd name="T18" fmla="*/ 16 w 7528"/>
                              <a:gd name="T19" fmla="*/ 8 h 301"/>
                              <a:gd name="T20" fmla="*/ 875 w 7528"/>
                              <a:gd name="T21" fmla="*/ 8 h 301"/>
                              <a:gd name="T22" fmla="*/ 875 w 7528"/>
                              <a:gd name="T23" fmla="*/ 301 h 301"/>
                              <a:gd name="T24" fmla="*/ 859 w 7528"/>
                              <a:gd name="T25" fmla="*/ 301 h 301"/>
                              <a:gd name="T26" fmla="*/ 859 w 7528"/>
                              <a:gd name="T27" fmla="*/ 8 h 301"/>
                              <a:gd name="T28" fmla="*/ 875 w 7528"/>
                              <a:gd name="T29" fmla="*/ 8 h 301"/>
                              <a:gd name="T30" fmla="*/ 1702 w 7528"/>
                              <a:gd name="T31" fmla="*/ 8 h 301"/>
                              <a:gd name="T32" fmla="*/ 1702 w 7528"/>
                              <a:gd name="T33" fmla="*/ 301 h 301"/>
                              <a:gd name="T34" fmla="*/ 1687 w 7528"/>
                              <a:gd name="T35" fmla="*/ 301 h 301"/>
                              <a:gd name="T36" fmla="*/ 1687 w 7528"/>
                              <a:gd name="T37" fmla="*/ 8 h 301"/>
                              <a:gd name="T38" fmla="*/ 1702 w 7528"/>
                              <a:gd name="T39" fmla="*/ 8 h 301"/>
                              <a:gd name="T40" fmla="*/ 2530 w 7528"/>
                              <a:gd name="T41" fmla="*/ 8 h 301"/>
                              <a:gd name="T42" fmla="*/ 2530 w 7528"/>
                              <a:gd name="T43" fmla="*/ 301 h 301"/>
                              <a:gd name="T44" fmla="*/ 2515 w 7528"/>
                              <a:gd name="T45" fmla="*/ 301 h 301"/>
                              <a:gd name="T46" fmla="*/ 2515 w 7528"/>
                              <a:gd name="T47" fmla="*/ 8 h 301"/>
                              <a:gd name="T48" fmla="*/ 2530 w 7528"/>
                              <a:gd name="T49" fmla="*/ 8 h 301"/>
                              <a:gd name="T50" fmla="*/ 3373 w 7528"/>
                              <a:gd name="T51" fmla="*/ 8 h 301"/>
                              <a:gd name="T52" fmla="*/ 3373 w 7528"/>
                              <a:gd name="T53" fmla="*/ 301 h 301"/>
                              <a:gd name="T54" fmla="*/ 3358 w 7528"/>
                              <a:gd name="T55" fmla="*/ 301 h 301"/>
                              <a:gd name="T56" fmla="*/ 3358 w 7528"/>
                              <a:gd name="T57" fmla="*/ 8 h 301"/>
                              <a:gd name="T58" fmla="*/ 3373 w 7528"/>
                              <a:gd name="T59" fmla="*/ 8 h 301"/>
                              <a:gd name="T60" fmla="*/ 4201 w 7528"/>
                              <a:gd name="T61" fmla="*/ 8 h 301"/>
                              <a:gd name="T62" fmla="*/ 4201 w 7528"/>
                              <a:gd name="T63" fmla="*/ 301 h 301"/>
                              <a:gd name="T64" fmla="*/ 4186 w 7528"/>
                              <a:gd name="T65" fmla="*/ 301 h 301"/>
                              <a:gd name="T66" fmla="*/ 4186 w 7528"/>
                              <a:gd name="T67" fmla="*/ 8 h 301"/>
                              <a:gd name="T68" fmla="*/ 4201 w 7528"/>
                              <a:gd name="T69" fmla="*/ 8 h 301"/>
                              <a:gd name="T70" fmla="*/ 5029 w 7528"/>
                              <a:gd name="T71" fmla="*/ 8 h 301"/>
                              <a:gd name="T72" fmla="*/ 5029 w 7528"/>
                              <a:gd name="T73" fmla="*/ 301 h 301"/>
                              <a:gd name="T74" fmla="*/ 5013 w 7528"/>
                              <a:gd name="T75" fmla="*/ 301 h 301"/>
                              <a:gd name="T76" fmla="*/ 5013 w 7528"/>
                              <a:gd name="T77" fmla="*/ 8 h 301"/>
                              <a:gd name="T78" fmla="*/ 5029 w 7528"/>
                              <a:gd name="T79" fmla="*/ 8 h 301"/>
                              <a:gd name="T80" fmla="*/ 5857 w 7528"/>
                              <a:gd name="T81" fmla="*/ 8 h 301"/>
                              <a:gd name="T82" fmla="*/ 5857 w 7528"/>
                              <a:gd name="T83" fmla="*/ 301 h 301"/>
                              <a:gd name="T84" fmla="*/ 5841 w 7528"/>
                              <a:gd name="T85" fmla="*/ 301 h 301"/>
                              <a:gd name="T86" fmla="*/ 5841 w 7528"/>
                              <a:gd name="T87" fmla="*/ 8 h 301"/>
                              <a:gd name="T88" fmla="*/ 5857 w 7528"/>
                              <a:gd name="T89" fmla="*/ 8 h 301"/>
                              <a:gd name="T90" fmla="*/ 6684 w 7528"/>
                              <a:gd name="T91" fmla="*/ 8 h 301"/>
                              <a:gd name="T92" fmla="*/ 6684 w 7528"/>
                              <a:gd name="T93" fmla="*/ 301 h 301"/>
                              <a:gd name="T94" fmla="*/ 6669 w 7528"/>
                              <a:gd name="T95" fmla="*/ 301 h 301"/>
                              <a:gd name="T96" fmla="*/ 6669 w 7528"/>
                              <a:gd name="T97" fmla="*/ 8 h 301"/>
                              <a:gd name="T98" fmla="*/ 6684 w 7528"/>
                              <a:gd name="T99" fmla="*/ 8 h 301"/>
                              <a:gd name="T100" fmla="*/ 7528 w 7528"/>
                              <a:gd name="T101" fmla="*/ 8 h 301"/>
                              <a:gd name="T102" fmla="*/ 7528 w 7528"/>
                              <a:gd name="T103" fmla="*/ 301 h 301"/>
                              <a:gd name="T104" fmla="*/ 7512 w 7528"/>
                              <a:gd name="T105" fmla="*/ 301 h 301"/>
                              <a:gd name="T106" fmla="*/ 7512 w 7528"/>
                              <a:gd name="T107" fmla="*/ 8 h 301"/>
                              <a:gd name="T108" fmla="*/ 7528 w 7528"/>
                              <a:gd name="T109" fmla="*/ 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1">
                                <a:moveTo>
                                  <a:pt x="8" y="0"/>
                                </a:moveTo>
                                <a:lnTo>
                                  <a:pt x="7520" y="0"/>
                                </a:lnTo>
                                <a:lnTo>
                                  <a:pt x="7520" y="17"/>
                                </a:lnTo>
                                <a:lnTo>
                                  <a:pt x="8" y="17"/>
                                </a:lnTo>
                                <a:lnTo>
                                  <a:pt x="8" y="0"/>
                                </a:lnTo>
                                <a:close/>
                                <a:moveTo>
                                  <a:pt x="16" y="8"/>
                                </a:moveTo>
                                <a:lnTo>
                                  <a:pt x="16" y="301"/>
                                </a:lnTo>
                                <a:lnTo>
                                  <a:pt x="0" y="301"/>
                                </a:lnTo>
                                <a:lnTo>
                                  <a:pt x="0" y="8"/>
                                </a:lnTo>
                                <a:lnTo>
                                  <a:pt x="16" y="8"/>
                                </a:lnTo>
                                <a:close/>
                                <a:moveTo>
                                  <a:pt x="875" y="8"/>
                                </a:moveTo>
                                <a:lnTo>
                                  <a:pt x="875" y="301"/>
                                </a:lnTo>
                                <a:lnTo>
                                  <a:pt x="859" y="301"/>
                                </a:lnTo>
                                <a:lnTo>
                                  <a:pt x="859" y="8"/>
                                </a:lnTo>
                                <a:lnTo>
                                  <a:pt x="875" y="8"/>
                                </a:lnTo>
                                <a:close/>
                                <a:moveTo>
                                  <a:pt x="1702" y="8"/>
                                </a:moveTo>
                                <a:lnTo>
                                  <a:pt x="1702" y="301"/>
                                </a:lnTo>
                                <a:lnTo>
                                  <a:pt x="1687" y="301"/>
                                </a:lnTo>
                                <a:lnTo>
                                  <a:pt x="1687" y="8"/>
                                </a:lnTo>
                                <a:lnTo>
                                  <a:pt x="1702" y="8"/>
                                </a:lnTo>
                                <a:close/>
                                <a:moveTo>
                                  <a:pt x="2530" y="8"/>
                                </a:moveTo>
                                <a:lnTo>
                                  <a:pt x="2530" y="301"/>
                                </a:lnTo>
                                <a:lnTo>
                                  <a:pt x="2515" y="301"/>
                                </a:lnTo>
                                <a:lnTo>
                                  <a:pt x="2515" y="8"/>
                                </a:lnTo>
                                <a:lnTo>
                                  <a:pt x="2530" y="8"/>
                                </a:lnTo>
                                <a:close/>
                                <a:moveTo>
                                  <a:pt x="3373" y="8"/>
                                </a:moveTo>
                                <a:lnTo>
                                  <a:pt x="3373" y="301"/>
                                </a:lnTo>
                                <a:lnTo>
                                  <a:pt x="3358" y="301"/>
                                </a:lnTo>
                                <a:lnTo>
                                  <a:pt x="3358" y="8"/>
                                </a:lnTo>
                                <a:lnTo>
                                  <a:pt x="3373" y="8"/>
                                </a:lnTo>
                                <a:close/>
                                <a:moveTo>
                                  <a:pt x="4201" y="8"/>
                                </a:moveTo>
                                <a:lnTo>
                                  <a:pt x="4201" y="301"/>
                                </a:lnTo>
                                <a:lnTo>
                                  <a:pt x="4186" y="301"/>
                                </a:lnTo>
                                <a:lnTo>
                                  <a:pt x="4186" y="8"/>
                                </a:lnTo>
                                <a:lnTo>
                                  <a:pt x="4201" y="8"/>
                                </a:lnTo>
                                <a:close/>
                                <a:moveTo>
                                  <a:pt x="5029" y="8"/>
                                </a:moveTo>
                                <a:lnTo>
                                  <a:pt x="5029" y="301"/>
                                </a:lnTo>
                                <a:lnTo>
                                  <a:pt x="5013" y="301"/>
                                </a:lnTo>
                                <a:lnTo>
                                  <a:pt x="5013" y="8"/>
                                </a:lnTo>
                                <a:lnTo>
                                  <a:pt x="5029" y="8"/>
                                </a:lnTo>
                                <a:close/>
                                <a:moveTo>
                                  <a:pt x="5857" y="8"/>
                                </a:moveTo>
                                <a:lnTo>
                                  <a:pt x="5857" y="301"/>
                                </a:lnTo>
                                <a:lnTo>
                                  <a:pt x="5841" y="301"/>
                                </a:lnTo>
                                <a:lnTo>
                                  <a:pt x="5841" y="8"/>
                                </a:lnTo>
                                <a:lnTo>
                                  <a:pt x="5857" y="8"/>
                                </a:lnTo>
                                <a:close/>
                                <a:moveTo>
                                  <a:pt x="6684" y="8"/>
                                </a:moveTo>
                                <a:lnTo>
                                  <a:pt x="6684" y="301"/>
                                </a:lnTo>
                                <a:lnTo>
                                  <a:pt x="6669" y="301"/>
                                </a:lnTo>
                                <a:lnTo>
                                  <a:pt x="6669" y="8"/>
                                </a:lnTo>
                                <a:lnTo>
                                  <a:pt x="6684" y="8"/>
                                </a:lnTo>
                                <a:close/>
                                <a:moveTo>
                                  <a:pt x="7528" y="8"/>
                                </a:moveTo>
                                <a:lnTo>
                                  <a:pt x="7528" y="301"/>
                                </a:lnTo>
                                <a:lnTo>
                                  <a:pt x="7512" y="301"/>
                                </a:lnTo>
                                <a:lnTo>
                                  <a:pt x="7512" y="8"/>
                                </a:lnTo>
                                <a:lnTo>
                                  <a:pt x="7528" y="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48" name="Rectangle 244"/>
                        <wps:cNvSpPr>
                          <a:spLocks noChangeArrowheads="1"/>
                        </wps:cNvSpPr>
                        <wps:spPr bwMode="auto">
                          <a:xfrm>
                            <a:off x="1926" y="8232"/>
                            <a:ext cx="94" cy="86"/>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Freeform 245"/>
                        <wps:cNvSpPr>
                          <a:spLocks noEditPoints="1"/>
                        </wps:cNvSpPr>
                        <wps:spPr bwMode="auto">
                          <a:xfrm>
                            <a:off x="1918" y="8223"/>
                            <a:ext cx="109" cy="103"/>
                          </a:xfrm>
                          <a:custGeom>
                            <a:avLst/>
                            <a:gdLst>
                              <a:gd name="T0" fmla="*/ 0 w 112"/>
                              <a:gd name="T1" fmla="*/ 8 h 96"/>
                              <a:gd name="T2" fmla="*/ 8 w 112"/>
                              <a:gd name="T3" fmla="*/ 0 h 96"/>
                              <a:gd name="T4" fmla="*/ 104 w 112"/>
                              <a:gd name="T5" fmla="*/ 0 h 96"/>
                              <a:gd name="T6" fmla="*/ 112 w 112"/>
                              <a:gd name="T7" fmla="*/ 8 h 96"/>
                              <a:gd name="T8" fmla="*/ 112 w 112"/>
                              <a:gd name="T9" fmla="*/ 88 h 96"/>
                              <a:gd name="T10" fmla="*/ 104 w 112"/>
                              <a:gd name="T11" fmla="*/ 96 h 96"/>
                              <a:gd name="T12" fmla="*/ 8 w 112"/>
                              <a:gd name="T13" fmla="*/ 96 h 96"/>
                              <a:gd name="T14" fmla="*/ 0 w 112"/>
                              <a:gd name="T15" fmla="*/ 88 h 96"/>
                              <a:gd name="T16" fmla="*/ 0 w 112"/>
                              <a:gd name="T17" fmla="*/ 8 h 96"/>
                              <a:gd name="T18" fmla="*/ 16 w 112"/>
                              <a:gd name="T19" fmla="*/ 88 h 96"/>
                              <a:gd name="T20" fmla="*/ 8 w 112"/>
                              <a:gd name="T21" fmla="*/ 80 h 96"/>
                              <a:gd name="T22" fmla="*/ 104 w 112"/>
                              <a:gd name="T23" fmla="*/ 80 h 96"/>
                              <a:gd name="T24" fmla="*/ 96 w 112"/>
                              <a:gd name="T25" fmla="*/ 88 h 96"/>
                              <a:gd name="T26" fmla="*/ 96 w 112"/>
                              <a:gd name="T27" fmla="*/ 8 h 96"/>
                              <a:gd name="T28" fmla="*/ 104 w 112"/>
                              <a:gd name="T29" fmla="*/ 16 h 96"/>
                              <a:gd name="T30" fmla="*/ 8 w 112"/>
                              <a:gd name="T31" fmla="*/ 16 h 96"/>
                              <a:gd name="T32" fmla="*/ 16 w 112"/>
                              <a:gd name="T33" fmla="*/ 8 h 96"/>
                              <a:gd name="T34" fmla="*/ 16 w 112"/>
                              <a:gd name="T35" fmla="*/ 8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96">
                                <a:moveTo>
                                  <a:pt x="0" y="8"/>
                                </a:moveTo>
                                <a:cubicBezTo>
                                  <a:pt x="0" y="4"/>
                                  <a:pt x="4" y="0"/>
                                  <a:pt x="8" y="0"/>
                                </a:cubicBezTo>
                                <a:lnTo>
                                  <a:pt x="104" y="0"/>
                                </a:lnTo>
                                <a:cubicBezTo>
                                  <a:pt x="109" y="0"/>
                                  <a:pt x="112" y="4"/>
                                  <a:pt x="112" y="8"/>
                                </a:cubicBezTo>
                                <a:lnTo>
                                  <a:pt x="112" y="88"/>
                                </a:lnTo>
                                <a:cubicBezTo>
                                  <a:pt x="112" y="93"/>
                                  <a:pt x="109" y="96"/>
                                  <a:pt x="104" y="96"/>
                                </a:cubicBezTo>
                                <a:lnTo>
                                  <a:pt x="8" y="96"/>
                                </a:lnTo>
                                <a:cubicBezTo>
                                  <a:pt x="4" y="96"/>
                                  <a:pt x="0" y="93"/>
                                  <a:pt x="0" y="88"/>
                                </a:cubicBezTo>
                                <a:lnTo>
                                  <a:pt x="0" y="8"/>
                                </a:lnTo>
                                <a:close/>
                                <a:moveTo>
                                  <a:pt x="16" y="88"/>
                                </a:moveTo>
                                <a:lnTo>
                                  <a:pt x="8" y="80"/>
                                </a:lnTo>
                                <a:lnTo>
                                  <a:pt x="104" y="80"/>
                                </a:lnTo>
                                <a:lnTo>
                                  <a:pt x="96" y="88"/>
                                </a:lnTo>
                                <a:lnTo>
                                  <a:pt x="96" y="8"/>
                                </a:lnTo>
                                <a:lnTo>
                                  <a:pt x="104" y="16"/>
                                </a:lnTo>
                                <a:lnTo>
                                  <a:pt x="8" y="16"/>
                                </a:lnTo>
                                <a:lnTo>
                                  <a:pt x="16" y="8"/>
                                </a:lnTo>
                                <a:lnTo>
                                  <a:pt x="16" y="8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50" name="Rectangle 246"/>
                        <wps:cNvSpPr>
                          <a:spLocks noChangeArrowheads="1"/>
                        </wps:cNvSpPr>
                        <wps:spPr bwMode="auto">
                          <a:xfrm>
                            <a:off x="2062" y="8168"/>
                            <a:ext cx="60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Глава ІХ</w:t>
                              </w:r>
                            </w:p>
                          </w:txbxContent>
                        </wps:txbx>
                        <wps:bodyPr rot="0" vert="horz" wrap="square" lIns="0" tIns="0" rIns="0" bIns="0" anchor="t" anchorCtr="0">
                          <a:noAutofit/>
                        </wps:bodyPr>
                      </wps:wsp>
                      <wps:wsp>
                        <wps:cNvPr id="351" name="Rectangle 247"/>
                        <wps:cNvSpPr>
                          <a:spLocks noChangeArrowheads="1"/>
                        </wps:cNvSpPr>
                        <wps:spPr bwMode="auto">
                          <a:xfrm>
                            <a:off x="3041" y="817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137</w:t>
                              </w:r>
                            </w:p>
                          </w:txbxContent>
                        </wps:txbx>
                        <wps:bodyPr rot="0" vert="horz" wrap="square" lIns="0" tIns="0" rIns="0" bIns="0" anchor="t" anchorCtr="0">
                          <a:noAutofit/>
                        </wps:bodyPr>
                      </wps:wsp>
                      <wps:wsp>
                        <wps:cNvPr id="352" name="Rectangle 248"/>
                        <wps:cNvSpPr>
                          <a:spLocks noChangeArrowheads="1"/>
                        </wps:cNvSpPr>
                        <wps:spPr bwMode="auto">
                          <a:xfrm>
                            <a:off x="3912" y="8174"/>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71</w:t>
                              </w:r>
                            </w:p>
                          </w:txbxContent>
                        </wps:txbx>
                        <wps:bodyPr rot="0" vert="horz" wrap="square" lIns="0" tIns="0" rIns="0" bIns="0" anchor="t" anchorCtr="0">
                          <a:noAutofit/>
                        </wps:bodyPr>
                      </wps:wsp>
                      <wps:wsp>
                        <wps:cNvPr id="353" name="Rectangle 249"/>
                        <wps:cNvSpPr>
                          <a:spLocks noChangeArrowheads="1"/>
                        </wps:cNvSpPr>
                        <wps:spPr bwMode="auto">
                          <a:xfrm>
                            <a:off x="4743" y="8174"/>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74</w:t>
                              </w:r>
                            </w:p>
                          </w:txbxContent>
                        </wps:txbx>
                        <wps:bodyPr rot="0" vert="horz" wrap="square" lIns="0" tIns="0" rIns="0" bIns="0" anchor="t" anchorCtr="0">
                          <a:noAutofit/>
                        </wps:bodyPr>
                      </wps:wsp>
                      <wps:wsp>
                        <wps:cNvPr id="354" name="Rectangle 250"/>
                        <wps:cNvSpPr>
                          <a:spLocks noChangeArrowheads="1"/>
                        </wps:cNvSpPr>
                        <wps:spPr bwMode="auto">
                          <a:xfrm>
                            <a:off x="5574" y="8174"/>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25</w:t>
                              </w:r>
                            </w:p>
                          </w:txbxContent>
                        </wps:txbx>
                        <wps:bodyPr rot="0" vert="horz" wrap="square" lIns="0" tIns="0" rIns="0" bIns="0" anchor="t" anchorCtr="0">
                          <a:noAutofit/>
                        </wps:bodyPr>
                      </wps:wsp>
                      <wps:wsp>
                        <wps:cNvPr id="355" name="Rectangle 251"/>
                        <wps:cNvSpPr>
                          <a:spLocks noChangeArrowheads="1"/>
                        </wps:cNvSpPr>
                        <wps:spPr bwMode="auto">
                          <a:xfrm>
                            <a:off x="6404" y="8174"/>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25</w:t>
                              </w:r>
                            </w:p>
                          </w:txbxContent>
                        </wps:txbx>
                        <wps:bodyPr rot="0" vert="horz" wrap="square" lIns="0" tIns="0" rIns="0" bIns="0" anchor="t" anchorCtr="0">
                          <a:noAutofit/>
                        </wps:bodyPr>
                      </wps:wsp>
                      <wps:wsp>
                        <wps:cNvPr id="356" name="Rectangle 252"/>
                        <wps:cNvSpPr>
                          <a:spLocks noChangeArrowheads="1"/>
                        </wps:cNvSpPr>
                        <wps:spPr bwMode="auto">
                          <a:xfrm>
                            <a:off x="7235" y="8174"/>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41</w:t>
                              </w:r>
                            </w:p>
                          </w:txbxContent>
                        </wps:txbx>
                        <wps:bodyPr rot="0" vert="horz" wrap="square" lIns="0" tIns="0" rIns="0" bIns="0" anchor="t" anchorCtr="0">
                          <a:noAutofit/>
                        </wps:bodyPr>
                      </wps:wsp>
                      <wps:wsp>
                        <wps:cNvPr id="357" name="Rectangle 253"/>
                        <wps:cNvSpPr>
                          <a:spLocks noChangeArrowheads="1"/>
                        </wps:cNvSpPr>
                        <wps:spPr bwMode="auto">
                          <a:xfrm>
                            <a:off x="8066" y="8174"/>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41</w:t>
                              </w:r>
                            </w:p>
                          </w:txbxContent>
                        </wps:txbx>
                        <wps:bodyPr rot="0" vert="horz" wrap="square" lIns="0" tIns="0" rIns="0" bIns="0" anchor="t" anchorCtr="0">
                          <a:noAutofit/>
                        </wps:bodyPr>
                      </wps:wsp>
                      <wps:wsp>
                        <wps:cNvPr id="358" name="Freeform 254"/>
                        <wps:cNvSpPr>
                          <a:spLocks noEditPoints="1"/>
                        </wps:cNvSpPr>
                        <wps:spPr bwMode="auto">
                          <a:xfrm>
                            <a:off x="1871" y="8413"/>
                            <a:ext cx="7528" cy="318"/>
                          </a:xfrm>
                          <a:custGeom>
                            <a:avLst/>
                            <a:gdLst>
                              <a:gd name="T0" fmla="*/ 8 w 7528"/>
                              <a:gd name="T1" fmla="*/ 0 h 318"/>
                              <a:gd name="T2" fmla="*/ 7520 w 7528"/>
                              <a:gd name="T3" fmla="*/ 0 h 318"/>
                              <a:gd name="T4" fmla="*/ 7520 w 7528"/>
                              <a:gd name="T5" fmla="*/ 17 h 318"/>
                              <a:gd name="T6" fmla="*/ 8 w 7528"/>
                              <a:gd name="T7" fmla="*/ 17 h 318"/>
                              <a:gd name="T8" fmla="*/ 8 w 7528"/>
                              <a:gd name="T9" fmla="*/ 0 h 318"/>
                              <a:gd name="T10" fmla="*/ 16 w 7528"/>
                              <a:gd name="T11" fmla="*/ 8 h 318"/>
                              <a:gd name="T12" fmla="*/ 16 w 7528"/>
                              <a:gd name="T13" fmla="*/ 318 h 318"/>
                              <a:gd name="T14" fmla="*/ 0 w 7528"/>
                              <a:gd name="T15" fmla="*/ 318 h 318"/>
                              <a:gd name="T16" fmla="*/ 0 w 7528"/>
                              <a:gd name="T17" fmla="*/ 8 h 318"/>
                              <a:gd name="T18" fmla="*/ 16 w 7528"/>
                              <a:gd name="T19" fmla="*/ 8 h 318"/>
                              <a:gd name="T20" fmla="*/ 875 w 7528"/>
                              <a:gd name="T21" fmla="*/ 8 h 318"/>
                              <a:gd name="T22" fmla="*/ 875 w 7528"/>
                              <a:gd name="T23" fmla="*/ 318 h 318"/>
                              <a:gd name="T24" fmla="*/ 859 w 7528"/>
                              <a:gd name="T25" fmla="*/ 318 h 318"/>
                              <a:gd name="T26" fmla="*/ 859 w 7528"/>
                              <a:gd name="T27" fmla="*/ 8 h 318"/>
                              <a:gd name="T28" fmla="*/ 875 w 7528"/>
                              <a:gd name="T29" fmla="*/ 8 h 318"/>
                              <a:gd name="T30" fmla="*/ 1702 w 7528"/>
                              <a:gd name="T31" fmla="*/ 8 h 318"/>
                              <a:gd name="T32" fmla="*/ 1702 w 7528"/>
                              <a:gd name="T33" fmla="*/ 318 h 318"/>
                              <a:gd name="T34" fmla="*/ 1687 w 7528"/>
                              <a:gd name="T35" fmla="*/ 318 h 318"/>
                              <a:gd name="T36" fmla="*/ 1687 w 7528"/>
                              <a:gd name="T37" fmla="*/ 8 h 318"/>
                              <a:gd name="T38" fmla="*/ 1702 w 7528"/>
                              <a:gd name="T39" fmla="*/ 8 h 318"/>
                              <a:gd name="T40" fmla="*/ 2530 w 7528"/>
                              <a:gd name="T41" fmla="*/ 8 h 318"/>
                              <a:gd name="T42" fmla="*/ 2530 w 7528"/>
                              <a:gd name="T43" fmla="*/ 318 h 318"/>
                              <a:gd name="T44" fmla="*/ 2515 w 7528"/>
                              <a:gd name="T45" fmla="*/ 318 h 318"/>
                              <a:gd name="T46" fmla="*/ 2515 w 7528"/>
                              <a:gd name="T47" fmla="*/ 8 h 318"/>
                              <a:gd name="T48" fmla="*/ 2530 w 7528"/>
                              <a:gd name="T49" fmla="*/ 8 h 318"/>
                              <a:gd name="T50" fmla="*/ 3373 w 7528"/>
                              <a:gd name="T51" fmla="*/ 8 h 318"/>
                              <a:gd name="T52" fmla="*/ 3373 w 7528"/>
                              <a:gd name="T53" fmla="*/ 318 h 318"/>
                              <a:gd name="T54" fmla="*/ 3358 w 7528"/>
                              <a:gd name="T55" fmla="*/ 318 h 318"/>
                              <a:gd name="T56" fmla="*/ 3358 w 7528"/>
                              <a:gd name="T57" fmla="*/ 8 h 318"/>
                              <a:gd name="T58" fmla="*/ 3373 w 7528"/>
                              <a:gd name="T59" fmla="*/ 8 h 318"/>
                              <a:gd name="T60" fmla="*/ 4201 w 7528"/>
                              <a:gd name="T61" fmla="*/ 8 h 318"/>
                              <a:gd name="T62" fmla="*/ 4201 w 7528"/>
                              <a:gd name="T63" fmla="*/ 318 h 318"/>
                              <a:gd name="T64" fmla="*/ 4186 w 7528"/>
                              <a:gd name="T65" fmla="*/ 318 h 318"/>
                              <a:gd name="T66" fmla="*/ 4186 w 7528"/>
                              <a:gd name="T67" fmla="*/ 8 h 318"/>
                              <a:gd name="T68" fmla="*/ 4201 w 7528"/>
                              <a:gd name="T69" fmla="*/ 8 h 318"/>
                              <a:gd name="T70" fmla="*/ 5029 w 7528"/>
                              <a:gd name="T71" fmla="*/ 8 h 318"/>
                              <a:gd name="T72" fmla="*/ 5029 w 7528"/>
                              <a:gd name="T73" fmla="*/ 318 h 318"/>
                              <a:gd name="T74" fmla="*/ 5013 w 7528"/>
                              <a:gd name="T75" fmla="*/ 318 h 318"/>
                              <a:gd name="T76" fmla="*/ 5013 w 7528"/>
                              <a:gd name="T77" fmla="*/ 8 h 318"/>
                              <a:gd name="T78" fmla="*/ 5029 w 7528"/>
                              <a:gd name="T79" fmla="*/ 8 h 318"/>
                              <a:gd name="T80" fmla="*/ 5857 w 7528"/>
                              <a:gd name="T81" fmla="*/ 8 h 318"/>
                              <a:gd name="T82" fmla="*/ 5857 w 7528"/>
                              <a:gd name="T83" fmla="*/ 318 h 318"/>
                              <a:gd name="T84" fmla="*/ 5841 w 7528"/>
                              <a:gd name="T85" fmla="*/ 318 h 318"/>
                              <a:gd name="T86" fmla="*/ 5841 w 7528"/>
                              <a:gd name="T87" fmla="*/ 8 h 318"/>
                              <a:gd name="T88" fmla="*/ 5857 w 7528"/>
                              <a:gd name="T89" fmla="*/ 8 h 318"/>
                              <a:gd name="T90" fmla="*/ 6684 w 7528"/>
                              <a:gd name="T91" fmla="*/ 8 h 318"/>
                              <a:gd name="T92" fmla="*/ 6684 w 7528"/>
                              <a:gd name="T93" fmla="*/ 318 h 318"/>
                              <a:gd name="T94" fmla="*/ 6669 w 7528"/>
                              <a:gd name="T95" fmla="*/ 318 h 318"/>
                              <a:gd name="T96" fmla="*/ 6669 w 7528"/>
                              <a:gd name="T97" fmla="*/ 8 h 318"/>
                              <a:gd name="T98" fmla="*/ 6684 w 7528"/>
                              <a:gd name="T99" fmla="*/ 8 h 318"/>
                              <a:gd name="T100" fmla="*/ 7528 w 7528"/>
                              <a:gd name="T101" fmla="*/ 8 h 318"/>
                              <a:gd name="T102" fmla="*/ 7528 w 7528"/>
                              <a:gd name="T103" fmla="*/ 318 h 318"/>
                              <a:gd name="T104" fmla="*/ 7512 w 7528"/>
                              <a:gd name="T105" fmla="*/ 318 h 318"/>
                              <a:gd name="T106" fmla="*/ 7512 w 7528"/>
                              <a:gd name="T107" fmla="*/ 8 h 318"/>
                              <a:gd name="T108" fmla="*/ 7528 w 7528"/>
                              <a:gd name="T109" fmla="*/ 8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18">
                                <a:moveTo>
                                  <a:pt x="8" y="0"/>
                                </a:moveTo>
                                <a:lnTo>
                                  <a:pt x="7520" y="0"/>
                                </a:lnTo>
                                <a:lnTo>
                                  <a:pt x="7520" y="17"/>
                                </a:lnTo>
                                <a:lnTo>
                                  <a:pt x="8" y="17"/>
                                </a:lnTo>
                                <a:lnTo>
                                  <a:pt x="8" y="0"/>
                                </a:lnTo>
                                <a:close/>
                                <a:moveTo>
                                  <a:pt x="16" y="8"/>
                                </a:moveTo>
                                <a:lnTo>
                                  <a:pt x="16" y="318"/>
                                </a:lnTo>
                                <a:lnTo>
                                  <a:pt x="0" y="318"/>
                                </a:lnTo>
                                <a:lnTo>
                                  <a:pt x="0" y="8"/>
                                </a:lnTo>
                                <a:lnTo>
                                  <a:pt x="16" y="8"/>
                                </a:lnTo>
                                <a:close/>
                                <a:moveTo>
                                  <a:pt x="875" y="8"/>
                                </a:moveTo>
                                <a:lnTo>
                                  <a:pt x="875" y="318"/>
                                </a:lnTo>
                                <a:lnTo>
                                  <a:pt x="859" y="318"/>
                                </a:lnTo>
                                <a:lnTo>
                                  <a:pt x="859" y="8"/>
                                </a:lnTo>
                                <a:lnTo>
                                  <a:pt x="875" y="8"/>
                                </a:lnTo>
                                <a:close/>
                                <a:moveTo>
                                  <a:pt x="1702" y="8"/>
                                </a:moveTo>
                                <a:lnTo>
                                  <a:pt x="1702" y="318"/>
                                </a:lnTo>
                                <a:lnTo>
                                  <a:pt x="1687" y="318"/>
                                </a:lnTo>
                                <a:lnTo>
                                  <a:pt x="1687" y="8"/>
                                </a:lnTo>
                                <a:lnTo>
                                  <a:pt x="1702" y="8"/>
                                </a:lnTo>
                                <a:close/>
                                <a:moveTo>
                                  <a:pt x="2530" y="8"/>
                                </a:moveTo>
                                <a:lnTo>
                                  <a:pt x="2530" y="318"/>
                                </a:lnTo>
                                <a:lnTo>
                                  <a:pt x="2515" y="318"/>
                                </a:lnTo>
                                <a:lnTo>
                                  <a:pt x="2515" y="8"/>
                                </a:lnTo>
                                <a:lnTo>
                                  <a:pt x="2530" y="8"/>
                                </a:lnTo>
                                <a:close/>
                                <a:moveTo>
                                  <a:pt x="3373" y="8"/>
                                </a:moveTo>
                                <a:lnTo>
                                  <a:pt x="3373" y="318"/>
                                </a:lnTo>
                                <a:lnTo>
                                  <a:pt x="3358" y="318"/>
                                </a:lnTo>
                                <a:lnTo>
                                  <a:pt x="3358" y="8"/>
                                </a:lnTo>
                                <a:lnTo>
                                  <a:pt x="3373" y="8"/>
                                </a:lnTo>
                                <a:close/>
                                <a:moveTo>
                                  <a:pt x="4201" y="8"/>
                                </a:moveTo>
                                <a:lnTo>
                                  <a:pt x="4201" y="318"/>
                                </a:lnTo>
                                <a:lnTo>
                                  <a:pt x="4186" y="318"/>
                                </a:lnTo>
                                <a:lnTo>
                                  <a:pt x="4186" y="8"/>
                                </a:lnTo>
                                <a:lnTo>
                                  <a:pt x="4201" y="8"/>
                                </a:lnTo>
                                <a:close/>
                                <a:moveTo>
                                  <a:pt x="5029" y="8"/>
                                </a:moveTo>
                                <a:lnTo>
                                  <a:pt x="5029" y="318"/>
                                </a:lnTo>
                                <a:lnTo>
                                  <a:pt x="5013" y="318"/>
                                </a:lnTo>
                                <a:lnTo>
                                  <a:pt x="5013" y="8"/>
                                </a:lnTo>
                                <a:lnTo>
                                  <a:pt x="5029" y="8"/>
                                </a:lnTo>
                                <a:close/>
                                <a:moveTo>
                                  <a:pt x="5857" y="8"/>
                                </a:moveTo>
                                <a:lnTo>
                                  <a:pt x="5857" y="318"/>
                                </a:lnTo>
                                <a:lnTo>
                                  <a:pt x="5841" y="318"/>
                                </a:lnTo>
                                <a:lnTo>
                                  <a:pt x="5841" y="8"/>
                                </a:lnTo>
                                <a:lnTo>
                                  <a:pt x="5857" y="8"/>
                                </a:lnTo>
                                <a:close/>
                                <a:moveTo>
                                  <a:pt x="6684" y="8"/>
                                </a:moveTo>
                                <a:lnTo>
                                  <a:pt x="6684" y="318"/>
                                </a:lnTo>
                                <a:lnTo>
                                  <a:pt x="6669" y="318"/>
                                </a:lnTo>
                                <a:lnTo>
                                  <a:pt x="6669" y="8"/>
                                </a:lnTo>
                                <a:lnTo>
                                  <a:pt x="6684" y="8"/>
                                </a:lnTo>
                                <a:close/>
                                <a:moveTo>
                                  <a:pt x="7528" y="8"/>
                                </a:moveTo>
                                <a:lnTo>
                                  <a:pt x="7528" y="318"/>
                                </a:lnTo>
                                <a:lnTo>
                                  <a:pt x="7512" y="318"/>
                                </a:lnTo>
                                <a:lnTo>
                                  <a:pt x="7512" y="8"/>
                                </a:lnTo>
                                <a:lnTo>
                                  <a:pt x="7528" y="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59" name="Rectangle 255"/>
                        <wps:cNvSpPr>
                          <a:spLocks noChangeArrowheads="1"/>
                        </wps:cNvSpPr>
                        <wps:spPr bwMode="auto">
                          <a:xfrm>
                            <a:off x="1926" y="8525"/>
                            <a:ext cx="94" cy="10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Freeform 256"/>
                        <wps:cNvSpPr>
                          <a:spLocks noEditPoints="1"/>
                        </wps:cNvSpPr>
                        <wps:spPr bwMode="auto">
                          <a:xfrm>
                            <a:off x="1918" y="8516"/>
                            <a:ext cx="109" cy="121"/>
                          </a:xfrm>
                          <a:custGeom>
                            <a:avLst/>
                            <a:gdLst>
                              <a:gd name="T0" fmla="*/ 0 w 112"/>
                              <a:gd name="T1" fmla="*/ 8 h 112"/>
                              <a:gd name="T2" fmla="*/ 8 w 112"/>
                              <a:gd name="T3" fmla="*/ 0 h 112"/>
                              <a:gd name="T4" fmla="*/ 104 w 112"/>
                              <a:gd name="T5" fmla="*/ 0 h 112"/>
                              <a:gd name="T6" fmla="*/ 112 w 112"/>
                              <a:gd name="T7" fmla="*/ 8 h 112"/>
                              <a:gd name="T8" fmla="*/ 112 w 112"/>
                              <a:gd name="T9" fmla="*/ 104 h 112"/>
                              <a:gd name="T10" fmla="*/ 104 w 112"/>
                              <a:gd name="T11" fmla="*/ 112 h 112"/>
                              <a:gd name="T12" fmla="*/ 8 w 112"/>
                              <a:gd name="T13" fmla="*/ 112 h 112"/>
                              <a:gd name="T14" fmla="*/ 0 w 112"/>
                              <a:gd name="T15" fmla="*/ 104 h 112"/>
                              <a:gd name="T16" fmla="*/ 0 w 112"/>
                              <a:gd name="T17" fmla="*/ 8 h 112"/>
                              <a:gd name="T18" fmla="*/ 16 w 112"/>
                              <a:gd name="T19" fmla="*/ 104 h 112"/>
                              <a:gd name="T20" fmla="*/ 8 w 112"/>
                              <a:gd name="T21" fmla="*/ 96 h 112"/>
                              <a:gd name="T22" fmla="*/ 104 w 112"/>
                              <a:gd name="T23" fmla="*/ 96 h 112"/>
                              <a:gd name="T24" fmla="*/ 96 w 112"/>
                              <a:gd name="T25" fmla="*/ 104 h 112"/>
                              <a:gd name="T26" fmla="*/ 96 w 112"/>
                              <a:gd name="T27" fmla="*/ 8 h 112"/>
                              <a:gd name="T28" fmla="*/ 104 w 112"/>
                              <a:gd name="T29" fmla="*/ 16 h 112"/>
                              <a:gd name="T30" fmla="*/ 8 w 112"/>
                              <a:gd name="T31" fmla="*/ 16 h 112"/>
                              <a:gd name="T32" fmla="*/ 16 w 112"/>
                              <a:gd name="T33" fmla="*/ 8 h 112"/>
                              <a:gd name="T34" fmla="*/ 16 w 112"/>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112">
                                <a:moveTo>
                                  <a:pt x="0" y="8"/>
                                </a:moveTo>
                                <a:cubicBezTo>
                                  <a:pt x="0" y="4"/>
                                  <a:pt x="4" y="0"/>
                                  <a:pt x="8" y="0"/>
                                </a:cubicBezTo>
                                <a:lnTo>
                                  <a:pt x="104" y="0"/>
                                </a:lnTo>
                                <a:cubicBezTo>
                                  <a:pt x="109" y="0"/>
                                  <a:pt x="112" y="4"/>
                                  <a:pt x="112" y="8"/>
                                </a:cubicBezTo>
                                <a:lnTo>
                                  <a:pt x="112" y="104"/>
                                </a:lnTo>
                                <a:cubicBezTo>
                                  <a:pt x="112" y="109"/>
                                  <a:pt x="109" y="112"/>
                                  <a:pt x="104" y="112"/>
                                </a:cubicBezTo>
                                <a:lnTo>
                                  <a:pt x="8" y="112"/>
                                </a:lnTo>
                                <a:cubicBezTo>
                                  <a:pt x="4" y="112"/>
                                  <a:pt x="0" y="109"/>
                                  <a:pt x="0" y="104"/>
                                </a:cubicBezTo>
                                <a:lnTo>
                                  <a:pt x="0" y="8"/>
                                </a:lnTo>
                                <a:close/>
                                <a:moveTo>
                                  <a:pt x="16" y="104"/>
                                </a:moveTo>
                                <a:lnTo>
                                  <a:pt x="8" y="96"/>
                                </a:lnTo>
                                <a:lnTo>
                                  <a:pt x="104" y="96"/>
                                </a:lnTo>
                                <a:lnTo>
                                  <a:pt x="96" y="104"/>
                                </a:lnTo>
                                <a:lnTo>
                                  <a:pt x="96" y="8"/>
                                </a:lnTo>
                                <a:lnTo>
                                  <a:pt x="104"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61" name="Rectangle 257"/>
                        <wps:cNvSpPr>
                          <a:spLocks noChangeArrowheads="1"/>
                        </wps:cNvSpPr>
                        <wps:spPr bwMode="auto">
                          <a:xfrm>
                            <a:off x="2063" y="8462"/>
                            <a:ext cx="42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Глава </w:t>
                              </w:r>
                            </w:p>
                          </w:txbxContent>
                        </wps:txbx>
                        <wps:bodyPr rot="0" vert="horz" wrap="square" lIns="0" tIns="0" rIns="0" bIns="0" anchor="t" anchorCtr="0">
                          <a:noAutofit/>
                        </wps:bodyPr>
                      </wps:wsp>
                      <wps:wsp>
                        <wps:cNvPr id="362" name="Rectangle 258"/>
                        <wps:cNvSpPr>
                          <a:spLocks noChangeArrowheads="1"/>
                        </wps:cNvSpPr>
                        <wps:spPr bwMode="auto">
                          <a:xfrm>
                            <a:off x="2484" y="8462"/>
                            <a:ext cx="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I</w:t>
                              </w:r>
                            </w:p>
                          </w:txbxContent>
                        </wps:txbx>
                        <wps:bodyPr rot="0" vert="horz" wrap="square" lIns="0" tIns="0" rIns="0" bIns="0" anchor="t" anchorCtr="0">
                          <a:noAutofit/>
                        </wps:bodyPr>
                      </wps:wsp>
                      <wps:wsp>
                        <wps:cNvPr id="363" name="Rectangle 259"/>
                        <wps:cNvSpPr>
                          <a:spLocks noChangeArrowheads="1"/>
                        </wps:cNvSpPr>
                        <wps:spPr bwMode="auto">
                          <a:xfrm>
                            <a:off x="2531" y="8462"/>
                            <a:ext cx="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х</w:t>
                              </w:r>
                            </w:p>
                          </w:txbxContent>
                        </wps:txbx>
                        <wps:bodyPr rot="0" vert="horz" wrap="square" lIns="0" tIns="0" rIns="0" bIns="0" anchor="t" anchorCtr="0">
                          <a:noAutofit/>
                        </wps:bodyPr>
                      </wps:wsp>
                      <wps:wsp>
                        <wps:cNvPr id="364" name="Rectangle 260"/>
                        <wps:cNvSpPr>
                          <a:spLocks noChangeArrowheads="1"/>
                        </wps:cNvSpPr>
                        <wps:spPr bwMode="auto">
                          <a:xfrm>
                            <a:off x="2594" y="8462"/>
                            <a:ext cx="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a</w:t>
                              </w:r>
                            </w:p>
                          </w:txbxContent>
                        </wps:txbx>
                        <wps:bodyPr rot="0" vert="horz" wrap="square" lIns="0" tIns="0" rIns="0" bIns="0" anchor="t" anchorCtr="0">
                          <a:noAutofit/>
                        </wps:bodyPr>
                      </wps:wsp>
                      <wps:wsp>
                        <wps:cNvPr id="365" name="Rectangle 261"/>
                        <wps:cNvSpPr>
                          <a:spLocks noChangeArrowheads="1"/>
                        </wps:cNvSpPr>
                        <wps:spPr bwMode="auto">
                          <a:xfrm>
                            <a:off x="3122"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66" name="Rectangle 262"/>
                        <wps:cNvSpPr>
                          <a:spLocks noChangeArrowheads="1"/>
                        </wps:cNvSpPr>
                        <wps:spPr bwMode="auto">
                          <a:xfrm>
                            <a:off x="3953"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67" name="Rectangle 263"/>
                        <wps:cNvSpPr>
                          <a:spLocks noChangeArrowheads="1"/>
                        </wps:cNvSpPr>
                        <wps:spPr bwMode="auto">
                          <a:xfrm>
                            <a:off x="4784"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68" name="Rectangle 264"/>
                        <wps:cNvSpPr>
                          <a:spLocks noChangeArrowheads="1"/>
                        </wps:cNvSpPr>
                        <wps:spPr bwMode="auto">
                          <a:xfrm>
                            <a:off x="5614"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69" name="Rectangle 265"/>
                        <wps:cNvSpPr>
                          <a:spLocks noChangeArrowheads="1"/>
                        </wps:cNvSpPr>
                        <wps:spPr bwMode="auto">
                          <a:xfrm>
                            <a:off x="6445"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70" name="Rectangle 266"/>
                        <wps:cNvSpPr>
                          <a:spLocks noChangeArrowheads="1"/>
                        </wps:cNvSpPr>
                        <wps:spPr bwMode="auto">
                          <a:xfrm>
                            <a:off x="7276"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71" name="Rectangle 267"/>
                        <wps:cNvSpPr>
                          <a:spLocks noChangeArrowheads="1"/>
                        </wps:cNvSpPr>
                        <wps:spPr bwMode="auto">
                          <a:xfrm>
                            <a:off x="8107" y="8467"/>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72" name="Freeform 268"/>
                        <wps:cNvSpPr>
                          <a:spLocks noEditPoints="1"/>
                        </wps:cNvSpPr>
                        <wps:spPr bwMode="auto">
                          <a:xfrm>
                            <a:off x="1871" y="8723"/>
                            <a:ext cx="7528" cy="301"/>
                          </a:xfrm>
                          <a:custGeom>
                            <a:avLst/>
                            <a:gdLst>
                              <a:gd name="T0" fmla="*/ 8 w 7528"/>
                              <a:gd name="T1" fmla="*/ 0 h 301"/>
                              <a:gd name="T2" fmla="*/ 7520 w 7528"/>
                              <a:gd name="T3" fmla="*/ 0 h 301"/>
                              <a:gd name="T4" fmla="*/ 7520 w 7528"/>
                              <a:gd name="T5" fmla="*/ 17 h 301"/>
                              <a:gd name="T6" fmla="*/ 8 w 7528"/>
                              <a:gd name="T7" fmla="*/ 17 h 301"/>
                              <a:gd name="T8" fmla="*/ 8 w 7528"/>
                              <a:gd name="T9" fmla="*/ 0 h 301"/>
                              <a:gd name="T10" fmla="*/ 16 w 7528"/>
                              <a:gd name="T11" fmla="*/ 8 h 301"/>
                              <a:gd name="T12" fmla="*/ 16 w 7528"/>
                              <a:gd name="T13" fmla="*/ 301 h 301"/>
                              <a:gd name="T14" fmla="*/ 0 w 7528"/>
                              <a:gd name="T15" fmla="*/ 301 h 301"/>
                              <a:gd name="T16" fmla="*/ 0 w 7528"/>
                              <a:gd name="T17" fmla="*/ 8 h 301"/>
                              <a:gd name="T18" fmla="*/ 16 w 7528"/>
                              <a:gd name="T19" fmla="*/ 8 h 301"/>
                              <a:gd name="T20" fmla="*/ 875 w 7528"/>
                              <a:gd name="T21" fmla="*/ 8 h 301"/>
                              <a:gd name="T22" fmla="*/ 875 w 7528"/>
                              <a:gd name="T23" fmla="*/ 301 h 301"/>
                              <a:gd name="T24" fmla="*/ 859 w 7528"/>
                              <a:gd name="T25" fmla="*/ 301 h 301"/>
                              <a:gd name="T26" fmla="*/ 859 w 7528"/>
                              <a:gd name="T27" fmla="*/ 8 h 301"/>
                              <a:gd name="T28" fmla="*/ 875 w 7528"/>
                              <a:gd name="T29" fmla="*/ 8 h 301"/>
                              <a:gd name="T30" fmla="*/ 1702 w 7528"/>
                              <a:gd name="T31" fmla="*/ 8 h 301"/>
                              <a:gd name="T32" fmla="*/ 1702 w 7528"/>
                              <a:gd name="T33" fmla="*/ 301 h 301"/>
                              <a:gd name="T34" fmla="*/ 1687 w 7528"/>
                              <a:gd name="T35" fmla="*/ 301 h 301"/>
                              <a:gd name="T36" fmla="*/ 1687 w 7528"/>
                              <a:gd name="T37" fmla="*/ 8 h 301"/>
                              <a:gd name="T38" fmla="*/ 1702 w 7528"/>
                              <a:gd name="T39" fmla="*/ 8 h 301"/>
                              <a:gd name="T40" fmla="*/ 2530 w 7528"/>
                              <a:gd name="T41" fmla="*/ 8 h 301"/>
                              <a:gd name="T42" fmla="*/ 2530 w 7528"/>
                              <a:gd name="T43" fmla="*/ 301 h 301"/>
                              <a:gd name="T44" fmla="*/ 2515 w 7528"/>
                              <a:gd name="T45" fmla="*/ 301 h 301"/>
                              <a:gd name="T46" fmla="*/ 2515 w 7528"/>
                              <a:gd name="T47" fmla="*/ 8 h 301"/>
                              <a:gd name="T48" fmla="*/ 2530 w 7528"/>
                              <a:gd name="T49" fmla="*/ 8 h 301"/>
                              <a:gd name="T50" fmla="*/ 3373 w 7528"/>
                              <a:gd name="T51" fmla="*/ 8 h 301"/>
                              <a:gd name="T52" fmla="*/ 3373 w 7528"/>
                              <a:gd name="T53" fmla="*/ 301 h 301"/>
                              <a:gd name="T54" fmla="*/ 3358 w 7528"/>
                              <a:gd name="T55" fmla="*/ 301 h 301"/>
                              <a:gd name="T56" fmla="*/ 3358 w 7528"/>
                              <a:gd name="T57" fmla="*/ 8 h 301"/>
                              <a:gd name="T58" fmla="*/ 3373 w 7528"/>
                              <a:gd name="T59" fmla="*/ 8 h 301"/>
                              <a:gd name="T60" fmla="*/ 4201 w 7528"/>
                              <a:gd name="T61" fmla="*/ 8 h 301"/>
                              <a:gd name="T62" fmla="*/ 4201 w 7528"/>
                              <a:gd name="T63" fmla="*/ 301 h 301"/>
                              <a:gd name="T64" fmla="*/ 4186 w 7528"/>
                              <a:gd name="T65" fmla="*/ 301 h 301"/>
                              <a:gd name="T66" fmla="*/ 4186 w 7528"/>
                              <a:gd name="T67" fmla="*/ 8 h 301"/>
                              <a:gd name="T68" fmla="*/ 4201 w 7528"/>
                              <a:gd name="T69" fmla="*/ 8 h 301"/>
                              <a:gd name="T70" fmla="*/ 5029 w 7528"/>
                              <a:gd name="T71" fmla="*/ 8 h 301"/>
                              <a:gd name="T72" fmla="*/ 5029 w 7528"/>
                              <a:gd name="T73" fmla="*/ 301 h 301"/>
                              <a:gd name="T74" fmla="*/ 5013 w 7528"/>
                              <a:gd name="T75" fmla="*/ 301 h 301"/>
                              <a:gd name="T76" fmla="*/ 5013 w 7528"/>
                              <a:gd name="T77" fmla="*/ 8 h 301"/>
                              <a:gd name="T78" fmla="*/ 5029 w 7528"/>
                              <a:gd name="T79" fmla="*/ 8 h 301"/>
                              <a:gd name="T80" fmla="*/ 5857 w 7528"/>
                              <a:gd name="T81" fmla="*/ 8 h 301"/>
                              <a:gd name="T82" fmla="*/ 5857 w 7528"/>
                              <a:gd name="T83" fmla="*/ 301 h 301"/>
                              <a:gd name="T84" fmla="*/ 5841 w 7528"/>
                              <a:gd name="T85" fmla="*/ 301 h 301"/>
                              <a:gd name="T86" fmla="*/ 5841 w 7528"/>
                              <a:gd name="T87" fmla="*/ 8 h 301"/>
                              <a:gd name="T88" fmla="*/ 5857 w 7528"/>
                              <a:gd name="T89" fmla="*/ 8 h 301"/>
                              <a:gd name="T90" fmla="*/ 6684 w 7528"/>
                              <a:gd name="T91" fmla="*/ 8 h 301"/>
                              <a:gd name="T92" fmla="*/ 6684 w 7528"/>
                              <a:gd name="T93" fmla="*/ 301 h 301"/>
                              <a:gd name="T94" fmla="*/ 6669 w 7528"/>
                              <a:gd name="T95" fmla="*/ 301 h 301"/>
                              <a:gd name="T96" fmla="*/ 6669 w 7528"/>
                              <a:gd name="T97" fmla="*/ 8 h 301"/>
                              <a:gd name="T98" fmla="*/ 6684 w 7528"/>
                              <a:gd name="T99" fmla="*/ 8 h 301"/>
                              <a:gd name="T100" fmla="*/ 7528 w 7528"/>
                              <a:gd name="T101" fmla="*/ 8 h 301"/>
                              <a:gd name="T102" fmla="*/ 7528 w 7528"/>
                              <a:gd name="T103" fmla="*/ 301 h 301"/>
                              <a:gd name="T104" fmla="*/ 7512 w 7528"/>
                              <a:gd name="T105" fmla="*/ 301 h 301"/>
                              <a:gd name="T106" fmla="*/ 7512 w 7528"/>
                              <a:gd name="T107" fmla="*/ 8 h 301"/>
                              <a:gd name="T108" fmla="*/ 7528 w 7528"/>
                              <a:gd name="T109" fmla="*/ 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528" h="301">
                                <a:moveTo>
                                  <a:pt x="8" y="0"/>
                                </a:moveTo>
                                <a:lnTo>
                                  <a:pt x="7520" y="0"/>
                                </a:lnTo>
                                <a:lnTo>
                                  <a:pt x="7520" y="17"/>
                                </a:lnTo>
                                <a:lnTo>
                                  <a:pt x="8" y="17"/>
                                </a:lnTo>
                                <a:lnTo>
                                  <a:pt x="8" y="0"/>
                                </a:lnTo>
                                <a:close/>
                                <a:moveTo>
                                  <a:pt x="16" y="8"/>
                                </a:moveTo>
                                <a:lnTo>
                                  <a:pt x="16" y="301"/>
                                </a:lnTo>
                                <a:lnTo>
                                  <a:pt x="0" y="301"/>
                                </a:lnTo>
                                <a:lnTo>
                                  <a:pt x="0" y="8"/>
                                </a:lnTo>
                                <a:lnTo>
                                  <a:pt x="16" y="8"/>
                                </a:lnTo>
                                <a:close/>
                                <a:moveTo>
                                  <a:pt x="875" y="8"/>
                                </a:moveTo>
                                <a:lnTo>
                                  <a:pt x="875" y="301"/>
                                </a:lnTo>
                                <a:lnTo>
                                  <a:pt x="859" y="301"/>
                                </a:lnTo>
                                <a:lnTo>
                                  <a:pt x="859" y="8"/>
                                </a:lnTo>
                                <a:lnTo>
                                  <a:pt x="875" y="8"/>
                                </a:lnTo>
                                <a:close/>
                                <a:moveTo>
                                  <a:pt x="1702" y="8"/>
                                </a:moveTo>
                                <a:lnTo>
                                  <a:pt x="1702" y="301"/>
                                </a:lnTo>
                                <a:lnTo>
                                  <a:pt x="1687" y="301"/>
                                </a:lnTo>
                                <a:lnTo>
                                  <a:pt x="1687" y="8"/>
                                </a:lnTo>
                                <a:lnTo>
                                  <a:pt x="1702" y="8"/>
                                </a:lnTo>
                                <a:close/>
                                <a:moveTo>
                                  <a:pt x="2530" y="8"/>
                                </a:moveTo>
                                <a:lnTo>
                                  <a:pt x="2530" y="301"/>
                                </a:lnTo>
                                <a:lnTo>
                                  <a:pt x="2515" y="301"/>
                                </a:lnTo>
                                <a:lnTo>
                                  <a:pt x="2515" y="8"/>
                                </a:lnTo>
                                <a:lnTo>
                                  <a:pt x="2530" y="8"/>
                                </a:lnTo>
                                <a:close/>
                                <a:moveTo>
                                  <a:pt x="3373" y="8"/>
                                </a:moveTo>
                                <a:lnTo>
                                  <a:pt x="3373" y="301"/>
                                </a:lnTo>
                                <a:lnTo>
                                  <a:pt x="3358" y="301"/>
                                </a:lnTo>
                                <a:lnTo>
                                  <a:pt x="3358" y="8"/>
                                </a:lnTo>
                                <a:lnTo>
                                  <a:pt x="3373" y="8"/>
                                </a:lnTo>
                                <a:close/>
                                <a:moveTo>
                                  <a:pt x="4201" y="8"/>
                                </a:moveTo>
                                <a:lnTo>
                                  <a:pt x="4201" y="301"/>
                                </a:lnTo>
                                <a:lnTo>
                                  <a:pt x="4186" y="301"/>
                                </a:lnTo>
                                <a:lnTo>
                                  <a:pt x="4186" y="8"/>
                                </a:lnTo>
                                <a:lnTo>
                                  <a:pt x="4201" y="8"/>
                                </a:lnTo>
                                <a:close/>
                                <a:moveTo>
                                  <a:pt x="5029" y="8"/>
                                </a:moveTo>
                                <a:lnTo>
                                  <a:pt x="5029" y="301"/>
                                </a:lnTo>
                                <a:lnTo>
                                  <a:pt x="5013" y="301"/>
                                </a:lnTo>
                                <a:lnTo>
                                  <a:pt x="5013" y="8"/>
                                </a:lnTo>
                                <a:lnTo>
                                  <a:pt x="5029" y="8"/>
                                </a:lnTo>
                                <a:close/>
                                <a:moveTo>
                                  <a:pt x="5857" y="8"/>
                                </a:moveTo>
                                <a:lnTo>
                                  <a:pt x="5857" y="301"/>
                                </a:lnTo>
                                <a:lnTo>
                                  <a:pt x="5841" y="301"/>
                                </a:lnTo>
                                <a:lnTo>
                                  <a:pt x="5841" y="8"/>
                                </a:lnTo>
                                <a:lnTo>
                                  <a:pt x="5857" y="8"/>
                                </a:lnTo>
                                <a:close/>
                                <a:moveTo>
                                  <a:pt x="6684" y="8"/>
                                </a:moveTo>
                                <a:lnTo>
                                  <a:pt x="6684" y="301"/>
                                </a:lnTo>
                                <a:lnTo>
                                  <a:pt x="6669" y="301"/>
                                </a:lnTo>
                                <a:lnTo>
                                  <a:pt x="6669" y="8"/>
                                </a:lnTo>
                                <a:lnTo>
                                  <a:pt x="6684" y="8"/>
                                </a:lnTo>
                                <a:close/>
                                <a:moveTo>
                                  <a:pt x="7528" y="8"/>
                                </a:moveTo>
                                <a:lnTo>
                                  <a:pt x="7528" y="301"/>
                                </a:lnTo>
                                <a:lnTo>
                                  <a:pt x="7512" y="301"/>
                                </a:lnTo>
                                <a:lnTo>
                                  <a:pt x="7512" y="8"/>
                                </a:lnTo>
                                <a:lnTo>
                                  <a:pt x="7528" y="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73" name="Rectangle 269"/>
                        <wps:cNvSpPr>
                          <a:spLocks noChangeArrowheads="1"/>
                        </wps:cNvSpPr>
                        <wps:spPr bwMode="auto">
                          <a:xfrm>
                            <a:off x="1926" y="8817"/>
                            <a:ext cx="94" cy="104"/>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270"/>
                        <wps:cNvSpPr>
                          <a:spLocks noEditPoints="1"/>
                        </wps:cNvSpPr>
                        <wps:spPr bwMode="auto">
                          <a:xfrm>
                            <a:off x="1918" y="8809"/>
                            <a:ext cx="109" cy="120"/>
                          </a:xfrm>
                          <a:custGeom>
                            <a:avLst/>
                            <a:gdLst>
                              <a:gd name="T0" fmla="*/ 0 w 112"/>
                              <a:gd name="T1" fmla="*/ 8 h 112"/>
                              <a:gd name="T2" fmla="*/ 8 w 112"/>
                              <a:gd name="T3" fmla="*/ 0 h 112"/>
                              <a:gd name="T4" fmla="*/ 104 w 112"/>
                              <a:gd name="T5" fmla="*/ 0 h 112"/>
                              <a:gd name="T6" fmla="*/ 112 w 112"/>
                              <a:gd name="T7" fmla="*/ 8 h 112"/>
                              <a:gd name="T8" fmla="*/ 112 w 112"/>
                              <a:gd name="T9" fmla="*/ 104 h 112"/>
                              <a:gd name="T10" fmla="*/ 104 w 112"/>
                              <a:gd name="T11" fmla="*/ 112 h 112"/>
                              <a:gd name="T12" fmla="*/ 8 w 112"/>
                              <a:gd name="T13" fmla="*/ 112 h 112"/>
                              <a:gd name="T14" fmla="*/ 0 w 112"/>
                              <a:gd name="T15" fmla="*/ 104 h 112"/>
                              <a:gd name="T16" fmla="*/ 0 w 112"/>
                              <a:gd name="T17" fmla="*/ 8 h 112"/>
                              <a:gd name="T18" fmla="*/ 16 w 112"/>
                              <a:gd name="T19" fmla="*/ 104 h 112"/>
                              <a:gd name="T20" fmla="*/ 8 w 112"/>
                              <a:gd name="T21" fmla="*/ 96 h 112"/>
                              <a:gd name="T22" fmla="*/ 104 w 112"/>
                              <a:gd name="T23" fmla="*/ 96 h 112"/>
                              <a:gd name="T24" fmla="*/ 96 w 112"/>
                              <a:gd name="T25" fmla="*/ 104 h 112"/>
                              <a:gd name="T26" fmla="*/ 96 w 112"/>
                              <a:gd name="T27" fmla="*/ 8 h 112"/>
                              <a:gd name="T28" fmla="*/ 104 w 112"/>
                              <a:gd name="T29" fmla="*/ 16 h 112"/>
                              <a:gd name="T30" fmla="*/ 8 w 112"/>
                              <a:gd name="T31" fmla="*/ 16 h 112"/>
                              <a:gd name="T32" fmla="*/ 16 w 112"/>
                              <a:gd name="T33" fmla="*/ 8 h 112"/>
                              <a:gd name="T34" fmla="*/ 16 w 112"/>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112">
                                <a:moveTo>
                                  <a:pt x="0" y="8"/>
                                </a:moveTo>
                                <a:cubicBezTo>
                                  <a:pt x="0" y="4"/>
                                  <a:pt x="4" y="0"/>
                                  <a:pt x="8" y="0"/>
                                </a:cubicBezTo>
                                <a:lnTo>
                                  <a:pt x="104" y="0"/>
                                </a:lnTo>
                                <a:cubicBezTo>
                                  <a:pt x="109" y="0"/>
                                  <a:pt x="112" y="4"/>
                                  <a:pt x="112" y="8"/>
                                </a:cubicBezTo>
                                <a:lnTo>
                                  <a:pt x="112" y="104"/>
                                </a:lnTo>
                                <a:cubicBezTo>
                                  <a:pt x="112" y="109"/>
                                  <a:pt x="109" y="112"/>
                                  <a:pt x="104" y="112"/>
                                </a:cubicBezTo>
                                <a:lnTo>
                                  <a:pt x="8" y="112"/>
                                </a:lnTo>
                                <a:cubicBezTo>
                                  <a:pt x="4" y="112"/>
                                  <a:pt x="0" y="109"/>
                                  <a:pt x="0" y="104"/>
                                </a:cubicBezTo>
                                <a:lnTo>
                                  <a:pt x="0" y="8"/>
                                </a:lnTo>
                                <a:close/>
                                <a:moveTo>
                                  <a:pt x="16" y="104"/>
                                </a:moveTo>
                                <a:lnTo>
                                  <a:pt x="8" y="96"/>
                                </a:lnTo>
                                <a:lnTo>
                                  <a:pt x="104" y="96"/>
                                </a:lnTo>
                                <a:lnTo>
                                  <a:pt x="96" y="104"/>
                                </a:lnTo>
                                <a:lnTo>
                                  <a:pt x="96" y="8"/>
                                </a:lnTo>
                                <a:lnTo>
                                  <a:pt x="104"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75" name="Rectangle 271"/>
                        <wps:cNvSpPr>
                          <a:spLocks noChangeArrowheads="1"/>
                        </wps:cNvSpPr>
                        <wps:spPr bwMode="auto">
                          <a:xfrm>
                            <a:off x="2058" y="8755"/>
                            <a:ext cx="56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Глава Х</w:t>
                              </w:r>
                            </w:p>
                          </w:txbxContent>
                        </wps:txbx>
                        <wps:bodyPr rot="0" vert="horz" wrap="square" lIns="0" tIns="0" rIns="0" bIns="0" anchor="t" anchorCtr="0">
                          <a:noAutofit/>
                        </wps:bodyPr>
                      </wps:wsp>
                      <wps:wsp>
                        <wps:cNvPr id="376" name="Rectangle 272"/>
                        <wps:cNvSpPr>
                          <a:spLocks noChangeArrowheads="1"/>
                        </wps:cNvSpPr>
                        <wps:spPr bwMode="auto">
                          <a:xfrm>
                            <a:off x="3041" y="8761"/>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152</w:t>
                              </w:r>
                            </w:p>
                          </w:txbxContent>
                        </wps:txbx>
                        <wps:bodyPr rot="0" vert="horz" wrap="square" lIns="0" tIns="0" rIns="0" bIns="0" anchor="t" anchorCtr="0">
                          <a:noAutofit/>
                        </wps:bodyPr>
                      </wps:wsp>
                      <wps:wsp>
                        <wps:cNvPr id="377" name="Rectangle 273"/>
                        <wps:cNvSpPr>
                          <a:spLocks noChangeArrowheads="1"/>
                        </wps:cNvSpPr>
                        <wps:spPr bwMode="auto">
                          <a:xfrm>
                            <a:off x="3912" y="8761"/>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87</w:t>
                              </w:r>
                            </w:p>
                          </w:txbxContent>
                        </wps:txbx>
                        <wps:bodyPr rot="0" vert="horz" wrap="square" lIns="0" tIns="0" rIns="0" bIns="0" anchor="t" anchorCtr="0">
                          <a:noAutofit/>
                        </wps:bodyPr>
                      </wps:wsp>
                      <wps:wsp>
                        <wps:cNvPr id="378" name="Rectangle 274"/>
                        <wps:cNvSpPr>
                          <a:spLocks noChangeArrowheads="1"/>
                        </wps:cNvSpPr>
                        <wps:spPr bwMode="auto">
                          <a:xfrm>
                            <a:off x="4702" y="8761"/>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102</w:t>
                              </w:r>
                            </w:p>
                          </w:txbxContent>
                        </wps:txbx>
                        <wps:bodyPr rot="0" vert="horz" wrap="square" lIns="0" tIns="0" rIns="0" bIns="0" anchor="t" anchorCtr="0">
                          <a:noAutofit/>
                        </wps:bodyPr>
                      </wps:wsp>
                      <wps:wsp>
                        <wps:cNvPr id="379" name="Rectangle 275"/>
                        <wps:cNvSpPr>
                          <a:spLocks noChangeArrowheads="1"/>
                        </wps:cNvSpPr>
                        <wps:spPr bwMode="auto">
                          <a:xfrm>
                            <a:off x="5574" y="8761"/>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18</w:t>
                              </w:r>
                            </w:p>
                          </w:txbxContent>
                        </wps:txbx>
                        <wps:bodyPr rot="0" vert="horz" wrap="square" lIns="0" tIns="0" rIns="0" bIns="0" anchor="t" anchorCtr="0">
                          <a:noAutofit/>
                        </wps:bodyPr>
                      </wps:wsp>
                      <wps:wsp>
                        <wps:cNvPr id="380" name="Rectangle 276"/>
                        <wps:cNvSpPr>
                          <a:spLocks noChangeArrowheads="1"/>
                        </wps:cNvSpPr>
                        <wps:spPr bwMode="auto">
                          <a:xfrm>
                            <a:off x="6404" y="8761"/>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19</w:t>
                              </w:r>
                            </w:p>
                          </w:txbxContent>
                        </wps:txbx>
                        <wps:bodyPr rot="0" vert="horz" wrap="square" lIns="0" tIns="0" rIns="0" bIns="0" anchor="t" anchorCtr="0">
                          <a:noAutofit/>
                        </wps:bodyPr>
                      </wps:wsp>
                      <wps:wsp>
                        <wps:cNvPr id="381" name="Rectangle 277"/>
                        <wps:cNvSpPr>
                          <a:spLocks noChangeArrowheads="1"/>
                        </wps:cNvSpPr>
                        <wps:spPr bwMode="auto">
                          <a:xfrm>
                            <a:off x="7235" y="8761"/>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47</w:t>
                              </w:r>
                            </w:p>
                          </w:txbxContent>
                        </wps:txbx>
                        <wps:bodyPr rot="0" vert="horz" wrap="square" lIns="0" tIns="0" rIns="0" bIns="0" anchor="t" anchorCtr="0">
                          <a:noAutofit/>
                        </wps:bodyPr>
                      </wps:wsp>
                      <wps:wsp>
                        <wps:cNvPr id="382" name="Rectangle 278"/>
                        <wps:cNvSpPr>
                          <a:spLocks noChangeArrowheads="1"/>
                        </wps:cNvSpPr>
                        <wps:spPr bwMode="auto">
                          <a:xfrm>
                            <a:off x="8066" y="8761"/>
                            <a:ext cx="1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51</w:t>
                              </w:r>
                            </w:p>
                          </w:txbxContent>
                        </wps:txbx>
                        <wps:bodyPr rot="0" vert="horz" wrap="square" lIns="0" tIns="0" rIns="0" bIns="0" anchor="t" anchorCtr="0">
                          <a:noAutofit/>
                        </wps:bodyPr>
                      </wps:wsp>
                      <wps:wsp>
                        <wps:cNvPr id="383" name="Freeform 279"/>
                        <wps:cNvSpPr>
                          <a:spLocks noEditPoints="1"/>
                        </wps:cNvSpPr>
                        <wps:spPr bwMode="auto">
                          <a:xfrm>
                            <a:off x="1871" y="9016"/>
                            <a:ext cx="7528" cy="310"/>
                          </a:xfrm>
                          <a:custGeom>
                            <a:avLst/>
                            <a:gdLst>
                              <a:gd name="T0" fmla="*/ 8 w 7712"/>
                              <a:gd name="T1" fmla="*/ 0 h 288"/>
                              <a:gd name="T2" fmla="*/ 7704 w 7712"/>
                              <a:gd name="T3" fmla="*/ 0 h 288"/>
                              <a:gd name="T4" fmla="*/ 7704 w 7712"/>
                              <a:gd name="T5" fmla="*/ 16 h 288"/>
                              <a:gd name="T6" fmla="*/ 8 w 7712"/>
                              <a:gd name="T7" fmla="*/ 16 h 288"/>
                              <a:gd name="T8" fmla="*/ 8 w 7712"/>
                              <a:gd name="T9" fmla="*/ 0 h 288"/>
                              <a:gd name="T10" fmla="*/ 16 w 7712"/>
                              <a:gd name="T11" fmla="*/ 8 h 288"/>
                              <a:gd name="T12" fmla="*/ 16 w 7712"/>
                              <a:gd name="T13" fmla="*/ 280 h 288"/>
                              <a:gd name="T14" fmla="*/ 8 w 7712"/>
                              <a:gd name="T15" fmla="*/ 272 h 288"/>
                              <a:gd name="T16" fmla="*/ 7704 w 7712"/>
                              <a:gd name="T17" fmla="*/ 272 h 288"/>
                              <a:gd name="T18" fmla="*/ 7704 w 7712"/>
                              <a:gd name="T19" fmla="*/ 288 h 288"/>
                              <a:gd name="T20" fmla="*/ 8 w 7712"/>
                              <a:gd name="T21" fmla="*/ 288 h 288"/>
                              <a:gd name="T22" fmla="*/ 0 w 7712"/>
                              <a:gd name="T23" fmla="*/ 280 h 288"/>
                              <a:gd name="T24" fmla="*/ 0 w 7712"/>
                              <a:gd name="T25" fmla="*/ 8 h 288"/>
                              <a:gd name="T26" fmla="*/ 16 w 7712"/>
                              <a:gd name="T27" fmla="*/ 8 h 288"/>
                              <a:gd name="T28" fmla="*/ 896 w 7712"/>
                              <a:gd name="T29" fmla="*/ 8 h 288"/>
                              <a:gd name="T30" fmla="*/ 896 w 7712"/>
                              <a:gd name="T31" fmla="*/ 280 h 288"/>
                              <a:gd name="T32" fmla="*/ 880 w 7712"/>
                              <a:gd name="T33" fmla="*/ 280 h 288"/>
                              <a:gd name="T34" fmla="*/ 880 w 7712"/>
                              <a:gd name="T35" fmla="*/ 8 h 288"/>
                              <a:gd name="T36" fmla="*/ 896 w 7712"/>
                              <a:gd name="T37" fmla="*/ 8 h 288"/>
                              <a:gd name="T38" fmla="*/ 1744 w 7712"/>
                              <a:gd name="T39" fmla="*/ 8 h 288"/>
                              <a:gd name="T40" fmla="*/ 1744 w 7712"/>
                              <a:gd name="T41" fmla="*/ 280 h 288"/>
                              <a:gd name="T42" fmla="*/ 1728 w 7712"/>
                              <a:gd name="T43" fmla="*/ 280 h 288"/>
                              <a:gd name="T44" fmla="*/ 1728 w 7712"/>
                              <a:gd name="T45" fmla="*/ 8 h 288"/>
                              <a:gd name="T46" fmla="*/ 1744 w 7712"/>
                              <a:gd name="T47" fmla="*/ 8 h 288"/>
                              <a:gd name="T48" fmla="*/ 2592 w 7712"/>
                              <a:gd name="T49" fmla="*/ 8 h 288"/>
                              <a:gd name="T50" fmla="*/ 2592 w 7712"/>
                              <a:gd name="T51" fmla="*/ 280 h 288"/>
                              <a:gd name="T52" fmla="*/ 2576 w 7712"/>
                              <a:gd name="T53" fmla="*/ 280 h 288"/>
                              <a:gd name="T54" fmla="*/ 2576 w 7712"/>
                              <a:gd name="T55" fmla="*/ 8 h 288"/>
                              <a:gd name="T56" fmla="*/ 2592 w 7712"/>
                              <a:gd name="T57" fmla="*/ 8 h 288"/>
                              <a:gd name="T58" fmla="*/ 3456 w 7712"/>
                              <a:gd name="T59" fmla="*/ 8 h 288"/>
                              <a:gd name="T60" fmla="*/ 3456 w 7712"/>
                              <a:gd name="T61" fmla="*/ 280 h 288"/>
                              <a:gd name="T62" fmla="*/ 3440 w 7712"/>
                              <a:gd name="T63" fmla="*/ 280 h 288"/>
                              <a:gd name="T64" fmla="*/ 3440 w 7712"/>
                              <a:gd name="T65" fmla="*/ 8 h 288"/>
                              <a:gd name="T66" fmla="*/ 3456 w 7712"/>
                              <a:gd name="T67" fmla="*/ 8 h 288"/>
                              <a:gd name="T68" fmla="*/ 4304 w 7712"/>
                              <a:gd name="T69" fmla="*/ 8 h 288"/>
                              <a:gd name="T70" fmla="*/ 4304 w 7712"/>
                              <a:gd name="T71" fmla="*/ 280 h 288"/>
                              <a:gd name="T72" fmla="*/ 4288 w 7712"/>
                              <a:gd name="T73" fmla="*/ 280 h 288"/>
                              <a:gd name="T74" fmla="*/ 4288 w 7712"/>
                              <a:gd name="T75" fmla="*/ 8 h 288"/>
                              <a:gd name="T76" fmla="*/ 4304 w 7712"/>
                              <a:gd name="T77" fmla="*/ 8 h 288"/>
                              <a:gd name="T78" fmla="*/ 5152 w 7712"/>
                              <a:gd name="T79" fmla="*/ 8 h 288"/>
                              <a:gd name="T80" fmla="*/ 5152 w 7712"/>
                              <a:gd name="T81" fmla="*/ 280 h 288"/>
                              <a:gd name="T82" fmla="*/ 5136 w 7712"/>
                              <a:gd name="T83" fmla="*/ 280 h 288"/>
                              <a:gd name="T84" fmla="*/ 5136 w 7712"/>
                              <a:gd name="T85" fmla="*/ 8 h 288"/>
                              <a:gd name="T86" fmla="*/ 5152 w 7712"/>
                              <a:gd name="T87" fmla="*/ 8 h 288"/>
                              <a:gd name="T88" fmla="*/ 6000 w 7712"/>
                              <a:gd name="T89" fmla="*/ 8 h 288"/>
                              <a:gd name="T90" fmla="*/ 6000 w 7712"/>
                              <a:gd name="T91" fmla="*/ 280 h 288"/>
                              <a:gd name="T92" fmla="*/ 5984 w 7712"/>
                              <a:gd name="T93" fmla="*/ 280 h 288"/>
                              <a:gd name="T94" fmla="*/ 5984 w 7712"/>
                              <a:gd name="T95" fmla="*/ 8 h 288"/>
                              <a:gd name="T96" fmla="*/ 6000 w 7712"/>
                              <a:gd name="T97" fmla="*/ 8 h 288"/>
                              <a:gd name="T98" fmla="*/ 6848 w 7712"/>
                              <a:gd name="T99" fmla="*/ 8 h 288"/>
                              <a:gd name="T100" fmla="*/ 6848 w 7712"/>
                              <a:gd name="T101" fmla="*/ 280 h 288"/>
                              <a:gd name="T102" fmla="*/ 6832 w 7712"/>
                              <a:gd name="T103" fmla="*/ 280 h 288"/>
                              <a:gd name="T104" fmla="*/ 6832 w 7712"/>
                              <a:gd name="T105" fmla="*/ 8 h 288"/>
                              <a:gd name="T106" fmla="*/ 6848 w 7712"/>
                              <a:gd name="T107" fmla="*/ 8 h 288"/>
                              <a:gd name="T108" fmla="*/ 7712 w 7712"/>
                              <a:gd name="T109" fmla="*/ 8 h 288"/>
                              <a:gd name="T110" fmla="*/ 7712 w 7712"/>
                              <a:gd name="T111" fmla="*/ 280 h 288"/>
                              <a:gd name="T112" fmla="*/ 7696 w 7712"/>
                              <a:gd name="T113" fmla="*/ 280 h 288"/>
                              <a:gd name="T114" fmla="*/ 7696 w 7712"/>
                              <a:gd name="T115" fmla="*/ 8 h 288"/>
                              <a:gd name="T116" fmla="*/ 7712 w 7712"/>
                              <a:gd name="T117" fmla="*/ 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12" h="288">
                                <a:moveTo>
                                  <a:pt x="8" y="0"/>
                                </a:moveTo>
                                <a:lnTo>
                                  <a:pt x="7704" y="0"/>
                                </a:lnTo>
                                <a:lnTo>
                                  <a:pt x="7704" y="16"/>
                                </a:lnTo>
                                <a:lnTo>
                                  <a:pt x="8" y="16"/>
                                </a:lnTo>
                                <a:lnTo>
                                  <a:pt x="8" y="0"/>
                                </a:lnTo>
                                <a:close/>
                                <a:moveTo>
                                  <a:pt x="16" y="8"/>
                                </a:moveTo>
                                <a:lnTo>
                                  <a:pt x="16" y="280"/>
                                </a:lnTo>
                                <a:lnTo>
                                  <a:pt x="8" y="272"/>
                                </a:lnTo>
                                <a:lnTo>
                                  <a:pt x="7704" y="272"/>
                                </a:lnTo>
                                <a:lnTo>
                                  <a:pt x="7704" y="288"/>
                                </a:lnTo>
                                <a:lnTo>
                                  <a:pt x="8" y="288"/>
                                </a:lnTo>
                                <a:cubicBezTo>
                                  <a:pt x="4" y="288"/>
                                  <a:pt x="0" y="285"/>
                                  <a:pt x="0" y="280"/>
                                </a:cubicBezTo>
                                <a:lnTo>
                                  <a:pt x="0" y="8"/>
                                </a:lnTo>
                                <a:lnTo>
                                  <a:pt x="16" y="8"/>
                                </a:lnTo>
                                <a:close/>
                                <a:moveTo>
                                  <a:pt x="896" y="8"/>
                                </a:moveTo>
                                <a:lnTo>
                                  <a:pt x="896" y="280"/>
                                </a:lnTo>
                                <a:lnTo>
                                  <a:pt x="880" y="280"/>
                                </a:lnTo>
                                <a:lnTo>
                                  <a:pt x="880" y="8"/>
                                </a:lnTo>
                                <a:lnTo>
                                  <a:pt x="896" y="8"/>
                                </a:lnTo>
                                <a:close/>
                                <a:moveTo>
                                  <a:pt x="1744" y="8"/>
                                </a:moveTo>
                                <a:lnTo>
                                  <a:pt x="1744" y="280"/>
                                </a:lnTo>
                                <a:lnTo>
                                  <a:pt x="1728" y="280"/>
                                </a:lnTo>
                                <a:lnTo>
                                  <a:pt x="1728" y="8"/>
                                </a:lnTo>
                                <a:lnTo>
                                  <a:pt x="1744" y="8"/>
                                </a:lnTo>
                                <a:close/>
                                <a:moveTo>
                                  <a:pt x="2592" y="8"/>
                                </a:moveTo>
                                <a:lnTo>
                                  <a:pt x="2592" y="280"/>
                                </a:lnTo>
                                <a:lnTo>
                                  <a:pt x="2576" y="280"/>
                                </a:lnTo>
                                <a:lnTo>
                                  <a:pt x="2576" y="8"/>
                                </a:lnTo>
                                <a:lnTo>
                                  <a:pt x="2592" y="8"/>
                                </a:lnTo>
                                <a:close/>
                                <a:moveTo>
                                  <a:pt x="3456" y="8"/>
                                </a:moveTo>
                                <a:lnTo>
                                  <a:pt x="3456" y="280"/>
                                </a:lnTo>
                                <a:lnTo>
                                  <a:pt x="3440" y="280"/>
                                </a:lnTo>
                                <a:lnTo>
                                  <a:pt x="3440" y="8"/>
                                </a:lnTo>
                                <a:lnTo>
                                  <a:pt x="3456" y="8"/>
                                </a:lnTo>
                                <a:close/>
                                <a:moveTo>
                                  <a:pt x="4304" y="8"/>
                                </a:moveTo>
                                <a:lnTo>
                                  <a:pt x="4304" y="280"/>
                                </a:lnTo>
                                <a:lnTo>
                                  <a:pt x="4288" y="280"/>
                                </a:lnTo>
                                <a:lnTo>
                                  <a:pt x="4288" y="8"/>
                                </a:lnTo>
                                <a:lnTo>
                                  <a:pt x="4304" y="8"/>
                                </a:lnTo>
                                <a:close/>
                                <a:moveTo>
                                  <a:pt x="5152" y="8"/>
                                </a:moveTo>
                                <a:lnTo>
                                  <a:pt x="5152" y="280"/>
                                </a:lnTo>
                                <a:lnTo>
                                  <a:pt x="5136" y="280"/>
                                </a:lnTo>
                                <a:lnTo>
                                  <a:pt x="5136" y="8"/>
                                </a:lnTo>
                                <a:lnTo>
                                  <a:pt x="5152" y="8"/>
                                </a:lnTo>
                                <a:close/>
                                <a:moveTo>
                                  <a:pt x="6000" y="8"/>
                                </a:moveTo>
                                <a:lnTo>
                                  <a:pt x="6000" y="280"/>
                                </a:lnTo>
                                <a:lnTo>
                                  <a:pt x="5984" y="280"/>
                                </a:lnTo>
                                <a:lnTo>
                                  <a:pt x="5984" y="8"/>
                                </a:lnTo>
                                <a:lnTo>
                                  <a:pt x="6000" y="8"/>
                                </a:lnTo>
                                <a:close/>
                                <a:moveTo>
                                  <a:pt x="6848" y="8"/>
                                </a:moveTo>
                                <a:lnTo>
                                  <a:pt x="6848" y="280"/>
                                </a:lnTo>
                                <a:lnTo>
                                  <a:pt x="6832" y="280"/>
                                </a:lnTo>
                                <a:lnTo>
                                  <a:pt x="6832" y="8"/>
                                </a:lnTo>
                                <a:lnTo>
                                  <a:pt x="6848" y="8"/>
                                </a:lnTo>
                                <a:close/>
                                <a:moveTo>
                                  <a:pt x="7712" y="8"/>
                                </a:moveTo>
                                <a:lnTo>
                                  <a:pt x="7712" y="280"/>
                                </a:lnTo>
                                <a:lnTo>
                                  <a:pt x="7696" y="280"/>
                                </a:lnTo>
                                <a:lnTo>
                                  <a:pt x="7696" y="8"/>
                                </a:lnTo>
                                <a:lnTo>
                                  <a:pt x="7712" y="8"/>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84" name="Rectangle 280"/>
                        <wps:cNvSpPr>
                          <a:spLocks noChangeArrowheads="1"/>
                        </wps:cNvSpPr>
                        <wps:spPr bwMode="auto">
                          <a:xfrm>
                            <a:off x="1926" y="9110"/>
                            <a:ext cx="94" cy="10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Freeform 281"/>
                        <wps:cNvSpPr>
                          <a:spLocks noEditPoints="1"/>
                        </wps:cNvSpPr>
                        <wps:spPr bwMode="auto">
                          <a:xfrm>
                            <a:off x="1918" y="9102"/>
                            <a:ext cx="109" cy="120"/>
                          </a:xfrm>
                          <a:custGeom>
                            <a:avLst/>
                            <a:gdLst>
                              <a:gd name="T0" fmla="*/ 0 w 112"/>
                              <a:gd name="T1" fmla="*/ 8 h 112"/>
                              <a:gd name="T2" fmla="*/ 8 w 112"/>
                              <a:gd name="T3" fmla="*/ 0 h 112"/>
                              <a:gd name="T4" fmla="*/ 104 w 112"/>
                              <a:gd name="T5" fmla="*/ 0 h 112"/>
                              <a:gd name="T6" fmla="*/ 112 w 112"/>
                              <a:gd name="T7" fmla="*/ 8 h 112"/>
                              <a:gd name="T8" fmla="*/ 112 w 112"/>
                              <a:gd name="T9" fmla="*/ 104 h 112"/>
                              <a:gd name="T10" fmla="*/ 104 w 112"/>
                              <a:gd name="T11" fmla="*/ 112 h 112"/>
                              <a:gd name="T12" fmla="*/ 8 w 112"/>
                              <a:gd name="T13" fmla="*/ 112 h 112"/>
                              <a:gd name="T14" fmla="*/ 0 w 112"/>
                              <a:gd name="T15" fmla="*/ 104 h 112"/>
                              <a:gd name="T16" fmla="*/ 0 w 112"/>
                              <a:gd name="T17" fmla="*/ 8 h 112"/>
                              <a:gd name="T18" fmla="*/ 16 w 112"/>
                              <a:gd name="T19" fmla="*/ 104 h 112"/>
                              <a:gd name="T20" fmla="*/ 8 w 112"/>
                              <a:gd name="T21" fmla="*/ 96 h 112"/>
                              <a:gd name="T22" fmla="*/ 104 w 112"/>
                              <a:gd name="T23" fmla="*/ 96 h 112"/>
                              <a:gd name="T24" fmla="*/ 96 w 112"/>
                              <a:gd name="T25" fmla="*/ 104 h 112"/>
                              <a:gd name="T26" fmla="*/ 96 w 112"/>
                              <a:gd name="T27" fmla="*/ 8 h 112"/>
                              <a:gd name="T28" fmla="*/ 104 w 112"/>
                              <a:gd name="T29" fmla="*/ 16 h 112"/>
                              <a:gd name="T30" fmla="*/ 8 w 112"/>
                              <a:gd name="T31" fmla="*/ 16 h 112"/>
                              <a:gd name="T32" fmla="*/ 16 w 112"/>
                              <a:gd name="T33" fmla="*/ 8 h 112"/>
                              <a:gd name="T34" fmla="*/ 16 w 112"/>
                              <a:gd name="T35" fmla="*/ 104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 h="112">
                                <a:moveTo>
                                  <a:pt x="0" y="8"/>
                                </a:moveTo>
                                <a:cubicBezTo>
                                  <a:pt x="0" y="4"/>
                                  <a:pt x="4" y="0"/>
                                  <a:pt x="8" y="0"/>
                                </a:cubicBezTo>
                                <a:lnTo>
                                  <a:pt x="104" y="0"/>
                                </a:lnTo>
                                <a:cubicBezTo>
                                  <a:pt x="109" y="0"/>
                                  <a:pt x="112" y="4"/>
                                  <a:pt x="112" y="8"/>
                                </a:cubicBezTo>
                                <a:lnTo>
                                  <a:pt x="112" y="104"/>
                                </a:lnTo>
                                <a:cubicBezTo>
                                  <a:pt x="112" y="109"/>
                                  <a:pt x="109" y="112"/>
                                  <a:pt x="104" y="112"/>
                                </a:cubicBezTo>
                                <a:lnTo>
                                  <a:pt x="8" y="112"/>
                                </a:lnTo>
                                <a:cubicBezTo>
                                  <a:pt x="4" y="112"/>
                                  <a:pt x="0" y="109"/>
                                  <a:pt x="0" y="104"/>
                                </a:cubicBezTo>
                                <a:lnTo>
                                  <a:pt x="0" y="8"/>
                                </a:lnTo>
                                <a:close/>
                                <a:moveTo>
                                  <a:pt x="16" y="104"/>
                                </a:moveTo>
                                <a:lnTo>
                                  <a:pt x="8" y="96"/>
                                </a:lnTo>
                                <a:lnTo>
                                  <a:pt x="104" y="96"/>
                                </a:lnTo>
                                <a:lnTo>
                                  <a:pt x="96" y="104"/>
                                </a:lnTo>
                                <a:lnTo>
                                  <a:pt x="96" y="8"/>
                                </a:lnTo>
                                <a:lnTo>
                                  <a:pt x="104" y="16"/>
                                </a:lnTo>
                                <a:lnTo>
                                  <a:pt x="8" y="16"/>
                                </a:lnTo>
                                <a:lnTo>
                                  <a:pt x="16" y="8"/>
                                </a:lnTo>
                                <a:lnTo>
                                  <a:pt x="16" y="104"/>
                                </a:lnTo>
                                <a:close/>
                              </a:path>
                            </a:pathLst>
                          </a:custGeom>
                          <a:solidFill>
                            <a:srgbClr val="000000"/>
                          </a:solidFill>
                          <a:ln w="10160" cap="flat">
                            <a:solidFill>
                              <a:srgbClr val="000000"/>
                            </a:solidFill>
                            <a:prstDash val="solid"/>
                            <a:bevel/>
                            <a:headEnd/>
                            <a:tailEnd/>
                          </a:ln>
                        </wps:spPr>
                        <wps:bodyPr rot="0" vert="horz" wrap="square" lIns="91440" tIns="45720" rIns="91440" bIns="45720" anchor="t" anchorCtr="0" upright="1">
                          <a:noAutofit/>
                        </wps:bodyPr>
                      </wps:wsp>
                      <wps:wsp>
                        <wps:cNvPr id="386" name="Rectangle 282"/>
                        <wps:cNvSpPr>
                          <a:spLocks noChangeArrowheads="1"/>
                        </wps:cNvSpPr>
                        <wps:spPr bwMode="auto">
                          <a:xfrm>
                            <a:off x="2062" y="9049"/>
                            <a:ext cx="42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 xml:space="preserve">Глава </w:t>
                              </w:r>
                            </w:p>
                          </w:txbxContent>
                        </wps:txbx>
                        <wps:bodyPr rot="0" vert="horz" wrap="square" lIns="0" tIns="0" rIns="0" bIns="0" anchor="t" anchorCtr="0">
                          <a:noAutofit/>
                        </wps:bodyPr>
                      </wps:wsp>
                      <wps:wsp>
                        <wps:cNvPr id="387" name="Rectangle 283"/>
                        <wps:cNvSpPr>
                          <a:spLocks noChangeArrowheads="1"/>
                        </wps:cNvSpPr>
                        <wps:spPr bwMode="auto">
                          <a:xfrm>
                            <a:off x="2484" y="9049"/>
                            <a:ext cx="13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XI</w:t>
                              </w:r>
                            </w:p>
                          </w:txbxContent>
                        </wps:txbx>
                        <wps:bodyPr rot="0" vert="horz" wrap="square" lIns="0" tIns="0" rIns="0" bIns="0" anchor="t" anchorCtr="0">
                          <a:noAutofit/>
                        </wps:bodyPr>
                      </wps:wsp>
                      <wps:wsp>
                        <wps:cNvPr id="388" name="Rectangle 284"/>
                        <wps:cNvSpPr>
                          <a:spLocks noChangeArrowheads="1"/>
                        </wps:cNvSpPr>
                        <wps:spPr bwMode="auto">
                          <a:xfrm>
                            <a:off x="3000" y="9054"/>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1411</w:t>
                              </w:r>
                            </w:p>
                          </w:txbxContent>
                        </wps:txbx>
                        <wps:bodyPr rot="0" vert="horz" wrap="square" lIns="0" tIns="0" rIns="0" bIns="0" anchor="t" anchorCtr="0">
                          <a:noAutofit/>
                        </wps:bodyPr>
                      </wps:wsp>
                      <wps:wsp>
                        <wps:cNvPr id="389" name="Rectangle 285"/>
                        <wps:cNvSpPr>
                          <a:spLocks noChangeArrowheads="1"/>
                        </wps:cNvSpPr>
                        <wps:spPr bwMode="auto">
                          <a:xfrm>
                            <a:off x="3871" y="905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930</w:t>
                              </w:r>
                            </w:p>
                          </w:txbxContent>
                        </wps:txbx>
                        <wps:bodyPr rot="0" vert="horz" wrap="square" lIns="0" tIns="0" rIns="0" bIns="0" anchor="t" anchorCtr="0">
                          <a:noAutofit/>
                        </wps:bodyPr>
                      </wps:wsp>
                      <wps:wsp>
                        <wps:cNvPr id="390" name="Rectangle 286"/>
                        <wps:cNvSpPr>
                          <a:spLocks noChangeArrowheads="1"/>
                        </wps:cNvSpPr>
                        <wps:spPr bwMode="auto">
                          <a:xfrm>
                            <a:off x="4702" y="905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953</w:t>
                              </w:r>
                            </w:p>
                          </w:txbxContent>
                        </wps:txbx>
                        <wps:bodyPr rot="0" vert="horz" wrap="square" lIns="0" tIns="0" rIns="0" bIns="0" anchor="t" anchorCtr="0">
                          <a:noAutofit/>
                        </wps:bodyPr>
                      </wps:wsp>
                      <wps:wsp>
                        <wps:cNvPr id="391" name="Rectangle 287"/>
                        <wps:cNvSpPr>
                          <a:spLocks noChangeArrowheads="1"/>
                        </wps:cNvSpPr>
                        <wps:spPr bwMode="auto">
                          <a:xfrm>
                            <a:off x="5533" y="905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308</w:t>
                              </w:r>
                            </w:p>
                          </w:txbxContent>
                        </wps:txbx>
                        <wps:bodyPr rot="0" vert="horz" wrap="square" lIns="0" tIns="0" rIns="0" bIns="0" anchor="t" anchorCtr="0">
                          <a:noAutofit/>
                        </wps:bodyPr>
                      </wps:wsp>
                      <wps:wsp>
                        <wps:cNvPr id="392" name="Rectangle 288"/>
                        <wps:cNvSpPr>
                          <a:spLocks noChangeArrowheads="1"/>
                        </wps:cNvSpPr>
                        <wps:spPr bwMode="auto">
                          <a:xfrm>
                            <a:off x="6364" y="905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308</w:t>
                              </w:r>
                            </w:p>
                          </w:txbxContent>
                        </wps:txbx>
                        <wps:bodyPr rot="0" vert="horz" wrap="square" lIns="0" tIns="0" rIns="0" bIns="0" anchor="t" anchorCtr="0">
                          <a:noAutofit/>
                        </wps:bodyPr>
                      </wps:wsp>
                      <wps:wsp>
                        <wps:cNvPr id="393" name="Rectangle 289"/>
                        <wps:cNvSpPr>
                          <a:spLocks noChangeArrowheads="1"/>
                        </wps:cNvSpPr>
                        <wps:spPr bwMode="auto">
                          <a:xfrm>
                            <a:off x="7195" y="905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173</w:t>
                              </w:r>
                            </w:p>
                          </w:txbxContent>
                        </wps:txbx>
                        <wps:bodyPr rot="0" vert="horz" wrap="square" lIns="0" tIns="0" rIns="0" bIns="0" anchor="t" anchorCtr="0">
                          <a:noAutofit/>
                        </wps:bodyPr>
                      </wps:wsp>
                      <wps:wsp>
                        <wps:cNvPr id="394" name="Rectangle 290"/>
                        <wps:cNvSpPr>
                          <a:spLocks noChangeArrowheads="1"/>
                        </wps:cNvSpPr>
                        <wps:spPr bwMode="auto">
                          <a:xfrm>
                            <a:off x="8025" y="9054"/>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173</w:t>
                              </w:r>
                            </w:p>
                          </w:txbxContent>
                        </wps:txbx>
                        <wps:bodyPr rot="0" vert="horz" wrap="square" lIns="0" tIns="0" rIns="0" bIns="0" anchor="t" anchorCtr="0">
                          <a:noAutofit/>
                        </wps:bodyPr>
                      </wps:wsp>
                      <wps:wsp>
                        <wps:cNvPr id="395" name="Rectangle 291"/>
                        <wps:cNvSpPr>
                          <a:spLocks noChangeArrowheads="1"/>
                        </wps:cNvSpPr>
                        <wps:spPr bwMode="auto">
                          <a:xfrm>
                            <a:off x="2517" y="4872"/>
                            <a:ext cx="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0</w:t>
                              </w:r>
                            </w:p>
                          </w:txbxContent>
                        </wps:txbx>
                        <wps:bodyPr rot="0" vert="horz" wrap="square" lIns="0" tIns="0" rIns="0" bIns="0" anchor="t" anchorCtr="0">
                          <a:noAutofit/>
                        </wps:bodyPr>
                      </wps:wsp>
                      <wps:wsp>
                        <wps:cNvPr id="396" name="Rectangle 292"/>
                        <wps:cNvSpPr>
                          <a:spLocks noChangeArrowheads="1"/>
                        </wps:cNvSpPr>
                        <wps:spPr bwMode="auto">
                          <a:xfrm>
                            <a:off x="2355" y="4525"/>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200</w:t>
                              </w:r>
                            </w:p>
                          </w:txbxContent>
                        </wps:txbx>
                        <wps:bodyPr rot="0" vert="horz" wrap="square" lIns="0" tIns="0" rIns="0" bIns="0" anchor="t" anchorCtr="0">
                          <a:noAutofit/>
                        </wps:bodyPr>
                      </wps:wsp>
                      <wps:wsp>
                        <wps:cNvPr id="397" name="Rectangle 293"/>
                        <wps:cNvSpPr>
                          <a:spLocks noChangeArrowheads="1"/>
                        </wps:cNvSpPr>
                        <wps:spPr bwMode="auto">
                          <a:xfrm>
                            <a:off x="2355" y="4177"/>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400</w:t>
                              </w:r>
                            </w:p>
                          </w:txbxContent>
                        </wps:txbx>
                        <wps:bodyPr rot="0" vert="horz" wrap="square" lIns="0" tIns="0" rIns="0" bIns="0" anchor="t" anchorCtr="0">
                          <a:noAutofit/>
                        </wps:bodyPr>
                      </wps:wsp>
                      <wps:wsp>
                        <wps:cNvPr id="398" name="Rectangle 294"/>
                        <wps:cNvSpPr>
                          <a:spLocks noChangeArrowheads="1"/>
                        </wps:cNvSpPr>
                        <wps:spPr bwMode="auto">
                          <a:xfrm>
                            <a:off x="2355" y="3830"/>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600</w:t>
                              </w:r>
                            </w:p>
                          </w:txbxContent>
                        </wps:txbx>
                        <wps:bodyPr rot="0" vert="horz" wrap="square" lIns="0" tIns="0" rIns="0" bIns="0" anchor="t" anchorCtr="0">
                          <a:noAutofit/>
                        </wps:bodyPr>
                      </wps:wsp>
                      <wps:wsp>
                        <wps:cNvPr id="399" name="Rectangle 295"/>
                        <wps:cNvSpPr>
                          <a:spLocks noChangeArrowheads="1"/>
                        </wps:cNvSpPr>
                        <wps:spPr bwMode="auto">
                          <a:xfrm>
                            <a:off x="2355" y="3482"/>
                            <a:ext cx="2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800</w:t>
                              </w:r>
                            </w:p>
                          </w:txbxContent>
                        </wps:txbx>
                        <wps:bodyPr rot="0" vert="horz" wrap="square" lIns="0" tIns="0" rIns="0" bIns="0" anchor="t" anchorCtr="0">
                          <a:noAutofit/>
                        </wps:bodyPr>
                      </wps:wsp>
                      <wps:wsp>
                        <wps:cNvPr id="400" name="Rectangle 296"/>
                        <wps:cNvSpPr>
                          <a:spLocks noChangeArrowheads="1"/>
                        </wps:cNvSpPr>
                        <wps:spPr bwMode="auto">
                          <a:xfrm>
                            <a:off x="2273" y="3135"/>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1000</w:t>
                              </w:r>
                            </w:p>
                          </w:txbxContent>
                        </wps:txbx>
                        <wps:bodyPr rot="0" vert="horz" wrap="square" lIns="0" tIns="0" rIns="0" bIns="0" anchor="t" anchorCtr="0">
                          <a:noAutofit/>
                        </wps:bodyPr>
                      </wps:wsp>
                      <wps:wsp>
                        <wps:cNvPr id="401" name="Rectangle 297"/>
                        <wps:cNvSpPr>
                          <a:spLocks noChangeArrowheads="1"/>
                        </wps:cNvSpPr>
                        <wps:spPr bwMode="auto">
                          <a:xfrm>
                            <a:off x="2273" y="2787"/>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1200</w:t>
                              </w:r>
                            </w:p>
                          </w:txbxContent>
                        </wps:txbx>
                        <wps:bodyPr rot="0" vert="horz" wrap="square" lIns="0" tIns="0" rIns="0" bIns="0" anchor="t" anchorCtr="0">
                          <a:noAutofit/>
                        </wps:bodyPr>
                      </wps:wsp>
                      <wps:wsp>
                        <wps:cNvPr id="402" name="Rectangle 298"/>
                        <wps:cNvSpPr>
                          <a:spLocks noChangeArrowheads="1"/>
                        </wps:cNvSpPr>
                        <wps:spPr bwMode="auto">
                          <a:xfrm>
                            <a:off x="2273" y="2440"/>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1400</w:t>
                              </w:r>
                            </w:p>
                          </w:txbxContent>
                        </wps:txbx>
                        <wps:bodyPr rot="0" vert="horz" wrap="square" lIns="0" tIns="0" rIns="0" bIns="0" anchor="t" anchorCtr="0">
                          <a:noAutofit/>
                        </wps:bodyPr>
                      </wps:wsp>
                      <wps:wsp>
                        <wps:cNvPr id="403" name="Rectangle 299"/>
                        <wps:cNvSpPr>
                          <a:spLocks noChangeArrowheads="1"/>
                        </wps:cNvSpPr>
                        <wps:spPr bwMode="auto">
                          <a:xfrm>
                            <a:off x="2273" y="2092"/>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50" w:rsidRDefault="00A46D50" w:rsidP="00F96D7E">
                              <w:r>
                                <w:rPr>
                                  <w:rFonts w:cs="Calibri"/>
                                  <w:color w:val="000000"/>
                                  <w:sz w:val="18"/>
                                  <w:szCs w:val="18"/>
                                  <w:lang w:val="en-US"/>
                                </w:rPr>
                                <w:t>1600</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left:0;text-align:left;margin-left:-11.7pt;margin-top:.2pt;width:479.25pt;height:502.2pt;z-index:251660288" coordorigin="1755,2092" coordsize="7740,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">
                <v:rect id="AutoShape 4" o:spid="_x0000_s1027" style="position:absolute;left:1755;top:2092;width:7740;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o:lock v:ext="edit" aspectratio="t" text="t"/>
                </v:rect>
                <v:rect id="Rectangle 5" o:spid="_x0000_s1028" style="position:absolute;left:2746;top:2193;width:6637;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shape id="Freeform 6" o:spid="_x0000_s1029" style="position:absolute;left:2738;top:2193;width:6653;height:2447;visibility:visible;mso-wrap-style:square;v-text-anchor:top" coordsize="665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" path="m,2429r6653,l6653,2447,,2447r,-18xm,2085r6653,l6653,2102,,2102r,-17xm,1740r6653,l6653,1757,,1757r,-17xm,1396r6653,l6653,1413,,1413r,-17xm,1034r6653,l6653,1051,,1051r,-17xm,689r6653,l6653,706,,706,,689xm,345r6653,l6653,362,,362,,345xm,l6653,r,17l,17,,xe" fillcolor="black" strokeweight=".8pt">
                  <v:stroke joinstyle="bevel"/>
                  <v:path arrowok="t" o:connecttype="custom" o:connectlocs="0,2429;6653,2429;6653,2447;0,2447;0,2429;0,2085;6653,2085;6653,2102;0,2102;0,2085;0,1740;6653,1740;6653,1757;0,1757;0,1740;0,1396;6653,1396;6653,1413;0,1413;0,1396;0,1034;6653,1034;6653,1051;0,1051;0,1034;0,689;6653,689;6653,706;0,706;0,689;0,345;6653,345;6653,362;0,362;0,345;0,0;6653,0;6653,17;0,17;0,0" o:connectangles="0,0,0,0,0,0,0,0,0,0,0,0,0,0,0,0,0,0,0,0,0,0,0,0,0,0,0,0,0,0,0,0,0,0,0,0,0,0,0,0"/>
                  <o:lock v:ext="edit" verticies="t"/>
                </v:shape>
                <v:shape id="Freeform 7" o:spid="_x0000_s1030" style="position:absolute;left:3558;top:2202;width:5841;height:2773;visibility:visible;mso-wrap-style:square;v-text-anchor:top" coordsize="5841,2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" path="m15,r,2773l,2773,,,15,xm843,r,2773l828,2773,828,r15,xm1686,r,2773l1671,2773,1671,r15,xm2514,r,2773l2499,2773,2499,r15,xm3342,r,2773l3326,2773,3326,r16,xm4170,r,2773l4154,2773,4154,r16,xm4997,r,2773l4982,2773,4982,r15,xm5841,r,2773l5825,2773,5825,r16,xe" fillcolor="black" strokeweight=".8pt">
                  <v:stroke joinstyle="bevel"/>
                  <v:path arrowok="t" o:connecttype="custom" o:connectlocs="15,0;15,2773;0,2773;0,0;15,0;843,0;843,2773;828,2773;828,0;843,0;1686,0;1686,2773;1671,2773;1671,0;1686,0;2514,0;2514,2773;2499,2773;2499,0;2514,0;3342,0;3342,2773;3326,2773;3326,0;3342,0;4170,0;4170,2773;4154,2773;4154,0;4170,0;4997,0;4997,2773;4982,2773;4982,0;4997,0;5841,0;5841,2773;5825,2773;5825,0;5841,0" o:connectangles="0,0,0,0,0,0,0,0,0,0,0,0,0,0,0,0,0,0,0,0,0,0,0,0,0,0,0,0,0,0,0,0,0,0,0,0,0,0,0,0"/>
                  <o:lock v:ext="edit" verticies="t"/>
                </v:shape>
                <v:shape id="Freeform 8" o:spid="_x0000_s1031" style="position:absolute;left:2730;top:2193;width:6669;height:2791;visibility:visible;mso-wrap-style:square;v-text-anchor:top" coordsize="683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" path="m,8c,4,4,,8,l6824,v5,,8,4,8,8l6832,2584v,5,-3,8,-8,8l8,2592v-4,,-8,-3,-8,-8l,8xm16,2584r-8,-8l6824,2576r-8,8l6816,8r8,8l8,16,16,8r,2576xe" fillcolor="black" strokeweight=".8pt">
                  <v:stroke joinstyle="bevel"/>
                  <v:path arrowok="t" o:connecttype="custom" o:connectlocs="0,9;8,0;6661,0;6669,9;6669,2782;6661,2791;8,2791;0,2782;0,9;16,2782;8,2774;6661,2774;6653,2782;6653,9;6661,17;8,17;16,9;16,2782" o:connectangles="0,0,0,0,0,0,0,0,0,0,0,0,0,0,0,0,0,0"/>
                  <o:lock v:ext="edit" verticies="t"/>
                </v:shape>
                <v:rect id="Rectangle 9" o:spid="_x0000_s1032" style="position:absolute;left:2738;top:4355;width:7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" fillcolor="#99f" stroked="f"/>
                <v:shape id="Freeform 10" o:spid="_x0000_s1033" style="position:absolute;left:2730;top:4347;width:94;height:637;visibility:visible;mso-wrap-style:square;v-text-anchor:top" coordsize="9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" path="m,8c,4,4,,8,l88,v5,,8,4,8,8l96,584v,5,-3,8,-8,8l8,592c4,592,,589,,584l,8xm16,584l8,576r80,l80,584,80,8r8,8l8,16,16,8r,576xe" fillcolor="black" strokeweight=".8pt">
                  <v:stroke joinstyle="bevel"/>
                  <v:path arrowok="t" o:connecttype="custom" o:connectlocs="0,9;8,0;86,0;94,9;94,628;86,637;8,637;0,628;0,9;16,628;8,620;86,620;78,628;78,9;86,17;8,17;16,9;16,628" o:connectangles="0,0,0,0,0,0,0,0,0,0,0,0,0,0,0,0,0,0"/>
                  <o:lock v:ext="edit" verticies="t"/>
                </v:shape>
                <v:rect id="Rectangle 11" o:spid="_x0000_s1034" style="position:absolute;left:3566;top:4562;width:7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" fillcolor="#99f" stroked="f"/>
                <v:shape id="Freeform 12" o:spid="_x0000_s1035" style="position:absolute;left:3558;top:4553;width:94;height:431;visibility:visible;mso-wrap-style:square;v-text-anchor:top" coordsize="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" path="m,8c,4,4,,8,l88,v5,,8,4,8,8l96,392v,5,-3,8,-8,8l8,400c4,400,,397,,392l,8xm16,392l8,384r80,l80,392,80,8r8,8l8,16,16,8r,384xe" fillcolor="black" strokeweight=".8pt">
                  <v:stroke joinstyle="bevel"/>
                  <v:path arrowok="t" o:connecttype="custom" o:connectlocs="0,9;8,0;86,0;94,9;94,422;86,431;8,431;0,422;0,9;16,422;8,414;86,414;78,422;78,9;86,17;8,17;16,9;16,422" o:connectangles="0,0,0,0,0,0,0,0,0,0,0,0,0,0,0,0,0,0"/>
                  <o:lock v:ext="edit" verticies="t"/>
                </v:shape>
                <v:rect id="Rectangle 13" o:spid="_x0000_s1036" style="position:absolute;left:4393;top:4493;width:7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" fillcolor="#99f" stroked="f"/>
                <v:shape id="Freeform 14" o:spid="_x0000_s1037" style="position:absolute;left:4386;top:4484;width:93;height:500;visibility:visible;mso-wrap-style:square;v-text-anchor:top" coordsize="9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" path="m,8c,4,4,,8,l88,v5,,8,4,8,8l96,456v,5,-3,8,-8,8l8,464c4,464,,461,,456l,8xm16,456l8,448r80,l80,456,80,8r8,8l8,16,16,8r,448xe" fillcolor="black" strokeweight=".8pt">
                  <v:stroke joinstyle="bevel"/>
                  <v:path arrowok="t" o:connecttype="custom" o:connectlocs="0,9;8,0;85,0;93,9;93,491;85,500;8,500;0,491;0,9;16,491;8,483;85,483;78,491;78,9;85,17;8,17;16,9;16,491" o:connectangles="0,0,0,0,0,0,0,0,0,0,0,0,0,0,0,0,0,0"/>
                  <o:lock v:ext="edit" verticies="t"/>
                </v:shape>
                <v:rect id="Rectangle 15" o:spid="_x0000_s1038" style="position:absolute;left:5237;top:4872;width:78;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" fillcolor="#99f" stroked="f"/>
                <v:shape id="Freeform 16" o:spid="_x0000_s1039" style="position:absolute;left:5229;top:4863;width:94;height:121;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" path="m,8c,4,4,,8,l88,v5,,8,4,8,8l96,104v,5,-3,8,-8,8l8,112c4,112,,109,,104l,8xm16,104l8,96r80,l80,104,80,8r8,8l8,16,16,8r,96xe" fillcolor="black" strokeweight=".8pt">
                  <v:stroke joinstyle="bevel"/>
                  <v:path arrowok="t" o:connecttype="custom" o:connectlocs="0,9;8,0;86,0;94,9;94,112;86,121;8,121;0,112;0,9;16,112;8,104;86,104;78,112;78,9;86,17;8,17;16,9;16,112" o:connectangles="0,0,0,0,0,0,0,0,0,0,0,0,0,0,0,0,0,0"/>
                  <o:lock v:ext="edit" verticies="t"/>
                </v:shape>
                <v:rect id="Rectangle 17" o:spid="_x0000_s1040" style="position:absolute;left:6064;top:4872;width:78;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" fillcolor="#99f" stroked="f"/>
                <v:shape id="Freeform 18" o:spid="_x0000_s1041" style="position:absolute;left:6057;top:4863;width:93;height:121;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" path="m,8c,4,4,,8,l88,v5,,8,4,8,8l96,104v,5,-3,8,-8,8l8,112c4,112,,109,,104l,8xm16,104l8,96r80,l80,104,80,8r8,8l8,16,16,8r,96xe" fillcolor="black" strokeweight=".8pt">
                  <v:stroke joinstyle="bevel"/>
                  <v:path arrowok="t" o:connecttype="custom" o:connectlocs="0,9;8,0;85,0;93,9;93,112;85,121;8,121;0,112;0,9;16,112;8,104;85,104;78,112;78,9;85,17;8,17;16,9;16,112" o:connectangles="0,0,0,0,0,0,0,0,0,0,0,0,0,0,0,0,0,0"/>
                  <o:lock v:ext="edit" verticies="t"/>
                </v:shape>
                <v:rect id="Rectangle 19" o:spid="_x0000_s1042" style="position:absolute;left:6892;top:4889;width:7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" fillcolor="#99f" stroked="f"/>
                <v:shape id="Freeform 20" o:spid="_x0000_s1043" style="position:absolute;left:6884;top:4881;width:94;height:103;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" path="m,8c,4,4,,8,l88,v5,,8,4,8,8l96,88v,5,-3,8,-8,8l8,96c4,96,,93,,88l,8xm16,88l8,80r80,l80,88,80,8r8,8l8,16,16,8r,80xe" fillcolor="black" strokeweight=".8pt">
                  <v:stroke joinstyle="bevel"/>
                  <v:path arrowok="t" o:connecttype="custom" o:connectlocs="0,9;8,0;86,0;94,9;94,94;86,103;8,103;0,94;0,9;16,94;8,86;86,86;78,94;78,9;86,17;8,17;16,9;16,94" o:connectangles="0,0,0,0,0,0,0,0,0,0,0,0,0,0,0,0,0,0"/>
                  <o:lock v:ext="edit" verticies="t"/>
                </v:shape>
                <v:rect id="Rectangle 21" o:spid="_x0000_s1044" style="position:absolute;left:7720;top:4872;width:78;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" fillcolor="#99f" stroked="f"/>
                <v:shape id="Freeform 22" o:spid="_x0000_s1045" style="position:absolute;left:7712;top:4863;width:94;height:121;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" path="m,8c,4,4,,8,l88,v5,,8,4,8,8l96,104v,5,-3,8,-8,8l8,112c4,112,,109,,104l,8xm16,104l8,96r80,l80,104,80,8r8,8l8,16,16,8r,96xe" fillcolor="black" strokeweight=".8pt">
                  <v:stroke joinstyle="bevel"/>
                  <v:path arrowok="t" o:connecttype="custom" o:connectlocs="0,9;8,0;86,0;94,9;94,112;86,121;8,121;0,112;0,9;16,112;8,104;86,104;78,112;78,9;86,17;8,17;16,9;16,112" o:connectangles="0,0,0,0,0,0,0,0,0,0,0,0,0,0,0,0,0,0"/>
                  <o:lock v:ext="edit" verticies="t"/>
                </v:shape>
                <v:rect id="Rectangle 23" o:spid="_x0000_s1046" style="position:absolute;left:2816;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" fillcolor="#936" stroked="f"/>
                <v:shape id="Freeform 24" o:spid="_x0000_s1047" style="position:absolute;left:2808;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25" o:spid="_x0000_s1048" style="position:absolute;left:3644;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" fillcolor="#936" stroked="f"/>
                <v:shape id="Freeform 26" o:spid="_x0000_s1049" style="position:absolute;left:3636;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27" o:spid="_x0000_s1050" style="position:absolute;left:4471;top:4958;width:7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" fillcolor="#936" stroked="f"/>
                <v:shape id="Freeform 28" o:spid="_x0000_s1051" style="position:absolute;left:4464;top:4950;width:93;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" path="m,8c,4,4,,8,l88,v5,,8,4,8,8l96,24v,5,-3,8,-8,8l8,32c4,32,,29,,24l,8xm16,24l8,16r80,l80,24,80,8r8,8l8,16,16,8r,16xe" fillcolor="black" strokeweight=".8pt">
                  <v:stroke joinstyle="bevel"/>
                  <v:path arrowok="t" o:connecttype="custom" o:connectlocs="0,9;8,0;85,0;93,9;93,26;85,34;8,34;0,26;0,9;16,26;8,17;85,17;78,26;78,9;85,17;8,17;16,9;16,26" o:connectangles="0,0,0,0,0,0,0,0,0,0,0,0,0,0,0,0,0,0"/>
                  <o:lock v:ext="edit" verticies="t"/>
                </v:shape>
                <v:rect id="Rectangle 29" o:spid="_x0000_s1052" style="position:absolute;left:5315;top:4958;width:6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" fillcolor="#936" stroked="f"/>
                <v:shape id="Freeform 30" o:spid="_x0000_s1053" style="position:absolute;left:5307;top:4950;width:78;height:34;visibility:visible;mso-wrap-style:square;v-text-anchor:top" coordsize="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" path="m,8c,4,4,,8,l72,v5,,8,4,8,8l80,24v,5,-3,8,-8,8l8,32c4,32,,29,,24l,8xm16,24l8,16r64,l64,24,64,8r8,8l8,16,16,8r,16xe" fillcolor="black" strokeweight=".8pt">
                  <v:stroke joinstyle="bevel"/>
                  <v:path arrowok="t" o:connecttype="custom" o:connectlocs="0,9;8,0;70,0;78,9;78,26;70,34;8,34;0,26;0,9;16,26;8,17;70,17;62,26;62,9;70,17;8,17;16,9;16,26" o:connectangles="0,0,0,0,0,0,0,0,0,0,0,0,0,0,0,0,0,0"/>
                  <o:lock v:ext="edit" verticies="t"/>
                </v:shape>
                <v:rect id="Rectangle 31" o:spid="_x0000_s1054" style="position:absolute;left:6142;top:4958;width:7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" fillcolor="#936" stroked="f"/>
                <v:shape id="Freeform 32" o:spid="_x0000_s1055" style="position:absolute;left:6135;top:4950;width:93;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" path="m,8c,4,4,,8,l88,v5,,8,4,8,8l96,24v,5,-3,8,-8,8l8,32c4,32,,29,,24l,8xm16,24l8,16r80,l80,24,80,8r8,8l8,16,16,8r,16xe" fillcolor="black" strokeweight=".8pt">
                  <v:stroke joinstyle="bevel"/>
                  <v:path arrowok="t" o:connecttype="custom" o:connectlocs="0,9;8,0;85,0;93,9;93,26;85,34;8,34;0,26;0,9;16,26;8,17;85,17;78,26;78,9;85,17;8,17;16,9;16,26" o:connectangles="0,0,0,0,0,0,0,0,0,0,0,0,0,0,0,0,0,0"/>
                  <o:lock v:ext="edit" verticies="t"/>
                </v:shape>
                <v:rect id="Rectangle 33" o:spid="_x0000_s1056" style="position:absolute;left:6970;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" fillcolor="#936" stroked="f"/>
                <v:shape id="Freeform 34" o:spid="_x0000_s1057" style="position:absolute;left:6962;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35" o:spid="_x0000_s1058" style="position:absolute;left:7798;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" fillcolor="#936" stroked="f"/>
                <v:shape id="Freeform 36" o:spid="_x0000_s1059" style="position:absolute;left:7790;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37" o:spid="_x0000_s1060" style="position:absolute;left:2894;top:4838;width:7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" fillcolor="#ffc" stroked="f"/>
                <v:shape id="Freeform 38" o:spid="_x0000_s1061" style="position:absolute;left:2886;top:4829;width:94;height:155;visibility:visible;mso-wrap-style:square;v-text-anchor:top" coordsize="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" path="m,8c,4,4,,8,l88,v5,,8,4,8,8l96,136v,5,-3,8,-8,8l8,144c4,144,,141,,136l,8xm16,136l8,128r80,l80,136,80,8r8,8l8,16,16,8r,128xe" fillcolor="black" strokeweight=".8pt">
                  <v:stroke joinstyle="bevel"/>
                  <v:path arrowok="t" o:connecttype="custom" o:connectlocs="0,9;8,0;86,0;94,9;94,146;86,155;8,155;0,146;0,9;16,146;8,138;86,138;78,146;78,9;86,17;8,17;16,9;16,146" o:connectangles="0,0,0,0,0,0,0,0,0,0,0,0,0,0,0,0,0,0"/>
                  <o:lock v:ext="edit" verticies="t"/>
                </v:shape>
                <v:rect id="Rectangle 39" o:spid="_x0000_s1062" style="position:absolute;left:3722;top:4838;width:7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" fillcolor="#ffc" stroked="f"/>
                <v:shape id="Freeform 40" o:spid="_x0000_s1063" style="position:absolute;left:3714;top:4829;width:94;height:155;visibility:visible;mso-wrap-style:square;v-text-anchor:top" coordsize="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" path="m,8c,4,4,,8,l88,v5,,8,4,8,8l96,136v,5,-3,8,-8,8l8,144c4,144,,141,,136l,8xm16,136l8,128r80,l80,136,80,8r8,8l8,16,16,8r,128xe" fillcolor="black" strokeweight=".8pt">
                  <v:stroke joinstyle="bevel"/>
                  <v:path arrowok="t" o:connecttype="custom" o:connectlocs="0,9;8,0;86,0;94,9;94,146;86,155;8,155;0,146;0,9;16,146;8,138;86,138;78,146;78,9;86,17;8,17;16,9;16,146" o:connectangles="0,0,0,0,0,0,0,0,0,0,0,0,0,0,0,0,0,0"/>
                  <o:lock v:ext="edit" verticies="t"/>
                </v:shape>
                <v:rect id="Rectangle 41" o:spid="_x0000_s1064" style="position:absolute;left:4550;top:4838;width:7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" fillcolor="#ffc" stroked="f"/>
                <v:shape id="Freeform 42" o:spid="_x0000_s1065" style="position:absolute;left:4542;top:4829;width:93;height:155;visibility:visible;mso-wrap-style:square;v-text-anchor:top" coordsize="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" path="m,8c,4,4,,8,l88,v5,,8,4,8,8l96,136v,5,-3,8,-8,8l8,144c4,144,,141,,136l,8xm16,136l8,128r80,l80,136,80,8r8,8l8,16,16,8r,128xe" fillcolor="black" strokeweight=".8pt">
                  <v:stroke joinstyle="bevel"/>
                  <v:path arrowok="t" o:connecttype="custom" o:connectlocs="0,9;8,0;85,0;93,9;93,146;85,155;8,155;0,146;0,9;16,146;8,138;85,138;78,146;78,9;85,17;8,17;16,9;16,146" o:connectangles="0,0,0,0,0,0,0,0,0,0,0,0,0,0,0,0,0,0"/>
                  <o:lock v:ext="edit" verticies="t"/>
                </v:shape>
                <v:rect id="Rectangle 43" o:spid="_x0000_s1066" style="position:absolute;left:5377;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" fillcolor="#ffc" stroked="f"/>
                <v:shape id="Freeform 44" o:spid="_x0000_s1067" style="position:absolute;left:5369;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45" o:spid="_x0000_s1068" style="position:absolute;left:6221;top:4958;width:6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" fillcolor="#ffc" stroked="f"/>
                <v:shape id="Freeform 46" o:spid="_x0000_s1069" style="position:absolute;left:6213;top:4950;width:78;height:34;visibility:visible;mso-wrap-style:square;v-text-anchor:top" coordsize="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" path="m,8c,4,4,,8,l72,v5,,8,4,8,8l80,24v,5,-3,8,-8,8l8,32c4,32,,29,,24l,8xm16,24l8,16r64,l64,24,64,8r8,8l8,16,16,8r,16xe" fillcolor="black" strokeweight=".8pt">
                  <v:stroke joinstyle="bevel"/>
                  <v:path arrowok="t" o:connecttype="custom" o:connectlocs="0,9;8,0;70,0;78,9;78,26;70,34;8,34;0,26;0,9;16,26;8,17;70,17;62,26;62,9;70,17;8,17;16,9;16,26" o:connectangles="0,0,0,0,0,0,0,0,0,0,0,0,0,0,0,0,0,0"/>
                  <o:lock v:ext="edit" verticies="t"/>
                </v:shape>
                <v:rect id="Rectangle 47" o:spid="_x0000_s1070" style="position:absolute;left:7048;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" fillcolor="#ffc" stroked="f"/>
                <v:shape id="Freeform 48" o:spid="_x0000_s1071" style="position:absolute;left:7040;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49" o:spid="_x0000_s1072" style="position:absolute;left:7876;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" fillcolor="#ffc" stroked="f"/>
                <v:shape id="Freeform 50" o:spid="_x0000_s1073" style="position:absolute;left:7868;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51" o:spid="_x0000_s1074" style="position:absolute;left:2972;top:3632;width:63;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" fillcolor="#cff" stroked="f"/>
                <v:shape id="Freeform 52" o:spid="_x0000_s1075" style="position:absolute;left:2964;top:3623;width:78;height:1361;visibility:visible;mso-wrap-style:square;v-text-anchor:top" coordsize="8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" path="m,8c,4,4,,8,l72,v5,,8,4,8,8l80,1256v,5,-3,8,-8,8l8,1264v-4,,-8,-3,-8,-8l,8xm16,1256r-8,-8l72,1248r-8,8l64,8r8,8l8,16,16,8r,1248xe" fillcolor="black" strokeweight=".8pt">
                  <v:stroke joinstyle="bevel"/>
                  <v:path arrowok="t" o:connecttype="custom" o:connectlocs="0,9;8,0;70,0;78,9;78,1352;70,1361;8,1361;0,1352;0,9;16,1352;8,1344;70,1344;62,1352;62,9;70,17;8,17;16,9;16,1352" o:connectangles="0,0,0,0,0,0,0,0,0,0,0,0,0,0,0,0,0,0"/>
                  <o:lock v:ext="edit" verticies="t"/>
                </v:shape>
                <v:rect id="Rectangle 53" o:spid="_x0000_s1076" style="position:absolute;left:3800;top:3942;width:7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" fillcolor="#cff" stroked="f"/>
                <v:shape id="Freeform 54" o:spid="_x0000_s1077" style="position:absolute;left:3792;top:3933;width:94;height:1051;visibility:visible;mso-wrap-style:square;v-text-anchor:top" coordsize="9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" path="m,8c,4,4,,8,l88,v5,,8,4,8,8l96,968v,5,-3,8,-8,8l8,976c4,976,,973,,968l,8xm16,968l8,960r80,l80,968,80,8r8,8l8,16,16,8r,960xe" fillcolor="black" strokeweight=".8pt">
                  <v:stroke joinstyle="bevel"/>
                  <v:path arrowok="t" o:connecttype="custom" o:connectlocs="0,9;8,0;86,0;94,9;94,1042;86,1051;8,1051;0,1042;0,9;16,1042;8,1034;86,1034;78,1042;78,9;86,17;8,17;16,9;16,1042" o:connectangles="0,0,0,0,0,0,0,0,0,0,0,0,0,0,0,0,0,0"/>
                  <o:lock v:ext="edit" verticies="t"/>
                </v:shape>
                <v:rect id="Rectangle 55" o:spid="_x0000_s1078" style="position:absolute;left:4628;top:3804;width:7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" fillcolor="#cff" stroked="f"/>
                <v:shape id="Freeform 56" o:spid="_x0000_s1079" style="position:absolute;left:4620;top:3795;width:93;height:1189;visibility:visible;mso-wrap-style:square;v-text-anchor:top" coordsize="9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" path="m,8c,4,4,,8,l88,v5,,8,4,8,8l96,1096v,5,-3,8,-8,8l8,1104v-4,,-8,-3,-8,-8l,8xm16,1096r-8,-8l88,1088r-8,8l80,8r8,8l8,16,16,8r,1088xe" fillcolor="black" strokeweight=".8pt">
                  <v:stroke joinstyle="bevel"/>
                  <v:path arrowok="t" o:connecttype="custom" o:connectlocs="0,9;8,0;85,0;93,9;93,1180;85,1189;8,1189;0,1180;0,9;16,1180;8,1172;85,1172;78,1180;78,9;85,17;8,17;16,9;16,1180" o:connectangles="0,0,0,0,0,0,0,0,0,0,0,0,0,0,0,0,0,0"/>
                  <o:lock v:ext="edit" verticies="t"/>
                </v:shape>
                <v:rect id="Rectangle 57" o:spid="_x0000_s1080" style="position:absolute;left:5455;top:4683;width:7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" fillcolor="#cff" stroked="f"/>
                <v:shape id="Freeform 58" o:spid="_x0000_s1081" style="position:absolute;left:5447;top:4674;width:94;height:310;visibility:visible;mso-wrap-style:square;v-text-anchor:top" coordsize="9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" path="m,8c,4,4,,8,l88,v5,,8,4,8,8l96,280v,5,-3,8,-8,8l8,288c4,288,,285,,280l,8xm16,280l8,272r80,l80,280,80,8r8,8l8,16,16,8r,272xe" fillcolor="black" strokeweight=".8pt">
                  <v:stroke joinstyle="bevel"/>
                  <v:path arrowok="t" o:connecttype="custom" o:connectlocs="0,9;8,0;86,0;94,9;94,301;86,310;8,310;0,301;0,9;16,301;8,293;86,293;78,301;78,9;86,17;8,17;16,9;16,301" o:connectangles="0,0,0,0,0,0,0,0,0,0,0,0,0,0,0,0,0,0"/>
                  <o:lock v:ext="edit" verticies="t"/>
                </v:shape>
                <v:rect id="Rectangle 59" o:spid="_x0000_s1082" style="position:absolute;left:6283;top:4631;width:7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" fillcolor="#cff" stroked="f"/>
                <v:shape id="Freeform 60" o:spid="_x0000_s1083" style="position:absolute;left:6275;top:4622;width:94;height:362;visibility:visible;mso-wrap-style:square;v-text-anchor:top" coordsize="9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" path="m,8c,4,4,,8,l88,v5,,8,4,8,8l96,328v,5,-3,8,-8,8l8,336c4,336,,333,,328l,8xm16,328l8,320r80,l80,328,80,8r8,8l8,16,16,8r,320xe" fillcolor="black" strokeweight=".8pt">
                  <v:stroke joinstyle="bevel"/>
                  <v:path arrowok="t" o:connecttype="custom" o:connectlocs="0,9;8,0;86,0;94,9;94,353;86,362;8,362;0,353;0,9;16,353;8,345;86,345;78,353;78,9;86,17;8,17;16,9;16,353" o:connectangles="0,0,0,0,0,0,0,0,0,0,0,0,0,0,0,0,0,0"/>
                  <o:lock v:ext="edit" verticies="t"/>
                </v:shape>
                <v:rect id="Rectangle 61" o:spid="_x0000_s1084" style="position:absolute;left:7126;top:4958;width:6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" fillcolor="#cff" stroked="f"/>
                <v:shape id="Freeform 62" o:spid="_x0000_s1085" style="position:absolute;left:7119;top:4950;width:78;height:34;visibility:visible;mso-wrap-style:square;v-text-anchor:top" coordsize="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" path="m,8c,4,4,,8,l72,v5,,8,4,8,8l80,24v,5,-3,8,-8,8l8,32c4,32,,29,,24l,8xm16,24l8,16r64,l64,24,64,8r8,8l8,16,16,8r,16xe" fillcolor="black" strokeweight=".8pt">
                  <v:stroke joinstyle="bevel"/>
                  <v:path arrowok="t" o:connecttype="custom" o:connectlocs="0,9;8,0;70,0;78,9;78,26;70,34;8,34;0,26;0,9;16,26;8,17;70,17;62,26;62,9;70,17;8,17;16,9;16,26" o:connectangles="0,0,0,0,0,0,0,0,0,0,0,0,0,0,0,0,0,0"/>
                  <o:lock v:ext="edit" verticies="t"/>
                </v:shape>
                <v:rect id="Rectangle 63" o:spid="_x0000_s1086" style="position:absolute;left:7954;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" fillcolor="#cff" stroked="f"/>
                <v:shape id="Freeform 64" o:spid="_x0000_s1087" style="position:absolute;left:7946;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65" o:spid="_x0000_s1088" style="position:absolute;left:3035;top:4786;width:7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" fillcolor="#606" stroked="f"/>
                <v:shape id="Freeform 66" o:spid="_x0000_s1089" style="position:absolute;left:3027;top:4777;width:94;height:207;visibility:visible;mso-wrap-style:square;v-text-anchor:top" coordsize="9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" path="m,8c,4,4,,8,l88,v5,,8,4,8,8l96,184v,5,-3,8,-8,8l8,192c4,192,,189,,184l,8xm16,184l8,176r80,l80,184,80,8r8,8l8,16,16,8r,176xe" fillcolor="black" strokeweight=".8pt">
                  <v:stroke joinstyle="bevel"/>
                  <v:path arrowok="t" o:connecttype="custom" o:connectlocs="0,9;8,0;86,0;94,9;94,198;86,207;8,207;0,198;0,9;16,198;8,190;86,190;78,198;78,9;86,17;8,17;16,9;16,198" o:connectangles="0,0,0,0,0,0,0,0,0,0,0,0,0,0,0,0,0,0"/>
                  <o:lock v:ext="edit" verticies="t"/>
                </v:shape>
                <v:rect id="Rectangle 67" o:spid="_x0000_s1090" style="position:absolute;left:3878;top:4855;width:6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" fillcolor="#606" stroked="f"/>
                <v:shape id="Freeform 68" o:spid="_x0000_s1091" style="position:absolute;left:3870;top:4846;width:78;height:13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" path="m,8c,4,4,,8,l72,v5,,8,4,8,8l80,120v,5,-3,8,-8,8l8,128c4,128,,125,,120l,8xm16,120l8,112r64,l64,120,64,8r8,8l8,16,16,8r,112xe" fillcolor="black" strokeweight=".8pt">
                  <v:stroke joinstyle="bevel"/>
                  <v:path arrowok="t" o:connecttype="custom" o:connectlocs="0,9;8,0;70,0;78,9;78,129;70,138;8,138;0,129;0,9;16,129;8,121;70,121;62,129;62,9;70,17;8,17;16,9;16,129" o:connectangles="0,0,0,0,0,0,0,0,0,0,0,0,0,0,0,0,0,0"/>
                  <o:lock v:ext="edit" verticies="t"/>
                </v:shape>
                <v:rect id="Rectangle 69" o:spid="_x0000_s1092" style="position:absolute;left:4706;top:4820;width:7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" fillcolor="#606" stroked="f"/>
                <v:shape id="Freeform 70" o:spid="_x0000_s1093" style="position:absolute;left:4698;top:4812;width:94;height:172;visibility:visible;mso-wrap-style:square;v-text-anchor:top" coordsize="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" path="m,8c,4,4,,8,l88,v5,,8,4,8,8l96,152v,5,-3,8,-8,8l8,160c4,160,,157,,152l,8xm16,152l8,144r80,l80,152,80,8r8,8l8,16,16,8r,144xe" fillcolor="black" strokeweight=".8pt">
                  <v:stroke joinstyle="bevel"/>
                  <v:path arrowok="t" o:connecttype="custom" o:connectlocs="0,9;8,0;86,0;94,9;94,163;86,172;8,172;0,163;0,9;16,163;8,155;86,155;78,163;78,9;86,17;8,17;16,9;16,163" o:connectangles="0,0,0,0,0,0,0,0,0,0,0,0,0,0,0,0,0,0"/>
                  <o:lock v:ext="edit" verticies="t"/>
                </v:shape>
                <v:rect id="Rectangle 71" o:spid="_x0000_s1094" style="position:absolute;left:5533;top:4941;width:7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" fillcolor="#606" stroked="f"/>
                <v:shape id="Freeform 72" o:spid="_x0000_s1095" style="position:absolute;left:5526;top:4932;width:93;height:52;visibility:visible;mso-wrap-style:square;v-text-anchor:top" coordsize="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" path="m,8c,4,4,,8,l88,v5,,8,4,8,8l96,40v,5,-3,8,-8,8l8,48c4,48,,45,,40l,8xm16,40l8,32r80,l80,40,80,8r8,8l8,16,16,8r,32xe" fillcolor="black" strokeweight=".8pt">
                  <v:stroke joinstyle="bevel"/>
                  <v:path arrowok="t" o:connecttype="custom" o:connectlocs="0,9;8,0;85,0;93,9;93,43;85,52;8,52;0,43;0,9;16,43;8,35;85,35;78,43;78,9;85,17;8,17;16,9;16,43" o:connectangles="0,0,0,0,0,0,0,0,0,0,0,0,0,0,0,0,0,0"/>
                  <o:lock v:ext="edit" verticies="t"/>
                </v:shape>
                <v:rect id="Rectangle 73" o:spid="_x0000_s1096" style="position:absolute;left:6361;top:4941;width:7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" fillcolor="#606" stroked="f"/>
                <v:shape id="Freeform 74" o:spid="_x0000_s1097" style="position:absolute;left:6353;top:4932;width:94;height:52;visibility:visible;mso-wrap-style:square;v-text-anchor:top" coordsize="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" path="m,8c,4,4,,8,l88,v5,,8,4,8,8l96,40v,5,-3,8,-8,8l8,48c4,48,,45,,40l,8xm16,40l8,32r80,l80,40,80,8r8,8l8,16,16,8r,32xe" fillcolor="black" strokeweight=".8pt">
                  <v:stroke joinstyle="bevel"/>
                  <v:path arrowok="t" o:connecttype="custom" o:connectlocs="0,9;8,0;86,0;94,9;94,43;86,52;8,52;0,43;0,9;16,43;8,35;86,35;78,43;78,9;86,17;8,17;16,9;16,43" o:connectangles="0,0,0,0,0,0,0,0,0,0,0,0,0,0,0,0,0,0"/>
                  <o:lock v:ext="edit" verticies="t"/>
                </v:shape>
                <v:rect id="Rectangle 75" o:spid="_x0000_s1098" style="position:absolute;left:7189;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" fillcolor="#606" stroked="f"/>
                <v:shape id="Freeform 76" o:spid="_x0000_s1099" style="position:absolute;left:7181;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77" o:spid="_x0000_s1100" style="position:absolute;left:8032;top:4958;width:6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" fillcolor="#606" stroked="f"/>
                <v:shape id="Freeform 78" o:spid="_x0000_s1101" style="position:absolute;left:8024;top:4950;width:78;height:34;visibility:visible;mso-wrap-style:square;v-text-anchor:top" coordsize="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" path="m,8c,4,4,,8,l72,v5,,8,4,8,8l80,24v,5,-3,8,-8,8l8,32c4,32,,29,,24l,8xm16,24l8,16r64,l64,24,64,8r8,8l8,16,16,8r,16xe" fillcolor="black" strokeweight=".8pt">
                  <v:stroke joinstyle="bevel"/>
                  <v:path arrowok="t" o:connecttype="custom" o:connectlocs="0,9;8,0;70,0;78,9;78,26;70,34;8,34;0,26;0,9;16,26;8,17;70,17;62,26;62,9;70,17;8,17;16,9;16,26" o:connectangles="0,0,0,0,0,0,0,0,0,0,0,0,0,0,0,0,0,0"/>
                  <o:lock v:ext="edit" verticies="t"/>
                </v:shape>
                <v:rect id="Rectangle 79" o:spid="_x0000_s1102" style="position:absolute;left:3113;top:4924;width:7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" fillcolor="#ff8080" stroked="f"/>
                <v:shape id="Freeform 80" o:spid="_x0000_s1103" style="position:absolute;left:3105;top:4915;width:94;height:69;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" path="m,8c,4,4,,8,l88,v5,,8,4,8,8l96,56v,5,-3,8,-8,8l8,64c4,64,,61,,56l,8xm16,56l8,48r80,l80,56,80,8r8,8l8,16,16,8r,48xe" fillcolor="black" strokeweight=".8pt">
                  <v:stroke joinstyle="bevel"/>
                  <v:path arrowok="t" o:connecttype="custom" o:connectlocs="0,9;8,0;86,0;94,9;94,60;86,69;8,69;0,60;0,9;16,60;8,52;86,52;78,60;78,9;86,17;8,17;16,9;16,60" o:connectangles="0,0,0,0,0,0,0,0,0,0,0,0,0,0,0,0,0,0"/>
                  <o:lock v:ext="edit" verticies="t"/>
                </v:shape>
                <v:rect id="Rectangle 81" o:spid="_x0000_s1104" style="position:absolute;left:3940;top:4924;width:79;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" fillcolor="#ff8080" stroked="f"/>
                <v:shape id="Freeform 82" o:spid="_x0000_s1105" style="position:absolute;left:3933;top:4915;width:93;height:69;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" path="m,8c,4,4,,8,l88,v5,,8,4,8,8l96,56v,5,-3,8,-8,8l8,64c4,64,,61,,56l,8xm16,56l8,48r80,l80,56,80,8r8,8l8,16,16,8r,48xe" fillcolor="black" strokeweight=".8pt">
                  <v:stroke joinstyle="bevel"/>
                  <v:path arrowok="t" o:connecttype="custom" o:connectlocs="0,9;8,0;85,0;93,9;93,60;85,69;8,69;0,60;0,9;16,60;8,52;85,52;78,60;78,9;85,17;8,17;16,9;16,60" o:connectangles="0,0,0,0,0,0,0,0,0,0,0,0,0,0,0,0,0,0"/>
                  <o:lock v:ext="edit" verticies="t"/>
                </v:shape>
                <v:rect id="Rectangle 83" o:spid="_x0000_s1106" style="position:absolute;left:4784;top:4924;width:7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" fillcolor="#ff8080" stroked="f"/>
                <v:shape id="Freeform 84" o:spid="_x0000_s1107" style="position:absolute;left:4776;top:4915;width:94;height:69;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" path="m,8c,4,4,,8,l88,v5,,8,4,8,8l96,56v,5,-3,8,-8,8l8,64c4,64,,61,,56l,8xm16,56l8,48r80,l80,56,80,8r8,8l8,16,16,8r,48xe" fillcolor="black" strokeweight=".8pt">
                  <v:stroke joinstyle="bevel"/>
                  <v:path arrowok="t" o:connecttype="custom" o:connectlocs="0,9;8,0;86,0;94,9;94,60;86,69;8,69;0,60;0,9;16,60;8,52;86,52;78,60;78,9;86,17;8,17;16,9;16,60" o:connectangles="0,0,0,0,0,0,0,0,0,0,0,0,0,0,0,0,0,0"/>
                  <o:lock v:ext="edit" verticies="t"/>
                </v:shape>
                <v:rect id="Rectangle 85" o:spid="_x0000_s1108" style="position:absolute;left:7267;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" fillcolor="#ff8080" stroked="f"/>
                <v:shape id="Freeform 86" o:spid="_x0000_s1109" style="position:absolute;left:7259;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87" o:spid="_x0000_s1110" style="position:absolute;left:8095;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" fillcolor="#ff8080" stroked="f"/>
                <v:shape id="Freeform 88" o:spid="_x0000_s1111" style="position:absolute;left:8087;top:4950;width:93;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" path="m,8c,4,4,,8,l88,v5,,8,4,8,8l96,24v,5,-3,8,-8,8l8,32c4,32,,29,,24l,8xm16,24l8,16r80,l80,24,80,8r8,8l8,16,16,8r,16xe" fillcolor="black" strokeweight=".8pt">
                  <v:stroke joinstyle="bevel"/>
                  <v:path arrowok="t" o:connecttype="custom" o:connectlocs="0,9;8,0;85,0;93,9;93,26;85,34;8,34;0,26;0,9;16,26;8,17;85,17;78,26;78,9;85,17;8,17;16,9;16,26" o:connectangles="0,0,0,0,0,0,0,0,0,0,0,0,0,0,0,0,0,0"/>
                  <o:lock v:ext="edit" verticies="t"/>
                </v:shape>
                <v:rect id="Rectangle 89" o:spid="_x0000_s1112" style="position:absolute;left:3191;top:4872;width:78;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" fillcolor="#06c" stroked="f"/>
                <v:shape id="Freeform 90" o:spid="_x0000_s1113" style="position:absolute;left:3183;top:4863;width:94;height:121;visibility:visible;mso-wrap-style:square;v-text-anchor:top" coordsize="9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" path="m,8c,4,4,,8,l88,v5,,8,4,8,8l96,104v,5,-3,8,-8,8l8,112c4,112,,109,,104l,8xm16,104l8,96r80,l80,104,80,8r8,8l8,16,16,8r,96xe" fillcolor="black" strokeweight=".8pt">
                  <v:stroke joinstyle="bevel"/>
                  <v:path arrowok="t" o:connecttype="custom" o:connectlocs="0,9;8,0;86,0;94,9;94,112;86,121;8,121;0,112;0,9;16,112;8,104;86,104;78,112;78,9;86,17;8,17;16,9;16,112" o:connectangles="0,0,0,0,0,0,0,0,0,0,0,0,0,0,0,0,0,0"/>
                  <o:lock v:ext="edit" verticies="t"/>
                </v:shape>
                <v:rect id="Rectangle 91" o:spid="_x0000_s1114" style="position:absolute;left:4019;top:4924;width:7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" fillcolor="#06c" stroked="f"/>
                <v:shape id="Freeform 92" o:spid="_x0000_s1115" style="position:absolute;left:4011;top:4915;width:93;height:69;visibility:visible;mso-wrap-style:square;v-text-anchor:top" coordsize="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" path="m,8c,4,4,,8,l88,v5,,8,4,8,8l96,56v,5,-3,8,-8,8l8,64c4,64,,61,,56l,8xm16,56l8,48r80,l80,56,80,8r8,8l8,16,16,8r,48xe" fillcolor="black" strokeweight=".8pt">
                  <v:stroke joinstyle="bevel"/>
                  <v:path arrowok="t" o:connecttype="custom" o:connectlocs="0,9;8,0;85,0;93,9;93,60;85,69;8,69;0,60;0,9;16,60;8,52;85,52;78,60;78,9;85,17;8,17;16,9;16,60" o:connectangles="0,0,0,0,0,0,0,0,0,0,0,0,0,0,0,0,0,0"/>
                  <o:lock v:ext="edit" verticies="t"/>
                </v:shape>
                <v:rect id="Rectangle 93" o:spid="_x0000_s1116" style="position:absolute;left:4862;top:4924;width:6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" fillcolor="#06c" stroked="f"/>
                <v:shape id="Freeform 94" o:spid="_x0000_s1117" style="position:absolute;left:4854;top:4915;width:78;height:69;visibility:visible;mso-wrap-style:square;v-text-anchor:top" coordsize="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" path="m,8c,4,4,,8,l72,v5,,8,4,8,8l80,56v,5,-3,8,-8,8l8,64c4,64,,61,,56l,8xm16,56l8,48r64,l64,56,64,8r8,8l8,16,16,8r,48xe" fillcolor="black" strokeweight=".8pt">
                  <v:stroke joinstyle="bevel"/>
                  <v:path arrowok="t" o:connecttype="custom" o:connectlocs="0,9;8,0;70,0;78,9;78,60;70,69;8,69;0,60;0,9;16,60;8,52;70,52;62,60;62,9;70,17;8,17;16,9;16,60" o:connectangles="0,0,0,0,0,0,0,0,0,0,0,0,0,0,0,0,0,0"/>
                  <o:lock v:ext="edit" verticies="t"/>
                </v:shape>
                <v:rect id="Rectangle 95" o:spid="_x0000_s1118" style="position:absolute;left:5690;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" fillcolor="#06c" stroked="f"/>
                <v:shape id="Freeform 96" o:spid="_x0000_s1119" style="position:absolute;left:5682;top:4950;width:93;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" path="m,8c,4,4,,8,l88,v5,,8,4,8,8l96,24v,5,-3,8,-8,8l8,32c4,32,,29,,24l,8xm16,24l8,16r80,l80,24,80,8r8,8l8,16,16,8r,16xe" fillcolor="black" strokeweight=".8pt">
                  <v:stroke joinstyle="bevel"/>
                  <v:path arrowok="t" o:connecttype="custom" o:connectlocs="0,9;8,0;85,0;93,9;93,26;85,34;8,34;0,26;0,9;16,26;8,17;85,17;78,26;78,9;85,17;8,17;16,9;16,26" o:connectangles="0,0,0,0,0,0,0,0,0,0,0,0,0,0,0,0,0,0"/>
                  <o:lock v:ext="edit" verticies="t"/>
                </v:shape>
                <v:rect id="Rectangle 97" o:spid="_x0000_s1120" style="position:absolute;left:6517;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" fillcolor="#06c" stroked="f"/>
                <v:shape id="Freeform 98" o:spid="_x0000_s1121" style="position:absolute;left:6509;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99" o:spid="_x0000_s1122" style="position:absolute;left:7345;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" fillcolor="#06c" stroked="f"/>
                <v:shape id="Freeform 100" o:spid="_x0000_s1123" style="position:absolute;left:7337;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101" o:spid="_x0000_s1124" style="position:absolute;left:8173;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" fillcolor="#06c" stroked="f"/>
                <v:shape id="Freeform 102" o:spid="_x0000_s1125" style="position:absolute;left:8165;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103" o:spid="_x0000_s1126" style="position:absolute;left:3269;top:4752;width:7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" fillcolor="#ccf" stroked="f"/>
                <v:shape id="Freeform 104" o:spid="_x0000_s1127" style="position:absolute;left:3261;top:4743;width:94;height:241;visibility:visible;mso-wrap-style:square;v-text-anchor:top" coordsize="9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" path="m,8c,4,4,,8,l88,v5,,8,4,8,8l96,216v,5,-3,8,-8,8l8,224c4,224,,221,,216l,8xm16,216l8,208r80,l80,216,80,8r8,8l8,16,16,8r,208xe" fillcolor="black" strokeweight=".8pt">
                  <v:stroke joinstyle="bevel"/>
                  <v:path arrowok="t" o:connecttype="custom" o:connectlocs="0,9;8,0;86,0;94,9;94,232;86,241;8,241;0,232;0,9;16,232;8,224;86,224;78,232;78,9;86,17;8,17;16,9;16,232" o:connectangles="0,0,0,0,0,0,0,0,0,0,0,0,0,0,0,0,0,0"/>
                  <o:lock v:ext="edit" verticies="t"/>
                </v:shape>
                <v:rect id="Rectangle 105" o:spid="_x0000_s1128" style="position:absolute;left:4097;top:4855;width:7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" fillcolor="#ccf" stroked="f"/>
                <v:shape id="Freeform 106" o:spid="_x0000_s1129" style="position:absolute;left:4089;top:4846;width:93;height:13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" path="m,8c,4,4,,8,l88,v5,,8,4,8,8l96,120v,5,-3,8,-8,8l8,128c4,128,,125,,120l,8xm16,120l8,112r80,l80,120,80,8r8,8l8,16,16,8r,112xe" fillcolor="black" strokeweight=".8pt">
                  <v:stroke joinstyle="bevel"/>
                  <v:path arrowok="t" o:connecttype="custom" o:connectlocs="0,9;8,0;85,0;93,9;93,129;85,138;8,138;0,129;0,9;16,129;8,121;85,121;78,129;78,9;85,17;8,17;16,9;16,129" o:connectangles="0,0,0,0,0,0,0,0,0,0,0,0,0,0,0,0,0,0"/>
                  <o:lock v:ext="edit" verticies="t"/>
                </v:shape>
                <v:rect id="Rectangle 107" o:spid="_x0000_s1130" style="position:absolute;left:4924;top:4855;width:7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" fillcolor="#ccf" stroked="f"/>
                <v:shape id="Freeform 108" o:spid="_x0000_s1131" style="position:absolute;left:4917;top:4846;width:93;height:138;visibility:visible;mso-wrap-style:square;v-text-anchor:top" coordsize="9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" path="m,8c,4,4,,8,l88,v5,,8,4,8,8l96,120v,5,-3,8,-8,8l8,128c4,128,,125,,120l,8xm16,120l8,112r80,l80,120,80,8r8,8l8,16,16,8r,112xe" fillcolor="black" strokeweight=".8pt">
                  <v:stroke joinstyle="bevel"/>
                  <v:path arrowok="t" o:connecttype="custom" o:connectlocs="0,9;8,0;85,0;93,9;93,129;85,138;8,138;0,129;0,9;16,129;8,121;85,121;78,129;78,9;85,17;8,17;16,9;16,129" o:connectangles="0,0,0,0,0,0,0,0,0,0,0,0,0,0,0,0,0,0"/>
                  <o:lock v:ext="edit" verticies="t"/>
                </v:shape>
                <v:rect id="Rectangle 109" o:spid="_x0000_s1132" style="position:absolute;left:5768;top:4941;width:62;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" fillcolor="#ccf" stroked="f"/>
                <v:shape id="Freeform 110" o:spid="_x0000_s1133" style="position:absolute;left:5760;top:4932;width:78;height:52;visibility:visible;mso-wrap-style:square;v-text-anchor:top" coordsize="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" path="m,8c,4,4,,8,l72,v5,,8,4,8,8l80,40v,5,-3,8,-8,8l8,48c4,48,,45,,40l,8xm16,40l8,32r64,l64,40,64,8r8,8l8,16,16,8r,32xe" fillcolor="black" strokeweight=".8pt">
                  <v:stroke joinstyle="bevel"/>
                  <v:path arrowok="t" o:connecttype="custom" o:connectlocs="0,9;8,0;70,0;78,9;78,43;70,52;8,52;0,43;0,9;16,43;8,35;70,35;62,43;62,9;70,17;8,17;16,9;16,43" o:connectangles="0,0,0,0,0,0,0,0,0,0,0,0,0,0,0,0,0,0"/>
                  <o:lock v:ext="edit" verticies="t"/>
                </v:shape>
                <v:rect id="Rectangle 111" o:spid="_x0000_s1134" style="position:absolute;left:6595;top:4941;width:7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" fillcolor="#ccf" stroked="f"/>
                <v:shape id="Freeform 112" o:spid="_x0000_s1135" style="position:absolute;left:6588;top:4932;width:93;height:52;visibility:visible;mso-wrap-style:square;v-text-anchor:top" coordsize="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" path="m,8c,4,4,,8,l88,v5,,8,4,8,8l96,40v,5,-3,8,-8,8l8,48c4,48,,45,,40l,8xm16,40l8,32r80,l80,40,80,8r8,8l8,16,16,8r,32xe" fillcolor="black" strokeweight=".8pt">
                  <v:stroke joinstyle="bevel"/>
                  <v:path arrowok="t" o:connecttype="custom" o:connectlocs="0,9;8,0;85,0;93,9;93,43;85,52;8,52;0,43;0,9;16,43;8,35;85,35;78,43;78,9;85,17;8,17;16,9;16,43" o:connectangles="0,0,0,0,0,0,0,0,0,0,0,0,0,0,0,0,0,0"/>
                  <o:lock v:ext="edit" verticies="t"/>
                </v:shape>
                <v:rect id="Rectangle 113" o:spid="_x0000_s1136" style="position:absolute;left:7423;top:4907;width:7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" fillcolor="#ccf" stroked="f"/>
                <v:shape id="Freeform 114" o:spid="_x0000_s1137" style="position:absolute;left:7415;top:4898;width:94;height:86;visibility:visible;mso-wrap-style:square;v-text-anchor:top" coordsize="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" path="m,8c,4,4,,8,l88,v5,,8,4,8,8l96,72v,5,-3,8,-8,8l8,80c4,80,,77,,72l,8xm16,72l8,64r80,l80,72,80,8r8,8l8,16,16,8r,64xe" fillcolor="black" strokeweight=".8pt">
                  <v:stroke joinstyle="bevel"/>
                  <v:path arrowok="t" o:connecttype="custom" o:connectlocs="0,9;8,0;86,0;94,9;94,77;86,86;8,86;0,77;0,9;16,77;8,69;86,69;78,77;78,9;86,17;8,17;16,9;16,77" o:connectangles="0,0,0,0,0,0,0,0,0,0,0,0,0,0,0,0,0,0"/>
                  <o:lock v:ext="edit" verticies="t"/>
                </v:shape>
                <v:rect id="Rectangle 115" o:spid="_x0000_s1138" style="position:absolute;left:8251;top:4907;width:7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" fillcolor="#ccf" stroked="f"/>
                <v:shape id="Freeform 116" o:spid="_x0000_s1139" style="position:absolute;left:8243;top:4898;width:94;height:86;visibility:visible;mso-wrap-style:square;v-text-anchor:top" coordsize="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" path="m,8c,4,4,,8,l88,v5,,8,4,8,8l96,72v,5,-3,8,-8,8l8,80c4,80,,77,,72l,8xm16,72l8,64r80,l80,72,80,8r8,8l8,16,16,8r,64xe" fillcolor="black" strokeweight=".8pt">
                  <v:stroke joinstyle="bevel"/>
                  <v:path arrowok="t" o:connecttype="custom" o:connectlocs="0,9;8,0;86,0;94,9;94,77;86,86;8,86;0,77;0,9;16,77;8,69;86,69;78,77;78,9;86,17;8,17;16,9;16,77" o:connectangles="0,0,0,0,0,0,0,0,0,0,0,0,0,0,0,0,0,0"/>
                  <o:lock v:ext="edit" verticies="t"/>
                </v:shape>
                <v:rect id="Rectangle 117" o:spid="_x0000_s1140" style="position:absolute;left:3425;top:4717;width:6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" fillcolor="fuchsia" stroked="f"/>
                <v:shape id="Freeform 118" o:spid="_x0000_s1141" style="position:absolute;left:3417;top:4708;width:78;height:276;visibility:visible;mso-wrap-style:square;v-text-anchor:top" coordsize="8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" path="m,8c,4,4,,8,l72,v5,,8,4,8,8l80,248v,5,-3,8,-8,8l8,256c4,256,,253,,248l,8xm16,248l8,240r64,l64,248,64,8r8,8l8,16,16,8r,240xe" fillcolor="black" strokeweight=".8pt">
                  <v:stroke joinstyle="bevel"/>
                  <v:path arrowok="t" o:connecttype="custom" o:connectlocs="0,9;8,0;70,0;78,9;78,267;70,276;8,276;0,267;0,9;16,267;8,259;70,259;62,267;62,9;70,17;8,17;16,9;16,267" o:connectangles="0,0,0,0,0,0,0,0,0,0,0,0,0,0,0,0,0,0"/>
                  <o:lock v:ext="edit" verticies="t"/>
                </v:shape>
                <v:rect id="Rectangle 119" o:spid="_x0000_s1142" style="position:absolute;left:4253;top:4838;width:78;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" fillcolor="fuchsia" stroked="f"/>
                <v:shape id="Freeform 120" o:spid="_x0000_s1143" style="position:absolute;left:4245;top:4829;width:94;height:155;visibility:visible;mso-wrap-style:square;v-text-anchor:top" coordsize="9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" path="m,8c,4,4,,8,l88,v5,,8,4,8,8l96,136v,5,-3,8,-8,8l8,144c4,144,,141,,136l,8xm16,136l8,128r80,l80,136,80,8r8,8l8,16,16,8r,128xe" fillcolor="black" strokeweight=".8pt">
                  <v:stroke joinstyle="bevel"/>
                  <v:path arrowok="t" o:connecttype="custom" o:connectlocs="0,9;8,0;86,0;94,9;94,146;86,155;8,155;0,146;0,9;16,146;8,138;86,138;78,146;78,9;86,17;8,17;16,9;16,146" o:connectangles="0,0,0,0,0,0,0,0,0,0,0,0,0,0,0,0,0,0"/>
                  <o:lock v:ext="edit" verticies="t"/>
                </v:shape>
                <v:rect id="Rectangle 121" o:spid="_x0000_s1144" style="position:absolute;left:5080;top:4803;width:7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" fillcolor="fuchsia" stroked="f"/>
                <v:shape id="Freeform 122" o:spid="_x0000_s1145" style="position:absolute;left:5073;top:4795;width:93;height:189;visibility:visible;mso-wrap-style:square;v-text-anchor:top" coordsize="9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" path="m,8c,4,4,,8,l88,v5,,8,4,8,8l96,168v,5,-3,8,-8,8l8,176c4,176,,173,,168l,8xm16,168l8,160r80,l80,168,80,8r8,8l8,16,16,8r,160xe" fillcolor="black" strokeweight=".8pt">
                  <v:stroke joinstyle="bevel"/>
                  <v:path arrowok="t" o:connecttype="custom" o:connectlocs="0,9;8,0;85,0;93,9;93,180;85,189;8,189;0,180;0,9;16,180;8,172;85,172;78,180;78,9;85,17;8,17;16,9;16,180" o:connectangles="0,0,0,0,0,0,0,0,0,0,0,0,0,0,0,0,0,0"/>
                  <o:lock v:ext="edit" verticies="t"/>
                </v:shape>
                <v:rect id="Rectangle 123" o:spid="_x0000_s1146" style="position:absolute;left:5908;top:4958;width: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" fillcolor="fuchsia" stroked="f"/>
                <v:shape id="Freeform 124" o:spid="_x0000_s1147" style="position:absolute;left:5900;top:4950;width:94;height:34;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" path="m,8c,4,4,,8,l88,v5,,8,4,8,8l96,24v,5,-3,8,-8,8l8,32c4,32,,29,,24l,8xm16,24l8,16r80,l80,24,80,8r8,8l8,16,16,8r,16xe" fillcolor="black" strokeweight=".8pt">
                  <v:stroke joinstyle="bevel"/>
                  <v:path arrowok="t" o:connecttype="custom" o:connectlocs="0,9;8,0;86,0;94,9;94,26;86,34;8,34;0,26;0,9;16,26;8,17;86,17;78,26;78,9;86,17;8,17;16,9;16,26" o:connectangles="0,0,0,0,0,0,0,0,0,0,0,0,0,0,0,0,0,0"/>
                  <o:lock v:ext="edit" verticies="t"/>
                </v:shape>
                <v:rect id="Rectangle 125" o:spid="_x0000_s1148" style="position:absolute;left:6736;top:4941;width:78;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" fillcolor="fuchsia" stroked="f"/>
                <v:shape id="Freeform 126" o:spid="_x0000_s1149" style="position:absolute;left:6728;top:4932;width:94;height:52;visibility:visible;mso-wrap-style:square;v-text-anchor:top" coordsize="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" path="m,8c,4,4,,8,l88,v5,,8,4,8,8l96,40v,5,-3,8,-8,8l8,48c4,48,,45,,40l,8xm16,40l8,32r80,l80,40,80,8r8,8l8,16,16,8r,32xe" fillcolor="black" strokeweight=".8pt">
                  <v:stroke joinstyle="bevel"/>
                  <v:path arrowok="t" o:connecttype="custom" o:connectlocs="0,9;8,0;86,0;94,9;94,43;86,52;8,52;0,43;0,9;16,43;8,35;86,35;78,43;78,9;86,17;8,17;16,9;16,43" o:connectangles="0,0,0,0,0,0,0,0,0,0,0,0,0,0,0,0,0,0"/>
                  <o:lock v:ext="edit" verticies="t"/>
                </v:shape>
                <v:rect id="Rectangle 127" o:spid="_x0000_s1150" style="position:absolute;left:7579;top:4907;width:63;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" fillcolor="fuchsia" stroked="f"/>
                <v:shape id="Freeform 128" o:spid="_x0000_s1151" style="position:absolute;left:7571;top:4898;width:79;height:86;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" path="m,8c,4,4,,8,l72,v5,,8,4,8,8l80,72v,5,-3,8,-8,8l8,80c4,80,,77,,72l,8xm16,72l8,64r64,l64,72,64,8r8,8l8,16,16,8r,64xe" fillcolor="black" strokeweight=".8pt">
                  <v:stroke joinstyle="bevel"/>
                  <v:path arrowok="t" o:connecttype="custom" o:connectlocs="0,9;8,0;71,0;79,9;79,77;71,86;8,86;0,77;0,9;16,77;8,69;71,69;63,77;63,9;71,17;8,17;16,9;16,77" o:connectangles="0,0,0,0,0,0,0,0,0,0,0,0,0,0,0,0,0,0"/>
                  <o:lock v:ext="edit" verticies="t"/>
                </v:shape>
                <v:rect id="Rectangle 129" o:spid="_x0000_s1152" style="position:absolute;left:8407;top:4889;width:7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" fillcolor="fuchsia" stroked="f"/>
                <v:shape id="Freeform 130" o:spid="_x0000_s1153" style="position:absolute;left:8399;top:4881;width:94;height:103;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" path="m,8c,4,4,,8,l88,v5,,8,4,8,8l96,88v,5,-3,8,-8,8l8,96c4,96,,93,,88l,8xm16,88l8,80r80,l80,88,80,8r8,8l8,16,16,8r,80xe" fillcolor="black" strokeweight=".8pt">
                  <v:stroke joinstyle="bevel"/>
                  <v:path arrowok="t" o:connecttype="custom" o:connectlocs="0,9;8,0;86,0;94,9;94,94;86,103;8,103;0,94;0,9;16,94;8,86;86,86;78,94;78,9;86,17;8,17;16,9;16,94" o:connectangles="0,0,0,0,0,0,0,0,0,0,0,0,0,0,0,0,0,0"/>
                  <o:lock v:ext="edit" verticies="t"/>
                </v:shape>
                <v:rect id="Rectangle 131" o:spid="_x0000_s1154" style="position:absolute;left:3488;top:2529;width:78;height: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" fillcolor="yellow" stroked="f"/>
                <v:shape id="Freeform 132" o:spid="_x0000_s1155" style="position:absolute;left:3480;top:2520;width:93;height:2464;visibility:visible;mso-wrap-style:square;v-text-anchor:top" coordsize="96,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" path="m,8c,4,4,,8,l88,v5,,8,4,8,8l96,2280v,5,-3,8,-8,8l8,2288v-4,,-8,-3,-8,-8l,8xm16,2280r-8,-8l88,2272r-8,8l80,8r8,8l8,16,16,8r,2272xe" fillcolor="black" strokeweight=".8pt">
                  <v:stroke joinstyle="bevel"/>
                  <v:path arrowok="t" o:connecttype="custom" o:connectlocs="0,9;8,0;85,0;93,9;93,2455;85,2464;8,2464;0,2455;0,9;16,2455;8,2447;85,2447;78,2455;78,9;85,17;8,17;16,9;16,2455" o:connectangles="0,0,0,0,0,0,0,0,0,0,0,0,0,0,0,0,0,0"/>
                  <o:lock v:ext="edit" verticies="t"/>
                </v:shape>
                <v:rect id="Rectangle 133" o:spid="_x0000_s1156" style="position:absolute;left:4331;top:3373;width:6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" fillcolor="yellow" stroked="f"/>
                <v:shape id="Freeform 134" o:spid="_x0000_s1157" style="position:absolute;left:4323;top:3365;width:78;height:1619;visibility:visible;mso-wrap-style:square;v-text-anchor:top" coordsize="8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" path="m,8c,4,4,,8,l72,v5,,8,4,8,8l80,1496v,5,-3,8,-8,8l8,1504v-4,,-8,-3,-8,-8l,8xm16,1496r-8,-8l72,1488r-8,8l64,8r8,8l8,16,16,8r,1488xe" fillcolor="black" strokeweight=".8pt">
                  <v:stroke joinstyle="bevel"/>
                  <v:path arrowok="t" o:connecttype="custom" o:connectlocs="0,9;8,0;70,0;78,9;78,1610;70,1619;8,1619;0,1610;0,9;16,1610;8,1602;70,1602;62,1610;62,9;70,17;8,17;16,9;16,1610" o:connectangles="0,0,0,0,0,0,0,0,0,0,0,0,0,0,0,0,0,0"/>
                  <o:lock v:ext="edit" verticies="t"/>
                </v:shape>
                <v:rect id="Rectangle 135" o:spid="_x0000_s1158" style="position:absolute;left:5159;top:3322;width:7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" fillcolor="yellow" stroked="f"/>
                <v:shape id="Freeform 136" o:spid="_x0000_s1159" style="position:absolute;left:5151;top:3313;width:93;height:1671;visibility:visible;mso-wrap-style:square;v-text-anchor:top" coordsize="96,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" path="m,8c,4,4,,8,l88,v5,,8,4,8,8l96,1544v,5,-3,8,-8,8l8,1552v-4,,-8,-3,-8,-8l,8xm16,1544r-8,-8l88,1536r-8,8l80,8r8,8l8,16,16,8r,1536xe" fillcolor="black" strokeweight=".8pt">
                  <v:stroke joinstyle="bevel"/>
                  <v:path arrowok="t" o:connecttype="custom" o:connectlocs="0,9;8,0;85,0;93,9;93,1662;85,1671;8,1671;0,1662;0,9;16,1662;8,1654;85,1654;78,1662;78,9;85,17;8,17;16,9;16,1662" o:connectangles="0,0,0,0,0,0,0,0,0,0,0,0,0,0,0,0,0,0"/>
                  <o:lock v:ext="edit" verticies="t"/>
                </v:shape>
                <v:rect id="Rectangle 137" o:spid="_x0000_s1160" style="position:absolute;left:5986;top:4441;width:7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" fillcolor="yellow" stroked="f"/>
                <v:shape id="Freeform 138" o:spid="_x0000_s1161" style="position:absolute;left:5978;top:4433;width:94;height:551;visibility:visible;mso-wrap-style:square;v-text-anchor:top" coordsize="9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" path="m,8c,4,4,,8,l88,v5,,8,4,8,8l96,504v,5,-3,8,-8,8l8,512c4,512,,509,,504l,8xm16,504l8,496r80,l80,504,80,8r8,8l8,16,16,8r,496xe" fillcolor="black" strokeweight=".8pt">
                  <v:stroke joinstyle="bevel"/>
                  <v:path arrowok="t" o:connecttype="custom" o:connectlocs="0,9;8,0;86,0;94,9;94,542;86,551;8,551;0,542;0,9;16,542;8,534;86,534;78,542;78,9;86,17;8,17;16,9;16,542" o:connectangles="0,0,0,0,0,0,0,0,0,0,0,0,0,0,0,0,0,0"/>
                  <o:lock v:ext="edit" verticies="t"/>
                </v:shape>
                <v:rect id="Rectangle 139" o:spid="_x0000_s1162" style="position:absolute;left:6814;top:4441;width:7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" fillcolor="yellow" stroked="f"/>
                <v:shape id="Freeform 140" o:spid="_x0000_s1163" style="position:absolute;left:6806;top:4433;width:94;height:551;visibility:visible;mso-wrap-style:square;v-text-anchor:top" coordsize="9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" path="m,8c,4,4,,8,l88,v5,,8,4,8,8l96,504v,5,-3,8,-8,8l8,512c4,512,,509,,504l,8xm16,504l8,496r80,l80,504,80,8r8,8l8,16,16,8r,496xe" fillcolor="black" strokeweight=".8pt">
                  <v:stroke joinstyle="bevel"/>
                  <v:path arrowok="t" o:connecttype="custom" o:connectlocs="0,9;8,0;86,0;94,9;94,542;86,551;8,551;0,542;0,9;16,542;8,534;86,534;78,542;78,9;86,17;8,17;16,9;16,542" o:connectangles="0,0,0,0,0,0,0,0,0,0,0,0,0,0,0,0,0,0"/>
                  <o:lock v:ext="edit" verticies="t"/>
                </v:shape>
                <v:rect id="Rectangle 141" o:spid="_x0000_s1164" style="position:absolute;left:7642;top:4683;width:7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" fillcolor="yellow" stroked="f"/>
                <v:shape id="Freeform 142" o:spid="_x0000_s1165" style="position:absolute;left:7634;top:4674;width:94;height:310;visibility:visible;mso-wrap-style:square;v-text-anchor:top" coordsize="9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" path="m,8c,4,4,,8,l88,v5,,8,4,8,8l96,280v,5,-3,8,-8,8l8,288c4,288,,285,,280l,8xm16,280l8,272r80,l80,280,80,8r8,8l8,16,16,8r,272xe" fillcolor="black" strokeweight=".8pt">
                  <v:stroke joinstyle="bevel"/>
                  <v:path arrowok="t" o:connecttype="custom" o:connectlocs="0,9;8,0;86,0;94,9;94,301;86,310;8,310;0,301;0,9;16,301;8,293;86,293;78,301;78,9;86,17;8,17;16,9;16,301" o:connectangles="0,0,0,0,0,0,0,0,0,0,0,0,0,0,0,0,0,0"/>
                  <o:lock v:ext="edit" verticies="t"/>
                </v:shape>
                <v:rect id="Rectangle 143" o:spid="_x0000_s1166" style="position:absolute;left:8485;top:4683;width:6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" fillcolor="yellow" stroked="f"/>
                <v:shape id="Freeform 144" o:spid="_x0000_s1167" style="position:absolute;left:8477;top:4674;width:78;height:310;visibility:visible;mso-wrap-style:square;v-text-anchor:top" coordsize="8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" path="m,8c,4,4,,8,l72,v5,,8,4,8,8l80,280v,5,-3,8,-8,8l8,288c4,288,,285,,280l,8xm16,280l8,272r64,l64,280,64,8r8,8l8,16,16,8r,272xe" fillcolor="black" strokeweight=".8pt">
                  <v:stroke joinstyle="bevel"/>
                  <v:path arrowok="t" o:connecttype="custom" o:connectlocs="0,9;8,0;70,0;78,9;78,301;70,310;8,310;0,301;0,9;16,301;8,293;70,293;62,301;62,9;70,17;8,17;16,9;16,301" o:connectangles="0,0,0,0,0,0,0,0,0,0,0,0,0,0,0,0,0,0"/>
                  <o:lock v:ext="edit" verticies="t"/>
                </v:shape>
                <v:rect id="Rectangle 145" o:spid="_x0000_s1168" style="position:absolute;left:2730;top:2202;width:16;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" fillcolor="black" strokeweight=".8pt">
                  <v:stroke joinstyle="bevel"/>
                </v:rect>
                <v:shape id="Freeform 146" o:spid="_x0000_s1169" style="position:absolute;left:2691;top:2193;width:47;height:2791;visibility:visible;mso-wrap-style:square;v-text-anchor:top" coordsize="47,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" path="m,2774r47,l47,2791r-47,l,2774xm,2429r47,l47,2447r-47,l,2429xm,2085r47,l47,2102r-47,l,2085xm,1740r47,l47,1757r-47,l,1740xm,1396r47,l47,1413r-47,l,1396xm,1034r47,l47,1051r-47,l,1034xm,689r47,l47,706,,706,,689xm,345r47,l47,362,,362,,345xm,l47,r,17l,17,,xe" fillcolor="black" strokeweight=".8pt">
                  <v:stroke joinstyle="bevel"/>
                  <v:path arrowok="t" o:connecttype="custom" o:connectlocs="0,2774;47,2774;47,2791;0,2791;0,2774;0,2429;47,2429;47,2447;0,2447;0,2429;0,2085;47,2085;47,2102;0,2102;0,2085;0,1740;47,1740;47,1757;0,1757;0,1740;0,1396;47,1396;47,1413;0,1413;0,1396;0,1034;47,1034;47,1051;0,1051;0,1034;0,689;47,689;47,706;0,706;0,689;0,345;47,345;47,362;0,362;0,345;0,0;47,0;47,17;0,17;0,0" o:connectangles="0,0,0,0,0,0,0,0,0,0,0,0,0,0,0,0,0,0,0,0,0,0,0,0,0,0,0,0,0,0,0,0,0,0,0,0,0,0,0,0,0,0,0,0,0"/>
                  <o:lock v:ext="edit" verticies="t"/>
                </v:shape>
                <v:rect id="Rectangle 147" o:spid="_x0000_s1170" style="position:absolute;left:2738;top:4967;width:665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" fillcolor="black" strokeweight=".8pt">
                  <v:stroke joinstyle="bevel"/>
                </v:rect>
                <v:rect id="Rectangle 148" o:spid="_x0000_s1171" style="position:absolute;left:2738;top:4967;width:665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" fillcolor="black" strokeweight=".8pt">
                  <v:stroke joinstyle="bevel"/>
                </v:rect>
                <v:shape id="Freeform 149" o:spid="_x0000_s1172" style="position:absolute;left:2730;top:4975;width:6669;height:1103;visibility:visible;mso-wrap-style:square;v-text-anchor:top" coordsize="6669,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" path="m16,r,1103l,1103,,,16,xm843,r,1103l828,1103,828,r15,xm1671,r,1103l1656,1103,1656,r15,xm2514,r,1103l2499,1103,2499,r15,xm3342,r,1103l3327,1103,3327,r15,xm4170,r,1103l4154,1103,4154,r16,xm4998,r,1103l4982,1103,4982,r16,xm5825,r,1103l5810,1103,5810,r15,xm6669,r,1103l6653,1103,6653,r16,xe" fillcolor="black" strokeweight=".8pt">
                  <v:stroke joinstyle="bevel"/>
                  <v:path arrowok="t" o:connecttype="custom" o:connectlocs="16,0;16,1103;0,1103;0,0;16,0;843,0;843,1103;828,1103;828,0;843,0;1671,0;1671,1103;1656,1103;1656,0;1671,0;2514,0;2514,1103;2499,1103;2499,0;2514,0;3342,0;3342,1103;3327,1103;3327,0;3342,0;4170,0;4170,1103;4154,1103;4154,0;4170,0;4998,0;4998,1103;4982,1103;4982,0;4998,0;5825,0;5825,1103;5810,1103;5810,0;5825,0;6669,0;6669,1103;6653,1103;6653,0;6669,0" o:connectangles="0,0,0,0,0,0,0,0,0,0,0,0,0,0,0,0,0,0,0,0,0,0,0,0,0,0,0,0,0,0,0,0,0,0,0,0,0,0,0,0,0,0,0,0,0"/>
                  <o:lock v:ext="edit" verticies="t"/>
                </v:shape>
                <v:rect id="Rectangle 150" o:spid="_x0000_s1173" style="position:absolute;left:2746;top:4991;width:81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A46D50" w:rsidRPr="00BA3AAF" w:rsidRDefault="00A46D50" w:rsidP="00F96D7E">
                        <w:pPr>
                          <w:spacing w:line="200" w:lineRule="exact"/>
                          <w:jc w:val="center"/>
                        </w:pPr>
                        <w:r>
                          <w:rPr>
                            <w:rFonts w:cs="Calibri"/>
                            <w:color w:val="000000"/>
                            <w:sz w:val="18"/>
                            <w:szCs w:val="18"/>
                            <w:lang w:val="en-US"/>
                          </w:rPr>
                          <w:t>Общо</w:t>
                        </w:r>
                        <w:r>
                          <w:rPr>
                            <w:rFonts w:cs="Calibri"/>
                            <w:color w:val="000000"/>
                            <w:sz w:val="18"/>
                            <w:szCs w:val="18"/>
                          </w:rPr>
                          <w:t xml:space="preserve"> внесени прокурорски актове в съда</w:t>
                        </w:r>
                      </w:p>
                    </w:txbxContent>
                  </v:textbox>
                </v:rect>
                <v:rect id="Rectangle 151" o:spid="_x0000_s1174" style="position:absolute;left:3895;top:5423;width:22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ОА</w:t>
                        </w:r>
                      </w:p>
                    </w:txbxContent>
                  </v:textbox>
                </v:rect>
                <v:rect id="Rectangle 152" o:spid="_x0000_s1175" style="position:absolute;left:4444;top:5329;width:72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A46D50" w:rsidRDefault="00A46D50" w:rsidP="00F96D7E">
                        <w:pPr>
                          <w:jc w:val="center"/>
                        </w:pPr>
                        <w:r>
                          <w:rPr>
                            <w:rFonts w:cs="Calibri"/>
                            <w:color w:val="000000"/>
                            <w:sz w:val="18"/>
                            <w:szCs w:val="18"/>
                            <w:lang w:val="en-US"/>
                          </w:rPr>
                          <w:t>лица по ОА</w:t>
                        </w:r>
                      </w:p>
                    </w:txbxContent>
                  </v:textbox>
                </v:rect>
                <v:rect id="Rectangle 153" o:spid="_x0000_s1176" style="position:absolute;left:5296;top:5315;width:69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A46D50" w:rsidRPr="00BA3AAF" w:rsidRDefault="00A46D50" w:rsidP="00F96D7E">
                        <w:pPr>
                          <w:jc w:val="center"/>
                        </w:pPr>
                        <w:r>
                          <w:rPr>
                            <w:rFonts w:cs="Calibri"/>
                            <w:color w:val="000000"/>
                            <w:sz w:val="18"/>
                            <w:szCs w:val="18"/>
                            <w:lang w:val="en-US"/>
                          </w:rPr>
                          <w:t>споразумен</w:t>
                        </w:r>
                        <w:r>
                          <w:rPr>
                            <w:rFonts w:cs="Calibri"/>
                            <w:color w:val="000000"/>
                            <w:sz w:val="18"/>
                            <w:szCs w:val="18"/>
                          </w:rPr>
                          <w:t>ия</w:t>
                        </w:r>
                      </w:p>
                    </w:txbxContent>
                  </v:textbox>
                </v:rect>
                <v:rect id="Rectangle 154" o:spid="_x0000_s1177" style="position:absolute;left:6215;top:5207;width:6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 xml:space="preserve">лица по </w:t>
                        </w:r>
                      </w:p>
                    </w:txbxContent>
                  </v:textbox>
                </v:rect>
                <v:rect id="Rectangle 155" o:spid="_x0000_s1178" style="position:absolute;left:6090;top:5414;width:71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rsidR="00A46D50" w:rsidRPr="00BA3AAF" w:rsidRDefault="00A46D50" w:rsidP="00F96D7E">
                        <w:pPr>
                          <w:jc w:val="center"/>
                        </w:pPr>
                        <w:r>
                          <w:rPr>
                            <w:rFonts w:cs="Calibri"/>
                            <w:color w:val="000000"/>
                            <w:sz w:val="18"/>
                            <w:szCs w:val="18"/>
                            <w:lang w:val="en-US"/>
                          </w:rPr>
                          <w:t>споразумен</w:t>
                        </w:r>
                        <w:r>
                          <w:rPr>
                            <w:rFonts w:cs="Calibri"/>
                            <w:color w:val="000000"/>
                            <w:sz w:val="18"/>
                            <w:szCs w:val="18"/>
                          </w:rPr>
                          <w:t>ия</w:t>
                        </w:r>
                      </w:p>
                    </w:txbxContent>
                  </v:textbox>
                </v:rect>
                <v:rect id="Rectangle 156" o:spid="_x0000_s1179" style="position:absolute;left:6970;top:5329;width:66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rsidR="00A46D50" w:rsidRDefault="00A46D50" w:rsidP="00F96D7E">
                        <w:pPr>
                          <w:jc w:val="center"/>
                        </w:pPr>
                        <w:r>
                          <w:rPr>
                            <w:rFonts w:cs="Calibri"/>
                            <w:color w:val="000000"/>
                            <w:sz w:val="18"/>
                            <w:szCs w:val="18"/>
                            <w:lang w:val="en-US"/>
                          </w:rPr>
                          <w:t>чл.78а от НК</w:t>
                        </w:r>
                      </w:p>
                    </w:txbxContent>
                  </v:textbox>
                </v:rect>
                <v:rect id="Rectangle 157" o:spid="_x0000_s1180" style="position:absolute;left:7732;top:5235;width:812;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rsidR="00A46D50" w:rsidRDefault="00A46D50" w:rsidP="00F96D7E">
                        <w:pPr>
                          <w:jc w:val="center"/>
                        </w:pPr>
                        <w:r>
                          <w:rPr>
                            <w:rFonts w:cs="Calibri"/>
                            <w:color w:val="000000"/>
                            <w:sz w:val="18"/>
                            <w:szCs w:val="18"/>
                          </w:rPr>
                          <w:t xml:space="preserve">Лица по </w:t>
                        </w:r>
                        <w:r>
                          <w:rPr>
                            <w:rFonts w:cs="Calibri"/>
                            <w:color w:val="000000"/>
                            <w:sz w:val="18"/>
                            <w:szCs w:val="18"/>
                            <w:lang w:val="en-US"/>
                          </w:rPr>
                          <w:t xml:space="preserve">чл.78а </w:t>
                        </w:r>
                        <w:r>
                          <w:rPr>
                            <w:rFonts w:cs="Calibri"/>
                            <w:color w:val="000000"/>
                            <w:sz w:val="18"/>
                            <w:szCs w:val="18"/>
                            <w:lang w:val="en-US"/>
                          </w:rPr>
                          <w:br/>
                          <w:t>от НК</w:t>
                        </w:r>
                      </w:p>
                    </w:txbxContent>
                  </v:textbox>
                </v:rect>
                <v:shape id="Freeform 158" o:spid="_x0000_s1181" style="position:absolute;left:1871;top:6069;width:7528;height:302;visibility:visible;mso-wrap-style:square;v-text-anchor:top" coordsize="75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" path="m8,l7520,r,18l8,18,8,xm16,9r,293l,302,,9r16,xm875,9r,293l859,302,859,9r16,xm1702,9r,293l1687,302r,-293l1702,9xm2530,9r,293l2515,302r,-293l2530,9xm3373,9r,293l3358,302r,-293l3373,9xm4201,9r,293l4186,302r,-293l4201,9xm5029,9r,293l5013,302r,-293l5029,9xm5857,9r,293l5841,302r,-293l5857,9xm6684,9r,293l6669,302r,-293l6684,9xm7528,9r,293l7512,302r,-293l7528,9xe" fillcolor="black" strokeweight=".8pt">
                  <v:stroke joinstyle="bevel"/>
                  <v:path arrowok="t" o:connecttype="custom" o:connectlocs="8,0;7520,0;7520,18;8,18;8,0;16,9;16,302;0,302;0,9;16,9;875,9;875,302;859,302;859,9;875,9;1702,9;1702,302;1687,302;1687,9;1702,9;2530,9;2530,302;2515,302;2515,9;2530,9;3373,9;3373,302;3358,302;3358,9;3373,9;4201,9;4201,302;4186,302;4186,9;4201,9;5029,9;5029,302;5013,302;5013,9;5029,9;5857,9;5857,302;5841,302;5841,9;5857,9;6684,9;6684,302;6669,302;6669,9;6684,9;7528,9;7528,302;7512,302;7512,9;7528,9" o:connectangles="0,0,0,0,0,0,0,0,0,0,0,0,0,0,0,0,0,0,0,0,0,0,0,0,0,0,0,0,0,0,0,0,0,0,0,0,0,0,0,0,0,0,0,0,0,0,0,0,0,0,0,0,0,0,0"/>
                  <o:lock v:ext="edit" verticies="t"/>
                </v:shape>
                <v:rect id="Rectangle 159" o:spid="_x0000_s1182" style="position:absolute;left:1926;top:6181;width:94;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" fillcolor="#99f" stroked="f"/>
                <v:shape id="Freeform 160" o:spid="_x0000_s1183" style="position:absolute;left:1918;top:6173;width:109;height:103;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" path="m,8c,4,4,,8,r96,c109,,112,4,112,8r,80c112,93,109,96,104,96l8,96c4,96,,93,,88l,8xm16,88l8,80r96,l96,88,96,8r8,8l8,16,16,8r,80xe" fillcolor="black" strokeweight=".8pt">
                  <v:stroke joinstyle="bevel"/>
                  <v:path arrowok="t" o:connecttype="custom" o:connectlocs="0,9;8,0;101,0;109,9;109,94;101,103;8,103;0,94;0,9;16,94;8,86;101,86;93,94;93,9;101,17;8,17;16,9;16,94" o:connectangles="0,0,0,0,0,0,0,0,0,0,0,0,0,0,0,0,0,0"/>
                  <o:lock v:ext="edit" verticies="t"/>
                </v:shape>
                <v:rect id="Rectangle 161" o:spid="_x0000_s1184" style="position:absolute;left:2056;top:6114;width:56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Глава ІІ</w:t>
                        </w:r>
                      </w:p>
                    </w:txbxContent>
                  </v:textbox>
                </v:rect>
                <v:rect id="Rectangle 162" o:spid="_x0000_s1185" style="position:absolute;left:3041;top:612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365</w:t>
                        </w:r>
                      </w:p>
                    </w:txbxContent>
                  </v:textbox>
                </v:rect>
                <v:rect id="Rectangle 163" o:spid="_x0000_s1186" style="position:absolute;left:3871;top:612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245</w:t>
                        </w:r>
                      </w:p>
                    </w:txbxContent>
                  </v:textbox>
                </v:rect>
                <v:rect id="Rectangle 164" o:spid="_x0000_s1187" style="position:absolute;left:4702;top:612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A46D50" w:rsidRDefault="00A46D50" w:rsidP="00F96D7E">
                        <w:r>
                          <w:rPr>
                            <w:rFonts w:cs="Calibri"/>
                            <w:color w:val="000000"/>
                            <w:sz w:val="18"/>
                            <w:szCs w:val="18"/>
                            <w:lang w:val="en-US"/>
                          </w:rPr>
                          <w:t>278</w:t>
                        </w:r>
                      </w:p>
                    </w:txbxContent>
                  </v:textbox>
                </v:rect>
                <v:rect id="Rectangle 165" o:spid="_x0000_s1188" style="position:absolute;left:5574;top:612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63</w:t>
                        </w:r>
                      </w:p>
                    </w:txbxContent>
                  </v:textbox>
                </v:rect>
                <v:rect id="Rectangle 166" o:spid="_x0000_s1189" style="position:absolute;left:6404;top:612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67</w:t>
                        </w:r>
                      </w:p>
                    </w:txbxContent>
                  </v:textbox>
                </v:rect>
                <v:rect id="Rectangle 167" o:spid="_x0000_s1190" style="position:absolute;left:7235;top:612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57</w:t>
                        </w:r>
                      </w:p>
                    </w:txbxContent>
                  </v:textbox>
                </v:rect>
                <v:rect id="Rectangle 168" o:spid="_x0000_s1191" style="position:absolute;left:8066;top:612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66</w:t>
                        </w:r>
                      </w:p>
                    </w:txbxContent>
                  </v:textbox>
                </v:rect>
                <v:shape id="Freeform 169" o:spid="_x0000_s1192" style="position:absolute;left:1871;top:6362;width:7528;height:302;visibility:visible;mso-wrap-style:square;v-text-anchor:top" coordsize="75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" path="m8,l7520,r,18l8,18,8,xm16,9r,293l,302,,9r16,xm875,9r,293l859,302,859,9r16,xm1702,9r,293l1687,302r,-293l1702,9xm2530,9r,293l2515,302r,-293l2530,9xm3373,9r,293l3358,302r,-293l3373,9xm4201,9r,293l4186,302r,-293l4201,9xm5029,9r,293l5013,302r,-293l5029,9xm5857,9r,293l5841,302r,-293l5857,9xm6684,9r,293l6669,302r,-293l6684,9xm7528,9r,293l7512,302r,-293l7528,9xe" fillcolor="black" strokeweight=".8pt">
                  <v:stroke joinstyle="bevel"/>
                  <v:path arrowok="t" o:connecttype="custom" o:connectlocs="8,0;7520,0;7520,18;8,18;8,0;16,9;16,302;0,302;0,9;16,9;875,9;875,302;859,302;859,9;875,9;1702,9;1702,302;1687,302;1687,9;1702,9;2530,9;2530,302;2515,302;2515,9;2530,9;3373,9;3373,302;3358,302;3358,9;3373,9;4201,9;4201,302;4186,302;4186,9;4201,9;5029,9;5029,302;5013,302;5013,9;5029,9;5857,9;5857,302;5841,302;5841,9;5857,9;6684,9;6684,302;6669,302;6669,9;6684,9;7528,9;7528,302;7512,302;7512,9;7528,9" o:connectangles="0,0,0,0,0,0,0,0,0,0,0,0,0,0,0,0,0,0,0,0,0,0,0,0,0,0,0,0,0,0,0,0,0,0,0,0,0,0,0,0,0,0,0,0,0,0,0,0,0,0,0,0,0,0,0"/>
                  <o:lock v:ext="edit" verticies="t"/>
                </v:shape>
                <v:rect id="Rectangle 170" o:spid="_x0000_s1193" style="position:absolute;left:1926;top:6474;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" fillcolor="#936" stroked="f"/>
                <v:shape id="Freeform 171" o:spid="_x0000_s1194" style="position:absolute;left:1918;top:6466;width:109;height:103;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" path="m,8c,4,4,,8,r96,c109,,112,4,112,8r,80c112,93,109,96,104,96l8,96c4,96,,93,,88l,8xm16,88l8,80r96,l96,88,96,8r8,8l8,16,16,8r,80xe" fillcolor="black" strokeweight=".8pt">
                  <v:stroke joinstyle="bevel"/>
                  <v:path arrowok="t" o:connecttype="custom" o:connectlocs="0,9;8,0;101,0;109,9;109,94;101,103;8,103;0,94;0,9;16,94;8,86;101,86;93,94;93,9;101,17;8,17;16,9;16,94" o:connectangles="0,0,0,0,0,0,0,0,0,0,0,0,0,0,0,0,0,0"/>
                  <o:lock v:ext="edit" verticies="t"/>
                </v:shape>
                <v:rect id="Rectangle 172" o:spid="_x0000_s1195" style="position:absolute;left:2045;top:6408;width:60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Глава ІІІ</w:t>
                        </w:r>
                      </w:p>
                    </w:txbxContent>
                  </v:textbox>
                </v:rect>
                <v:rect id="Rectangle 173" o:spid="_x0000_s1196" style="position:absolute;left:3081;top:641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16</w:t>
                        </w:r>
                      </w:p>
                    </w:txbxContent>
                  </v:textbox>
                </v:rect>
                <v:rect id="Rectangle 174" o:spid="_x0000_s1197" style="position:absolute;left:3912;top:641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13</w:t>
                        </w:r>
                      </w:p>
                    </w:txbxContent>
                  </v:textbox>
                </v:rect>
                <v:rect id="Rectangle 175" o:spid="_x0000_s1198" style="position:absolute;left:4743;top:641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14</w:t>
                        </w:r>
                      </w:p>
                    </w:txbxContent>
                  </v:textbox>
                </v:rect>
                <v:rect id="Rectangle 176" o:spid="_x0000_s1199" style="position:absolute;left:5614;top:6413;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A46D50" w:rsidRDefault="00A46D50" w:rsidP="00F96D7E">
                        <w:r>
                          <w:rPr>
                            <w:rFonts w:cs="Calibri"/>
                            <w:color w:val="000000"/>
                            <w:sz w:val="18"/>
                            <w:szCs w:val="18"/>
                            <w:lang w:val="en-US"/>
                          </w:rPr>
                          <w:t>2</w:t>
                        </w:r>
                      </w:p>
                    </w:txbxContent>
                  </v:textbox>
                </v:rect>
                <v:rect id="Rectangle 177" o:spid="_x0000_s1200" style="position:absolute;left:6445;top:6413;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2</w:t>
                        </w:r>
                      </w:p>
                    </w:txbxContent>
                  </v:textbox>
                </v:rect>
                <v:rect id="Rectangle 178" o:spid="_x0000_s1201" style="position:absolute;left:7276;top:6413;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1</w:t>
                        </w:r>
                      </w:p>
                    </w:txbxContent>
                  </v:textbox>
                </v:rect>
                <v:rect id="Rectangle 179" o:spid="_x0000_s1202" style="position:absolute;left:8107;top:6413;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w:t>
                        </w:r>
                      </w:p>
                    </w:txbxContent>
                  </v:textbox>
                </v:rect>
                <v:shape id="Freeform 180" o:spid="_x0000_s1203" style="position:absolute;left:1871;top:6655;width:7528;height:302;visibility:visible;mso-wrap-style:square;v-text-anchor:top" coordsize="75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" path="m8,l7520,r,17l8,17,8,xm16,9r,293l,302,,9r16,xm875,9r,293l859,302,859,9r16,xm1702,9r,293l1687,302r,-293l1702,9xm2530,9r,293l2515,302r,-293l2530,9xm3373,9r,293l3358,302r,-293l3373,9xm4201,9r,293l4186,302r,-293l4201,9xm5029,9r,293l5013,302r,-293l5029,9xm5857,9r,293l5841,302r,-293l5857,9xm6684,9r,293l6669,302r,-293l6684,9xm7528,9r,293l7512,302r,-293l7528,9xe" fillcolor="black" strokeweight=".8pt">
                  <v:stroke joinstyle="bevel"/>
                  <v:path arrowok="t" o:connecttype="custom" o:connectlocs="8,0;7520,0;7520,17;8,17;8,0;16,9;16,302;0,302;0,9;16,9;875,9;875,302;859,302;859,9;875,9;1702,9;1702,302;1687,302;1687,9;1702,9;2530,9;2530,302;2515,302;2515,9;2530,9;3373,9;3373,302;3358,302;3358,9;3373,9;4201,9;4201,302;4186,302;4186,9;4201,9;5029,9;5029,302;5013,302;5013,9;5029,9;5857,9;5857,302;5841,302;5841,9;5857,9;6684,9;6684,302;6669,302;6669,9;6684,9;7528,9;7528,302;7512,302;7512,9;7528,9" o:connectangles="0,0,0,0,0,0,0,0,0,0,0,0,0,0,0,0,0,0,0,0,0,0,0,0,0,0,0,0,0,0,0,0,0,0,0,0,0,0,0,0,0,0,0,0,0,0,0,0,0,0,0,0,0,0,0"/>
                  <o:lock v:ext="edit" verticies="t"/>
                </v:shape>
                <v:rect id="Rectangle 181" o:spid="_x0000_s1204" style="position:absolute;left:1926;top:6767;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" fillcolor="#ffc" stroked="f"/>
                <v:shape id="Freeform 182" o:spid="_x0000_s1205" style="position:absolute;left:1918;top:6759;width:109;height:103;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" path="m,8c,4,4,,8,r96,c109,,112,4,112,8r,80c112,93,109,96,104,96l8,96c4,96,,93,,88l,8xm16,88l8,80r96,l96,88,96,8r8,8l8,16,16,8r,80xe" fillcolor="black" strokeweight=".8pt">
                  <v:stroke joinstyle="bevel"/>
                  <v:path arrowok="t" o:connecttype="custom" o:connectlocs="0,9;8,0;101,0;109,9;109,94;101,103;8,103;0,94;0,9;16,94;8,86;101,86;93,94;93,9;101,17;8,17;16,9;16,94" o:connectangles="0,0,0,0,0,0,0,0,0,0,0,0,0,0,0,0,0,0"/>
                  <o:lock v:ext="edit" verticies="t"/>
                </v:shape>
                <v:rect id="Rectangle 183" o:spid="_x0000_s1206" style="position:absolute;left:2051;top:6701;width:12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A46D50" w:rsidRDefault="00A46D50" w:rsidP="00F96D7E"/>
                    </w:txbxContent>
                  </v:textbox>
                </v:rect>
                <v:rect id="Rectangle 184" o:spid="_x0000_s1207" style="position:absolute;left:2519;top:6701;width:1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A46D50" w:rsidRDefault="00A46D50" w:rsidP="00F96D7E">
                        <w:r>
                          <w:rPr>
                            <w:rFonts w:cs="Calibri"/>
                            <w:color w:val="000000"/>
                            <w:sz w:val="18"/>
                            <w:szCs w:val="18"/>
                            <w:lang w:val="en-US"/>
                          </w:rPr>
                          <w:t>V</w:t>
                        </w:r>
                      </w:p>
                    </w:txbxContent>
                  </v:textbox>
                </v:rect>
                <v:rect id="Rectangle 185" o:spid="_x0000_s1208" style="position:absolute;left:3081;top:6707;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86</w:t>
                        </w:r>
                      </w:p>
                    </w:txbxContent>
                  </v:textbox>
                </v:rect>
                <v:rect id="Rectangle 186" o:spid="_x0000_s1209" style="position:absolute;left:3912;top:6707;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81</w:t>
                        </w:r>
                      </w:p>
                    </w:txbxContent>
                  </v:textbox>
                </v:rect>
                <v:rect id="Rectangle 187" o:spid="_x0000_s1210" style="position:absolute;left:4743;top:6707;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81</w:t>
                        </w:r>
                      </w:p>
                    </w:txbxContent>
                  </v:textbox>
                </v:rect>
                <v:rect id="Rectangle 188" o:spid="_x0000_s1211" style="position:absolute;left:5614;top:670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1</w:t>
                        </w:r>
                      </w:p>
                    </w:txbxContent>
                  </v:textbox>
                </v:rect>
                <v:rect id="Rectangle 189" o:spid="_x0000_s1212" style="position:absolute;left:6445;top:670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w:t>
                        </w:r>
                      </w:p>
                    </w:txbxContent>
                  </v:textbox>
                </v:rect>
                <v:rect id="Rectangle 190" o:spid="_x0000_s1213" style="position:absolute;left:7276;top:670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4</w:t>
                        </w:r>
                      </w:p>
                    </w:txbxContent>
                  </v:textbox>
                </v:rect>
                <v:rect id="Rectangle 191" o:spid="_x0000_s1214" style="position:absolute;left:8107;top:670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4</w:t>
                        </w:r>
                      </w:p>
                    </w:txbxContent>
                  </v:textbox>
                </v:rect>
                <v:shape id="Freeform 192" o:spid="_x0000_s1215" style="position:absolute;left:1871;top:6948;width:7528;height:302;visibility:visible;mso-wrap-style:square;v-text-anchor:top" coordsize="75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" path="m8,l7520,r,17l8,17,8,xm16,9r,293l,302,,9r16,xm875,9r,293l859,302,859,9r16,xm1702,9r,293l1687,302r,-293l1702,9xm2530,9r,293l2515,302r,-293l2530,9xm3373,9r,293l3358,302r,-293l3373,9xm4201,9r,293l4186,302r,-293l4201,9xm5029,9r,293l5013,302r,-293l5029,9xm5857,9r,293l5841,302r,-293l5857,9xm6684,9r,293l6669,302r,-293l6684,9xm7528,9r,293l7512,302r,-293l7528,9xe" fillcolor="black" strokeweight=".8pt">
                  <v:stroke joinstyle="bevel"/>
                  <v:path arrowok="t" o:connecttype="custom" o:connectlocs="8,0;7520,0;7520,17;8,17;8,0;16,9;16,302;0,302;0,9;16,9;875,9;875,302;859,302;859,9;875,9;1702,9;1702,302;1687,302;1687,9;1702,9;2530,9;2530,302;2515,302;2515,9;2530,9;3373,9;3373,302;3358,302;3358,9;3373,9;4201,9;4201,302;4186,302;4186,9;4201,9;5029,9;5029,302;5013,302;5013,9;5029,9;5857,9;5857,302;5841,302;5841,9;5857,9;6684,9;6684,302;6669,302;6669,9;6684,9;7528,9;7528,302;7512,302;7512,9;7528,9" o:connectangles="0,0,0,0,0,0,0,0,0,0,0,0,0,0,0,0,0,0,0,0,0,0,0,0,0,0,0,0,0,0,0,0,0,0,0,0,0,0,0,0,0,0,0,0,0,0,0,0,0,0,0,0,0,0,0"/>
                  <o:lock v:ext="edit" verticies="t"/>
                </v:shape>
                <v:rect id="Rectangle 193" o:spid="_x0000_s1216" style="position:absolute;left:1926;top:7060;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" fillcolor="#cff" stroked="f"/>
                <v:shape id="Freeform 194" o:spid="_x0000_s1217" style="position:absolute;left:1918;top:7052;width:109;height:103;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" path="m,8c,4,4,,8,r96,c109,,112,4,112,8r,80c112,93,109,96,104,96l8,96c4,96,,93,,88l,8xm16,88l8,80r96,l96,88,96,8r8,8l8,16,16,8r,80xe" fillcolor="black" strokeweight=".8pt">
                  <v:stroke joinstyle="bevel"/>
                  <v:path arrowok="t" o:connecttype="custom" o:connectlocs="0,9;8,0;101,0;109,9;109,94;101,103;8,103;0,94;0,9;16,94;8,86;101,86;93,94;93,9;101,17;8,17;16,9;16,94" o:connectangles="0,0,0,0,0,0,0,0,0,0,0,0,0,0,0,0,0,0"/>
                  <o:lock v:ext="edit" verticies="t"/>
                </v:shape>
                <v:rect id="Rectangle 195" o:spid="_x0000_s1218" style="position:absolute;left:2062;top:6995;width:42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 xml:space="preserve">Глава </w:t>
                        </w:r>
                      </w:p>
                    </w:txbxContent>
                  </v:textbox>
                </v:rect>
                <v:rect id="Rectangle 196" o:spid="_x0000_s1219" style="position:absolute;left:2483;top:6995;width:1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V</w:t>
                        </w:r>
                      </w:p>
                    </w:txbxContent>
                  </v:textbox>
                </v:rect>
                <v:rect id="Rectangle 197" o:spid="_x0000_s1220" style="position:absolute;left:3041;top:700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775</w:t>
                        </w:r>
                      </w:p>
                    </w:txbxContent>
                  </v:textbox>
                </v:rect>
                <v:rect id="Rectangle 198" o:spid="_x0000_s1221" style="position:absolute;left:3871;top:700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596</w:t>
                        </w:r>
                      </w:p>
                    </w:txbxContent>
                  </v:textbox>
                </v:rect>
                <v:rect id="Rectangle 199" o:spid="_x0000_s1222" style="position:absolute;left:4702;top:700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677</w:t>
                        </w:r>
                      </w:p>
                    </w:txbxContent>
                  </v:textbox>
                </v:rect>
                <v:rect id="Rectangle 200" o:spid="_x0000_s1223" style="position:absolute;left:5533;top:700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174</w:t>
                        </w:r>
                      </w:p>
                    </w:txbxContent>
                  </v:textbox>
                </v:rect>
                <v:rect id="Rectangle 201" o:spid="_x0000_s1224" style="position:absolute;left:6364;top:700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200</w:t>
                        </w:r>
                      </w:p>
                    </w:txbxContent>
                  </v:textbox>
                </v:rect>
                <v:rect id="Rectangle 202" o:spid="_x0000_s1225" style="position:absolute;left:7276;top:7000;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5</w:t>
                        </w:r>
                      </w:p>
                    </w:txbxContent>
                  </v:textbox>
                </v:rect>
                <v:rect id="Rectangle 203" o:spid="_x0000_s1226" style="position:absolute;left:8107;top:7000;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5</w:t>
                        </w:r>
                      </w:p>
                    </w:txbxContent>
                  </v:textbox>
                </v:rect>
                <v:shape id="Freeform 204" o:spid="_x0000_s1227" style="position:absolute;left:1871;top:7241;width:7528;height:302;visibility:visible;mso-wrap-style:square;v-text-anchor:top" coordsize="75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" path="m8,l7520,r,17l8,17,8,xm16,9r,293l,302,,9r16,xm875,9r,293l859,302,859,9r16,xm1702,9r,293l1687,302r,-293l1702,9xm2530,9r,293l2515,302r,-293l2530,9xm3373,9r,293l3358,302r,-293l3373,9xm4201,9r,293l4186,302r,-293l4201,9xm5029,9r,293l5013,302r,-293l5029,9xm5857,9r,293l5841,302r,-293l5857,9xm6684,9r,293l6669,302r,-293l6684,9xm7528,9r,293l7512,302r,-293l7528,9xe" fillcolor="black" strokeweight=".8pt">
                  <v:stroke joinstyle="bevel"/>
                  <v:path arrowok="t" o:connecttype="custom" o:connectlocs="8,0;7520,0;7520,17;8,17;8,0;16,9;16,302;0,302;0,9;16,9;875,9;875,302;859,302;859,9;875,9;1702,9;1702,302;1687,302;1687,9;1702,9;2530,9;2530,302;2515,302;2515,9;2530,9;3373,9;3373,302;3358,302;3358,9;3373,9;4201,9;4201,302;4186,302;4186,9;4201,9;5029,9;5029,302;5013,302;5013,9;5029,9;5857,9;5857,302;5841,302;5841,9;5857,9;6684,9;6684,302;6669,302;6669,9;6684,9;7528,9;7528,302;7512,302;7512,9;7528,9" o:connectangles="0,0,0,0,0,0,0,0,0,0,0,0,0,0,0,0,0,0,0,0,0,0,0,0,0,0,0,0,0,0,0,0,0,0,0,0,0,0,0,0,0,0,0,0,0,0,0,0,0,0,0,0,0,0,0"/>
                  <o:lock v:ext="edit" verticies="t"/>
                </v:shape>
                <v:rect id="Rectangle 205" o:spid="_x0000_s1228" style="position:absolute;left:1926;top:7353;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" fillcolor="#606" stroked="f"/>
                <v:shape id="Freeform 206" o:spid="_x0000_s1229" style="position:absolute;left:1918;top:7344;width:109;height:104;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" path="m,8c,4,4,,8,r96,c109,,112,4,112,8r,80c112,93,109,96,104,96l8,96c4,96,,93,,88l,8xm16,88l8,80r96,l96,88,96,8r8,8l8,16,16,8r,80xe" fillcolor="black" strokeweight=".8pt">
                  <v:stroke joinstyle="bevel"/>
                  <v:path arrowok="t" o:connecttype="custom" o:connectlocs="0,9;8,0;101,0;109,9;109,95;101,104;8,104;0,95;0,9;16,95;8,87;101,87;93,95;93,9;101,17;8,17;16,9;16,95" o:connectangles="0,0,0,0,0,0,0,0,0,0,0,0,0,0,0,0,0,0"/>
                  <o:lock v:ext="edit" verticies="t"/>
                </v:shape>
                <v:rect id="Rectangle 207" o:spid="_x0000_s1230" style="position:absolute;left:2051;top:7288;width:42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 xml:space="preserve">Глава </w:t>
                        </w:r>
                      </w:p>
                    </w:txbxContent>
                  </v:textbox>
                </v:rect>
                <v:rect id="Rectangle 208" o:spid="_x0000_s1231" style="position:absolute;left:2472;top:7288;width:1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V</w:t>
                        </w:r>
                      </w:p>
                    </w:txbxContent>
                  </v:textbox>
                </v:rect>
                <v:rect id="Rectangle 209" o:spid="_x0000_s1232" style="position:absolute;left:2566;top:7288;width:4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І</w:t>
                        </w:r>
                      </w:p>
                    </w:txbxContent>
                  </v:textbox>
                </v:rect>
                <v:rect id="Rectangle 210" o:spid="_x0000_s1233" style="position:absolute;left:3041;top:7293;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111</w:t>
                        </w:r>
                      </w:p>
                    </w:txbxContent>
                  </v:textbox>
                </v:rect>
                <v:rect id="Rectangle 211" o:spid="_x0000_s1234" style="position:absolute;left:3912;top:729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75</w:t>
                        </w:r>
                      </w:p>
                    </w:txbxContent>
                  </v:textbox>
                </v:rect>
                <v:rect id="Rectangle 212" o:spid="_x0000_s1235" style="position:absolute;left:4743;top:729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92</w:t>
                        </w:r>
                      </w:p>
                    </w:txbxContent>
                  </v:textbox>
                </v:rect>
                <v:rect id="Rectangle 213" o:spid="_x0000_s1236" style="position:absolute;left:5574;top:729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20</w:t>
                        </w:r>
                      </w:p>
                    </w:txbxContent>
                  </v:textbox>
                </v:rect>
                <v:rect id="Rectangle 214" o:spid="_x0000_s1237" style="position:absolute;left:6404;top:729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rsidR="00A46D50" w:rsidRDefault="00A46D50" w:rsidP="00F96D7E">
                        <w:r>
                          <w:rPr>
                            <w:rFonts w:cs="Calibri"/>
                            <w:color w:val="000000"/>
                            <w:sz w:val="18"/>
                            <w:szCs w:val="18"/>
                            <w:lang w:val="en-US"/>
                          </w:rPr>
                          <w:t>20</w:t>
                        </w:r>
                      </w:p>
                    </w:txbxContent>
                  </v:textbox>
                </v:rect>
                <v:rect id="Rectangle 215" o:spid="_x0000_s1238" style="position:absolute;left:7235;top:729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16</w:t>
                        </w:r>
                      </w:p>
                    </w:txbxContent>
                  </v:textbox>
                </v:rect>
                <v:rect id="Rectangle 216" o:spid="_x0000_s1239" style="position:absolute;left:8066;top:7293;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17</w:t>
                        </w:r>
                      </w:p>
                    </w:txbxContent>
                  </v:textbox>
                </v:rect>
                <v:shape id="Freeform 217" o:spid="_x0000_s1240" style="position:absolute;left:1871;top:7534;width:7528;height:301;visibility:visible;mso-wrap-style:square;v-text-anchor:top" coordsize="75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" path="m8,l7520,r,17l8,17,8,xm16,9r,292l,301,,9r16,xm875,9r,292l859,301,859,9r16,xm1702,9r,292l1687,301r,-292l1702,9xm2530,9r,292l2515,301r,-292l2530,9xm3373,9r,292l3358,301r,-292l3373,9xm4201,9r,292l4186,301r,-292l4201,9xm5029,9r,292l5013,301r,-292l5029,9xm5857,9r,292l5841,301r,-292l5857,9xm6684,9r,292l6669,301r,-292l6684,9xm7528,9r,292l7512,301r,-292l7528,9xe" fillcolor="black" strokeweight=".8pt">
                  <v:stroke joinstyle="bevel"/>
                  <v:path arrowok="t" o:connecttype="custom" o:connectlocs="8,0;7520,0;7520,17;8,17;8,0;16,9;16,301;0,301;0,9;16,9;875,9;875,301;859,301;859,9;875,9;1702,9;1702,301;1687,301;1687,9;1702,9;2530,9;2530,301;2515,301;2515,9;2530,9;3373,9;3373,301;3358,301;3358,9;3373,9;4201,9;4201,301;4186,301;4186,9;4201,9;5029,9;5029,301;5013,301;5013,9;5029,9;5857,9;5857,301;5841,301;5841,9;5857,9;6684,9;6684,301;6669,301;6669,9;6684,9;7528,9;7528,301;7512,301;7512,9;7528,9" o:connectangles="0,0,0,0,0,0,0,0,0,0,0,0,0,0,0,0,0,0,0,0,0,0,0,0,0,0,0,0,0,0,0,0,0,0,0,0,0,0,0,0,0,0,0,0,0,0,0,0,0,0,0,0,0,0,0"/>
                  <o:lock v:ext="edit" verticies="t"/>
                </v:shape>
                <v:rect id="Rectangle 218" o:spid="_x0000_s1241" style="position:absolute;left:1926;top:7646;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" fillcolor="#ff8080" stroked="f"/>
                <v:shape id="Freeform 219" o:spid="_x0000_s1242" style="position:absolute;left:1918;top:7637;width:109;height:104;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" path="m,8c,4,4,,8,r96,c109,,112,4,112,8r,80c112,93,109,96,104,96l8,96c4,96,,93,,88l,8xm16,88l8,80r96,l96,88,96,8r8,8l8,16,16,8r,80xe" fillcolor="black" strokeweight=".8pt">
                  <v:stroke joinstyle="bevel"/>
                  <v:path arrowok="t" o:connecttype="custom" o:connectlocs="0,9;8,0;101,0;109,9;109,95;101,104;8,104;0,95;0,9;16,95;8,87;101,87;93,95;93,9;101,17;8,17;16,9;16,95" o:connectangles="0,0,0,0,0,0,0,0,0,0,0,0,0,0,0,0,0,0"/>
                  <o:lock v:ext="edit" verticies="t"/>
                </v:shape>
                <v:rect id="Rectangle 220" o:spid="_x0000_s1243" style="position:absolute;left:2055;top:7582;width:42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 xml:space="preserve">Глава </w:t>
                        </w:r>
                      </w:p>
                    </w:txbxContent>
                  </v:textbox>
                </v:rect>
                <v:rect id="Rectangle 221" o:spid="_x0000_s1244" style="position:absolute;left:2477;top:7582;width:1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V</w:t>
                        </w:r>
                      </w:p>
                    </w:txbxContent>
                  </v:textbox>
                </v:rect>
                <v:rect id="Rectangle 222" o:spid="_x0000_s1245" style="position:absolute;left:2570;top:7582;width:9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ІІ</w:t>
                        </w:r>
                      </w:p>
                    </w:txbxContent>
                  </v:textbox>
                </v:rect>
                <v:rect id="Rectangle 223" o:spid="_x0000_s1246" style="position:absolute;left:3081;top:7587;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33</w:t>
                        </w:r>
                      </w:p>
                    </w:txbxContent>
                  </v:textbox>
                </v:rect>
                <v:rect id="Rectangle 224" o:spid="_x0000_s1247" style="position:absolute;left:3912;top:7587;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30</w:t>
                        </w:r>
                      </w:p>
                    </w:txbxContent>
                  </v:textbox>
                </v:rect>
                <v:rect id="Rectangle 225" o:spid="_x0000_s1248" style="position:absolute;left:4743;top:7587;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38</w:t>
                        </w:r>
                      </w:p>
                    </w:txbxContent>
                  </v:textbox>
                </v:rect>
                <v:rect id="Rectangle 226" o:spid="_x0000_s1249" style="position:absolute;left:5614;top:758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A46D50" w:rsidRDefault="00A46D50" w:rsidP="00F96D7E">
                        <w:r>
                          <w:rPr>
                            <w:rFonts w:cs="Calibri"/>
                            <w:color w:val="000000"/>
                            <w:sz w:val="18"/>
                            <w:szCs w:val="18"/>
                            <w:lang w:val="en-US"/>
                          </w:rPr>
                          <w:t>0</w:t>
                        </w:r>
                      </w:p>
                    </w:txbxContent>
                  </v:textbox>
                </v:rect>
                <v:rect id="Rectangle 227" o:spid="_x0000_s1250" style="position:absolute;left:6445;top:758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0</w:t>
                        </w:r>
                      </w:p>
                    </w:txbxContent>
                  </v:textbox>
                </v:rect>
                <v:rect id="Rectangle 228" o:spid="_x0000_s1251" style="position:absolute;left:7276;top:758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3</w:t>
                        </w:r>
                      </w:p>
                    </w:txbxContent>
                  </v:textbox>
                </v:rect>
                <v:rect id="Rectangle 229" o:spid="_x0000_s1252" style="position:absolute;left:8107;top:758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3</w:t>
                        </w:r>
                      </w:p>
                    </w:txbxContent>
                  </v:textbox>
                </v:rect>
                <v:shape id="Freeform 230" o:spid="_x0000_s1253" style="position:absolute;left:1871;top:7827;width:7528;height:301;visibility:visible;mso-wrap-style:square;v-text-anchor:top" coordsize="75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" path="m8,l7520,r,17l8,17,8,xm16,8r,293l,301,,8r16,xm875,8r,293l859,301,859,8r16,xm1702,8r,293l1687,301r,-293l1702,8xm2530,8r,293l2515,301r,-293l2530,8xm3373,8r,293l3358,301r,-293l3373,8xm4201,8r,293l4186,301r,-293l4201,8xm5029,8r,293l5013,301r,-293l5029,8xm5857,8r,293l5841,301r,-293l5857,8xm6684,8r,293l6669,301r,-293l6684,8xm7528,8r,293l7512,301r,-293l7528,8xe" fillcolor="black" strokeweight=".8pt">
                  <v:stroke joinstyle="bevel"/>
                  <v:path arrowok="t" o:connecttype="custom" o:connectlocs="8,0;7520,0;7520,17;8,17;8,0;16,8;16,301;0,301;0,8;16,8;875,8;875,301;859,301;859,8;875,8;1702,8;1702,301;1687,301;1687,8;1702,8;2530,8;2530,301;2515,301;2515,8;2530,8;3373,8;3373,301;3358,301;3358,8;3373,8;4201,8;4201,301;4186,301;4186,8;4201,8;5029,8;5029,301;5013,301;5013,8;5029,8;5857,8;5857,301;5841,301;5841,8;5857,8;6684,8;6684,301;6669,301;6669,8;6684,8;7528,8;7528,301;7512,301;7512,8;7528,8" o:connectangles="0,0,0,0,0,0,0,0,0,0,0,0,0,0,0,0,0,0,0,0,0,0,0,0,0,0,0,0,0,0,0,0,0,0,0,0,0,0,0,0,0,0,0,0,0,0,0,0,0,0,0,0,0,0,0"/>
                  <o:lock v:ext="edit" verticies="t"/>
                </v:shape>
                <v:rect id="Rectangle 231" o:spid="_x0000_s1254" style="position:absolute;left:1926;top:7939;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" fillcolor="#06c" stroked="f"/>
                <v:shape id="Freeform 232" o:spid="_x0000_s1255" style="position:absolute;left:1918;top:7930;width:109;height:104;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" path="m,8c,4,4,,8,r96,c109,,112,4,112,8r,80c112,93,109,96,104,96l8,96c4,96,,93,,88l,8xm16,88l8,80r96,l96,88,96,8r8,8l8,16,16,8r,80xe" fillcolor="black" strokeweight=".8pt">
                  <v:stroke joinstyle="bevel"/>
                  <v:path arrowok="t" o:connecttype="custom" o:connectlocs="0,9;8,0;101,0;109,9;109,95;101,104;8,104;0,95;0,9;16,95;8,87;101,87;93,95;93,9;101,17;8,17;16,9;16,95" o:connectangles="0,0,0,0,0,0,0,0,0,0,0,0,0,0,0,0,0,0"/>
                  <o:lock v:ext="edit" verticies="t"/>
                </v:shape>
                <v:rect id="Rectangle 233" o:spid="_x0000_s1256" style="position:absolute;left:2044;top:7875;width:42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 xml:space="preserve">Глава </w:t>
                        </w:r>
                      </w:p>
                    </w:txbxContent>
                  </v:textbox>
                </v:rect>
                <v:rect id="Rectangle 234" o:spid="_x0000_s1257" style="position:absolute;left:2466;top:7875;width:10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A46D50" w:rsidRDefault="00A46D50" w:rsidP="00F96D7E">
                        <w:r>
                          <w:rPr>
                            <w:rFonts w:cs="Calibri"/>
                            <w:color w:val="000000"/>
                            <w:sz w:val="18"/>
                            <w:szCs w:val="18"/>
                            <w:lang w:val="en-US"/>
                          </w:rPr>
                          <w:t>V</w:t>
                        </w:r>
                      </w:p>
                    </w:txbxContent>
                  </v:textbox>
                </v:rect>
                <v:rect id="Rectangle 235" o:spid="_x0000_s1258" style="position:absolute;left:2559;top:7875;width:13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ІІІ</w:t>
                        </w:r>
                      </w:p>
                    </w:txbxContent>
                  </v:textbox>
                </v:rect>
                <v:rect id="Rectangle 236" o:spid="_x0000_s1259" style="position:absolute;left:3081;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60</w:t>
                        </w:r>
                      </w:p>
                    </w:txbxContent>
                  </v:textbox>
                </v:rect>
                <v:rect id="Rectangle 237" o:spid="_x0000_s1260" style="position:absolute;left:3912;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32</w:t>
                        </w:r>
                      </w:p>
                    </w:txbxContent>
                  </v:textbox>
                </v:rect>
                <v:rect id="Rectangle 238" o:spid="_x0000_s1261" style="position:absolute;left:4743;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35</w:t>
                        </w:r>
                      </w:p>
                    </w:txbxContent>
                  </v:textbox>
                </v:rect>
                <v:rect id="Rectangle 239" o:spid="_x0000_s1262" style="position:absolute;left:5574;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13</w:t>
                        </w:r>
                      </w:p>
                    </w:txbxContent>
                  </v:textbox>
                </v:rect>
                <v:rect id="Rectangle 240" o:spid="_x0000_s1263" style="position:absolute;left:6404;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16</w:t>
                        </w:r>
                      </w:p>
                    </w:txbxContent>
                  </v:textbox>
                </v:rect>
                <v:rect id="Rectangle 241" o:spid="_x0000_s1264" style="position:absolute;left:7235;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A46D50" w:rsidRDefault="00A46D50" w:rsidP="00F96D7E">
                        <w:r>
                          <w:rPr>
                            <w:rFonts w:cs="Calibri"/>
                            <w:color w:val="000000"/>
                            <w:sz w:val="18"/>
                            <w:szCs w:val="18"/>
                            <w:lang w:val="en-US"/>
                          </w:rPr>
                          <w:t>15</w:t>
                        </w:r>
                      </w:p>
                    </w:txbxContent>
                  </v:textbox>
                </v:rect>
                <v:rect id="Rectangle 242" o:spid="_x0000_s1265" style="position:absolute;left:8066;top:7880;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15</w:t>
                        </w:r>
                      </w:p>
                    </w:txbxContent>
                  </v:textbox>
                </v:rect>
                <v:shape id="Freeform 243" o:spid="_x0000_s1266" style="position:absolute;left:1871;top:8120;width:7528;height:301;visibility:visible;mso-wrap-style:square;v-text-anchor:top" coordsize="75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" path="m8,l7520,r,17l8,17,8,xm16,8r,293l,301,,8r16,xm875,8r,293l859,301,859,8r16,xm1702,8r,293l1687,301r,-293l1702,8xm2530,8r,293l2515,301r,-293l2530,8xm3373,8r,293l3358,301r,-293l3373,8xm4201,8r,293l4186,301r,-293l4201,8xm5029,8r,293l5013,301r,-293l5029,8xm5857,8r,293l5841,301r,-293l5857,8xm6684,8r,293l6669,301r,-293l6684,8xm7528,8r,293l7512,301r,-293l7528,8xe" fillcolor="black" strokeweight=".8pt">
                  <v:stroke joinstyle="bevel"/>
                  <v:path arrowok="t" o:connecttype="custom" o:connectlocs="8,0;7520,0;7520,17;8,17;8,0;16,8;16,301;0,301;0,8;16,8;875,8;875,301;859,301;859,8;875,8;1702,8;1702,301;1687,301;1687,8;1702,8;2530,8;2530,301;2515,301;2515,8;2530,8;3373,8;3373,301;3358,301;3358,8;3373,8;4201,8;4201,301;4186,301;4186,8;4201,8;5029,8;5029,301;5013,301;5013,8;5029,8;5857,8;5857,301;5841,301;5841,8;5857,8;6684,8;6684,301;6669,301;6669,8;6684,8;7528,8;7528,301;7512,301;7512,8;7528,8" o:connectangles="0,0,0,0,0,0,0,0,0,0,0,0,0,0,0,0,0,0,0,0,0,0,0,0,0,0,0,0,0,0,0,0,0,0,0,0,0,0,0,0,0,0,0,0,0,0,0,0,0,0,0,0,0,0,0"/>
                  <o:lock v:ext="edit" verticies="t"/>
                </v:shape>
                <v:rect id="Rectangle 244" o:spid="_x0000_s1267" style="position:absolute;left:1926;top:8232;width:94;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" fillcolor="#ccf" stroked="f"/>
                <v:shape id="Freeform 245" o:spid="_x0000_s1268" style="position:absolute;left:1918;top:8223;width:109;height:103;visibility:visible;mso-wrap-style:square;v-text-anchor:top" coordsize="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" path="m,8c,4,4,,8,r96,c109,,112,4,112,8r,80c112,93,109,96,104,96l8,96c4,96,,93,,88l,8xm16,88l8,80r96,l96,88,96,8r8,8l8,16,16,8r,80xe" fillcolor="black" strokeweight=".8pt">
                  <v:stroke joinstyle="bevel"/>
                  <v:path arrowok="t" o:connecttype="custom" o:connectlocs="0,9;8,0;101,0;109,9;109,94;101,103;8,103;0,94;0,9;16,94;8,86;101,86;93,94;93,9;101,17;8,17;16,9;16,94" o:connectangles="0,0,0,0,0,0,0,0,0,0,0,0,0,0,0,0,0,0"/>
                  <o:lock v:ext="edit" verticies="t"/>
                </v:shape>
                <v:rect id="Rectangle 246" o:spid="_x0000_s1269" style="position:absolute;left:2062;top:8168;width:60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Глава ІХ</w:t>
                        </w:r>
                      </w:p>
                    </w:txbxContent>
                  </v:textbox>
                </v:rect>
                <v:rect id="Rectangle 247" o:spid="_x0000_s1270" style="position:absolute;left:3041;top:817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137</w:t>
                        </w:r>
                      </w:p>
                    </w:txbxContent>
                  </v:textbox>
                </v:rect>
                <v:rect id="Rectangle 248" o:spid="_x0000_s1271" style="position:absolute;left:3912;top:8174;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71</w:t>
                        </w:r>
                      </w:p>
                    </w:txbxContent>
                  </v:textbox>
                </v:rect>
                <v:rect id="Rectangle 249" o:spid="_x0000_s1272" style="position:absolute;left:4743;top:8174;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74</w:t>
                        </w:r>
                      </w:p>
                    </w:txbxContent>
                  </v:textbox>
                </v:rect>
                <v:rect id="Rectangle 250" o:spid="_x0000_s1273" style="position:absolute;left:5574;top:8174;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A46D50" w:rsidRDefault="00A46D50" w:rsidP="00F96D7E">
                        <w:r>
                          <w:rPr>
                            <w:rFonts w:cs="Calibri"/>
                            <w:color w:val="000000"/>
                            <w:sz w:val="18"/>
                            <w:szCs w:val="18"/>
                            <w:lang w:val="en-US"/>
                          </w:rPr>
                          <w:t>25</w:t>
                        </w:r>
                      </w:p>
                    </w:txbxContent>
                  </v:textbox>
                </v:rect>
                <v:rect id="Rectangle 251" o:spid="_x0000_s1274" style="position:absolute;left:6404;top:8174;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25</w:t>
                        </w:r>
                      </w:p>
                    </w:txbxContent>
                  </v:textbox>
                </v:rect>
                <v:rect id="Rectangle 252" o:spid="_x0000_s1275" style="position:absolute;left:7235;top:8174;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41</w:t>
                        </w:r>
                      </w:p>
                    </w:txbxContent>
                  </v:textbox>
                </v:rect>
                <v:rect id="Rectangle 253" o:spid="_x0000_s1276" style="position:absolute;left:8066;top:8174;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A46D50" w:rsidRDefault="00A46D50" w:rsidP="00F96D7E">
                        <w:r>
                          <w:rPr>
                            <w:rFonts w:cs="Calibri"/>
                            <w:color w:val="000000"/>
                            <w:sz w:val="18"/>
                            <w:szCs w:val="18"/>
                            <w:lang w:val="en-US"/>
                          </w:rPr>
                          <w:t>41</w:t>
                        </w:r>
                      </w:p>
                    </w:txbxContent>
                  </v:textbox>
                </v:rect>
                <v:shape id="Freeform 254" o:spid="_x0000_s1277" style="position:absolute;left:1871;top:8413;width:7528;height:318;visibility:visible;mso-wrap-style:square;v-text-anchor:top" coordsize="752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" path="m8,l7520,r,17l8,17,8,xm16,8r,310l,318,,8r16,xm875,8r,310l859,318,859,8r16,xm1702,8r,310l1687,318r,-310l1702,8xm2530,8r,310l2515,318r,-310l2530,8xm3373,8r,310l3358,318r,-310l3373,8xm4201,8r,310l4186,318r,-310l4201,8xm5029,8r,310l5013,318r,-310l5029,8xm5857,8r,310l5841,318r,-310l5857,8xm6684,8r,310l6669,318r,-310l6684,8xm7528,8r,310l7512,318r,-310l7528,8xe" fillcolor="black" strokeweight=".8pt">
                  <v:stroke joinstyle="bevel"/>
                  <v:path arrowok="t" o:connecttype="custom" o:connectlocs="8,0;7520,0;7520,17;8,17;8,0;16,8;16,318;0,318;0,8;16,8;875,8;875,318;859,318;859,8;875,8;1702,8;1702,318;1687,318;1687,8;1702,8;2530,8;2530,318;2515,318;2515,8;2530,8;3373,8;3373,318;3358,318;3358,8;3373,8;4201,8;4201,318;4186,318;4186,8;4201,8;5029,8;5029,318;5013,318;5013,8;5029,8;5857,8;5857,318;5841,318;5841,8;5857,8;6684,8;6684,318;6669,318;6669,8;6684,8;7528,8;7528,318;7512,318;7512,8;7528,8" o:connectangles="0,0,0,0,0,0,0,0,0,0,0,0,0,0,0,0,0,0,0,0,0,0,0,0,0,0,0,0,0,0,0,0,0,0,0,0,0,0,0,0,0,0,0,0,0,0,0,0,0,0,0,0,0,0,0"/>
                  <o:lock v:ext="edit" verticies="t"/>
                </v:shape>
                <v:rect id="Rectangle 255" o:spid="_x0000_s1278" style="position:absolute;left:1926;top:8525;width:94;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" fillcolor="navy" stroked="f"/>
                <v:shape id="Freeform 256" o:spid="_x0000_s1279" style="position:absolute;left:1918;top:8516;width:109;height:121;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" path="m,8c,4,4,,8,r96,c109,,112,4,112,8r,96c112,109,109,112,104,112r-96,c4,112,,109,,104l,8xm16,104l8,96r96,l96,104,96,8r8,8l8,16,16,8r,96xe" fillcolor="black" strokeweight=".8pt">
                  <v:stroke joinstyle="bevel"/>
                  <v:path arrowok="t" o:connecttype="custom" o:connectlocs="0,9;8,0;101,0;109,9;109,112;101,121;8,121;0,112;0,9;16,112;8,104;101,104;93,112;93,9;101,17;8,17;16,9;16,112" o:connectangles="0,0,0,0,0,0,0,0,0,0,0,0,0,0,0,0,0,0"/>
                  <o:lock v:ext="edit" verticies="t"/>
                </v:shape>
                <v:rect id="Rectangle 257" o:spid="_x0000_s1280" style="position:absolute;left:2063;top:8462;width:42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 xml:space="preserve">Глава </w:t>
                        </w:r>
                      </w:p>
                    </w:txbxContent>
                  </v:textbox>
                </v:rect>
                <v:rect id="Rectangle 258" o:spid="_x0000_s1281" style="position:absolute;left:2484;top:8462;width:4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I</w:t>
                        </w:r>
                      </w:p>
                    </w:txbxContent>
                  </v:textbox>
                </v:rect>
                <v:rect id="Rectangle 259" o:spid="_x0000_s1282" style="position:absolute;left:2531;top:8462;width:7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х</w:t>
                        </w:r>
                      </w:p>
                    </w:txbxContent>
                  </v:textbox>
                </v:rect>
                <v:rect id="Rectangle 260" o:spid="_x0000_s1283" style="position:absolute;left:2594;top:8462;width:8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a</w:t>
                        </w:r>
                      </w:p>
                    </w:txbxContent>
                  </v:textbox>
                </v:rect>
                <v:rect id="Rectangle 261" o:spid="_x0000_s1284" style="position:absolute;left:3122;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0</w:t>
                        </w:r>
                      </w:p>
                    </w:txbxContent>
                  </v:textbox>
                </v:rect>
                <v:rect id="Rectangle 262" o:spid="_x0000_s1285" style="position:absolute;left:3953;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0</w:t>
                        </w:r>
                      </w:p>
                    </w:txbxContent>
                  </v:textbox>
                </v:rect>
                <v:rect id="Rectangle 263" o:spid="_x0000_s1286" style="position:absolute;left:4784;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0</w:t>
                        </w:r>
                      </w:p>
                    </w:txbxContent>
                  </v:textbox>
                </v:rect>
                <v:rect id="Rectangle 264" o:spid="_x0000_s1287" style="position:absolute;left:5614;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A46D50" w:rsidRDefault="00A46D50" w:rsidP="00F96D7E">
                        <w:r>
                          <w:rPr>
                            <w:rFonts w:cs="Calibri"/>
                            <w:color w:val="000000"/>
                            <w:sz w:val="18"/>
                            <w:szCs w:val="18"/>
                            <w:lang w:val="en-US"/>
                          </w:rPr>
                          <w:t>0</w:t>
                        </w:r>
                      </w:p>
                    </w:txbxContent>
                  </v:textbox>
                </v:rect>
                <v:rect id="Rectangle 265" o:spid="_x0000_s1288" style="position:absolute;left:6445;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0</w:t>
                        </w:r>
                      </w:p>
                    </w:txbxContent>
                  </v:textbox>
                </v:rect>
                <v:rect id="Rectangle 266" o:spid="_x0000_s1289" style="position:absolute;left:7276;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0</w:t>
                        </w:r>
                      </w:p>
                    </w:txbxContent>
                  </v:textbox>
                </v:rect>
                <v:rect id="Rectangle 267" o:spid="_x0000_s1290" style="position:absolute;left:8107;top:8467;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0</w:t>
                        </w:r>
                      </w:p>
                    </w:txbxContent>
                  </v:textbox>
                </v:rect>
                <v:shape id="Freeform 268" o:spid="_x0000_s1291" style="position:absolute;left:1871;top:8723;width:7528;height:301;visibility:visible;mso-wrap-style:square;v-text-anchor:top" coordsize="75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" path="m8,l7520,r,17l8,17,8,xm16,8r,293l,301,,8r16,xm875,8r,293l859,301,859,8r16,xm1702,8r,293l1687,301r,-293l1702,8xm2530,8r,293l2515,301r,-293l2530,8xm3373,8r,293l3358,301r,-293l3373,8xm4201,8r,293l4186,301r,-293l4201,8xm5029,8r,293l5013,301r,-293l5029,8xm5857,8r,293l5841,301r,-293l5857,8xm6684,8r,293l6669,301r,-293l6684,8xm7528,8r,293l7512,301r,-293l7528,8xe" fillcolor="black" strokeweight=".8pt">
                  <v:stroke joinstyle="bevel"/>
                  <v:path arrowok="t" o:connecttype="custom" o:connectlocs="8,0;7520,0;7520,17;8,17;8,0;16,8;16,301;0,301;0,8;16,8;875,8;875,301;859,301;859,8;875,8;1702,8;1702,301;1687,301;1687,8;1702,8;2530,8;2530,301;2515,301;2515,8;2530,8;3373,8;3373,301;3358,301;3358,8;3373,8;4201,8;4201,301;4186,301;4186,8;4201,8;5029,8;5029,301;5013,301;5013,8;5029,8;5857,8;5857,301;5841,301;5841,8;5857,8;6684,8;6684,301;6669,301;6669,8;6684,8;7528,8;7528,301;7512,301;7512,8;7528,8" o:connectangles="0,0,0,0,0,0,0,0,0,0,0,0,0,0,0,0,0,0,0,0,0,0,0,0,0,0,0,0,0,0,0,0,0,0,0,0,0,0,0,0,0,0,0,0,0,0,0,0,0,0,0,0,0,0,0"/>
                  <o:lock v:ext="edit" verticies="t"/>
                </v:shape>
                <v:rect id="Rectangle 269" o:spid="_x0000_s1292" style="position:absolute;left:1926;top:8817;width:9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" fillcolor="fuchsia" stroked="f"/>
                <v:shape id="Freeform 270" o:spid="_x0000_s1293" style="position:absolute;left:1918;top:8809;width:109;height:120;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" path="m,8c,4,4,,8,r96,c109,,112,4,112,8r,96c112,109,109,112,104,112r-96,c4,112,,109,,104l,8xm16,104l8,96r96,l96,104,96,8r8,8l8,16,16,8r,96xe" fillcolor="black" strokeweight=".8pt">
                  <v:stroke joinstyle="bevel"/>
                  <v:path arrowok="t" o:connecttype="custom" o:connectlocs="0,9;8,0;101,0;109,9;109,111;101,120;8,120;0,111;0,9;16,111;8,103;101,103;93,111;93,9;101,17;8,17;16,9;16,111" o:connectangles="0,0,0,0,0,0,0,0,0,0,0,0,0,0,0,0,0,0"/>
                  <o:lock v:ext="edit" verticies="t"/>
                </v:shape>
                <v:rect id="Rectangle 271" o:spid="_x0000_s1294" style="position:absolute;left:2058;top:8755;width:56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A46D50" w:rsidRDefault="00A46D50" w:rsidP="00F96D7E">
                        <w:r>
                          <w:rPr>
                            <w:rFonts w:cs="Calibri"/>
                            <w:color w:val="000000"/>
                            <w:sz w:val="18"/>
                            <w:szCs w:val="18"/>
                            <w:lang w:val="en-US"/>
                          </w:rPr>
                          <w:t>Глава Х</w:t>
                        </w:r>
                      </w:p>
                    </w:txbxContent>
                  </v:textbox>
                </v:rect>
                <v:rect id="Rectangle 272" o:spid="_x0000_s1295" style="position:absolute;left:3041;top:8761;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152</w:t>
                        </w:r>
                      </w:p>
                    </w:txbxContent>
                  </v:textbox>
                </v:rect>
                <v:rect id="Rectangle 273" o:spid="_x0000_s1296" style="position:absolute;left:3912;top:8761;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87</w:t>
                        </w:r>
                      </w:p>
                    </w:txbxContent>
                  </v:textbox>
                </v:rect>
                <v:rect id="Rectangle 274" o:spid="_x0000_s1297" style="position:absolute;left:4702;top:8761;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102</w:t>
                        </w:r>
                      </w:p>
                    </w:txbxContent>
                  </v:textbox>
                </v:rect>
                <v:rect id="Rectangle 275" o:spid="_x0000_s1298" style="position:absolute;left:5574;top:8761;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18</w:t>
                        </w:r>
                      </w:p>
                    </w:txbxContent>
                  </v:textbox>
                </v:rect>
                <v:rect id="Rectangle 276" o:spid="_x0000_s1299" style="position:absolute;left:6404;top:8761;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19</w:t>
                        </w:r>
                      </w:p>
                    </w:txbxContent>
                  </v:textbox>
                </v:rect>
                <v:rect id="Rectangle 277" o:spid="_x0000_s1300" style="position:absolute;left:7235;top:8761;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47</w:t>
                        </w:r>
                      </w:p>
                    </w:txbxContent>
                  </v:textbox>
                </v:rect>
                <v:rect id="Rectangle 278" o:spid="_x0000_s1301" style="position:absolute;left:8066;top:8761;width:18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51</w:t>
                        </w:r>
                      </w:p>
                    </w:txbxContent>
                  </v:textbox>
                </v:rect>
                <v:shape id="Freeform 279" o:spid="_x0000_s1302" style="position:absolute;left:1871;top:9016;width:7528;height:310;visibility:visible;mso-wrap-style:square;v-text-anchor:top" coordsize="771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" path="m8,l7704,r,16l8,16,8,xm16,8r,272l8,272r7696,l7704,288,8,288c4,288,,285,,280l,8r16,xm896,8r,272l880,280,880,8r16,xm1744,8r,272l1728,280r,-272l1744,8xm2592,8r,272l2576,280r,-272l2592,8xm3456,8r,272l3440,280r,-272l3456,8xm4304,8r,272l4288,280r,-272l4304,8xm5152,8r,272l5136,280r,-272l5152,8xm6000,8r,272l5984,280r,-272l6000,8xm6848,8r,272l6832,280r,-272l6848,8xm7712,8r,272l7696,280r,-272l7712,8xe" fillcolor="black" strokeweight=".8pt">
                  <v:stroke joinstyle="bevel"/>
                  <v:path arrowok="t" o:connecttype="custom" o:connectlocs="8,0;7520,0;7520,17;8,17;8,0;16,9;16,301;8,293;7520,293;7520,310;8,310;0,301;0,9;16,9;875,9;875,301;859,301;859,9;875,9;1702,9;1702,301;1687,301;1687,9;1702,9;2530,9;2530,301;2515,301;2515,9;2530,9;3374,9;3374,301;3358,301;3358,9;3374,9;4201,9;4201,301;4186,301;4186,9;4201,9;5029,9;5029,301;5013,301;5013,9;5029,9;5857,9;5857,301;5841,301;5841,9;5857,9;6685,9;6685,301;6669,301;6669,9;6685,9;7528,9;7528,301;7512,301;7512,9;7528,9" o:connectangles="0,0,0,0,0,0,0,0,0,0,0,0,0,0,0,0,0,0,0,0,0,0,0,0,0,0,0,0,0,0,0,0,0,0,0,0,0,0,0,0,0,0,0,0,0,0,0,0,0,0,0,0,0,0,0,0,0,0,0"/>
                  <o:lock v:ext="edit" verticies="t"/>
                </v:shape>
                <v:rect id="Rectangle 280" o:spid="_x0000_s1303" style="position:absolute;left:1926;top:9110;width:9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" fillcolor="yellow" stroked="f"/>
                <v:shape id="Freeform 281" o:spid="_x0000_s1304" style="position:absolute;left:1918;top:9102;width:109;height:120;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" path="m,8c,4,4,,8,r96,c109,,112,4,112,8r,96c112,109,109,112,104,112r-96,c4,112,,109,,104l,8xm16,104l8,96r96,l96,104,96,8r8,8l8,16,16,8r,96xe" fillcolor="black" strokeweight=".8pt">
                  <v:stroke joinstyle="bevel"/>
                  <v:path arrowok="t" o:connecttype="custom" o:connectlocs="0,9;8,0;101,0;109,9;109,111;101,120;8,120;0,111;0,9;16,111;8,103;101,103;93,111;93,9;101,17;8,17;16,9;16,111" o:connectangles="0,0,0,0,0,0,0,0,0,0,0,0,0,0,0,0,0,0"/>
                  <o:lock v:ext="edit" verticies="t"/>
                </v:shape>
                <v:rect id="Rectangle 282" o:spid="_x0000_s1305" style="position:absolute;left:2062;top:9049;width:42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 xml:space="preserve">Глава </w:t>
                        </w:r>
                      </w:p>
                    </w:txbxContent>
                  </v:textbox>
                </v:rect>
                <v:rect id="Rectangle 283" o:spid="_x0000_s1306" style="position:absolute;left:2484;top:9049;width:1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XI</w:t>
                        </w:r>
                      </w:p>
                    </w:txbxContent>
                  </v:textbox>
                </v:rect>
                <v:rect id="Rectangle 284" o:spid="_x0000_s1307" style="position:absolute;left:3000;top:9054;width:3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1411</w:t>
                        </w:r>
                      </w:p>
                    </w:txbxContent>
                  </v:textbox>
                </v:rect>
                <v:rect id="Rectangle 285" o:spid="_x0000_s1308" style="position:absolute;left:3871;top:905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930</w:t>
                        </w:r>
                      </w:p>
                    </w:txbxContent>
                  </v:textbox>
                </v:rect>
                <v:rect id="Rectangle 286" o:spid="_x0000_s1309" style="position:absolute;left:4702;top:905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953</w:t>
                        </w:r>
                      </w:p>
                    </w:txbxContent>
                  </v:textbox>
                </v:rect>
                <v:rect id="Rectangle 287" o:spid="_x0000_s1310" style="position:absolute;left:5533;top:905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308</w:t>
                        </w:r>
                      </w:p>
                    </w:txbxContent>
                  </v:textbox>
                </v:rect>
                <v:rect id="Rectangle 288" o:spid="_x0000_s1311" style="position:absolute;left:6364;top:905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308</w:t>
                        </w:r>
                      </w:p>
                    </w:txbxContent>
                  </v:textbox>
                </v:rect>
                <v:rect id="Rectangle 289" o:spid="_x0000_s1312" style="position:absolute;left:7195;top:905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173</w:t>
                        </w:r>
                      </w:p>
                    </w:txbxContent>
                  </v:textbox>
                </v:rect>
                <v:rect id="Rectangle 290" o:spid="_x0000_s1313" style="position:absolute;left:8025;top:9054;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173</w:t>
                        </w:r>
                      </w:p>
                    </w:txbxContent>
                  </v:textbox>
                </v:rect>
                <v:rect id="Rectangle 291" o:spid="_x0000_s1314" style="position:absolute;left:2517;top:4872;width:9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0</w:t>
                        </w:r>
                      </w:p>
                    </w:txbxContent>
                  </v:textbox>
                </v:rect>
                <v:rect id="Rectangle 292" o:spid="_x0000_s1315" style="position:absolute;left:2355;top:4525;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200</w:t>
                        </w:r>
                      </w:p>
                    </w:txbxContent>
                  </v:textbox>
                </v:rect>
                <v:rect id="Rectangle 293" o:spid="_x0000_s1316" style="position:absolute;left:2355;top:4177;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400</w:t>
                        </w:r>
                      </w:p>
                    </w:txbxContent>
                  </v:textbox>
                </v:rect>
                <v:rect id="Rectangle 294" o:spid="_x0000_s1317" style="position:absolute;left:2355;top:3830;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A46D50" w:rsidRDefault="00A46D50" w:rsidP="00F96D7E">
                        <w:r>
                          <w:rPr>
                            <w:rFonts w:cs="Calibri"/>
                            <w:color w:val="000000"/>
                            <w:sz w:val="18"/>
                            <w:szCs w:val="18"/>
                            <w:lang w:val="en-US"/>
                          </w:rPr>
                          <w:t>600</w:t>
                        </w:r>
                      </w:p>
                    </w:txbxContent>
                  </v:textbox>
                </v:rect>
                <v:rect id="Rectangle 295" o:spid="_x0000_s1318" style="position:absolute;left:2355;top:3482;width:27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A46D50" w:rsidRDefault="00A46D50" w:rsidP="00F96D7E">
                        <w:r>
                          <w:rPr>
                            <w:rFonts w:cs="Calibri"/>
                            <w:color w:val="000000"/>
                            <w:sz w:val="18"/>
                            <w:szCs w:val="18"/>
                            <w:lang w:val="en-US"/>
                          </w:rPr>
                          <w:t>800</w:t>
                        </w:r>
                      </w:p>
                    </w:txbxContent>
                  </v:textbox>
                </v:rect>
                <v:rect id="Rectangle 296" o:spid="_x0000_s1319" style="position:absolute;left:2273;top:3135;width:3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A46D50" w:rsidRDefault="00A46D50" w:rsidP="00F96D7E">
                        <w:r>
                          <w:rPr>
                            <w:rFonts w:cs="Calibri"/>
                            <w:color w:val="000000"/>
                            <w:sz w:val="18"/>
                            <w:szCs w:val="18"/>
                            <w:lang w:val="en-US"/>
                          </w:rPr>
                          <w:t>1000</w:t>
                        </w:r>
                      </w:p>
                    </w:txbxContent>
                  </v:textbox>
                </v:rect>
                <v:rect id="Rectangle 297" o:spid="_x0000_s1320" style="position:absolute;left:2273;top:2787;width:3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1200</w:t>
                        </w:r>
                      </w:p>
                    </w:txbxContent>
                  </v:textbox>
                </v:rect>
                <v:rect id="Rectangle 298" o:spid="_x0000_s1321" style="position:absolute;left:2273;top:2440;width:3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A46D50" w:rsidRDefault="00A46D50" w:rsidP="00F96D7E">
                        <w:r>
                          <w:rPr>
                            <w:rFonts w:cs="Calibri"/>
                            <w:color w:val="000000"/>
                            <w:sz w:val="18"/>
                            <w:szCs w:val="18"/>
                            <w:lang w:val="en-US"/>
                          </w:rPr>
                          <w:t>1400</w:t>
                        </w:r>
                      </w:p>
                    </w:txbxContent>
                  </v:textbox>
                </v:rect>
                <v:rect id="Rectangle 299" o:spid="_x0000_s1322" style="position:absolute;left:2273;top:2092;width:36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A46D50" w:rsidRDefault="00A46D50" w:rsidP="00F96D7E">
                        <w:r>
                          <w:rPr>
                            <w:rFonts w:cs="Calibri"/>
                            <w:color w:val="000000"/>
                            <w:sz w:val="18"/>
                            <w:szCs w:val="18"/>
                            <w:lang w:val="en-US"/>
                          </w:rPr>
                          <w:t>1600</w:t>
                        </w:r>
                      </w:p>
                    </w:txbxContent>
                  </v:textbox>
                </v:rect>
                <w10:wrap type="topAndBottom"/>
              </v:group>
            </w:pict>
          </mc:Fallback>
        </mc:AlternateContent>
      </w:r>
    </w:p>
    <w:p w:rsidR="0080062F" w:rsidRDefault="0080062F" w:rsidP="004D24A1">
      <w:pPr>
        <w:overflowPunct w:val="0"/>
        <w:autoSpaceDE w:val="0"/>
        <w:autoSpaceDN w:val="0"/>
        <w:adjustRightInd w:val="0"/>
        <w:spacing w:after="0"/>
        <w:ind w:firstLine="720"/>
        <w:jc w:val="both"/>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b/>
          <w:sz w:val="28"/>
          <w:szCs w:val="28"/>
        </w:rPr>
        <w:t>Спрени досъдебни производства.</w:t>
      </w:r>
    </w:p>
    <w:p w:rsidR="009802BD" w:rsidRPr="009802BD" w:rsidRDefault="009802BD" w:rsidP="004D24A1">
      <w:pPr>
        <w:overflowPunct w:val="0"/>
        <w:autoSpaceDE w:val="0"/>
        <w:autoSpaceDN w:val="0"/>
        <w:adjustRightInd w:val="0"/>
        <w:spacing w:after="0"/>
        <w:ind w:firstLine="708"/>
        <w:jc w:val="both"/>
        <w:textAlignment w:val="baseline"/>
        <w:rPr>
          <w:rFonts w:ascii="Times New Roman" w:eastAsia="Times New Roman" w:hAnsi="Times New Roman"/>
          <w:b/>
          <w:sz w:val="16"/>
          <w:szCs w:val="16"/>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отчетния период прокурорите при Софийска градска прокуратура и Софийска районна прокуратура са изготвили постановления за спиране по общо </w:t>
      </w:r>
      <w:r w:rsidRPr="009802BD">
        <w:rPr>
          <w:rFonts w:ascii="Times New Roman" w:eastAsia="Times New Roman" w:hAnsi="Times New Roman"/>
          <w:b/>
          <w:sz w:val="28"/>
          <w:szCs w:val="28"/>
          <w:lang w:val="en-US"/>
        </w:rPr>
        <w:t>9800</w:t>
      </w:r>
      <w:r w:rsidRPr="009802BD">
        <w:rPr>
          <w:rFonts w:ascii="Times New Roman" w:eastAsia="Times New Roman" w:hAnsi="Times New Roman"/>
          <w:sz w:val="28"/>
          <w:szCs w:val="28"/>
        </w:rPr>
        <w:t xml:space="preserve"> броя досъдебни производства /при </w:t>
      </w:r>
      <w:r w:rsidRPr="009802BD">
        <w:rPr>
          <w:rFonts w:ascii="Times New Roman" w:eastAsia="Times New Roman" w:hAnsi="Times New Roman"/>
          <w:sz w:val="28"/>
          <w:szCs w:val="28"/>
          <w:lang w:val="en-US"/>
        </w:rPr>
        <w:t>10537</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за 20</w:t>
      </w:r>
      <w:r w:rsidRPr="009802BD">
        <w:rPr>
          <w:rFonts w:ascii="Times New Roman" w:eastAsia="Times New Roman" w:hAnsi="Times New Roman"/>
          <w:sz w:val="28"/>
          <w:szCs w:val="28"/>
          <w:lang w:val="en-US"/>
        </w:rPr>
        <w:t xml:space="preserve">20 </w:t>
      </w:r>
      <w:r w:rsidRPr="009802BD">
        <w:rPr>
          <w:rFonts w:ascii="Times New Roman" w:eastAsia="Times New Roman" w:hAnsi="Times New Roman"/>
          <w:sz w:val="28"/>
          <w:szCs w:val="28"/>
        </w:rPr>
        <w:t xml:space="preserve">г. и </w:t>
      </w:r>
      <w:r w:rsidRPr="009802BD">
        <w:rPr>
          <w:rFonts w:ascii="Times New Roman" w:eastAsia="Times New Roman" w:hAnsi="Times New Roman"/>
          <w:sz w:val="28"/>
          <w:szCs w:val="28"/>
          <w:lang w:val="en-US"/>
        </w:rPr>
        <w:t>13201</w:t>
      </w:r>
      <w:r w:rsidRPr="009802BD">
        <w:rPr>
          <w:rFonts w:ascii="Times New Roman" w:eastAsia="Times New Roman" w:hAnsi="Times New Roman"/>
          <w:sz w:val="28"/>
          <w:szCs w:val="28"/>
        </w:rPr>
        <w:t xml:space="preserve"> за 20</w:t>
      </w:r>
      <w:r w:rsidRPr="009802BD">
        <w:rPr>
          <w:rFonts w:ascii="Times New Roman" w:eastAsia="Times New Roman" w:hAnsi="Times New Roman"/>
          <w:sz w:val="28"/>
          <w:szCs w:val="28"/>
          <w:lang w:val="en-US"/>
        </w:rPr>
        <w:t>19</w:t>
      </w:r>
      <w:r w:rsidRPr="009802BD">
        <w:rPr>
          <w:rFonts w:ascii="Times New Roman" w:eastAsia="Times New Roman" w:hAnsi="Times New Roman"/>
          <w:sz w:val="28"/>
          <w:szCs w:val="28"/>
        </w:rPr>
        <w:t xml:space="preserve"> г./,</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което представлява </w:t>
      </w:r>
      <w:r w:rsidRPr="009802BD">
        <w:rPr>
          <w:rFonts w:ascii="Times New Roman" w:eastAsia="Times New Roman" w:hAnsi="Times New Roman"/>
          <w:b/>
          <w:sz w:val="28"/>
          <w:szCs w:val="28"/>
          <w:lang w:val="en-US"/>
        </w:rPr>
        <w:t>27</w:t>
      </w:r>
      <w:r w:rsidRPr="009802BD">
        <w:rPr>
          <w:rFonts w:ascii="Times New Roman" w:eastAsia="Times New Roman" w:hAnsi="Times New Roman"/>
          <w:b/>
          <w:sz w:val="28"/>
          <w:szCs w:val="28"/>
        </w:rPr>
        <w:t>,</w:t>
      </w:r>
      <w:r w:rsidRPr="009802BD">
        <w:rPr>
          <w:rFonts w:ascii="Times New Roman" w:eastAsia="Times New Roman" w:hAnsi="Times New Roman"/>
          <w:b/>
          <w:sz w:val="28"/>
          <w:szCs w:val="28"/>
          <w:lang w:val="en-US"/>
        </w:rPr>
        <w:t>59</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 от наблюдаваните /без прекратени по давност/ и </w:t>
      </w:r>
      <w:r w:rsidRPr="009802BD">
        <w:rPr>
          <w:rFonts w:ascii="Times New Roman" w:eastAsia="Times New Roman" w:hAnsi="Times New Roman"/>
          <w:b/>
          <w:sz w:val="28"/>
          <w:szCs w:val="28"/>
          <w:lang w:val="en-US"/>
        </w:rPr>
        <w:t>45</w:t>
      </w:r>
      <w:r w:rsidRPr="009802BD">
        <w:rPr>
          <w:rFonts w:ascii="Times New Roman" w:eastAsia="Times New Roman" w:hAnsi="Times New Roman"/>
          <w:b/>
          <w:sz w:val="28"/>
          <w:szCs w:val="28"/>
        </w:rPr>
        <w:t>,</w:t>
      </w:r>
      <w:r w:rsidRPr="009802BD">
        <w:rPr>
          <w:rFonts w:ascii="Times New Roman" w:eastAsia="Times New Roman" w:hAnsi="Times New Roman"/>
          <w:b/>
          <w:sz w:val="28"/>
          <w:szCs w:val="28"/>
          <w:lang w:val="en-US"/>
        </w:rPr>
        <w:t>00</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 от приключените досъдебни производства.</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Спрените наказателни производства, поради неразкриване на извършителя са </w:t>
      </w:r>
      <w:r w:rsidRPr="009802BD">
        <w:rPr>
          <w:rFonts w:ascii="Times New Roman" w:eastAsia="Times New Roman" w:hAnsi="Times New Roman"/>
          <w:b/>
          <w:sz w:val="28"/>
          <w:szCs w:val="28"/>
          <w:lang w:val="en-US"/>
        </w:rPr>
        <w:t>9041</w:t>
      </w:r>
      <w:r w:rsidRPr="009802BD">
        <w:rPr>
          <w:rFonts w:ascii="Times New Roman" w:eastAsia="Times New Roman" w:hAnsi="Times New Roman"/>
          <w:sz w:val="28"/>
          <w:szCs w:val="28"/>
        </w:rPr>
        <w:t xml:space="preserve"> броя, а спрени на други основания са </w:t>
      </w:r>
      <w:r w:rsidRPr="009802BD">
        <w:rPr>
          <w:rFonts w:ascii="Times New Roman" w:eastAsia="Times New Roman" w:hAnsi="Times New Roman"/>
          <w:b/>
          <w:sz w:val="28"/>
          <w:szCs w:val="28"/>
        </w:rPr>
        <w:t>7</w:t>
      </w:r>
      <w:r w:rsidRPr="009802BD">
        <w:rPr>
          <w:rFonts w:ascii="Times New Roman" w:eastAsia="Times New Roman" w:hAnsi="Times New Roman"/>
          <w:b/>
          <w:sz w:val="28"/>
          <w:szCs w:val="28"/>
          <w:lang w:val="en-US"/>
        </w:rPr>
        <w:t>59</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lastRenderedPageBreak/>
        <w:t>Прокурорите от Софийска градска прокуратура и Софийска районна прокуратура извършват периодично проверки на всички спрени досъдебни производства и са взети организационни мерки за надзор на делата с оглед недопускане прекратяването им предвид изтекла предвидена в закона давност. В тази връзка, през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 г. са възобновени </w:t>
      </w:r>
      <w:r w:rsidRPr="009802BD">
        <w:rPr>
          <w:rFonts w:ascii="Times New Roman" w:eastAsia="Times New Roman" w:hAnsi="Times New Roman"/>
          <w:b/>
          <w:sz w:val="28"/>
          <w:szCs w:val="28"/>
          <w:lang w:val="en-US"/>
        </w:rPr>
        <w:t>3173</w:t>
      </w:r>
      <w:r w:rsidRPr="009802BD">
        <w:rPr>
          <w:rFonts w:ascii="Times New Roman" w:eastAsia="Times New Roman" w:hAnsi="Times New Roman"/>
          <w:sz w:val="28"/>
          <w:szCs w:val="28"/>
        </w:rPr>
        <w:t xml:space="preserve"> броя досъдебни производства или </w:t>
      </w:r>
      <w:r w:rsidRPr="009802BD">
        <w:rPr>
          <w:rFonts w:ascii="Times New Roman" w:eastAsia="Times New Roman" w:hAnsi="Times New Roman"/>
          <w:b/>
          <w:sz w:val="28"/>
          <w:szCs w:val="28"/>
          <w:lang w:val="en-US"/>
        </w:rPr>
        <w:t>32</w:t>
      </w:r>
      <w:r w:rsidRPr="009802BD">
        <w:rPr>
          <w:rFonts w:ascii="Times New Roman" w:eastAsia="Times New Roman" w:hAnsi="Times New Roman"/>
          <w:b/>
          <w:sz w:val="28"/>
          <w:szCs w:val="28"/>
        </w:rPr>
        <w:t>,</w:t>
      </w:r>
      <w:r w:rsidRPr="009802BD">
        <w:rPr>
          <w:rFonts w:ascii="Times New Roman" w:eastAsia="Times New Roman" w:hAnsi="Times New Roman"/>
          <w:b/>
          <w:sz w:val="28"/>
          <w:szCs w:val="28"/>
          <w:lang w:val="en-US"/>
        </w:rPr>
        <w:t>38</w:t>
      </w:r>
      <w:r w:rsidRPr="009802BD">
        <w:rPr>
          <w:rFonts w:ascii="Times New Roman" w:eastAsia="Times New Roman" w:hAnsi="Times New Roman"/>
          <w:b/>
          <w:sz w:val="28"/>
          <w:szCs w:val="28"/>
        </w:rPr>
        <w:t xml:space="preserve"> %</w:t>
      </w:r>
      <w:r w:rsidRPr="009802BD">
        <w:rPr>
          <w:rFonts w:ascii="Times New Roman" w:eastAsia="Times New Roman" w:hAnsi="Times New Roman"/>
          <w:sz w:val="28"/>
          <w:szCs w:val="28"/>
        </w:rPr>
        <w:t xml:space="preserve"> от спрените производства.</w:t>
      </w:r>
    </w:p>
    <w:p w:rsidR="009802BD" w:rsidRPr="009802BD" w:rsidRDefault="009802BD" w:rsidP="004D24A1">
      <w:pPr>
        <w:tabs>
          <w:tab w:val="left" w:pos="0"/>
        </w:tabs>
        <w:spacing w:after="0"/>
        <w:jc w:val="both"/>
        <w:rPr>
          <w:rFonts w:ascii="Times New Roman" w:eastAsia="Times New Roman" w:hAnsi="Times New Roman"/>
          <w:sz w:val="28"/>
          <w:szCs w:val="28"/>
          <w:lang w:eastAsia="bg-BG"/>
        </w:rPr>
      </w:pPr>
      <w:r w:rsidRPr="009802BD">
        <w:rPr>
          <w:rFonts w:ascii="Times New Roman" w:eastAsia="Times New Roman" w:hAnsi="Times New Roman"/>
          <w:sz w:val="28"/>
          <w:szCs w:val="28"/>
          <w:lang w:eastAsia="bg-BG"/>
        </w:rPr>
        <w:tab/>
        <w:t>И през настоящия отчетен период е осъществяван контрол върху спрените досъдебни производства срещу известен извършител, с оглед недопускане изтичането на предвидената в закона давност, както и за ефективно преодоляване причините за спиране на делото. За тази цел периодично спрените досъдебни производства срещу известен извършител се докладват на наблюдаващите ги прокурори, с оглед преценка наличието на основанията за възобновяване и последващото им решаване по същество.</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По спрените дела срещу неизвестен извършител се изискват и получават периодично справки за извършените оперативно-издирвателни мероприятия и резултатите от тях.</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В много от случаите са изисквани спрените дела срещу неизвестен извършител, с оглед извършване на преценка за възобновяването им.</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Съобразно изведените статистически данни за района на Софийска градска прокуратура се наблюдава тенденция към намаляване броя на спрените дела през 20</w:t>
      </w:r>
      <w:r w:rsidRPr="009802BD">
        <w:rPr>
          <w:rFonts w:ascii="Times New Roman" w:eastAsia="Times New Roman" w:hAnsi="Times New Roman"/>
          <w:sz w:val="28"/>
          <w:szCs w:val="28"/>
          <w:lang w:val="en-US"/>
        </w:rPr>
        <w:t>21</w:t>
      </w:r>
      <w:r w:rsidRPr="009802BD">
        <w:rPr>
          <w:rFonts w:ascii="Times New Roman" w:eastAsia="Times New Roman" w:hAnsi="Times New Roman"/>
          <w:sz w:val="28"/>
          <w:szCs w:val="28"/>
        </w:rPr>
        <w:t xml:space="preserve"> г.</w:t>
      </w:r>
    </w:p>
    <w:p w:rsidR="009802BD" w:rsidRPr="009802BD" w:rsidRDefault="009802BD" w:rsidP="004D24A1">
      <w:pPr>
        <w:tabs>
          <w:tab w:val="left" w:pos="0"/>
        </w:tabs>
        <w:spacing w:after="0"/>
        <w:jc w:val="both"/>
        <w:rPr>
          <w:rFonts w:ascii="Times New Roman" w:eastAsia="Times New Roman" w:hAnsi="Times New Roman"/>
          <w:sz w:val="16"/>
          <w:szCs w:val="16"/>
          <w:lang w:eastAsia="bg-BG"/>
        </w:rPr>
      </w:pPr>
    </w:p>
    <w:p w:rsidR="009802BD" w:rsidRPr="009802BD" w:rsidRDefault="009802BD" w:rsidP="004D24A1">
      <w:pPr>
        <w:overflowPunct w:val="0"/>
        <w:autoSpaceDE w:val="0"/>
        <w:autoSpaceDN w:val="0"/>
        <w:adjustRightInd w:val="0"/>
        <w:spacing w:after="0"/>
        <w:ind w:firstLine="720"/>
        <w:textAlignment w:val="baseline"/>
        <w:rPr>
          <w:rFonts w:ascii="Times New Roman" w:eastAsia="Times New Roman" w:hAnsi="Times New Roman"/>
          <w:b/>
          <w:color w:val="0070C0"/>
          <w:sz w:val="28"/>
          <w:szCs w:val="28"/>
        </w:rPr>
      </w:pPr>
      <w:r w:rsidRPr="009802BD">
        <w:rPr>
          <w:rFonts w:ascii="Times New Roman" w:eastAsia="Times New Roman" w:hAnsi="Times New Roman"/>
          <w:b/>
          <w:sz w:val="28"/>
          <w:szCs w:val="28"/>
        </w:rPr>
        <w:t>Прекратени досъдебни производства.</w:t>
      </w:r>
    </w:p>
    <w:p w:rsidR="009802BD" w:rsidRPr="009802BD" w:rsidRDefault="009802BD" w:rsidP="004D24A1">
      <w:pPr>
        <w:overflowPunct w:val="0"/>
        <w:autoSpaceDE w:val="0"/>
        <w:autoSpaceDN w:val="0"/>
        <w:adjustRightInd w:val="0"/>
        <w:spacing w:after="0"/>
        <w:ind w:firstLine="720"/>
        <w:textAlignment w:val="baseline"/>
        <w:rPr>
          <w:rFonts w:ascii="Times New Roman" w:eastAsia="Times New Roman" w:hAnsi="Times New Roman"/>
          <w:b/>
          <w:sz w:val="28"/>
          <w:szCs w:val="28"/>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През 2021 г. с постановление на прокурор са прекратени </w:t>
      </w:r>
      <w:r w:rsidRPr="009802BD">
        <w:rPr>
          <w:rFonts w:ascii="Times New Roman" w:eastAsia="Times New Roman" w:hAnsi="Times New Roman"/>
          <w:b/>
          <w:sz w:val="28"/>
          <w:szCs w:val="28"/>
        </w:rPr>
        <w:t>31850</w:t>
      </w:r>
      <w:r w:rsidRPr="009802BD">
        <w:rPr>
          <w:rFonts w:ascii="Times New Roman" w:eastAsia="Times New Roman" w:hAnsi="Times New Roman"/>
          <w:sz w:val="28"/>
          <w:szCs w:val="28"/>
        </w:rPr>
        <w:t xml:space="preserve"> броя (в т.ч. по давност) досъдебни производства /при 15471 бр. за 2020 г. и 13495 за 2019 г. /, което съставлява дял от </w:t>
      </w:r>
      <w:r w:rsidRPr="009802BD">
        <w:rPr>
          <w:rFonts w:ascii="Times New Roman" w:eastAsia="Times New Roman" w:hAnsi="Times New Roman"/>
          <w:b/>
          <w:sz w:val="28"/>
          <w:szCs w:val="28"/>
        </w:rPr>
        <w:t xml:space="preserve">52,44 % </w:t>
      </w:r>
      <w:r w:rsidRPr="009802BD">
        <w:rPr>
          <w:rFonts w:ascii="Times New Roman" w:eastAsia="Times New Roman" w:hAnsi="Times New Roman"/>
          <w:sz w:val="28"/>
          <w:szCs w:val="28"/>
        </w:rPr>
        <w:t>от общия брой наблюдавани производства /вкл.прекратени по давност/.</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От общия брой прекратени досъдебни производства, по давност на основание чл.24 ал.1 т.3 от НПК са прекратени </w:t>
      </w:r>
      <w:r w:rsidRPr="009802BD">
        <w:rPr>
          <w:rFonts w:ascii="Times New Roman" w:eastAsia="Times New Roman" w:hAnsi="Times New Roman"/>
          <w:b/>
          <w:sz w:val="28"/>
          <w:szCs w:val="28"/>
        </w:rPr>
        <w:t xml:space="preserve">25206 </w:t>
      </w:r>
      <w:r w:rsidRPr="009802BD">
        <w:rPr>
          <w:rFonts w:ascii="Times New Roman" w:eastAsia="Times New Roman" w:hAnsi="Times New Roman"/>
          <w:sz w:val="28"/>
          <w:szCs w:val="28"/>
        </w:rPr>
        <w:t xml:space="preserve">броя (при 9226 бр. за 2020 г. и 6383 за 2019 г.), което съставлява дял от </w:t>
      </w:r>
      <w:r w:rsidRPr="009802BD">
        <w:rPr>
          <w:rFonts w:ascii="Times New Roman" w:eastAsia="Times New Roman" w:hAnsi="Times New Roman"/>
          <w:b/>
          <w:sz w:val="28"/>
          <w:szCs w:val="28"/>
        </w:rPr>
        <w:t>79,14 %</w:t>
      </w:r>
      <w:r w:rsidRPr="009802BD">
        <w:rPr>
          <w:rFonts w:ascii="Times New Roman" w:eastAsia="Times New Roman" w:hAnsi="Times New Roman"/>
          <w:sz w:val="28"/>
          <w:szCs w:val="28"/>
        </w:rPr>
        <w:t xml:space="preserve"> от прекратените.  </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 xml:space="preserve">От прекратените по давност </w:t>
      </w:r>
      <w:r w:rsidRPr="009802BD">
        <w:rPr>
          <w:rFonts w:ascii="Times New Roman" w:eastAsia="Times New Roman" w:hAnsi="Times New Roman"/>
          <w:b/>
          <w:sz w:val="28"/>
          <w:szCs w:val="28"/>
        </w:rPr>
        <w:t>19</w:t>
      </w:r>
      <w:r w:rsidRPr="009802BD">
        <w:rPr>
          <w:rFonts w:ascii="Times New Roman" w:eastAsia="Times New Roman" w:hAnsi="Times New Roman"/>
          <w:sz w:val="28"/>
          <w:szCs w:val="28"/>
        </w:rPr>
        <w:t xml:space="preserve"> броя са срещу известен извършител – лица привлечени като обвиняеми и </w:t>
      </w:r>
      <w:r w:rsidRPr="009802BD">
        <w:rPr>
          <w:rFonts w:ascii="Times New Roman" w:eastAsia="Times New Roman" w:hAnsi="Times New Roman"/>
          <w:b/>
          <w:sz w:val="28"/>
          <w:szCs w:val="28"/>
        </w:rPr>
        <w:t>25187</w:t>
      </w:r>
      <w:r w:rsidRPr="009802BD">
        <w:rPr>
          <w:rFonts w:ascii="Times New Roman" w:eastAsia="Times New Roman" w:hAnsi="Times New Roman"/>
          <w:sz w:val="28"/>
          <w:szCs w:val="28"/>
        </w:rPr>
        <w:t xml:space="preserve"> броя срещу неизвестен извършител – досъдебни производства, по които няма привлечени лица като обвиняеми.</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color w:val="0070C0"/>
          <w:sz w:val="28"/>
          <w:szCs w:val="28"/>
        </w:rPr>
      </w:pPr>
      <w:r w:rsidRPr="009802BD">
        <w:rPr>
          <w:rFonts w:ascii="Times New Roman" w:eastAsia="Times New Roman" w:hAnsi="Times New Roman"/>
          <w:sz w:val="28"/>
          <w:szCs w:val="28"/>
        </w:rPr>
        <w:t xml:space="preserve">Прекратените през годината досъдебни производства, без тези по давност, са </w:t>
      </w:r>
      <w:r w:rsidRPr="009802BD">
        <w:rPr>
          <w:rFonts w:ascii="Times New Roman" w:eastAsia="Times New Roman" w:hAnsi="Times New Roman"/>
          <w:b/>
          <w:sz w:val="28"/>
          <w:szCs w:val="28"/>
        </w:rPr>
        <w:t>6644</w:t>
      </w:r>
      <w:r w:rsidRPr="009802BD">
        <w:rPr>
          <w:rFonts w:ascii="Times New Roman" w:eastAsia="Times New Roman" w:hAnsi="Times New Roman"/>
          <w:sz w:val="28"/>
          <w:szCs w:val="28"/>
        </w:rPr>
        <w:t xml:space="preserve"> броя, което съставлява дял от </w:t>
      </w:r>
      <w:r w:rsidRPr="009802BD">
        <w:rPr>
          <w:rFonts w:ascii="Times New Roman" w:eastAsia="Times New Roman" w:hAnsi="Times New Roman"/>
          <w:b/>
          <w:sz w:val="28"/>
          <w:szCs w:val="28"/>
        </w:rPr>
        <w:t>30,51 %</w:t>
      </w:r>
      <w:r w:rsidRPr="009802BD">
        <w:rPr>
          <w:rFonts w:ascii="Times New Roman" w:eastAsia="Times New Roman" w:hAnsi="Times New Roman"/>
          <w:sz w:val="28"/>
          <w:szCs w:val="28"/>
        </w:rPr>
        <w:t xml:space="preserve"> от приключените досъдебни производства и</w:t>
      </w:r>
      <w:r w:rsidRPr="009802BD">
        <w:rPr>
          <w:rFonts w:ascii="Times New Roman" w:eastAsia="Times New Roman" w:hAnsi="Times New Roman"/>
          <w:color w:val="0070C0"/>
          <w:sz w:val="28"/>
          <w:szCs w:val="28"/>
        </w:rPr>
        <w:t xml:space="preserve"> </w:t>
      </w:r>
      <w:r w:rsidRPr="009802BD">
        <w:rPr>
          <w:rFonts w:ascii="Times New Roman" w:eastAsia="Times New Roman" w:hAnsi="Times New Roman"/>
          <w:b/>
          <w:sz w:val="28"/>
          <w:szCs w:val="28"/>
        </w:rPr>
        <w:t>18,70 %</w:t>
      </w:r>
      <w:r w:rsidRPr="009802BD">
        <w:rPr>
          <w:rFonts w:ascii="Times New Roman" w:eastAsia="Times New Roman" w:hAnsi="Times New Roman"/>
          <w:sz w:val="28"/>
          <w:szCs w:val="28"/>
        </w:rPr>
        <w:t xml:space="preserve"> от общия брой наблюдавани досъдебни производства /без прекратените по давност/. От тази категория прекратени </w:t>
      </w:r>
      <w:r w:rsidRPr="009802BD">
        <w:rPr>
          <w:rFonts w:ascii="Times New Roman" w:eastAsia="Times New Roman" w:hAnsi="Times New Roman"/>
          <w:sz w:val="28"/>
          <w:szCs w:val="28"/>
        </w:rPr>
        <w:lastRenderedPageBreak/>
        <w:t xml:space="preserve">досъдебни производства </w:t>
      </w:r>
      <w:r w:rsidRPr="009802BD">
        <w:rPr>
          <w:rFonts w:ascii="Times New Roman" w:eastAsia="Times New Roman" w:hAnsi="Times New Roman"/>
          <w:b/>
          <w:sz w:val="28"/>
          <w:szCs w:val="28"/>
        </w:rPr>
        <w:t>383</w:t>
      </w:r>
      <w:r w:rsidRPr="009802BD">
        <w:rPr>
          <w:rFonts w:ascii="Times New Roman" w:eastAsia="Times New Roman" w:hAnsi="Times New Roman"/>
          <w:sz w:val="28"/>
          <w:szCs w:val="28"/>
        </w:rPr>
        <w:t xml:space="preserve"> броя са срещу известен извършител – лица привлечени в качеството на обвиняеми, и </w:t>
      </w:r>
      <w:r w:rsidRPr="009802BD">
        <w:rPr>
          <w:rFonts w:ascii="Times New Roman" w:eastAsia="Times New Roman" w:hAnsi="Times New Roman"/>
          <w:b/>
          <w:sz w:val="28"/>
          <w:szCs w:val="28"/>
        </w:rPr>
        <w:t xml:space="preserve">6261 </w:t>
      </w:r>
      <w:r w:rsidRPr="009802BD">
        <w:rPr>
          <w:rFonts w:ascii="Times New Roman" w:eastAsia="Times New Roman" w:hAnsi="Times New Roman"/>
          <w:sz w:val="28"/>
          <w:szCs w:val="28"/>
        </w:rPr>
        <w:t xml:space="preserve">броя са срещу неизвестен извършител, по които няма привлечени лица като обвиняеми. </w:t>
      </w:r>
    </w:p>
    <w:p w:rsidR="009802BD" w:rsidRPr="009802BD" w:rsidRDefault="009802BD" w:rsidP="004D24A1">
      <w:pPr>
        <w:overflowPunct w:val="0"/>
        <w:autoSpaceDE w:val="0"/>
        <w:autoSpaceDN w:val="0"/>
        <w:adjustRightInd w:val="0"/>
        <w:spacing w:after="0"/>
        <w:jc w:val="center"/>
        <w:textAlignment w:val="baseline"/>
        <w:rPr>
          <w:rFonts w:ascii="Times New Roman" w:eastAsia="Times New Roman" w:hAnsi="Times New Roman"/>
          <w:noProof/>
          <w:sz w:val="20"/>
          <w:szCs w:val="20"/>
          <w:lang w:eastAsia="bg-BG"/>
        </w:rPr>
      </w:pP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p>
    <w:p w:rsidR="009802BD" w:rsidRPr="009802BD" w:rsidRDefault="003515B0"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noProof/>
          <w:lang w:eastAsia="bg-BG"/>
        </w:rPr>
        <w:drawing>
          <wp:anchor distT="0" distB="0" distL="114300" distR="114300" simplePos="0" relativeHeight="251658240" behindDoc="0" locked="0" layoutInCell="1" allowOverlap="1" wp14:anchorId="397F14F2" wp14:editId="2C1AECE4">
            <wp:simplePos x="0" y="0"/>
            <wp:positionH relativeFrom="column">
              <wp:align>left</wp:align>
            </wp:positionH>
            <wp:positionV relativeFrom="paragraph">
              <wp:posOffset>635</wp:posOffset>
            </wp:positionV>
            <wp:extent cx="5231765" cy="3211195"/>
            <wp:effectExtent l="0" t="2540" r="1905" b="0"/>
            <wp:wrapSquare wrapText="right"/>
            <wp:docPr id="10" name="Об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Броят на прекратените досъдебни производства /извън тези по давност/ при СРП е</w:t>
      </w:r>
      <w:r w:rsidRPr="009802BD">
        <w:rPr>
          <w:rFonts w:ascii="Times New Roman" w:eastAsia="Times New Roman" w:hAnsi="Times New Roman"/>
          <w:b/>
          <w:sz w:val="28"/>
          <w:szCs w:val="28"/>
        </w:rPr>
        <w:t xml:space="preserve"> 6025 </w:t>
      </w:r>
      <w:r w:rsidRPr="009802BD">
        <w:rPr>
          <w:rFonts w:ascii="Times New Roman" w:eastAsia="Times New Roman" w:hAnsi="Times New Roman"/>
          <w:sz w:val="28"/>
          <w:szCs w:val="28"/>
        </w:rPr>
        <w:t xml:space="preserve">броя, а при СГП </w:t>
      </w:r>
      <w:r w:rsidRPr="009802BD">
        <w:rPr>
          <w:rFonts w:ascii="Times New Roman" w:eastAsia="Times New Roman" w:hAnsi="Times New Roman"/>
          <w:b/>
          <w:sz w:val="28"/>
          <w:szCs w:val="28"/>
        </w:rPr>
        <w:t>619</w:t>
      </w:r>
      <w:r w:rsidRPr="009802BD">
        <w:rPr>
          <w:rFonts w:ascii="Times New Roman" w:eastAsia="Times New Roman" w:hAnsi="Times New Roman"/>
          <w:sz w:val="28"/>
          <w:szCs w:val="28"/>
        </w:rPr>
        <w:t xml:space="preserve"> броя.</w:t>
      </w:r>
    </w:p>
    <w:p w:rsidR="009802BD" w:rsidRPr="009802BD" w:rsidRDefault="009802BD" w:rsidP="004D24A1">
      <w:pPr>
        <w:overflowPunct w:val="0"/>
        <w:autoSpaceDE w:val="0"/>
        <w:autoSpaceDN w:val="0"/>
        <w:adjustRightInd w:val="0"/>
        <w:spacing w:after="0"/>
        <w:ind w:firstLine="720"/>
        <w:jc w:val="both"/>
        <w:textAlignment w:val="baseline"/>
        <w:rPr>
          <w:rFonts w:ascii="Times New Roman" w:eastAsia="Times New Roman" w:hAnsi="Times New Roman"/>
          <w:sz w:val="28"/>
          <w:szCs w:val="28"/>
        </w:rPr>
      </w:pPr>
      <w:r w:rsidRPr="009802BD">
        <w:rPr>
          <w:rFonts w:ascii="Times New Roman" w:eastAsia="Times New Roman" w:hAnsi="Times New Roman"/>
          <w:sz w:val="28"/>
          <w:szCs w:val="28"/>
        </w:rPr>
        <w:t>Основната функция на прокурора е по ръководството и надзор на разследването, повдигане и поддържане на обвинението в съдебно заседание. Качеството на извършеното в досъдебната фаза предопределя ефективното взаимодействие между разследващите органи и прокурора, което пък е основна предпоставка за бързо и ефективно разследване.</w:t>
      </w:r>
    </w:p>
    <w:p w:rsidR="009802BD" w:rsidRDefault="009802BD" w:rsidP="004D24A1">
      <w:pPr>
        <w:ind w:firstLine="708"/>
        <w:jc w:val="both"/>
        <w:rPr>
          <w:rFonts w:ascii="Times New Roman" w:eastAsia="Times New Roman" w:hAnsi="Times New Roman"/>
          <w:sz w:val="28"/>
          <w:szCs w:val="28"/>
        </w:rPr>
      </w:pPr>
      <w:r w:rsidRPr="009802BD">
        <w:rPr>
          <w:rFonts w:ascii="Times New Roman" w:eastAsia="Times New Roman" w:hAnsi="Times New Roman"/>
          <w:sz w:val="28"/>
          <w:szCs w:val="28"/>
        </w:rPr>
        <w:t>И през настоящия отчетен период работата на прокурорите е била насочена към повишаване ефективността на прокурорската дейност, засилване надзора върху разследващите органи и подобряване на</w:t>
      </w:r>
      <w:r w:rsidRPr="009802BD">
        <w:rPr>
          <w:rFonts w:ascii="Times New Roman" w:eastAsia="Times New Roman" w:hAnsi="Times New Roman"/>
          <w:sz w:val="28"/>
          <w:szCs w:val="28"/>
          <w:lang w:val="en-US"/>
        </w:rPr>
        <w:t xml:space="preserve"> </w:t>
      </w:r>
      <w:r w:rsidRPr="009802BD">
        <w:rPr>
          <w:rFonts w:ascii="Times New Roman" w:eastAsia="Times New Roman" w:hAnsi="Times New Roman"/>
          <w:sz w:val="28"/>
          <w:szCs w:val="28"/>
        </w:rPr>
        <w:t>взаимодействието.</w:t>
      </w:r>
    </w:p>
    <w:p w:rsidR="00C5289F" w:rsidRDefault="00C5289F" w:rsidP="004D24A1">
      <w:pPr>
        <w:ind w:firstLine="708"/>
        <w:jc w:val="both"/>
        <w:rPr>
          <w:rFonts w:ascii="Times New Roman" w:eastAsia="Times New Roman" w:hAnsi="Times New Roman"/>
          <w:sz w:val="28"/>
          <w:szCs w:val="28"/>
        </w:rPr>
      </w:pPr>
    </w:p>
    <w:p w:rsidR="00867DD0" w:rsidRPr="00867DD0" w:rsidRDefault="00867DD0" w:rsidP="004D24A1">
      <w:pPr>
        <w:spacing w:after="0"/>
        <w:ind w:firstLine="708"/>
        <w:jc w:val="both"/>
        <w:rPr>
          <w:rFonts w:ascii="Times New Roman" w:hAnsi="Times New Roman"/>
          <w:b/>
          <w:sz w:val="28"/>
          <w:szCs w:val="28"/>
        </w:rPr>
      </w:pPr>
      <w:r w:rsidRPr="00867DD0">
        <w:rPr>
          <w:rFonts w:ascii="Times New Roman" w:hAnsi="Times New Roman"/>
          <w:b/>
          <w:sz w:val="28"/>
          <w:szCs w:val="28"/>
        </w:rPr>
        <w:t>II. СЪДЕБНА ФАЗА</w:t>
      </w:r>
    </w:p>
    <w:p w:rsidR="00867DD0" w:rsidRPr="00867DD0" w:rsidRDefault="00867DD0" w:rsidP="004D24A1">
      <w:pPr>
        <w:spacing w:after="0"/>
        <w:jc w:val="both"/>
        <w:rPr>
          <w:rFonts w:ascii="Times New Roman" w:hAnsi="Times New Roman"/>
          <w:b/>
          <w:sz w:val="28"/>
          <w:szCs w:val="28"/>
        </w:rPr>
      </w:pPr>
    </w:p>
    <w:p w:rsidR="00867DD0" w:rsidRPr="00867DD0" w:rsidRDefault="00867DD0" w:rsidP="004D24A1">
      <w:pPr>
        <w:spacing w:after="0"/>
        <w:jc w:val="both"/>
        <w:rPr>
          <w:rFonts w:ascii="Times New Roman" w:hAnsi="Times New Roman"/>
          <w:b/>
          <w:sz w:val="28"/>
          <w:szCs w:val="28"/>
        </w:rPr>
      </w:pPr>
      <w:r w:rsidRPr="00867DD0">
        <w:rPr>
          <w:rFonts w:ascii="Times New Roman" w:hAnsi="Times New Roman"/>
          <w:b/>
          <w:sz w:val="28"/>
          <w:szCs w:val="28"/>
        </w:rPr>
        <w:tab/>
        <w:t>1. Наказателно-съдебен надзор</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w:t>
      </w:r>
      <w:r w:rsidRPr="00867DD0">
        <w:rPr>
          <w:rFonts w:ascii="Times New Roman" w:hAnsi="Times New Roman"/>
          <w:sz w:val="28"/>
          <w:szCs w:val="28"/>
          <w:lang w:val="en-US"/>
        </w:rPr>
        <w:t>21</w:t>
      </w:r>
      <w:r w:rsidRPr="00867DD0">
        <w:rPr>
          <w:rFonts w:ascii="Times New Roman" w:hAnsi="Times New Roman"/>
          <w:sz w:val="28"/>
          <w:szCs w:val="28"/>
        </w:rPr>
        <w:t xml:space="preserve"> г. Софийска градска прокуратура и Софийска района прокуратура са внесли в софийските съдилища общо </w:t>
      </w:r>
      <w:r w:rsidRPr="00867DD0">
        <w:rPr>
          <w:rFonts w:ascii="Times New Roman" w:hAnsi="Times New Roman"/>
          <w:sz w:val="28"/>
          <w:szCs w:val="28"/>
          <w:lang w:val="en-US"/>
        </w:rPr>
        <w:t>3146</w:t>
      </w:r>
      <w:r w:rsidRPr="00867DD0">
        <w:rPr>
          <w:rFonts w:ascii="Times New Roman" w:hAnsi="Times New Roman"/>
          <w:sz w:val="28"/>
          <w:szCs w:val="28"/>
        </w:rPr>
        <w:t xml:space="preserve"> прокурорски актове. От тях СГП е внесла 486 броя прокуроски акта, а СРП - 266</w:t>
      </w:r>
      <w:r w:rsidRPr="00867DD0">
        <w:rPr>
          <w:rFonts w:ascii="Times New Roman" w:hAnsi="Times New Roman"/>
          <w:sz w:val="28"/>
          <w:szCs w:val="28"/>
          <w:lang w:val="en-US"/>
        </w:rPr>
        <w:t>0</w:t>
      </w:r>
      <w:r w:rsidRPr="00867DD0">
        <w:rPr>
          <w:rFonts w:ascii="Times New Roman" w:hAnsi="Times New Roman"/>
          <w:sz w:val="28"/>
          <w:szCs w:val="28"/>
        </w:rPr>
        <w:t xml:space="preserve"> броя.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lastRenderedPageBreak/>
        <w:t>Въз основа на тях в Софийски градски съд и в Софийски районен съд са образувани общо 3114 броя дела. От общия брой образувани дела, в СГС са образувани 454 броя, а в СРС те са 2660 броя.</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През 2020 г. Софийска градска прокуратура и Софийска района прокуратура са внесли в софийските съдилища общо 2817 прокурорски актове. От тях СГП е внесла 437 броя прокуроски акта, а СРП - 2380 броя.</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Въз основа на тях в Софийски градски съд и в Софийски районен съд са образувани общо 2801 броя дела. От общия брой образувани дела, в СГС са образувани 421 броя, а в СРС те са 2380 броя.</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През 2019 г. Софийска градска прокуратура и Софийска района прокуратура са внесли в софийските съдилища общо 3303 прокурорски актове. От тях СГП е внесла 406 броя прокуроски акта, а СРП - 2897 броя.</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 xml:space="preserve">Въз основа на тях </w:t>
      </w:r>
      <w:r w:rsidRPr="00867DD0">
        <w:rPr>
          <w:rFonts w:ascii="Times New Roman" w:hAnsi="Times New Roman"/>
          <w:sz w:val="28"/>
          <w:szCs w:val="28"/>
        </w:rPr>
        <w:t xml:space="preserve">през 2019 г. </w:t>
      </w:r>
      <w:r w:rsidRPr="00867DD0">
        <w:rPr>
          <w:rFonts w:ascii="Times New Roman" w:hAnsi="Times New Roman"/>
          <w:sz w:val="28"/>
          <w:szCs w:val="28"/>
          <w:lang w:val="en-US"/>
        </w:rPr>
        <w:t>в Софийски градски съд и в Софийски районен съд са образувани общо 3322 броя дела. От общия брой образувани дела, в СГС са образувани 425 броя, а в СРС те са 2897 броя.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Броят на внесените прокурорски актове през 2021 г. е по-висок с 32 броя от броя на делата,  образувани от съдилищата през 2021 г., тъй като има прокурорски актове, внесени в края на отчетния период, по които съответно са образувани дела през 2022 г.</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 Съотнесено по прокуратури показателят за 2021г. сочи, че е налице увеличаване броя на внесени в съда прокурорски актове от страна на СГП с 49 бр.  и увеличаване спрямо предходния период за СРП с 280 бр.</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отчетния период разгледаните и решени общо от двете съдилища дела са 3542 /</w:t>
      </w:r>
      <w:r w:rsidRPr="00867DD0">
        <w:t xml:space="preserve"> </w:t>
      </w:r>
      <w:r w:rsidRPr="00867DD0">
        <w:rPr>
          <w:rFonts w:ascii="Times New Roman" w:hAnsi="Times New Roman"/>
          <w:sz w:val="28"/>
          <w:szCs w:val="28"/>
        </w:rPr>
        <w:t>при 2794 дела за 2020 г. и при 3874 дела за 2019 г/. От тях за Софийски градски съд те са 559 броя дела, а за Софийски районен съд те са 2983 броя дела.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Разгледаните и решени общо от двете съдилища дела /3542 бр./ спрямо внесените прокурорски актове /3146 бр./ съставляват 112,59 %  /при 99,18 % за 2020г. и  при 117,3 %  за 2019 г.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Анализът на данните сочи  увеличаване на броя решени дела в рамките на отчетния период спрямо внесените, в сравнение с предходната година.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отчетния период за района на СГП и СРП са постановени 2520 съдебни акта по обвинителни актове /400 броя за СГП и 2120 броя за СРП/.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тях осъдителни присъди са 661 броя /на СГС - 119 броя, на СРС - 542 броя/.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2020г. за района на СГП и СРП са постановени 2014 съдебни акта по обвинителни актове /368 броя за СГП и 1646 броя за СРП/.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тях осъдителни присъди са 606 броя /на СГС - 154 броя, на СРС - 452 броя/.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lastRenderedPageBreak/>
        <w:t xml:space="preserve">През 2019 г. за района на СГП и СРП са постановени 2790 съдебни акта по обвинителни актове /при 412 броя за СГП и 2378 броя за СРП/.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тях осъдителни присъди са 758 броя /на СГС - 151 броя, на СРС - 607 броя/.</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2021 г. общо  1249 дела са решени със споразумение в съдебната фаза /от тях СГС – 179 броя, за СРС – 1070 броя/.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същия период съдилищата са постановили 657 бр. съдебни решения по предложения за споразумения, от които 607 броя са одобрени.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Това съставлява 92,39  % от внесените предложения.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2020 г. общо 978 дела са решени със споразумение в съдебната фаза /от тях СГС – 130 броя, за СРС – 848 броя/.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същия период съдилищата са постановили 531 бр. съдебни решения по предложения за споразумения, от които 499 броя са одобрени.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Това съставлява 94 % от внесените предложения.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2019 г. общо 1273 дела са решени със споразумение в съдебната фаза /от тях СГС – 128 броя, за СРС – 1145 броя/.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същия период съдилищата са постановили 763 бр. съдебни решения по предложения за споразумения, от които 740 броя са одобрени.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Това съставлява 97 % от внесените предложения.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Предвид горепосоченото, през 2021 г. се наблюдава увеличаване на стойностите спрямо 2020 г. и минимално намаление спрямо 2019 г.</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През 202</w:t>
      </w:r>
      <w:r w:rsidRPr="00867DD0">
        <w:rPr>
          <w:rFonts w:ascii="Times New Roman" w:hAnsi="Times New Roman"/>
          <w:sz w:val="28"/>
          <w:szCs w:val="28"/>
        </w:rPr>
        <w:t>1</w:t>
      </w:r>
      <w:r w:rsidRPr="00867DD0">
        <w:rPr>
          <w:rFonts w:ascii="Times New Roman" w:hAnsi="Times New Roman"/>
          <w:sz w:val="28"/>
          <w:szCs w:val="28"/>
          <w:lang w:val="en-US"/>
        </w:rPr>
        <w:t xml:space="preserve">г., от общо </w:t>
      </w:r>
      <w:r w:rsidRPr="00867DD0">
        <w:rPr>
          <w:rFonts w:ascii="Times New Roman" w:hAnsi="Times New Roman"/>
          <w:sz w:val="28"/>
          <w:szCs w:val="28"/>
        </w:rPr>
        <w:t>50</w:t>
      </w:r>
      <w:r w:rsidRPr="00867DD0">
        <w:rPr>
          <w:rFonts w:ascii="Times New Roman" w:hAnsi="Times New Roman"/>
          <w:sz w:val="28"/>
          <w:szCs w:val="28"/>
          <w:lang w:val="en-US"/>
        </w:rPr>
        <w:t xml:space="preserve"> неодобрени от съда споразумения</w:t>
      </w:r>
      <w:r w:rsidRPr="00867DD0">
        <w:rPr>
          <w:rFonts w:ascii="Times New Roman" w:hAnsi="Times New Roman"/>
          <w:sz w:val="28"/>
          <w:szCs w:val="28"/>
        </w:rPr>
        <w:t xml:space="preserve"> 15</w:t>
      </w:r>
      <w:r w:rsidRPr="00867DD0">
        <w:rPr>
          <w:rFonts w:ascii="Times New Roman" w:hAnsi="Times New Roman"/>
          <w:sz w:val="28"/>
          <w:szCs w:val="28"/>
          <w:lang w:val="en-US"/>
        </w:rPr>
        <w:t xml:space="preserve"> броя споразумения не са одобрени поради нарушение на чл. 381 ал.2 и ал.3 от НПК.</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 xml:space="preserve">За останалите </w:t>
      </w:r>
      <w:r w:rsidRPr="00867DD0">
        <w:rPr>
          <w:rFonts w:ascii="Times New Roman" w:hAnsi="Times New Roman"/>
          <w:sz w:val="28"/>
          <w:szCs w:val="28"/>
        </w:rPr>
        <w:t>3</w:t>
      </w:r>
      <w:r w:rsidRPr="00867DD0">
        <w:rPr>
          <w:rFonts w:ascii="Times New Roman" w:hAnsi="Times New Roman"/>
          <w:sz w:val="28"/>
          <w:szCs w:val="28"/>
          <w:lang w:val="en-US"/>
        </w:rPr>
        <w:t xml:space="preserve">5 неодобрени споразумения се налага изводът, че отказът на съда да ги одобри е обусловен предимно от несъгласие с размера на наложените наказания. </w:t>
      </w:r>
      <w:r w:rsidRPr="00867DD0">
        <w:rPr>
          <w:rFonts w:ascii="Times New Roman" w:hAnsi="Times New Roman"/>
          <w:sz w:val="28"/>
          <w:szCs w:val="28"/>
        </w:rPr>
        <w:t xml:space="preserve">Това </w:t>
      </w:r>
      <w:r w:rsidRPr="00867DD0">
        <w:rPr>
          <w:rFonts w:ascii="Times New Roman" w:hAnsi="Times New Roman"/>
          <w:sz w:val="28"/>
          <w:szCs w:val="28"/>
          <w:lang w:val="en-US"/>
        </w:rPr>
        <w:t>до голяма степен е субективен фактор</w:t>
      </w:r>
      <w:r w:rsidRPr="00867DD0">
        <w:rPr>
          <w:rFonts w:ascii="Times New Roman" w:hAnsi="Times New Roman"/>
          <w:sz w:val="28"/>
          <w:szCs w:val="28"/>
        </w:rPr>
        <w:t xml:space="preserve"> и</w:t>
      </w:r>
      <w:r w:rsidRPr="00867DD0">
        <w:rPr>
          <w:rFonts w:ascii="Times New Roman" w:hAnsi="Times New Roman"/>
          <w:sz w:val="28"/>
          <w:szCs w:val="28"/>
          <w:lang w:val="en-US"/>
        </w:rPr>
        <w:t xml:space="preserve"> не би следвало данните по този показател априорно да се вменят като негатив на прокуратурата.</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През 2020г., от общо 32 неодобрени от съда споразумения 7 броя споразумения не са одобрени поради нарушение на чл. 381 ал.2 и ал.3 от НПК.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2019г., от общо 23 неодобрени от съда споразумения само 3 броя споразумения не са одобрени поради нарушение на чл. 381 ал.2 и ал.3 от НПК.</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lastRenderedPageBreak/>
        <w:t>През 202</w:t>
      </w:r>
      <w:r w:rsidRPr="00867DD0">
        <w:rPr>
          <w:rFonts w:ascii="Times New Roman" w:hAnsi="Times New Roman"/>
          <w:sz w:val="28"/>
          <w:szCs w:val="28"/>
        </w:rPr>
        <w:t>1</w:t>
      </w:r>
      <w:r w:rsidRPr="00867DD0">
        <w:rPr>
          <w:rFonts w:ascii="Times New Roman" w:hAnsi="Times New Roman"/>
          <w:sz w:val="28"/>
          <w:szCs w:val="28"/>
          <w:lang w:val="en-US"/>
        </w:rPr>
        <w:t xml:space="preserve"> г. Софийска градска и Софийска районна прокуратури са внесли общо 3</w:t>
      </w:r>
      <w:r w:rsidRPr="00867DD0">
        <w:rPr>
          <w:rFonts w:ascii="Times New Roman" w:hAnsi="Times New Roman"/>
          <w:sz w:val="28"/>
          <w:szCs w:val="28"/>
        </w:rPr>
        <w:t>6</w:t>
      </w:r>
      <w:r w:rsidRPr="00867DD0">
        <w:rPr>
          <w:rFonts w:ascii="Times New Roman" w:hAnsi="Times New Roman"/>
          <w:sz w:val="28"/>
          <w:szCs w:val="28"/>
          <w:lang w:val="en-US"/>
        </w:rPr>
        <w:t xml:space="preserve">2 предложения за освобождаване от наказателна отговорност по реда на чл. 78а от НК. По тях Софийски градски съд и Софийски районен съд са постановили общо </w:t>
      </w:r>
      <w:r w:rsidRPr="00867DD0">
        <w:rPr>
          <w:rFonts w:ascii="Times New Roman" w:hAnsi="Times New Roman"/>
          <w:sz w:val="28"/>
          <w:szCs w:val="28"/>
        </w:rPr>
        <w:t>365</w:t>
      </w:r>
      <w:r w:rsidRPr="00867DD0">
        <w:rPr>
          <w:rFonts w:ascii="Times New Roman" w:hAnsi="Times New Roman"/>
          <w:sz w:val="28"/>
          <w:szCs w:val="28"/>
          <w:lang w:val="en-US"/>
        </w:rPr>
        <w:t xml:space="preserve"> решения, </w:t>
      </w:r>
      <w:r w:rsidRPr="00867DD0">
        <w:rPr>
          <w:rFonts w:ascii="Times New Roman" w:hAnsi="Times New Roman"/>
          <w:sz w:val="28"/>
          <w:szCs w:val="28"/>
        </w:rPr>
        <w:t>270</w:t>
      </w:r>
      <w:r w:rsidRPr="00867DD0">
        <w:rPr>
          <w:rFonts w:ascii="Times New Roman" w:hAnsi="Times New Roman"/>
          <w:sz w:val="28"/>
          <w:szCs w:val="28"/>
          <w:lang w:val="en-US"/>
        </w:rPr>
        <w:t xml:space="preserve"> броя от които са санкционни решения т.е. 7</w:t>
      </w:r>
      <w:r w:rsidRPr="00867DD0">
        <w:rPr>
          <w:rFonts w:ascii="Times New Roman" w:hAnsi="Times New Roman"/>
          <w:sz w:val="28"/>
          <w:szCs w:val="28"/>
        </w:rPr>
        <w:t>3</w:t>
      </w:r>
      <w:r w:rsidRPr="00867DD0">
        <w:rPr>
          <w:rFonts w:ascii="Times New Roman" w:hAnsi="Times New Roman"/>
          <w:sz w:val="28"/>
          <w:szCs w:val="28"/>
          <w:lang w:val="en-US"/>
        </w:rPr>
        <w:t>,</w:t>
      </w:r>
      <w:r w:rsidRPr="00867DD0">
        <w:rPr>
          <w:rFonts w:ascii="Times New Roman" w:hAnsi="Times New Roman"/>
          <w:sz w:val="28"/>
          <w:szCs w:val="28"/>
        </w:rPr>
        <w:t>97</w:t>
      </w:r>
      <w:r w:rsidRPr="00867DD0">
        <w:rPr>
          <w:rFonts w:ascii="Times New Roman" w:hAnsi="Times New Roman"/>
          <w:sz w:val="28"/>
          <w:szCs w:val="28"/>
          <w:lang w:val="en-US"/>
        </w:rPr>
        <w:t xml:space="preserve"> %.</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През 2020 г. Софийска градска и Софийска районна прокуратури са внесли общо 322 предложения за освобождаване от наказателна отговорност по реда на чл. 78а от НК. По тях Софийски градски съд и Софийски районен съд са постановили общо 249 решения, 192 броя от които са санкционни решения т.е. 77,11 %.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2019г. Софийска градска и Софийска районна прокуратури са внесли общо 359 предложения за освобождаване от наказателна отговорност по реда на чл. 78а от НК.</w:t>
      </w:r>
      <w:r w:rsidRPr="00867DD0">
        <w:rPr>
          <w:rFonts w:ascii="Times New Roman" w:hAnsi="Times New Roman"/>
          <w:sz w:val="28"/>
          <w:szCs w:val="28"/>
          <w:lang w:val="en-US"/>
        </w:rPr>
        <w:t xml:space="preserve"> </w:t>
      </w:r>
      <w:r w:rsidRPr="00867DD0">
        <w:rPr>
          <w:rFonts w:ascii="Times New Roman" w:hAnsi="Times New Roman"/>
          <w:sz w:val="28"/>
          <w:szCs w:val="28"/>
        </w:rPr>
        <w:t>По тях Софийски градски съд и Софийски районен съд са постановили общо 321 решения, 231 броя от които са санкционни решения т.е. 71,96 %.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Горните данни сочат леко повишение  по този показател  за 2021 г. спрямо 2019 г. </w:t>
      </w:r>
    </w:p>
    <w:p w:rsidR="00867DD0" w:rsidRPr="00867DD0" w:rsidRDefault="00867DD0" w:rsidP="004D24A1">
      <w:pPr>
        <w:jc w:val="both"/>
        <w:rPr>
          <w:rFonts w:ascii="Times New Roman" w:hAnsi="Times New Roman"/>
          <w:sz w:val="28"/>
          <w:szCs w:val="28"/>
        </w:rPr>
      </w:pPr>
    </w:p>
    <w:p w:rsidR="00867DD0" w:rsidRPr="00867DD0" w:rsidRDefault="003515B0" w:rsidP="004D24A1">
      <w:pPr>
        <w:jc w:val="both"/>
        <w:rPr>
          <w:rFonts w:ascii="Times New Roman" w:hAnsi="Times New Roman"/>
          <w:sz w:val="28"/>
          <w:szCs w:val="28"/>
        </w:rPr>
      </w:pPr>
      <w:r w:rsidRPr="00867DD0">
        <w:rPr>
          <w:rFonts w:ascii="Times New Roman" w:hAnsi="Times New Roman"/>
          <w:noProof/>
          <w:sz w:val="28"/>
          <w:szCs w:val="28"/>
          <w:lang w:eastAsia="bg-BG"/>
        </w:rPr>
        <w:drawing>
          <wp:inline distT="0" distB="0" distL="0" distR="0" wp14:anchorId="5B535E15" wp14:editId="45121485">
            <wp:extent cx="5780599" cy="2679700"/>
            <wp:effectExtent l="0" t="0" r="10795" b="6350"/>
            <wp:docPr id="13" name="Об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общият брой на влезлите в сила наказания е 3580  /при 2792 влезли в сила наказания за 2020 г.  и при 3945 влезли в сила наказания за 2019 г./.</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се наблюдава увеличаване на броя на влезлите в сила наказания с около 28 % в сравнение с предходния отчетен период -2020 г.</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делът на осъдените и санкционирани лица - 2689, спрямо предадените на съд лица – общо 3378, представлява 79,6 %.</w:t>
      </w:r>
    </w:p>
    <w:p w:rsidR="00867DD0" w:rsidRPr="00867DD0" w:rsidRDefault="003515B0" w:rsidP="004D24A1">
      <w:pPr>
        <w:jc w:val="both"/>
        <w:rPr>
          <w:rFonts w:ascii="Times New Roman" w:hAnsi="Times New Roman"/>
          <w:sz w:val="28"/>
          <w:szCs w:val="28"/>
        </w:rPr>
      </w:pPr>
      <w:r w:rsidRPr="00867DD0">
        <w:rPr>
          <w:rFonts w:ascii="Times New Roman" w:hAnsi="Times New Roman"/>
          <w:noProof/>
          <w:sz w:val="28"/>
          <w:szCs w:val="28"/>
          <w:lang w:eastAsia="bg-BG"/>
        </w:rPr>
        <w:lastRenderedPageBreak/>
        <w:drawing>
          <wp:inline distT="0" distB="0" distL="0" distR="0" wp14:anchorId="284D2120" wp14:editId="5AE3A48D">
            <wp:extent cx="5804535" cy="2313940"/>
            <wp:effectExtent l="0" t="0" r="0" b="0"/>
            <wp:docPr id="14" name="Об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867DD0" w:rsidRPr="00867DD0">
        <w:rPr>
          <w:rFonts w:ascii="Times New Roman" w:hAnsi="Times New Roman"/>
          <w:sz w:val="28"/>
          <w:szCs w:val="28"/>
        </w:rPr>
        <w:tab/>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За сравнение, делът на осъдените и санкционирани лица през 2020 г.- 2136, спрямо предадените на съд лица – общо 3025, представлява 70,61 %. През 2019 г. делът на осъдените и санкционирани лица- 2953, спрямо предадените на съд лица – общо 3596,  е бил 82,12 %.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Сравнението на данните сочи увеличаване на броя на осъдените лица спрямо предадените на съд</w:t>
      </w:r>
      <w:r w:rsidRPr="00867DD0">
        <w:t xml:space="preserve"> </w:t>
      </w:r>
      <w:r w:rsidRPr="00867DD0">
        <w:rPr>
          <w:rFonts w:ascii="Times New Roman" w:hAnsi="Times New Roman"/>
          <w:sz w:val="28"/>
          <w:szCs w:val="28"/>
        </w:rPr>
        <w:t>през 2020 г.</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отчетния период са влезли в сила осъдителни и санкционни решения на съдилищата за 2689 лица /при 2136 за 2020 г. и при 2953 за 2019 г. /, т.е налице е увеличение на  общия брой лица по този показател в</w:t>
      </w:r>
      <w:r w:rsidRPr="00867DD0">
        <w:t xml:space="preserve"> </w:t>
      </w:r>
      <w:r w:rsidRPr="00867DD0">
        <w:rPr>
          <w:rFonts w:ascii="Times New Roman" w:hAnsi="Times New Roman"/>
          <w:sz w:val="28"/>
          <w:szCs w:val="28"/>
        </w:rPr>
        <w:t>сравнение с 2020 г. с 25, 89 % и намаляване на  общия брой лица по този показател в сравнение с 2019 г. с 8,94 %.</w:t>
      </w:r>
    </w:p>
    <w:p w:rsidR="00867DD0" w:rsidRPr="00867DD0" w:rsidRDefault="00867DD0" w:rsidP="004D24A1">
      <w:pPr>
        <w:ind w:right="-1"/>
        <w:jc w:val="both"/>
      </w:pPr>
      <w:r w:rsidRPr="00867DD0">
        <w:t xml:space="preserve">        </w:t>
      </w:r>
    </w:p>
    <w:p w:rsidR="00867DD0" w:rsidRPr="00867DD0" w:rsidRDefault="00867DD0" w:rsidP="004D24A1">
      <w:pPr>
        <w:ind w:right="-1"/>
        <w:jc w:val="both"/>
        <w:rPr>
          <w:rFonts w:ascii="Times New Roman" w:hAnsi="Times New Roman"/>
          <w:b/>
          <w:sz w:val="28"/>
          <w:szCs w:val="28"/>
        </w:rPr>
      </w:pPr>
      <w:r w:rsidRPr="00867DD0">
        <w:t xml:space="preserve">          </w:t>
      </w:r>
      <w:r w:rsidR="003515B0" w:rsidRPr="00867DD0">
        <w:rPr>
          <w:rFonts w:ascii="Times New Roman" w:hAnsi="Times New Roman"/>
          <w:b/>
          <w:noProof/>
          <w:sz w:val="28"/>
          <w:szCs w:val="28"/>
          <w:lang w:eastAsia="bg-BG"/>
        </w:rPr>
        <w:drawing>
          <wp:inline distT="0" distB="0" distL="0" distR="0" wp14:anchorId="31FC85C5" wp14:editId="1806FE4B">
            <wp:extent cx="5215890" cy="2520315"/>
            <wp:effectExtent l="0" t="0" r="0" b="0"/>
            <wp:docPr id="15" name="Об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7DD0" w:rsidRPr="00867DD0" w:rsidRDefault="00867DD0" w:rsidP="004D24A1">
      <w:pPr>
        <w:ind w:firstLine="708"/>
        <w:jc w:val="both"/>
        <w:rPr>
          <w:rFonts w:ascii="Times New Roman" w:hAnsi="Times New Roman"/>
          <w:b/>
          <w:sz w:val="28"/>
          <w:szCs w:val="28"/>
          <w:lang w:val="en-US"/>
        </w:rPr>
      </w:pPr>
    </w:p>
    <w:p w:rsidR="00867DD0" w:rsidRPr="00867DD0" w:rsidRDefault="00867DD0" w:rsidP="004D24A1">
      <w:pPr>
        <w:ind w:firstLine="708"/>
        <w:jc w:val="both"/>
        <w:rPr>
          <w:rFonts w:ascii="Times New Roman" w:hAnsi="Times New Roman"/>
          <w:b/>
          <w:sz w:val="28"/>
          <w:szCs w:val="28"/>
        </w:rPr>
      </w:pPr>
    </w:p>
    <w:p w:rsidR="00867DD0" w:rsidRPr="00867DD0" w:rsidRDefault="00867DD0" w:rsidP="004D24A1">
      <w:pPr>
        <w:ind w:firstLine="708"/>
        <w:jc w:val="both"/>
        <w:rPr>
          <w:rFonts w:ascii="Times New Roman" w:hAnsi="Times New Roman"/>
          <w:b/>
          <w:sz w:val="28"/>
          <w:szCs w:val="28"/>
        </w:rPr>
      </w:pPr>
    </w:p>
    <w:p w:rsidR="00867DD0" w:rsidRPr="00867DD0" w:rsidRDefault="00867DD0" w:rsidP="004D24A1">
      <w:pPr>
        <w:ind w:firstLine="708"/>
        <w:jc w:val="both"/>
        <w:rPr>
          <w:rFonts w:ascii="Times New Roman" w:hAnsi="Times New Roman"/>
          <w:b/>
          <w:sz w:val="28"/>
          <w:szCs w:val="28"/>
          <w:lang w:val="en-US"/>
        </w:rPr>
      </w:pPr>
      <w:r w:rsidRPr="00867DD0">
        <w:rPr>
          <w:rFonts w:ascii="Times New Roman" w:hAnsi="Times New Roman"/>
          <w:b/>
          <w:sz w:val="28"/>
          <w:szCs w:val="28"/>
        </w:rPr>
        <w:t>Осъдени и санкционирани лица с влязъл в сила съдебен акт по прокуратури за сравнителния период 2019 г. – 2021 г.</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За 202</w:t>
      </w:r>
      <w:r w:rsidRPr="00867DD0">
        <w:rPr>
          <w:rFonts w:ascii="Times New Roman" w:hAnsi="Times New Roman"/>
          <w:sz w:val="28"/>
          <w:szCs w:val="28"/>
        </w:rPr>
        <w:t>1</w:t>
      </w:r>
      <w:r w:rsidRPr="00867DD0">
        <w:rPr>
          <w:rFonts w:ascii="Times New Roman" w:hAnsi="Times New Roman"/>
          <w:sz w:val="28"/>
          <w:szCs w:val="28"/>
          <w:lang w:val="en-US"/>
        </w:rPr>
        <w:t xml:space="preserve"> г. структурата на осъдените с влязъл в сила съдебен акт лица, разпределена по глави от НК в процентно съотношение спрямо общия брой осъдени лица с влязъл в сила съдебен акт /</w:t>
      </w:r>
      <w:r w:rsidRPr="00867DD0">
        <w:rPr>
          <w:rFonts w:ascii="Times New Roman" w:hAnsi="Times New Roman"/>
          <w:sz w:val="28"/>
          <w:szCs w:val="28"/>
        </w:rPr>
        <w:t>2689</w:t>
      </w:r>
      <w:r w:rsidRPr="00867DD0">
        <w:rPr>
          <w:rFonts w:ascii="Times New Roman" w:hAnsi="Times New Roman"/>
          <w:sz w:val="28"/>
          <w:szCs w:val="28"/>
          <w:lang w:val="en-US"/>
        </w:rPr>
        <w:t xml:space="preserve">/, е следната: по Глава II – </w:t>
      </w:r>
      <w:r w:rsidRPr="00867DD0">
        <w:rPr>
          <w:rFonts w:ascii="Times New Roman" w:hAnsi="Times New Roman"/>
          <w:sz w:val="28"/>
          <w:szCs w:val="28"/>
        </w:rPr>
        <w:t>9</w:t>
      </w:r>
      <w:r w:rsidRPr="00867DD0">
        <w:rPr>
          <w:rFonts w:ascii="Times New Roman" w:hAnsi="Times New Roman"/>
          <w:sz w:val="28"/>
          <w:szCs w:val="28"/>
          <w:lang w:val="en-US"/>
        </w:rPr>
        <w:t>,7</w:t>
      </w:r>
      <w:r w:rsidRPr="00867DD0">
        <w:rPr>
          <w:rFonts w:ascii="Times New Roman" w:hAnsi="Times New Roman"/>
          <w:sz w:val="28"/>
          <w:szCs w:val="28"/>
        </w:rPr>
        <w:t>1</w:t>
      </w:r>
      <w:r w:rsidRPr="00867DD0">
        <w:rPr>
          <w:rFonts w:ascii="Times New Roman" w:hAnsi="Times New Roman"/>
          <w:sz w:val="28"/>
          <w:szCs w:val="28"/>
          <w:lang w:val="en-US"/>
        </w:rPr>
        <w:t xml:space="preserve"> %, по Глава III – 0,</w:t>
      </w:r>
      <w:r w:rsidRPr="00867DD0">
        <w:rPr>
          <w:rFonts w:ascii="Times New Roman" w:hAnsi="Times New Roman"/>
          <w:sz w:val="28"/>
          <w:szCs w:val="28"/>
        </w:rPr>
        <w:t>63</w:t>
      </w:r>
      <w:r w:rsidRPr="00867DD0">
        <w:rPr>
          <w:rFonts w:ascii="Times New Roman" w:hAnsi="Times New Roman"/>
          <w:sz w:val="28"/>
          <w:szCs w:val="28"/>
          <w:lang w:val="en-US"/>
        </w:rPr>
        <w:t xml:space="preserve"> %, по Глава IV – </w:t>
      </w:r>
      <w:r w:rsidRPr="00867DD0">
        <w:rPr>
          <w:rFonts w:ascii="Times New Roman" w:hAnsi="Times New Roman"/>
          <w:sz w:val="28"/>
          <w:szCs w:val="28"/>
        </w:rPr>
        <w:t>2</w:t>
      </w:r>
      <w:r w:rsidRPr="00867DD0">
        <w:rPr>
          <w:rFonts w:ascii="Times New Roman" w:hAnsi="Times New Roman"/>
          <w:sz w:val="28"/>
          <w:szCs w:val="28"/>
          <w:lang w:val="en-US"/>
        </w:rPr>
        <w:t>,</w:t>
      </w:r>
      <w:r w:rsidRPr="00867DD0">
        <w:rPr>
          <w:rFonts w:ascii="Times New Roman" w:hAnsi="Times New Roman"/>
          <w:sz w:val="28"/>
          <w:szCs w:val="28"/>
        </w:rPr>
        <w:t>12</w:t>
      </w:r>
      <w:r w:rsidRPr="00867DD0">
        <w:rPr>
          <w:rFonts w:ascii="Times New Roman" w:hAnsi="Times New Roman"/>
          <w:sz w:val="28"/>
          <w:szCs w:val="28"/>
          <w:lang w:val="en-US"/>
        </w:rPr>
        <w:t xml:space="preserve"> %, по Глава V – </w:t>
      </w:r>
      <w:r w:rsidRPr="00867DD0">
        <w:rPr>
          <w:rFonts w:ascii="Times New Roman" w:hAnsi="Times New Roman"/>
          <w:sz w:val="28"/>
          <w:szCs w:val="28"/>
        </w:rPr>
        <w:t>28</w:t>
      </w:r>
      <w:r w:rsidRPr="00867DD0">
        <w:rPr>
          <w:rFonts w:ascii="Times New Roman" w:hAnsi="Times New Roman"/>
          <w:sz w:val="28"/>
          <w:szCs w:val="28"/>
          <w:lang w:val="en-US"/>
        </w:rPr>
        <w:t>,</w:t>
      </w:r>
      <w:r w:rsidRPr="00867DD0">
        <w:rPr>
          <w:rFonts w:ascii="Times New Roman" w:hAnsi="Times New Roman"/>
          <w:sz w:val="28"/>
          <w:szCs w:val="28"/>
        </w:rPr>
        <w:t>97</w:t>
      </w:r>
      <w:r w:rsidRPr="00867DD0">
        <w:rPr>
          <w:rFonts w:ascii="Times New Roman" w:hAnsi="Times New Roman"/>
          <w:sz w:val="28"/>
          <w:szCs w:val="28"/>
          <w:lang w:val="en-US"/>
        </w:rPr>
        <w:t xml:space="preserve"> %, по Глава VI – </w:t>
      </w:r>
      <w:r w:rsidRPr="00867DD0">
        <w:rPr>
          <w:rFonts w:ascii="Times New Roman" w:hAnsi="Times New Roman"/>
          <w:sz w:val="28"/>
          <w:szCs w:val="28"/>
        </w:rPr>
        <w:t>3</w:t>
      </w:r>
      <w:r w:rsidRPr="00867DD0">
        <w:rPr>
          <w:rFonts w:ascii="Times New Roman" w:hAnsi="Times New Roman"/>
          <w:sz w:val="28"/>
          <w:szCs w:val="28"/>
          <w:lang w:val="en-US"/>
        </w:rPr>
        <w:t>,</w:t>
      </w:r>
      <w:r w:rsidRPr="00867DD0">
        <w:rPr>
          <w:rFonts w:ascii="Times New Roman" w:hAnsi="Times New Roman"/>
          <w:sz w:val="28"/>
          <w:szCs w:val="28"/>
        </w:rPr>
        <w:t>05</w:t>
      </w:r>
      <w:r w:rsidRPr="00867DD0">
        <w:rPr>
          <w:rFonts w:ascii="Times New Roman" w:hAnsi="Times New Roman"/>
          <w:sz w:val="28"/>
          <w:szCs w:val="28"/>
          <w:lang w:val="en-US"/>
        </w:rPr>
        <w:t xml:space="preserve"> %, по Глава VII – 0,6</w:t>
      </w:r>
      <w:r w:rsidRPr="00867DD0">
        <w:rPr>
          <w:rFonts w:ascii="Times New Roman" w:hAnsi="Times New Roman"/>
          <w:sz w:val="28"/>
          <w:szCs w:val="28"/>
        </w:rPr>
        <w:t>3</w:t>
      </w:r>
      <w:r w:rsidRPr="00867DD0">
        <w:rPr>
          <w:rFonts w:ascii="Times New Roman" w:hAnsi="Times New Roman"/>
          <w:sz w:val="28"/>
          <w:szCs w:val="28"/>
          <w:lang w:val="en-US"/>
        </w:rPr>
        <w:t xml:space="preserve"> %, по Глава VIII – 1,</w:t>
      </w:r>
      <w:r w:rsidRPr="00867DD0">
        <w:rPr>
          <w:rFonts w:ascii="Times New Roman" w:hAnsi="Times New Roman"/>
          <w:sz w:val="28"/>
          <w:szCs w:val="28"/>
        </w:rPr>
        <w:t>82</w:t>
      </w:r>
      <w:r w:rsidRPr="00867DD0">
        <w:rPr>
          <w:rFonts w:ascii="Times New Roman" w:hAnsi="Times New Roman"/>
          <w:sz w:val="28"/>
          <w:szCs w:val="28"/>
          <w:lang w:val="en-US"/>
        </w:rPr>
        <w:t xml:space="preserve"> %, по Глава IX – 3,</w:t>
      </w:r>
      <w:r w:rsidRPr="00867DD0">
        <w:rPr>
          <w:rFonts w:ascii="Times New Roman" w:hAnsi="Times New Roman"/>
          <w:sz w:val="28"/>
          <w:szCs w:val="28"/>
        </w:rPr>
        <w:t>68</w:t>
      </w:r>
      <w:r w:rsidRPr="00867DD0">
        <w:rPr>
          <w:rFonts w:ascii="Times New Roman" w:hAnsi="Times New Roman"/>
          <w:sz w:val="28"/>
          <w:szCs w:val="28"/>
          <w:lang w:val="en-US"/>
        </w:rPr>
        <w:t xml:space="preserve"> %, по Глава Х – 3,1</w:t>
      </w:r>
      <w:r w:rsidRPr="00867DD0">
        <w:rPr>
          <w:rFonts w:ascii="Times New Roman" w:hAnsi="Times New Roman"/>
          <w:sz w:val="28"/>
          <w:szCs w:val="28"/>
        </w:rPr>
        <w:t>6</w:t>
      </w:r>
      <w:r w:rsidRPr="00867DD0">
        <w:rPr>
          <w:rFonts w:ascii="Times New Roman" w:hAnsi="Times New Roman"/>
          <w:sz w:val="28"/>
          <w:szCs w:val="28"/>
          <w:lang w:val="en-US"/>
        </w:rPr>
        <w:t xml:space="preserve"> % и по Глава XI – 4</w:t>
      </w:r>
      <w:r w:rsidRPr="00867DD0">
        <w:rPr>
          <w:rFonts w:ascii="Times New Roman" w:hAnsi="Times New Roman"/>
          <w:sz w:val="28"/>
          <w:szCs w:val="28"/>
        </w:rPr>
        <w:t>6</w:t>
      </w:r>
      <w:r w:rsidRPr="00867DD0">
        <w:rPr>
          <w:rFonts w:ascii="Times New Roman" w:hAnsi="Times New Roman"/>
          <w:sz w:val="28"/>
          <w:szCs w:val="28"/>
          <w:lang w:val="en-US"/>
        </w:rPr>
        <w:t>,</w:t>
      </w:r>
      <w:r w:rsidRPr="00867DD0">
        <w:rPr>
          <w:rFonts w:ascii="Times New Roman" w:hAnsi="Times New Roman"/>
          <w:sz w:val="28"/>
          <w:szCs w:val="28"/>
        </w:rPr>
        <w:t>22</w:t>
      </w:r>
      <w:r w:rsidRPr="00867DD0">
        <w:rPr>
          <w:rFonts w:ascii="Times New Roman" w:hAnsi="Times New Roman"/>
          <w:sz w:val="28"/>
          <w:szCs w:val="28"/>
          <w:lang w:val="en-US"/>
        </w:rPr>
        <w:t xml:space="preserve"> %.</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lang w:val="en-US"/>
        </w:rPr>
        <w:t>За 2020 г. структурата на осъдените с влязъл в сила съдебен акт лица, разпределена по глави от НК в процентно съотношение спрямо общия брой осъдени лица с влязъл в сила съдебен акт /2136/, е следната: по Глава II – 12,17 %, по Глава III – 0,80 %, по Глава IV – 1,54 %, по Глава V – 31,88 %, по Глава VI – 2,86 %, по Глава VII – 0,66 %, по Глава VIII – 1,69 %, по Глава IX – 3,89 %, по Глава Х – 3,51 % и по Глава XI – 41,01 %.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За 2019 г. структурата на осъдените с влязъл в сила съдебен акт лица, разпределена по глави от НК в процентно съотношение спрямо общия брой осъдени лица с влязъл в сила съдебен акт /2953/, е следната: по Глава II – 10,8 %, по Глава III – 0,47 %, по Глава IV – 0,98 %, по Глава V – 31,36 %, по Глава VI –3,42 %, по Глава VII – 0,34 %, по Глава VIII – 2,51 %, по Глава IX – 4,84 %, по Глава Х – 3,49 % и по Глава XI – 41,79 %.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се запазва трайната тенденция най-голям да е делът на наказаната престъпност по Глава XI от НК - 46,22 % следван от този по Глава V от НК - 28,97 %.</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rPr>
        <w:t>През 2020 г. също най-голям е делът на наказаната престъпност по Глава XI от НК - 41,</w:t>
      </w:r>
      <w:r w:rsidRPr="00867DD0">
        <w:rPr>
          <w:rFonts w:ascii="Times New Roman" w:hAnsi="Times New Roman"/>
          <w:sz w:val="28"/>
          <w:szCs w:val="28"/>
          <w:lang w:val="en-US"/>
        </w:rPr>
        <w:t>01</w:t>
      </w:r>
      <w:r w:rsidRPr="00867DD0">
        <w:rPr>
          <w:rFonts w:ascii="Times New Roman" w:hAnsi="Times New Roman"/>
          <w:sz w:val="28"/>
          <w:szCs w:val="28"/>
        </w:rPr>
        <w:t xml:space="preserve"> % следван от този по Глава V от НК - 31,</w:t>
      </w:r>
      <w:r w:rsidRPr="00867DD0">
        <w:rPr>
          <w:rFonts w:ascii="Times New Roman" w:hAnsi="Times New Roman"/>
          <w:sz w:val="28"/>
          <w:szCs w:val="28"/>
          <w:lang w:val="en-US"/>
        </w:rPr>
        <w:t>88</w:t>
      </w:r>
      <w:r w:rsidRPr="00867DD0">
        <w:rPr>
          <w:rFonts w:ascii="Times New Roman" w:hAnsi="Times New Roman"/>
          <w:sz w:val="28"/>
          <w:szCs w:val="28"/>
        </w:rPr>
        <w:t xml:space="preserve"> %.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 г. отново най-голям е делът на наказаната престъпност по Глава XI от НК - 41,79 % следван от този по Глава V от НК - 31,36 %.</w:t>
      </w:r>
    </w:p>
    <w:p w:rsidR="00867DD0" w:rsidRPr="00867DD0" w:rsidRDefault="00867DD0" w:rsidP="004D24A1">
      <w:pPr>
        <w:spacing w:after="0"/>
        <w:ind w:firstLine="709"/>
        <w:jc w:val="both"/>
        <w:rPr>
          <w:rFonts w:ascii="Times New Roman" w:hAnsi="Times New Roman"/>
          <w:sz w:val="28"/>
          <w:szCs w:val="28"/>
          <w:lang w:val="en-US"/>
        </w:rPr>
      </w:pPr>
    </w:p>
    <w:p w:rsidR="00867DD0" w:rsidRPr="00867DD0" w:rsidRDefault="003515B0" w:rsidP="004D24A1">
      <w:pPr>
        <w:jc w:val="both"/>
        <w:rPr>
          <w:rFonts w:ascii="Times New Roman" w:hAnsi="Times New Roman"/>
          <w:sz w:val="28"/>
          <w:szCs w:val="28"/>
        </w:rPr>
      </w:pPr>
      <w:r w:rsidRPr="00867DD0">
        <w:rPr>
          <w:rFonts w:ascii="Times New Roman" w:hAnsi="Times New Roman"/>
          <w:noProof/>
          <w:sz w:val="28"/>
          <w:szCs w:val="28"/>
          <w:lang w:eastAsia="bg-BG"/>
        </w:rPr>
        <w:lastRenderedPageBreak/>
        <w:drawing>
          <wp:inline distT="0" distB="0" distL="0" distR="0" wp14:anchorId="3FA4926F" wp14:editId="1617F4C9">
            <wp:extent cx="5868035" cy="2997835"/>
            <wp:effectExtent l="0" t="0" r="0" b="0"/>
            <wp:docPr id="16" name="Об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7DD0" w:rsidRPr="00867DD0" w:rsidRDefault="00867DD0" w:rsidP="004D24A1">
      <w:pPr>
        <w:jc w:val="both"/>
        <w:rPr>
          <w:rFonts w:ascii="Times New Roman" w:hAnsi="Times New Roman"/>
          <w:sz w:val="28"/>
          <w:szCs w:val="28"/>
        </w:rPr>
      </w:pPr>
    </w:p>
    <w:tbl>
      <w:tblPr>
        <w:tblpPr w:leftFromText="141" w:rightFromText="141" w:vertAnchor="text" w:horzAnchor="margin" w:tblpX="-72" w:tblpY="-2"/>
        <w:tblOverlap w:val="never"/>
        <w:tblW w:w="9284" w:type="dxa"/>
        <w:tblCellMar>
          <w:left w:w="70" w:type="dxa"/>
          <w:right w:w="70" w:type="dxa"/>
        </w:tblCellMar>
        <w:tblLook w:val="0000" w:firstRow="0" w:lastRow="0" w:firstColumn="0" w:lastColumn="0" w:noHBand="0" w:noVBand="0"/>
      </w:tblPr>
      <w:tblGrid>
        <w:gridCol w:w="1402"/>
        <w:gridCol w:w="1440"/>
        <w:gridCol w:w="844"/>
        <w:gridCol w:w="1080"/>
        <w:gridCol w:w="900"/>
        <w:gridCol w:w="1080"/>
        <w:gridCol w:w="1080"/>
        <w:gridCol w:w="1458"/>
      </w:tblGrid>
      <w:tr w:rsidR="00867DD0" w:rsidRPr="00867DD0" w:rsidTr="00DD1D27">
        <w:trPr>
          <w:trHeight w:val="255"/>
        </w:trPr>
        <w:tc>
          <w:tcPr>
            <w:tcW w:w="1402"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867DD0" w:rsidRPr="00867DD0" w:rsidRDefault="00867DD0" w:rsidP="004D24A1">
            <w:pPr>
              <w:jc w:val="center"/>
              <w:rPr>
                <w:rFonts w:ascii="Times New Roman" w:hAnsi="Times New Roman"/>
              </w:rPr>
            </w:pPr>
            <w:r w:rsidRPr="00867DD0">
              <w:rPr>
                <w:rFonts w:ascii="Times New Roman" w:hAnsi="Times New Roman"/>
              </w:rPr>
              <w:t>Глава</w:t>
            </w:r>
          </w:p>
          <w:p w:rsidR="00867DD0" w:rsidRPr="00867DD0" w:rsidRDefault="00867DD0" w:rsidP="004D24A1">
            <w:pPr>
              <w:jc w:val="center"/>
              <w:rPr>
                <w:rFonts w:ascii="Times New Roman" w:hAnsi="Times New Roman"/>
              </w:rPr>
            </w:pPr>
            <w:r w:rsidRPr="00867DD0">
              <w:rPr>
                <w:rFonts w:ascii="Times New Roman" w:hAnsi="Times New Roman"/>
              </w:rPr>
              <w:t>от НК</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867DD0" w:rsidRPr="00867DD0" w:rsidRDefault="00867DD0" w:rsidP="004D24A1">
            <w:pPr>
              <w:spacing w:after="0"/>
              <w:jc w:val="center"/>
              <w:rPr>
                <w:rFonts w:ascii="Times New Roman" w:hAnsi="Times New Roman"/>
              </w:rPr>
            </w:pPr>
            <w:r w:rsidRPr="00867DD0">
              <w:rPr>
                <w:rFonts w:ascii="Times New Roman" w:hAnsi="Times New Roman"/>
              </w:rPr>
              <w:t>осъдени и санкционирани лица с влязъл в сила съдебен акт</w:t>
            </w:r>
          </w:p>
        </w:tc>
        <w:tc>
          <w:tcPr>
            <w:tcW w:w="6442" w:type="dxa"/>
            <w:gridSpan w:val="6"/>
            <w:tcBorders>
              <w:top w:val="single" w:sz="4" w:space="0" w:color="auto"/>
              <w:left w:val="nil"/>
              <w:bottom w:val="single" w:sz="4" w:space="0" w:color="auto"/>
              <w:right w:val="single" w:sz="4" w:space="0" w:color="auto"/>
            </w:tcBorders>
            <w:shd w:val="clear" w:color="auto" w:fill="C0C0C0"/>
            <w:noWrap/>
            <w:vAlign w:val="center"/>
          </w:tcPr>
          <w:p w:rsidR="00867DD0" w:rsidRPr="00867DD0" w:rsidRDefault="00867DD0" w:rsidP="004D24A1">
            <w:pPr>
              <w:jc w:val="center"/>
              <w:rPr>
                <w:rFonts w:ascii="Times New Roman" w:hAnsi="Times New Roman"/>
              </w:rPr>
            </w:pPr>
            <w:r w:rsidRPr="00867DD0">
              <w:rPr>
                <w:rFonts w:ascii="Times New Roman" w:hAnsi="Times New Roman"/>
              </w:rPr>
              <w:t>наложени наказания влезли в сила съд.актове</w:t>
            </w:r>
          </w:p>
        </w:tc>
      </w:tr>
      <w:tr w:rsidR="00867DD0" w:rsidRPr="00867DD0" w:rsidTr="00DD1D27">
        <w:trPr>
          <w:trHeight w:val="2205"/>
        </w:trPr>
        <w:tc>
          <w:tcPr>
            <w:tcW w:w="1402" w:type="dxa"/>
            <w:vMerge/>
            <w:tcBorders>
              <w:top w:val="single" w:sz="4" w:space="0" w:color="auto"/>
              <w:left w:val="single" w:sz="4" w:space="0" w:color="auto"/>
              <w:bottom w:val="single" w:sz="4" w:space="0" w:color="auto"/>
              <w:right w:val="single" w:sz="4" w:space="0" w:color="auto"/>
            </w:tcBorders>
            <w:vAlign w:val="center"/>
          </w:tcPr>
          <w:p w:rsidR="00867DD0" w:rsidRPr="00867DD0" w:rsidRDefault="00867DD0" w:rsidP="004D24A1">
            <w:pPr>
              <w:jc w:val="center"/>
              <w:rPr>
                <w:rFonts w:ascii="Times New Roman" w:hAnsi="Times New Roman"/>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867DD0" w:rsidRPr="00867DD0" w:rsidRDefault="00867DD0" w:rsidP="004D24A1">
            <w:pPr>
              <w:jc w:val="center"/>
              <w:rPr>
                <w:rFonts w:ascii="Times New Roman" w:hAnsi="Times New Roman"/>
              </w:rPr>
            </w:pPr>
          </w:p>
        </w:tc>
        <w:tc>
          <w:tcPr>
            <w:tcW w:w="844" w:type="dxa"/>
            <w:tcBorders>
              <w:top w:val="nil"/>
              <w:left w:val="nil"/>
              <w:bottom w:val="single" w:sz="4" w:space="0" w:color="auto"/>
              <w:right w:val="single" w:sz="4" w:space="0" w:color="auto"/>
            </w:tcBorders>
            <w:shd w:val="clear" w:color="auto" w:fill="C0C0C0"/>
            <w:textDirection w:val="btLr"/>
            <w:vAlign w:val="center"/>
          </w:tcPr>
          <w:p w:rsidR="00867DD0" w:rsidRPr="00867DD0" w:rsidRDefault="00867DD0" w:rsidP="004D24A1">
            <w:pPr>
              <w:jc w:val="center"/>
              <w:rPr>
                <w:rFonts w:ascii="Times New Roman" w:hAnsi="Times New Roman"/>
              </w:rPr>
            </w:pPr>
            <w:r w:rsidRPr="00867DD0">
              <w:rPr>
                <w:rFonts w:ascii="Times New Roman" w:hAnsi="Times New Roman"/>
              </w:rPr>
              <w:t>доживотен затвор без замяна</w:t>
            </w:r>
          </w:p>
        </w:tc>
        <w:tc>
          <w:tcPr>
            <w:tcW w:w="1080" w:type="dxa"/>
            <w:tcBorders>
              <w:top w:val="nil"/>
              <w:left w:val="nil"/>
              <w:bottom w:val="single" w:sz="4" w:space="0" w:color="auto"/>
              <w:right w:val="single" w:sz="4" w:space="0" w:color="auto"/>
            </w:tcBorders>
            <w:shd w:val="clear" w:color="auto" w:fill="C0C0C0"/>
            <w:textDirection w:val="btLr"/>
            <w:vAlign w:val="center"/>
          </w:tcPr>
          <w:p w:rsidR="00867DD0" w:rsidRPr="00867DD0" w:rsidRDefault="00867DD0" w:rsidP="004D24A1">
            <w:pPr>
              <w:jc w:val="center"/>
              <w:rPr>
                <w:rFonts w:ascii="Times New Roman" w:hAnsi="Times New Roman"/>
              </w:rPr>
            </w:pPr>
            <w:r w:rsidRPr="00867DD0">
              <w:rPr>
                <w:rFonts w:ascii="Times New Roman" w:hAnsi="Times New Roman"/>
              </w:rPr>
              <w:t>доживотен затвор</w:t>
            </w:r>
          </w:p>
        </w:tc>
        <w:tc>
          <w:tcPr>
            <w:tcW w:w="900" w:type="dxa"/>
            <w:tcBorders>
              <w:top w:val="nil"/>
              <w:left w:val="nil"/>
              <w:bottom w:val="single" w:sz="4" w:space="0" w:color="auto"/>
              <w:right w:val="single" w:sz="4" w:space="0" w:color="auto"/>
            </w:tcBorders>
            <w:shd w:val="clear" w:color="auto" w:fill="C0C0C0"/>
            <w:noWrap/>
            <w:textDirection w:val="btLr"/>
            <w:vAlign w:val="center"/>
          </w:tcPr>
          <w:p w:rsidR="00867DD0" w:rsidRPr="00867DD0" w:rsidRDefault="00867DD0" w:rsidP="004D24A1">
            <w:pPr>
              <w:jc w:val="center"/>
              <w:rPr>
                <w:rFonts w:ascii="Times New Roman" w:hAnsi="Times New Roman"/>
              </w:rPr>
            </w:pPr>
            <w:r w:rsidRPr="00867DD0">
              <w:rPr>
                <w:rFonts w:ascii="Times New Roman" w:hAnsi="Times New Roman"/>
              </w:rPr>
              <w:t>ЛС - ефективно</w:t>
            </w:r>
          </w:p>
        </w:tc>
        <w:tc>
          <w:tcPr>
            <w:tcW w:w="1080" w:type="dxa"/>
            <w:tcBorders>
              <w:top w:val="nil"/>
              <w:left w:val="nil"/>
              <w:bottom w:val="single" w:sz="4" w:space="0" w:color="auto"/>
              <w:right w:val="single" w:sz="4" w:space="0" w:color="auto"/>
            </w:tcBorders>
            <w:shd w:val="clear" w:color="auto" w:fill="C0C0C0"/>
            <w:noWrap/>
            <w:textDirection w:val="btLr"/>
            <w:vAlign w:val="center"/>
          </w:tcPr>
          <w:p w:rsidR="00867DD0" w:rsidRPr="00867DD0" w:rsidRDefault="00867DD0" w:rsidP="004D24A1">
            <w:pPr>
              <w:jc w:val="center"/>
              <w:rPr>
                <w:rFonts w:ascii="Times New Roman" w:hAnsi="Times New Roman"/>
              </w:rPr>
            </w:pPr>
            <w:r w:rsidRPr="00867DD0">
              <w:rPr>
                <w:rFonts w:ascii="Times New Roman" w:hAnsi="Times New Roman"/>
              </w:rPr>
              <w:t>ЛС - условно</w:t>
            </w:r>
          </w:p>
        </w:tc>
        <w:tc>
          <w:tcPr>
            <w:tcW w:w="1080" w:type="dxa"/>
            <w:tcBorders>
              <w:top w:val="nil"/>
              <w:left w:val="nil"/>
              <w:bottom w:val="single" w:sz="4" w:space="0" w:color="auto"/>
              <w:right w:val="single" w:sz="4" w:space="0" w:color="auto"/>
            </w:tcBorders>
            <w:shd w:val="clear" w:color="auto" w:fill="C0C0C0"/>
            <w:noWrap/>
            <w:textDirection w:val="btLr"/>
            <w:vAlign w:val="center"/>
          </w:tcPr>
          <w:p w:rsidR="00867DD0" w:rsidRPr="00867DD0" w:rsidRDefault="00867DD0" w:rsidP="004D24A1">
            <w:pPr>
              <w:jc w:val="center"/>
              <w:rPr>
                <w:rFonts w:ascii="Times New Roman" w:hAnsi="Times New Roman"/>
              </w:rPr>
            </w:pPr>
            <w:r w:rsidRPr="00867DD0">
              <w:rPr>
                <w:rFonts w:ascii="Times New Roman" w:hAnsi="Times New Roman"/>
              </w:rPr>
              <w:t>Пробация</w:t>
            </w:r>
          </w:p>
        </w:tc>
        <w:tc>
          <w:tcPr>
            <w:tcW w:w="1458" w:type="dxa"/>
            <w:tcBorders>
              <w:top w:val="nil"/>
              <w:left w:val="nil"/>
              <w:bottom w:val="single" w:sz="4" w:space="0" w:color="auto"/>
              <w:right w:val="single" w:sz="4" w:space="0" w:color="auto"/>
            </w:tcBorders>
            <w:shd w:val="clear" w:color="auto" w:fill="C0C0C0"/>
            <w:noWrap/>
            <w:textDirection w:val="btLr"/>
            <w:vAlign w:val="center"/>
          </w:tcPr>
          <w:p w:rsidR="00867DD0" w:rsidRPr="00867DD0" w:rsidRDefault="00867DD0" w:rsidP="004D24A1">
            <w:pPr>
              <w:jc w:val="center"/>
              <w:rPr>
                <w:rFonts w:ascii="Times New Roman" w:hAnsi="Times New Roman"/>
              </w:rPr>
            </w:pPr>
            <w:r w:rsidRPr="00867DD0">
              <w:rPr>
                <w:rFonts w:ascii="Times New Roman" w:hAnsi="Times New Roman"/>
              </w:rPr>
              <w:t>Глоба</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 xml:space="preserve">Глава </w:t>
            </w:r>
            <w:r w:rsidRPr="00867DD0">
              <w:rPr>
                <w:rFonts w:ascii="Times New Roman" w:hAnsi="Times New Roman"/>
                <w:sz w:val="24"/>
                <w:szCs w:val="24"/>
                <w:lang w:val="en-US"/>
              </w:rPr>
              <w:t>II</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261</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56</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90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74</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44</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III</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17</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7</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7</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9</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IV</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57</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6</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17</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5</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V</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779</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388</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286</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84</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26</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VI</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82</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18</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54</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4</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15</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VII</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17</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15</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VIII</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49</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9</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22</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9</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16</w:t>
            </w:r>
          </w:p>
        </w:tc>
      </w:tr>
      <w:tr w:rsidR="00867DD0" w:rsidRPr="00867DD0" w:rsidTr="00DD1D27">
        <w:trPr>
          <w:trHeight w:val="20"/>
        </w:trPr>
        <w:tc>
          <w:tcPr>
            <w:tcW w:w="1402" w:type="dxa"/>
            <w:tcBorders>
              <w:top w:val="nil"/>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IX</w:t>
            </w:r>
          </w:p>
        </w:tc>
        <w:tc>
          <w:tcPr>
            <w:tcW w:w="144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99</w:t>
            </w:r>
          </w:p>
        </w:tc>
        <w:tc>
          <w:tcPr>
            <w:tcW w:w="844"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4</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39</w:t>
            </w:r>
          </w:p>
        </w:tc>
        <w:tc>
          <w:tcPr>
            <w:tcW w:w="1080"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28</w:t>
            </w:r>
          </w:p>
        </w:tc>
        <w:tc>
          <w:tcPr>
            <w:tcW w:w="1458" w:type="dxa"/>
            <w:tcBorders>
              <w:top w:val="nil"/>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29</w:t>
            </w:r>
          </w:p>
        </w:tc>
      </w:tr>
      <w:tr w:rsidR="00867DD0" w:rsidRPr="00867DD0" w:rsidTr="00DD1D27">
        <w:trPr>
          <w:trHeight w:val="20"/>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X</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85</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20</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45</w:t>
            </w:r>
          </w:p>
        </w:tc>
      </w:tr>
      <w:tr w:rsidR="00867DD0" w:rsidRPr="00867DD0" w:rsidTr="00DD1D27">
        <w:trPr>
          <w:trHeight w:val="20"/>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7DD0" w:rsidRPr="00867DD0" w:rsidRDefault="00867DD0" w:rsidP="004D24A1">
            <w:pPr>
              <w:rPr>
                <w:rFonts w:ascii="Times New Roman" w:hAnsi="Times New Roman"/>
                <w:sz w:val="24"/>
                <w:szCs w:val="24"/>
                <w:lang w:val="en-US"/>
              </w:rPr>
            </w:pPr>
            <w:r w:rsidRPr="00867DD0">
              <w:rPr>
                <w:rFonts w:ascii="Times New Roman" w:hAnsi="Times New Roman"/>
                <w:sz w:val="24"/>
                <w:szCs w:val="24"/>
              </w:rPr>
              <w:t>Глава</w:t>
            </w:r>
            <w:r w:rsidRPr="00867DD0">
              <w:rPr>
                <w:rFonts w:ascii="Times New Roman" w:hAnsi="Times New Roman"/>
                <w:sz w:val="24"/>
                <w:szCs w:val="24"/>
                <w:lang w:val="en-US"/>
              </w:rPr>
              <w:t xml:space="preserve"> XI</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1243</w:t>
            </w:r>
          </w:p>
        </w:tc>
        <w:tc>
          <w:tcPr>
            <w:tcW w:w="844"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193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828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26</w:t>
            </w:r>
          </w:p>
        </w:tc>
        <w:tc>
          <w:tcPr>
            <w:tcW w:w="1458" w:type="dxa"/>
            <w:tcBorders>
              <w:top w:val="single" w:sz="4" w:space="0" w:color="auto"/>
              <w:left w:val="nil"/>
              <w:bottom w:val="single" w:sz="4" w:space="0" w:color="auto"/>
              <w:right w:val="single" w:sz="4" w:space="0" w:color="auto"/>
            </w:tcBorders>
            <w:shd w:val="clear" w:color="auto" w:fill="auto"/>
            <w:noWrap/>
            <w:vAlign w:val="center"/>
          </w:tcPr>
          <w:p w:rsidR="00867DD0" w:rsidRPr="00867DD0" w:rsidRDefault="00867DD0" w:rsidP="004D24A1">
            <w:pPr>
              <w:jc w:val="center"/>
              <w:rPr>
                <w:rFonts w:ascii="Times New Roman" w:hAnsi="Times New Roman"/>
                <w:sz w:val="24"/>
                <w:szCs w:val="24"/>
              </w:rPr>
            </w:pPr>
            <w:r w:rsidRPr="00867DD0">
              <w:rPr>
                <w:rFonts w:ascii="Times New Roman" w:hAnsi="Times New Roman"/>
                <w:sz w:val="24"/>
                <w:szCs w:val="24"/>
              </w:rPr>
              <w:t>422</w:t>
            </w:r>
          </w:p>
        </w:tc>
      </w:tr>
    </w:tbl>
    <w:p w:rsidR="00867DD0" w:rsidRPr="00867DD0" w:rsidRDefault="00867DD0" w:rsidP="004D24A1">
      <w:pPr>
        <w:jc w:val="both"/>
        <w:rPr>
          <w:rFonts w:ascii="Times New Roman" w:hAnsi="Times New Roman"/>
          <w:i/>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lastRenderedPageBreak/>
        <w:t>През 2021 г. по внесени обвинителни актове, за отчетния период от съдилищата, обслужващи СГП и СРП, са били постановени 211 броя съдебни актове с оправдателен диспозитив спрямо общо 237 лица /50 лица за СГП и 187 за СРП/.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по внесени обвинителни актове, за отчетния период от съдилищата, обслужващи СГП и СРП, са били постановени 164 броя съдебни актове с оправдателен диспозитив спрямо общо 193 лица /38 лица за СГП и 155 за СРП/.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 г. по внесени обвинителни актове от съдилищата, обслужващи СГП и СРП, са били постановени 311 броя съдебни актове с оправдателен диспозитив спрямо общо 383 лица /65 лица за СГП и 318 за СРП/.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е налице намаляване на постановените съдебни актове с оправдателен диспозитив сравнено с данните за 2019 г. и е регистрирано увеличаване  на постановените съдебни актове с оправдателен диспозитив сравнено с данните за 2020 г.</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по внесени от СРП предложения за освобождаване от наказателна отговорност с налагане на административно наказание по реда на чл. 78а от НК са оправдани 42 лица. През 2021 г. предложения за освобождаване от наказателна отговорност с налагане на административно наказание по реда на чл. 78а от НК от  СГП не са внасяни.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по внесени от СРП предложения за освобождаване от наказателна отговорност с налагане на административно наказание по реда на чл. 78а от НК са оправдани 20 лица. През 2020 г. предложения за освобождаване от наказателна отговорност с налагане на административно наказание по реда на чл. 78а от НК от  СГП не са внасяни.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 г. по внесени от СРП предложения за освобождаване от наказателна отговорност с налагане на административно наказание по реда на чл. 78а от НК са оправдани 40 лица. През 2019 г. по внесени от СГП предложения за освобождаване от наказателна отговорност с налагане на административно наказание по реда на чл. 78а от НК са оправдани 2 лица.</w:t>
      </w:r>
    </w:p>
    <w:p w:rsidR="00867DD0" w:rsidRPr="00867DD0" w:rsidRDefault="00867DD0" w:rsidP="004D24A1">
      <w:pPr>
        <w:ind w:firstLine="708"/>
        <w:jc w:val="both"/>
        <w:rPr>
          <w:rFonts w:ascii="Times New Roman" w:hAnsi="Times New Roman"/>
          <w:b/>
          <w:sz w:val="28"/>
          <w:szCs w:val="28"/>
        </w:rPr>
      </w:pPr>
    </w:p>
    <w:p w:rsidR="00867DD0" w:rsidRPr="00867DD0" w:rsidRDefault="00867DD0" w:rsidP="004D24A1">
      <w:pPr>
        <w:ind w:firstLine="708"/>
        <w:jc w:val="both"/>
        <w:rPr>
          <w:rFonts w:ascii="Times New Roman" w:hAnsi="Times New Roman"/>
          <w:b/>
          <w:sz w:val="28"/>
          <w:szCs w:val="28"/>
          <w:lang w:val="en-US"/>
        </w:rPr>
      </w:pPr>
      <w:r w:rsidRPr="00867DD0">
        <w:rPr>
          <w:rFonts w:ascii="Times New Roman" w:hAnsi="Times New Roman"/>
          <w:b/>
          <w:sz w:val="28"/>
          <w:szCs w:val="28"/>
        </w:rPr>
        <w:t>Прекратени дела по чл. 250 от НПК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на основание чл. 250 НПК Софийски градски и Софийски районен съд са прекратили общо 65 бр. дела по внесени обвинителни актове /4 бр. СГП и 61 бр. СРП/.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lastRenderedPageBreak/>
        <w:t xml:space="preserve">През 2020 г. на основание чл. 250 НПК Софийски градски и Софийски районен съд са прекратили общо 47 бр. дела по внесени обвинителни актове /4 бр. СГП и </w:t>
      </w:r>
      <w:r w:rsidRPr="00867DD0">
        <w:rPr>
          <w:rFonts w:ascii="Times New Roman" w:hAnsi="Times New Roman"/>
          <w:sz w:val="28"/>
          <w:szCs w:val="28"/>
          <w:lang w:val="en-US"/>
        </w:rPr>
        <w:t>43</w:t>
      </w:r>
      <w:r w:rsidRPr="00867DD0">
        <w:rPr>
          <w:rFonts w:ascii="Times New Roman" w:hAnsi="Times New Roman"/>
          <w:sz w:val="28"/>
          <w:szCs w:val="28"/>
        </w:rPr>
        <w:t xml:space="preserve"> бр. СРП/.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 г. на основание чл. 250 НПК Софийски градски и Софийски районен съд са прекратили общо 74 бр. дела по внесени обвинителни актове /4 бр. СГП и 70 бр. СРП/.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По този критерий се отчита намаляване в общите стойности спрямо данните за 2019 г. и увеличение спрямо 2020г.</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прокурорите от СГП и СРП са участвали общо в 13851 броя съдебни заседания пред съответните съдилища /по НСН/ и в 3503 разпоредителни заседания, като броят наказателни дела, за които се отнасят посочените съдебни заседания, е общо 6015.</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прокурорите от СГП и СРП са участвали общо в 11171 броя съдебни заседания пред съответните съдилища /по НСН/ и в 2616 разпоредителни заседания, като броят наказателни дела, за които се отнасят посочените съдебни заседания, е общо 5227.</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 г. прокурорите от СГП и СРП са участвали общо в 15562 броя съдебни заседания пред съответните съдилища /по НСН/ и в 3416 разпоредителни заседания, като броят наказателни дела, за които се отнасят посочените съдебни заседания, е общо 6585.</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Налага се изводът, че през 2021 г. сравнено с 2020 г. е налице увеличаване на броя на делата и съответноувеличаване  броя на съдебните заседания. </w:t>
      </w:r>
    </w:p>
    <w:p w:rsidR="00867DD0" w:rsidRPr="00867DD0" w:rsidRDefault="00867DD0" w:rsidP="004D24A1">
      <w:pPr>
        <w:jc w:val="both"/>
        <w:rPr>
          <w:rFonts w:ascii="Times New Roman" w:hAnsi="Times New Roman"/>
          <w:b/>
          <w:sz w:val="28"/>
          <w:szCs w:val="28"/>
          <w:lang w:val="en-US"/>
        </w:rPr>
      </w:pPr>
    </w:p>
    <w:p w:rsidR="00867DD0" w:rsidRPr="00867DD0" w:rsidRDefault="00867DD0" w:rsidP="004D24A1">
      <w:pPr>
        <w:ind w:firstLine="708"/>
        <w:jc w:val="both"/>
        <w:rPr>
          <w:rFonts w:ascii="Times New Roman" w:hAnsi="Times New Roman"/>
          <w:b/>
          <w:caps/>
          <w:sz w:val="28"/>
          <w:szCs w:val="28"/>
          <w:lang w:val="en-US"/>
        </w:rPr>
      </w:pPr>
      <w:r w:rsidRPr="00867DD0">
        <w:rPr>
          <w:rFonts w:ascii="Times New Roman" w:hAnsi="Times New Roman"/>
          <w:b/>
          <w:caps/>
          <w:sz w:val="28"/>
          <w:szCs w:val="28"/>
        </w:rPr>
        <w:t>2. Постановени оправдателни присъди и върнати от съда дела</w:t>
      </w:r>
    </w:p>
    <w:p w:rsidR="00867DD0" w:rsidRPr="00867DD0" w:rsidRDefault="00867DD0" w:rsidP="004D24A1">
      <w:pPr>
        <w:ind w:firstLine="708"/>
        <w:jc w:val="both"/>
        <w:rPr>
          <w:rFonts w:ascii="Times New Roman" w:hAnsi="Times New Roman"/>
          <w:b/>
          <w:sz w:val="28"/>
          <w:szCs w:val="28"/>
          <w:lang w:val="en-US"/>
        </w:rPr>
      </w:pPr>
      <w:r w:rsidRPr="00867DD0">
        <w:rPr>
          <w:rFonts w:ascii="Times New Roman" w:hAnsi="Times New Roman"/>
          <w:b/>
          <w:sz w:val="28"/>
          <w:szCs w:val="28"/>
        </w:rPr>
        <w:t>Върнати от съда дела на прокуратурата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Софийски градски съд и Софийски районен съд са върнали на прокуратурата общо 233 броя дела. От тях с влезли в сила съдебни актове на СГП са върнати 71 броя дела, а на СРП 162 броя дела.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Софийски градски съд и Софийски районен съд са върнали на прокуратурата общо 183 броя дела. От тях с влезли в сила съдебни актове на СГП са върнати 58 броя дела, а на СРП 125 броя дела.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2019 г. Софийски градски съд и Софийски районен съд са върнали на прокуратурата общо 256 броя дела. От тях на СГП са върнати 77 броя дела, а на СРП 179 броя дела.</w:t>
      </w:r>
    </w:p>
    <w:p w:rsidR="00867DD0" w:rsidRPr="00867DD0" w:rsidRDefault="00867DD0" w:rsidP="004D24A1">
      <w:pPr>
        <w:jc w:val="both"/>
        <w:rPr>
          <w:rFonts w:ascii="Times New Roman" w:hAnsi="Times New Roman"/>
          <w:sz w:val="28"/>
          <w:szCs w:val="28"/>
        </w:rPr>
      </w:pPr>
      <w:r w:rsidRPr="00867DD0">
        <w:rPr>
          <w:rFonts w:ascii="Times New Roman" w:hAnsi="Times New Roman"/>
          <w:b/>
          <w:sz w:val="28"/>
          <w:szCs w:val="28"/>
        </w:rPr>
        <w:lastRenderedPageBreak/>
        <w:tab/>
      </w:r>
      <w:r w:rsidRPr="00867DD0">
        <w:rPr>
          <w:rFonts w:ascii="Times New Roman" w:hAnsi="Times New Roman"/>
          <w:sz w:val="28"/>
          <w:szCs w:val="28"/>
        </w:rPr>
        <w:t>Налага се изводът, че през 2021 г. сравнено с данните за 2019 г. е налице намаляване броя на върнатите от съда на прокуратурата дела и е налице увеличаване спрямо данните за 2020 г.</w:t>
      </w:r>
    </w:p>
    <w:p w:rsidR="00867DD0" w:rsidRPr="00867DD0" w:rsidRDefault="00867DD0" w:rsidP="004D24A1">
      <w:pPr>
        <w:jc w:val="center"/>
        <w:rPr>
          <w:rFonts w:ascii="Times New Roman" w:hAnsi="Times New Roman"/>
          <w:b/>
          <w:sz w:val="28"/>
          <w:szCs w:val="28"/>
          <w:lang w:val="en-US"/>
        </w:rPr>
      </w:pPr>
      <w:r w:rsidRPr="00867DD0">
        <w:rPr>
          <w:rFonts w:ascii="Times New Roman" w:hAnsi="Times New Roman"/>
          <w:b/>
          <w:sz w:val="28"/>
          <w:szCs w:val="28"/>
        </w:rPr>
        <w:t>Върнати от съда дела на прокуратурата общо за СГП и СРП</w:t>
      </w:r>
    </w:p>
    <w:p w:rsidR="00867DD0" w:rsidRPr="00867DD0" w:rsidRDefault="003515B0" w:rsidP="004D24A1">
      <w:pPr>
        <w:jc w:val="both"/>
        <w:rPr>
          <w:rFonts w:ascii="Times New Roman" w:hAnsi="Times New Roman"/>
          <w:b/>
          <w:sz w:val="28"/>
          <w:szCs w:val="28"/>
          <w:lang w:val="en-US"/>
        </w:rPr>
      </w:pPr>
      <w:r w:rsidRPr="00867DD0">
        <w:rPr>
          <w:rFonts w:ascii="Times New Roman" w:hAnsi="Times New Roman"/>
          <w:b/>
          <w:noProof/>
          <w:sz w:val="28"/>
          <w:szCs w:val="28"/>
          <w:lang w:eastAsia="bg-BG"/>
        </w:rPr>
        <w:drawing>
          <wp:inline distT="0" distB="0" distL="0" distR="0" wp14:anchorId="27928B2F" wp14:editId="629B033C">
            <wp:extent cx="5812155" cy="2600325"/>
            <wp:effectExtent l="0" t="0" r="0" b="0"/>
            <wp:docPr id="17" name="Об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Спрямо общия брой внесени в съда прокурорски актове – 3146 броя, върнатите дела съставляват 7.40 % при 6.50% за 2020 г. и при 7,75 % за 2019 г.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С оглед посочените данни може да се заключи, че през 2021 г. е налице намаление на общия брой и на относителния дял на върнатите за доразследване дела на прокуратурата спрямо общия брой на внесените прокурорски актове в съда в сравнение с 2019 г. и съответно е налице увеличение по този показател спрямо 2020 г.</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От общо решените за 2021 г. дела по внесените обвинителни актове /2520 броя/ от съдилищата са върнати 169 /51 бр. на СГП и 118 бр. на СРП/ броя акта.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2021 г. от разпоредително заседание по реда на чл. 249, ал. 2, вр. чл. 248 ал.1,т.3 от НПК са били върнати общо на двете прокуратури  165 бр. дела. На основание чл. 288 ал.1 от НПК за отчетния период съдилищата няма дела, върнати на двете прокуратури.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общо решените за 2020 г. дела по внесените обвинителни актове /</w:t>
      </w:r>
      <w:r w:rsidRPr="00867DD0">
        <w:rPr>
          <w:rFonts w:ascii="Times New Roman" w:hAnsi="Times New Roman"/>
          <w:sz w:val="28"/>
          <w:szCs w:val="28"/>
          <w:lang w:val="en-US"/>
        </w:rPr>
        <w:t>2</w:t>
      </w:r>
      <w:r w:rsidRPr="00867DD0">
        <w:rPr>
          <w:rFonts w:ascii="Times New Roman" w:hAnsi="Times New Roman"/>
          <w:sz w:val="28"/>
          <w:szCs w:val="28"/>
        </w:rPr>
        <w:t xml:space="preserve">014 броя/ от съдилищата са върнати 143 /51 бр. на СГП и 92 бр. на СРП/ броя акта.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2020 г. от разпоредително заседание по реда на чл. 249, ал. 2, вр. чл. 248 ал.1,т.3 от НПК са били върнати общо на двете прокуратури  139 бр. </w:t>
      </w:r>
      <w:r w:rsidRPr="00867DD0">
        <w:rPr>
          <w:rFonts w:ascii="Times New Roman" w:hAnsi="Times New Roman"/>
          <w:sz w:val="28"/>
          <w:szCs w:val="28"/>
        </w:rPr>
        <w:lastRenderedPageBreak/>
        <w:t xml:space="preserve">дела. На основание чл. 288 ал.1 от НПК съдилищата са върнали общо на двете прокуратури  1 бр. дело.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общо решените за 2019 г. дела по внесените обвинителни актове /</w:t>
      </w:r>
      <w:r w:rsidRPr="00867DD0">
        <w:rPr>
          <w:rFonts w:ascii="Times New Roman" w:hAnsi="Times New Roman"/>
          <w:sz w:val="28"/>
          <w:szCs w:val="28"/>
          <w:lang w:val="en-US"/>
        </w:rPr>
        <w:t>2790</w:t>
      </w:r>
      <w:r w:rsidRPr="00867DD0">
        <w:rPr>
          <w:rFonts w:ascii="Times New Roman" w:hAnsi="Times New Roman"/>
          <w:sz w:val="28"/>
          <w:szCs w:val="28"/>
        </w:rPr>
        <w:t xml:space="preserve"> броя/ от съдилищата са върнати 214 /74 бр. на СГП и 140 бр. на СРП/ броя акта.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2019 г. от разпоредително заседание по реда на чл. 249, ал. 2, вр. чл. 248 ал.1,т.3 от НПК са били върнати общо на двете прокуратури  202 бр. дела.На основание чл. 288 ал.1 от НПК съдилищата са върнали общо 1 бр. дела.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е налице тенденция за намаляване на дела на върнатите от съда наказателни производства спрямо данните за 2019 г. и увеличение спрямо тези за 2020 г., но тук следва да се отчете и по-високия брой внесени обвинителни актове от двете прокуратури /с 506 повече сравнено с 2020 г./</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За периода 01.01.2021 г.-31.12.2021 г. са били подадени общо 66 протеста срещу разпорежданията за връщане на делата на основание чл.249 ал.3 НПК, от които 49 броя са разгледани, съответно - 21 броя са уважени.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За периода 01.01.2020 г.-31.12.2020 г. са били подадени общо 70 протеста срещу разпорежданията за връщане на делата на основание чл.249 ал.3 НПК, от които 47 броя са разгледани, съответно - 15 броя са уважени.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За периода 01.01.2019 г.-31.12.2019 г. са били подадени общо 104 протеста срещу разпорежданията за връщане на делата на основание чл.249 ал.3 НПК, от които 65 броя са разгледани, съответно - 26 броя са уважени.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се запазва тенденцията прокурорите в Софийска градска прокуратура и Софийска районна прокуратура да използват процесуалната възможност за протестиране на разпорежданията на съда за връщане на делата по чл.249 ал.2 от НПК /от съдия докладчик/.</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постановените от съда през 2021 г. решения по предложения за споразумение - общо  за Софийска градска и Софийска районна прокуратура 657 бр., върнати на прокуратурата поради допуснати нарушения на закона и процесуалните правила са 15 /в нарушение на чл. 381, ал. 2 и ал. 3 от НПК/.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постановените от съда през 2020 г. решения по предложения за споразумение - общо  за Софийска градска и Софийска районна прокуратура 531 бр., върнати на прокуратурата поради допуснати нарушения на закона и процесуалните правила са 7 /в нарушение на чл. 381, ал. 2 и ал. 3 от НПК/.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От постановените от съда през 2019 г. решения по предложения за споразумение - общо  за Софийска градска и Софийска районна прокуратура 763 бр., върнати на прокуратурата поради допуснати нарушения на закона и </w:t>
      </w:r>
      <w:r w:rsidRPr="00867DD0">
        <w:rPr>
          <w:rFonts w:ascii="Times New Roman" w:hAnsi="Times New Roman"/>
          <w:sz w:val="28"/>
          <w:szCs w:val="28"/>
        </w:rPr>
        <w:lastRenderedPageBreak/>
        <w:t>процесуалните правила са само 3 /в нарушение на чл. 381, ал. 2 и ал. 3 от НПК/.</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постановените през 2021 г. решения по общо 365 броя предложения по чл.78а от НК, внесени от двете прокуратури,  са били върнати  49 броя  /44 на СРП и 5 на СГП /, което съставлява 13,42 %.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постановените през 2020 г. решения по общо 249 броя предложения по чл.78а от НК, внесени от двете прокуратури,  са били върнати  33 броя  /32 на СРП и 1 на СГП /, което съставлява 13,25 %.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постановените през 2019 г. решения по общо 321 броя предложения по чл.78а от НК, внесени от двете прокуратури,  са били върнати  39 броя  /39 на СРП и 0 на СГП /, което съставлява 12,15 %.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срещу връщане на делата по реда на чл. 377 ал.2 от НПК са подадени 11 бр. протести /7 на СРП и 0 на СГП/.</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тях са разгледани 8 бр., като 3 бр. протести са уважени.</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b/>
          <w:sz w:val="28"/>
          <w:szCs w:val="28"/>
          <w:lang w:val="en-US"/>
        </w:rPr>
      </w:pPr>
      <w:r w:rsidRPr="00867DD0">
        <w:rPr>
          <w:rFonts w:ascii="Times New Roman" w:hAnsi="Times New Roman"/>
          <w:b/>
          <w:sz w:val="28"/>
          <w:szCs w:val="28"/>
        </w:rPr>
        <w:t>Анализ на причините за връщане на делата</w:t>
      </w:r>
    </w:p>
    <w:p w:rsidR="00867DD0" w:rsidRPr="00867DD0" w:rsidRDefault="00867DD0" w:rsidP="004D24A1">
      <w:pPr>
        <w:spacing w:after="0"/>
        <w:ind w:firstLine="708"/>
        <w:jc w:val="both"/>
        <w:rPr>
          <w:rFonts w:ascii="Times New Roman" w:hAnsi="Times New Roman"/>
          <w:b/>
          <w:sz w:val="28"/>
          <w:szCs w:val="28"/>
          <w:lang w:val="en-US"/>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2021 г., както и през предходните  2020 г. и 2019 г., причините, довели до връщане на делата са комплексни.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Една част от тях са свързани с допуснати от разследващите органи, във фазата на разследването, </w:t>
      </w:r>
      <w:r w:rsidRPr="00867DD0">
        <w:rPr>
          <w:rFonts w:ascii="Times New Roman" w:hAnsi="Times New Roman"/>
          <w:i/>
          <w:sz w:val="28"/>
          <w:szCs w:val="28"/>
        </w:rPr>
        <w:t>съществени процесуални нарушения</w:t>
      </w:r>
      <w:r w:rsidRPr="00867DD0">
        <w:rPr>
          <w:rFonts w:ascii="Times New Roman" w:hAnsi="Times New Roman"/>
          <w:sz w:val="28"/>
          <w:szCs w:val="28"/>
        </w:rPr>
        <w:t>. Нарушенията основно са такива, които рефлектират най-вече върху правото на защита на обвиняемите.</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Другите съществени причина за връщане на делата е наличието на </w:t>
      </w:r>
      <w:r w:rsidRPr="00867DD0">
        <w:rPr>
          <w:rFonts w:ascii="Times New Roman" w:hAnsi="Times New Roman"/>
          <w:i/>
          <w:sz w:val="28"/>
          <w:szCs w:val="28"/>
        </w:rPr>
        <w:t>пропуски в изготвените обвинителни актове</w:t>
      </w:r>
      <w:r w:rsidRPr="00867DD0">
        <w:rPr>
          <w:rFonts w:ascii="Times New Roman" w:hAnsi="Times New Roman"/>
          <w:sz w:val="28"/>
          <w:szCs w:val="28"/>
        </w:rPr>
        <w:t xml:space="preserve">, както и спорадично и по-рядко в хипотезите на </w:t>
      </w:r>
      <w:r w:rsidRPr="00867DD0">
        <w:rPr>
          <w:rFonts w:ascii="Times New Roman" w:hAnsi="Times New Roman"/>
          <w:i/>
          <w:iCs/>
          <w:sz w:val="28"/>
          <w:szCs w:val="28"/>
        </w:rPr>
        <w:t>неодобрено от съда споразумение, внесено по реда на чл.382 НП</w:t>
      </w:r>
      <w:r w:rsidRPr="00867DD0">
        <w:rPr>
          <w:rFonts w:ascii="Times New Roman" w:hAnsi="Times New Roman"/>
          <w:sz w:val="28"/>
          <w:szCs w:val="28"/>
        </w:rPr>
        <w:t>К /т. е липсата на предпоставки за разглеждане на делото по глава 29 НПК; несъгласие на съда с квалификацията на деянието; несъгласие на съда с вида или размера на предложеното наказание; при несъгласие на прокурора или обвиняемия и неговия защитник с предложените промени в споразумението/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Един от съществените проблеми, водещ до връщане на голяма част от делата в тяхната досъдебна фаза, е трудностите при формулиране на обвинителния акт при част от  престъпленията с правна и фактическа сложност – напр. измама по чл.209-212 НК, длъжностно присвояване и обсебване (особено в случаите на „продължавано престъпление“ или с оглед спецификите на конкретизация на предмета на присвоителното деяние).</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lastRenderedPageBreak/>
        <w:t>Със Заповед № РД-02-29/15.12.2017г. на главния прокурор на Република България са отменени действащите до този момент указания и са утвърдени нови Указания за подобряване на организацията на работа в ПРБ по НСН. Съгласно посочените указания относно върнатите дела се разграничават следните критерии /причини за връщане на делата/: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1. Връщането на делото се дължи на допуснато на досъдебното производство отстранимо съществено нарушение на процесуални правила в хода на разследването, довело до ограничаване на процесуалните права.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2. Връщането на делото се дължи на констатирани от съда пропуски при изготвянето на обвинителния акт, които са в голяма степен очевидни и са могли да бъдат избегнати при прецизна работа на прокурора.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3. Връщането на делото се дължи на неотстраняване на допуснати очевидни фактически грешки или неспазване на седмодневния срок (чл.248а, ал.2 НПК).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4. Връщането на делото се дължи на неодобрено от съда споразумение, внесено по реда на чл.382 НПК, поради: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eastAsia="MS Gothic" w:hAnsi="Times New Roman" w:cs="MS Gothic"/>
          <w:sz w:val="28"/>
          <w:szCs w:val="28"/>
        </w:rPr>
        <w:t>-</w:t>
      </w:r>
      <w:r w:rsidRPr="00867DD0">
        <w:rPr>
          <w:rFonts w:ascii="Times New Roman" w:hAnsi="Times New Roman"/>
          <w:sz w:val="28"/>
          <w:szCs w:val="28"/>
        </w:rPr>
        <w:t xml:space="preserve"> липсата на предпоставки за разглеждане на делото по глава 29 НПК;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eastAsia="MS Gothic" w:hAnsi="Times New Roman" w:cs="MS Gothic"/>
          <w:sz w:val="28"/>
          <w:szCs w:val="28"/>
        </w:rPr>
        <w:t>-</w:t>
      </w:r>
      <w:r w:rsidRPr="00867DD0">
        <w:rPr>
          <w:rFonts w:ascii="Times New Roman" w:hAnsi="Times New Roman"/>
          <w:sz w:val="28"/>
          <w:szCs w:val="28"/>
        </w:rPr>
        <w:t xml:space="preserve"> несъгласие на съда с квалификацията на деянието;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eastAsia="MS Gothic" w:hAnsi="Times New Roman" w:cs="MS Gothic"/>
          <w:sz w:val="28"/>
          <w:szCs w:val="28"/>
        </w:rPr>
        <w:t xml:space="preserve">- </w:t>
      </w:r>
      <w:r w:rsidRPr="00867DD0">
        <w:rPr>
          <w:rFonts w:ascii="Times New Roman" w:hAnsi="Times New Roman"/>
          <w:sz w:val="28"/>
          <w:szCs w:val="28"/>
        </w:rPr>
        <w:t>несъгласие на съда с вида или размера на предложеното наказание;</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eastAsia="MS Gothic" w:hAnsi="Times New Roman" w:cs="MS Gothic"/>
          <w:sz w:val="28"/>
          <w:szCs w:val="28"/>
        </w:rPr>
        <w:t xml:space="preserve">- </w:t>
      </w:r>
      <w:r w:rsidRPr="00867DD0">
        <w:rPr>
          <w:rFonts w:ascii="Times New Roman" w:hAnsi="Times New Roman"/>
          <w:sz w:val="28"/>
          <w:szCs w:val="28"/>
        </w:rPr>
        <w:t>при несъгласие на прокурора или обвиняемия и неговия защитник с предложените промени в споразумението.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5. Връщането на делото се дължи на  липса на  основанията по чл.78а НК (чл.377, ал.1 НПК).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При изготвяне на анализите на върнатите дела се потвърждава извода, че най-големият брой дела могат да се групират по критерии 1, 2 и спорадично по т. 4.</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Факт е, че с бр.63/2017 г. на ДВ, в сила от 05.11.2017 г. са направени редица изменения в НПК. В глава „Деветнадесета“ от НПК е предвидено провеждане на открито разпоредително заседание със задължителното участие на прокурор, подсъдим и защитник. Именно в разпоредителното заседание се обсъждат редица въпроси, между които и дали на досъдебното производство е допуснато отстранимо съществено нарушение на процесуалните правила, довело до ограничаване на процесуалните права на обвиняемия, на пострадалия или на неговите наследници. През отчетната 2021 г. анализите до момента сочат, че с прилагането на този институт значително е намален броя на върнатите от съда дела. Причина за това е, че след провеждане на разпоредителното заседание е ограничена възможността страните да претендират връщане на делото на основание допуснати процесуални нарушения на досъдебната фаза, които не са </w:t>
      </w:r>
      <w:r w:rsidRPr="00867DD0">
        <w:rPr>
          <w:rFonts w:ascii="Times New Roman" w:hAnsi="Times New Roman"/>
          <w:sz w:val="28"/>
          <w:szCs w:val="28"/>
        </w:rPr>
        <w:lastRenderedPageBreak/>
        <w:t xml:space="preserve">изрично заявени в това заседание. По този начин се ускорява процесът и се ограничава възможността за шиканирането му.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друга страна, на наблюдаващия прокурор се предоставя възможност в разпоредителното заседание да защити процесуалната валидност на проведените под негово ръководство процесуално-следствени действия на досъдебната фаза.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В тази връзка в СРП със Заповед №3864/28.09.2021 г. на административния ръководител е  доразвита създадената организация със Заповед №54/20.01.2018 г. /отм./ на административния ръководител, прокурорът, внесъл акта, да участва в разпоредителното заседание и да защитава акта си при направени възражения от страна на подсъдимия и защитника му.          Създадената организация, прокурорът внесъл делото с прокурорски акт в съда да се явява в съдебни заседания, за да защитава обвинителната теза, дава своите резултати. Продължава  намаляването на броя на върнатите прокурорски актове като реалното сравнение следва да е с 2019г, тъй като през 2020г поради влошената епидемична обстановка , СРС не е провеждал редовни съдебни заседания за период повече от 30 дни , включително и не е образувал дела от общ характер , въпреки внесените досъдебни производства с обвинителен акт и с предложение по чл.78а от НК. Със Заповед № АС – 97, 16 март 2020 година на Председателя на СРС  в периода 16.03.2020 г. – 13.04.2020 г е преустановено разглеждането на всички видове наказателни дела с изключения  на случаите , предвидени в чл.329, ал.3 от ЗСВ.  Реално съдът образува НОХД по внесените досъдебни производства през 2021г, от където е и по-големия брой като абсолютни цифри на върнатите от съда дела . През 2021г работата на прокурорите беше усложнена пред епидимичната обстановка и по конкретно в СРП и СРС. Със Заповед №АС-502 от 27 октомври 2021г на Председателя на СРС   насрочените в открити съдебни заседания дела в периода от 01.11-05.11.2021г  не са разглеждани, с изключение на тези по чл.329, ал.3 от ЗСВ , поради влошена епидемична обстановка.Със  Заповед №АС-525 от 04 ноември 2021г на Председателя на СРС   насрочените в открити съдебни заседания дела до 30.11.2021г  да бъдат отлагани  по преценка на всеки съдия-докладчик поради влошена епидемична обстановка.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Това неминуемо е довело до отсъствие на много от наблюдаващите прокурори и неяснота в голяма степен , кои съдебни състави заседават и по кои конкретни дела.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Необходимо е още по-тясно взаимодействие с разследващите органи в рамките на досъдебното производство при упражняване на правомощията по чл.196, чл.219 и чл.226 НПК, като се проявява нужната задълбоченост </w:t>
      </w:r>
      <w:r w:rsidRPr="00867DD0">
        <w:rPr>
          <w:rFonts w:ascii="Times New Roman" w:hAnsi="Times New Roman"/>
          <w:sz w:val="28"/>
          <w:szCs w:val="28"/>
        </w:rPr>
        <w:lastRenderedPageBreak/>
        <w:t>при анализиране на доказателствения материал, въз основа на която се изготвя обстоятелствената част на обвинителния акт, както и правилната квалификация на деянието. При изготвяне на обвинителния акт стриктно да се спазват изискванията на чл.246 НПК, в съответствие и с ТР№ 2/2002 г. на ОСНК на ВКС. Следва да продължи участието на прокурорите в обучения и дискусии, провеждане на периодични срещи и обучения с разследващите полицаи.</w:t>
      </w:r>
    </w:p>
    <w:p w:rsidR="00867DD0" w:rsidRPr="00867DD0" w:rsidRDefault="00867DD0" w:rsidP="004D24A1">
      <w:pPr>
        <w:spacing w:after="0"/>
        <w:jc w:val="center"/>
        <w:rPr>
          <w:rFonts w:ascii="Times New Roman" w:hAnsi="Times New Roman"/>
          <w:i/>
          <w:sz w:val="28"/>
          <w:szCs w:val="28"/>
          <w:lang w:val="en-US"/>
        </w:rPr>
      </w:pPr>
    </w:p>
    <w:p w:rsidR="00867DD0" w:rsidRPr="00867DD0" w:rsidRDefault="00867DD0" w:rsidP="004D24A1">
      <w:pPr>
        <w:spacing w:after="0"/>
        <w:ind w:firstLine="708"/>
        <w:jc w:val="both"/>
        <w:rPr>
          <w:rFonts w:ascii="Times New Roman" w:hAnsi="Times New Roman"/>
          <w:b/>
          <w:sz w:val="28"/>
          <w:szCs w:val="28"/>
        </w:rPr>
      </w:pPr>
      <w:r w:rsidRPr="00867DD0">
        <w:rPr>
          <w:rFonts w:ascii="Times New Roman" w:hAnsi="Times New Roman"/>
          <w:b/>
          <w:sz w:val="28"/>
          <w:szCs w:val="28"/>
        </w:rPr>
        <w:t>Оправдателни присъди и решения</w:t>
      </w:r>
    </w:p>
    <w:p w:rsidR="00867DD0" w:rsidRPr="00867DD0" w:rsidRDefault="00867DD0" w:rsidP="004D24A1">
      <w:pPr>
        <w:spacing w:after="0"/>
        <w:jc w:val="both"/>
        <w:rPr>
          <w:rFonts w:ascii="Times New Roman" w:hAnsi="Times New Roman"/>
          <w:sz w:val="28"/>
          <w:szCs w:val="28"/>
          <w:lang w:val="en-US"/>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за района на Софийска градска прокуратура са постановени общо 253 броя оправдателни съдебни актове, от които 211 броя по присъди и 42 броя по оправдателни решения от първоинстанционните съдилища /по внесени предложения по чл.78а НК/.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относителният дял на постановените оправдателните присъди и решения спрямо общия брой решени от съда дела /3542/ е 7,14 %.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за района на Софийска градска прокуратура са постановени общо 184 броя оправдателни съдебни актове, от които 164 броя по присъди и 20 броя по оправдателни решения от първоинстанционните съдилища /по внесени предложения по чл.78а НК/.</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относителният дял на постановените оправдателните присъди и решения спрямо общия брой решени от съда дела /2794/ е 6,59 %.</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rPr>
        <w:t>През 2019 г. за района на Софийска градска прокуратура са постановени общо 353 броя оправдателни съдебни актове, от които 311 броя по присъди и 42 броя по оправдателни решения от първоинстанционните съдилища /по внесени предложения по чл.78а НК/.</w:t>
      </w:r>
    </w:p>
    <w:p w:rsidR="00867DD0" w:rsidRPr="00867DD0" w:rsidRDefault="00867DD0" w:rsidP="004D24A1">
      <w:pPr>
        <w:ind w:firstLine="708"/>
        <w:jc w:val="both"/>
        <w:rPr>
          <w:rFonts w:ascii="Times New Roman" w:hAnsi="Times New Roman"/>
          <w:sz w:val="28"/>
          <w:szCs w:val="28"/>
        </w:rPr>
      </w:pPr>
      <w:r w:rsidRPr="00867DD0">
        <w:rPr>
          <w:rFonts w:ascii="Times New Roman" w:hAnsi="Times New Roman"/>
          <w:sz w:val="28"/>
          <w:szCs w:val="28"/>
        </w:rPr>
        <w:t>През 2019 г. относителният дял на постановените оправдателните присъди и решения спрямо общия брой решени от съда дела е 9,11 %.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Спрямо внесените прокурорски актове /3146/ относителният дял на постановените оправдателните присъди и решения за 2021 г. е 8.04 %  при 6.53 % за 2020 г. и при 10.69 % за 2019 г.</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Броят на постановените по лица през 2021г. оправдателните присъди и решения по дела на СРП е 208 броя, а на СГП – 45 броя.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Съпоставката на стойностите сочи известно увеличаване на броя на постановените оправдателни съдебни актове в сравнение с 2020 г., а сравнено с 2019 г. е налице намаляване на броя на постановените оправдателни съдебни актове.</w:t>
      </w:r>
    </w:p>
    <w:p w:rsidR="00867DD0" w:rsidRPr="00867DD0" w:rsidRDefault="00867DD0" w:rsidP="004D24A1">
      <w:pPr>
        <w:spacing w:after="0"/>
        <w:ind w:firstLine="708"/>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highlight w:val="yellow"/>
        </w:rPr>
      </w:pPr>
      <w:r w:rsidRPr="00867DD0">
        <w:rPr>
          <w:rFonts w:ascii="Times New Roman" w:hAnsi="Times New Roman"/>
          <w:sz w:val="28"/>
          <w:szCs w:val="28"/>
        </w:rPr>
        <w:lastRenderedPageBreak/>
        <w:t>През 2021 г. са оправдани общо 282 лица, като по отношение на 179 лица оправдателните присъди са влезли в сила.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са оправдани общо 213 лица, като по отношение на 143 лица оправдателните присъди са влезли в сила.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2019 г.  са оправдани общо 426 лица, като по отношение на 290 лица оправдателните присъди са влезли в сила.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Запазила се е позитивната тенденция за намаляване броя на оправданите лица, спрямо 2019 г., но е налице увеличение сравнено с данните за 2020 г.</w:t>
      </w:r>
    </w:p>
    <w:p w:rsidR="00867DD0" w:rsidRPr="00867DD0" w:rsidRDefault="00867DD0" w:rsidP="004D24A1">
      <w:pPr>
        <w:spacing w:after="0"/>
        <w:ind w:firstLine="708"/>
        <w:jc w:val="both"/>
        <w:rPr>
          <w:rFonts w:ascii="Times New Roman" w:hAnsi="Times New Roman"/>
          <w:sz w:val="28"/>
          <w:szCs w:val="28"/>
        </w:rPr>
      </w:pPr>
      <w:bookmarkStart w:id="2" w:name="_Hlk94873364"/>
      <w:r w:rsidRPr="00867DD0">
        <w:rPr>
          <w:rFonts w:ascii="Times New Roman" w:hAnsi="Times New Roman"/>
          <w:sz w:val="28"/>
          <w:szCs w:val="28"/>
        </w:rPr>
        <w:t>Относителния дял на оправданите лица с влязъл в сила съдебен акт, които за 2021 г. са 179 броя /за СРП-134 лица, за СГП- 45 лица/ , спрямо общия брой на всички лица с влезли в сила съдебни актове през 2021 г. /който е 2868/, възлиза на 6,24 %.</w:t>
      </w:r>
    </w:p>
    <w:bookmarkEnd w:id="2"/>
    <w:p w:rsidR="00867DD0" w:rsidRPr="00867DD0" w:rsidRDefault="003515B0" w:rsidP="004D24A1">
      <w:pPr>
        <w:jc w:val="both"/>
        <w:rPr>
          <w:rFonts w:ascii="Times New Roman" w:hAnsi="Times New Roman"/>
          <w:sz w:val="28"/>
          <w:szCs w:val="28"/>
        </w:rPr>
      </w:pPr>
      <w:r w:rsidRPr="00867DD0">
        <w:rPr>
          <w:rFonts w:ascii="Times New Roman" w:hAnsi="Times New Roman"/>
          <w:noProof/>
          <w:sz w:val="28"/>
          <w:szCs w:val="28"/>
          <w:lang w:eastAsia="bg-BG"/>
        </w:rPr>
        <w:drawing>
          <wp:inline distT="0" distB="0" distL="0" distR="0" wp14:anchorId="3BF26244" wp14:editId="143026A3">
            <wp:extent cx="5581650" cy="3220085"/>
            <wp:effectExtent l="0" t="0" r="0" b="18415"/>
            <wp:docPr id="18" name="Об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7DD0" w:rsidRPr="00867DD0" w:rsidRDefault="00867DD0" w:rsidP="004D24A1">
      <w:pPr>
        <w:jc w:val="both"/>
        <w:rPr>
          <w:rFonts w:ascii="Times New Roman" w:hAnsi="Times New Roman"/>
          <w:b/>
          <w:sz w:val="28"/>
          <w:szCs w:val="28"/>
        </w:rPr>
      </w:pPr>
      <w:r w:rsidRPr="00867DD0">
        <w:rPr>
          <w:rFonts w:ascii="Times New Roman" w:hAnsi="Times New Roman"/>
          <w:b/>
          <w:sz w:val="28"/>
          <w:szCs w:val="28"/>
        </w:rPr>
        <w:t>Фиг. Данни за СГП и СРП за 2021</w:t>
      </w:r>
      <w:r w:rsidRPr="00867DD0">
        <w:rPr>
          <w:rFonts w:ascii="Times New Roman" w:hAnsi="Times New Roman"/>
          <w:b/>
          <w:sz w:val="28"/>
          <w:szCs w:val="28"/>
          <w:lang w:val="en-US"/>
        </w:rPr>
        <w:t xml:space="preserve"> </w:t>
      </w:r>
      <w:r w:rsidRPr="00867DD0">
        <w:rPr>
          <w:rFonts w:ascii="Times New Roman" w:hAnsi="Times New Roman"/>
          <w:b/>
          <w:sz w:val="28"/>
          <w:szCs w:val="28"/>
        </w:rPr>
        <w:t>г.</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Относителния дял на оправданите лица с влязъл в сила съдебен акт, които за 2020 г. са 143 броя /за СРП-110 лица, за СГП- 33 лица/ , спрямо общия брой на всички лица с влезли в сила съдебни актове през 2020 г. /който е 2279/, възлиза на 6,27 %.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Относителния дял на оправданите лица с влязъл в сила съдебен акт, които за 2019 г. са 290 броя /за СРП-233 лица, за СГП- 57 лица/ , спрямо общия брой на всички лица с влезли в сила съдебни актове през 2019 г. /който е 3243/, възлиза на 8,94 %.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От изложеното се налага изводът, че през 2021 г, както и през 2020 г., се е повишило нивото на качество на работа на прокурорите, както на </w:t>
      </w:r>
      <w:r w:rsidRPr="00867DD0">
        <w:rPr>
          <w:rFonts w:ascii="Times New Roman" w:hAnsi="Times New Roman"/>
          <w:sz w:val="28"/>
          <w:szCs w:val="28"/>
        </w:rPr>
        <w:lastRenderedPageBreak/>
        <w:t>досъдебната така и на съдебната фаза на процеса. Прецизирайки, повдигнатите обвинения и ангажирайки достатъчни и безспорни доказателства в тяхна подкрепа, те гарантират предаването на съд на извършителите на деянията и осъждането им.</w:t>
      </w:r>
    </w:p>
    <w:p w:rsidR="00867DD0" w:rsidRPr="00867DD0" w:rsidRDefault="00867DD0" w:rsidP="004D24A1">
      <w:pPr>
        <w:jc w:val="both"/>
        <w:rPr>
          <w:rFonts w:ascii="Times New Roman" w:hAnsi="Times New Roman"/>
          <w:b/>
          <w:sz w:val="28"/>
          <w:szCs w:val="28"/>
        </w:rPr>
      </w:pPr>
    </w:p>
    <w:p w:rsidR="00867DD0" w:rsidRPr="00867DD0" w:rsidRDefault="00867DD0" w:rsidP="004D24A1">
      <w:pPr>
        <w:jc w:val="both"/>
        <w:rPr>
          <w:rFonts w:ascii="Times New Roman" w:hAnsi="Times New Roman"/>
          <w:b/>
          <w:sz w:val="28"/>
          <w:szCs w:val="28"/>
        </w:rPr>
      </w:pPr>
      <w:r w:rsidRPr="00867DD0">
        <w:rPr>
          <w:rFonts w:ascii="Times New Roman" w:hAnsi="Times New Roman"/>
          <w:b/>
          <w:sz w:val="28"/>
          <w:szCs w:val="28"/>
        </w:rPr>
        <w:t>Оправдани лица с влязъл в сила съдебен акт за СГП и СРП  /заедно/</w:t>
      </w:r>
    </w:p>
    <w:p w:rsidR="00867DD0" w:rsidRPr="00867DD0" w:rsidRDefault="003515B0" w:rsidP="004D24A1">
      <w:pPr>
        <w:jc w:val="both"/>
        <w:rPr>
          <w:rFonts w:ascii="Times New Roman" w:hAnsi="Times New Roman"/>
          <w:sz w:val="28"/>
          <w:szCs w:val="28"/>
        </w:rPr>
      </w:pPr>
      <w:r w:rsidRPr="00867DD0">
        <w:rPr>
          <w:rFonts w:ascii="Times New Roman" w:hAnsi="Times New Roman"/>
          <w:noProof/>
          <w:sz w:val="28"/>
          <w:szCs w:val="28"/>
          <w:lang w:eastAsia="bg-BG"/>
        </w:rPr>
        <w:drawing>
          <wp:inline distT="0" distB="0" distL="0" distR="0" wp14:anchorId="5CB09C86" wp14:editId="2DB5D7BD">
            <wp:extent cx="5701030" cy="2894330"/>
            <wp:effectExtent l="0" t="0" r="0" b="0"/>
            <wp:docPr id="19"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67DD0" w:rsidRPr="00867DD0" w:rsidRDefault="00867DD0" w:rsidP="004D24A1">
      <w:pPr>
        <w:ind w:firstLine="708"/>
        <w:jc w:val="both"/>
        <w:rPr>
          <w:rFonts w:ascii="Times New Roman" w:hAnsi="Times New Roman"/>
          <w:b/>
          <w:sz w:val="28"/>
          <w:szCs w:val="28"/>
        </w:rPr>
      </w:pPr>
    </w:p>
    <w:p w:rsidR="00867DD0" w:rsidRPr="00867DD0" w:rsidRDefault="00867DD0" w:rsidP="004D24A1">
      <w:pPr>
        <w:ind w:firstLine="708"/>
        <w:jc w:val="both"/>
        <w:rPr>
          <w:rFonts w:ascii="Times New Roman" w:hAnsi="Times New Roman"/>
          <w:b/>
          <w:sz w:val="28"/>
          <w:szCs w:val="28"/>
          <w:lang w:val="en-US"/>
        </w:rPr>
      </w:pPr>
      <w:r w:rsidRPr="00867DD0">
        <w:rPr>
          <w:rFonts w:ascii="Times New Roman" w:hAnsi="Times New Roman"/>
          <w:b/>
          <w:sz w:val="28"/>
          <w:szCs w:val="28"/>
        </w:rPr>
        <w:t>Анализ на причините за постановяване на оправдателните присъди и решения: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За отчетния период- 2021 г., както и през 2020 г., като причина за постановяване на оправдателни присъди се очертава различната оценка и интерпретация на доказателствата от страна на съда.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И през 2021 г. са налице случаи на постановяване на необосновани и неправилни съдебни актове – оправдателни присъди и решения, съдържащи субективна интерпретация на събраните доказателства, което е довело и до тяхната отмяна от въззивната инстанция, след подадените от прокуратурата протести.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Сред другите причини за постановяване на оправдателните присъди и решенията са допуснати в хода на досъдебното производство пропуски и грешки при събиране на доказателствата.</w:t>
      </w:r>
      <w:r w:rsidRPr="00867DD0">
        <w:rPr>
          <w:rFonts w:ascii="Times New Roman" w:hAnsi="Times New Roman"/>
          <w:sz w:val="28"/>
          <w:szCs w:val="28"/>
          <w:lang w:val="en-US"/>
        </w:rPr>
        <w:t xml:space="preserve"> </w:t>
      </w:r>
      <w:r w:rsidRPr="00867DD0">
        <w:rPr>
          <w:rFonts w:ascii="Times New Roman" w:hAnsi="Times New Roman"/>
          <w:sz w:val="28"/>
          <w:szCs w:val="28"/>
        </w:rPr>
        <w:t>Установява се, че не винаги е налице нужната активност на самите разследващи /най-вече на разследващи полицаи/ при събирането на доказателствата и непрекъсната нужда същите да бъдат напътствани и направлявани от наблюдаващите прокурори.</w:t>
      </w:r>
      <w:r w:rsidRPr="00867DD0">
        <w:t xml:space="preserve"> </w:t>
      </w:r>
      <w:r w:rsidRPr="00867DD0">
        <w:rPr>
          <w:rFonts w:ascii="Times New Roman" w:hAnsi="Times New Roman"/>
          <w:sz w:val="28"/>
          <w:szCs w:val="28"/>
        </w:rPr>
        <w:t xml:space="preserve">Като проблем продължава да се отчита некачественото провеждане на </w:t>
      </w:r>
      <w:r w:rsidRPr="00867DD0">
        <w:rPr>
          <w:rFonts w:ascii="Times New Roman" w:hAnsi="Times New Roman"/>
          <w:sz w:val="28"/>
          <w:szCs w:val="28"/>
        </w:rPr>
        <w:lastRenderedPageBreak/>
        <w:t>разследване по делата, което е резултат от незапълване на щата при разследващите полицаи, голямото текучество, недостатъчна професионална подготовка и активност от разследващите органи.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Натовареността на наблюдаващите прокурори, обусловена от обема на разпределените им преписки и дела, изготвянето на справки, участие в съдебни заседания и в различни комисии, се отразява както на пряката им прокурорска дейност по надзора на досъдебното производство, така и на качеството на изготвяните прокурорски актове.</w:t>
      </w:r>
    </w:p>
    <w:p w:rsidR="00867DD0" w:rsidRPr="00867DD0" w:rsidRDefault="00867DD0" w:rsidP="004D24A1">
      <w:pPr>
        <w:spacing w:after="0"/>
        <w:jc w:val="both"/>
        <w:rPr>
          <w:rFonts w:ascii="Times New Roman" w:hAnsi="Times New Roman"/>
          <w:sz w:val="28"/>
          <w:szCs w:val="28"/>
        </w:rPr>
      </w:pPr>
      <w:r w:rsidRPr="00867DD0">
        <w:rPr>
          <w:rFonts w:ascii="Times New Roman" w:hAnsi="Times New Roman"/>
          <w:sz w:val="28"/>
          <w:szCs w:val="28"/>
        </w:rPr>
        <w:t xml:space="preserve"> </w:t>
      </w:r>
      <w:r w:rsidRPr="00867DD0">
        <w:rPr>
          <w:rFonts w:ascii="Times New Roman" w:hAnsi="Times New Roman"/>
          <w:sz w:val="28"/>
          <w:szCs w:val="28"/>
        </w:rPr>
        <w:tab/>
        <w:t xml:space="preserve">Налице са и множество случаи, при които причина за постановяването на оправдателни съдебни актове е обективно настъпила промяна във фактическата обстановка по делото в съдебна фаза. Най–често до това се стига при промяна на показанията на свидетели в сравнение с дадените от тях такива в досъдебната фаза.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Не са малко и случаите, при които се допускат и биват провеждани разпити на нови, неразпитвани в хода на досъдебното производство свидетели, чиито показания променят съществено установената до момента /и описана в обвинителния акт/ фактическа обстановка, както и такива на даване на обяснения от подсъдимия за първи път в съдебна фаза, в резултат на което се установяват нови обстоятелства и факти, които не са били известни и не са могли да бъдат проверени в хода на досъдебното производство. Това от своя страна в голям брой от случаите води и до постановяване на съдебни актове с оправдателен диспозитив.</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Наблюдават се и случаи на приети от съда допълнителни експертни заключения, вследствие на които се променя видът на телесната повреда, респ. и правната квалификация на обвинението, водещи до оправдателен съдебен акт.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При изготвяне на анализите на делата с оправдателни присъди може да се прави извод, че през 2021 г. причините за така постановените оправдателни съдебни актове могат също да бъдат разграничени в следните основни направления: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промяна на показанията на свидетелите в съдебна фаза на процеса, поради което обвинението се оказва недоказано при съвкупната преценка на доказателствата; събрани в хода на съдебното следствие нови доказателства, включително факти, които са съществували към момента на провеждане на досъдебното производство, но не са били установени от органите на досъдебното производство.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 непрецизна оценка на наблюдаващия прокурор на събрания доказателствен материал и на обема доказателства, необходим за подкрепа на обвинителната теза, както и нарушаване на процесуалния закон при </w:t>
      </w:r>
      <w:r w:rsidRPr="00867DD0">
        <w:rPr>
          <w:rFonts w:ascii="Times New Roman" w:hAnsi="Times New Roman"/>
          <w:sz w:val="28"/>
          <w:szCs w:val="28"/>
        </w:rPr>
        <w:lastRenderedPageBreak/>
        <w:t>извършване на действия по разследването /най–често оглед на местопроизшествие; претърсване и изземване; обиск/, поради които нарушения значими факти се изключват от доказателствената съвкупност.</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 Съгласно Указания за подобряване на организацията на работа в ПРБ по НСН, утвърдени със Заповед № РД-02-29/15.12.2017г. на главния прокурор на Република България относно оправдателните присъди, се разграничават следните критерии /причини за постановяване на влезли в сила оправдателни присъди/: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1. Оправдателната присъда се дължи в голяма степен на неправилно квалифициране на деянието с обвинителния акт.</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2. Оправдателната присъда се дължи в голяма степен на пропуски, грешки или пасивност при събиране на доказателствата в хода на досъдебното производство.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3. Оправдателната присъда се дължи в голяма степен на пропуски и процесуална пасивност на прокурора в съдебната фаза или на неподаване на съответен протест.</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4. Оправдателната присъда се дължи на събирането на нови доказателства в съдебната фаза, които не са могли да бъдат установени на досъдебното производство.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5. Оправдателната присъда се дължи на противоречива съдебна практика, промяна на доминиращата практика или други обстоятелства, свързани с тълкуването на закона, които не компрометират тезата на прокурора, внесъл обвинителния акт или поддържал обвинението.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При изготвяне на анализите на делата с оправдателни присъди се прави извод, че оправдателните присъди се групират основно по т.5, т.1 и  т.4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С цел преодоляване на горепосочените проблеми, в СРП е създадена  организация със заповед № 54/10.01.2018 г./отм/ на административния ръководител на СРП, доразвита със заповед № 3864/28.09.2021г на административния ръководител на СРП като прокурорът, внесъл делото с прокурорски акт в съда, да се явява в съдебни заседания да защитава обвинителната теза . Целта е качество на прокурорските актове, познаването материалите по делото от наблюдаващите прокурори и адекватната защита на обвинителната теза пред съда.  От съществено значение за подготвеността на прокурорите при  участие в съдебни заседания е предоставения достъп до системата на СРС за обработка и публикуване на съдебни актове “АСУД“, осигуряващ възможност на всеки прокурор от служебния си компютър за преглед на всички съдебни протоколи от съдебните заседания по делата. През 2021г достъп на прокурорите до </w:t>
      </w:r>
      <w:r w:rsidRPr="00867DD0">
        <w:rPr>
          <w:rFonts w:ascii="Times New Roman" w:hAnsi="Times New Roman"/>
          <w:sz w:val="28"/>
          <w:szCs w:val="28"/>
        </w:rPr>
        <w:lastRenderedPageBreak/>
        <w:t>съдебни протоколи от съдебните заседания от новата система на съда - ЕИСС не е възможен, което изключително затруднява подготовката на прокурора, явяващ се в съдебното заседание.</w:t>
      </w:r>
    </w:p>
    <w:p w:rsidR="00867DD0" w:rsidRPr="00867DD0" w:rsidRDefault="00867DD0" w:rsidP="004D24A1">
      <w:pPr>
        <w:spacing w:after="0"/>
        <w:jc w:val="both"/>
        <w:rPr>
          <w:rFonts w:ascii="Times New Roman" w:hAnsi="Times New Roman"/>
          <w:sz w:val="28"/>
          <w:szCs w:val="28"/>
        </w:rPr>
      </w:pPr>
    </w:p>
    <w:p w:rsidR="00867DD0" w:rsidRPr="00867DD0" w:rsidRDefault="00867DD0" w:rsidP="004D24A1">
      <w:pPr>
        <w:ind w:firstLine="708"/>
        <w:jc w:val="both"/>
        <w:rPr>
          <w:rFonts w:ascii="Times New Roman" w:hAnsi="Times New Roman"/>
          <w:b/>
          <w:sz w:val="28"/>
          <w:szCs w:val="28"/>
          <w:lang w:val="en-US"/>
        </w:rPr>
      </w:pPr>
      <w:r w:rsidRPr="00867DD0">
        <w:rPr>
          <w:rFonts w:ascii="Times New Roman" w:hAnsi="Times New Roman"/>
          <w:b/>
          <w:sz w:val="28"/>
          <w:szCs w:val="28"/>
        </w:rPr>
        <w:t>Протести – въззивни и касационни. Протести срещу оправдателни присъди. Относителен дял на уважените протести от разгледаните от съда:</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отчетната 2021 г., прокурорите в СГП и СРП са подали общо 234 броя протести срещу постановени съдебни актове /въззивни и касационни/. През отчетната 2020 г., прокурорите в СГП и СРП са подали общо 171 броя протести срещу постановени съдебни актове /въззивни и касационни/. През 2019 г. са били подадени 332 броя протести.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подадените 234 броя протести 227 са въззивни, а 7 - касационни.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подадените общо 234 протести разгледани от съда са 180 броя, като са уважени 55 броя.</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От подадените общо 7 броя касационни протести, 5 броя са разгледани от съда и 4</w:t>
      </w:r>
      <w:r w:rsidRPr="00867DD0">
        <w:rPr>
          <w:rFonts w:ascii="Times New Roman" w:hAnsi="Times New Roman"/>
          <w:sz w:val="28"/>
          <w:szCs w:val="28"/>
          <w:lang w:val="en-US"/>
        </w:rPr>
        <w:t xml:space="preserve"> </w:t>
      </w:r>
      <w:r w:rsidRPr="00867DD0">
        <w:rPr>
          <w:rFonts w:ascii="Times New Roman" w:hAnsi="Times New Roman"/>
          <w:sz w:val="28"/>
          <w:szCs w:val="28"/>
        </w:rPr>
        <w:t>броя са били уважени.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отчетния период се наблюдава увеличение спрямо 2020 г. на  подадените протести срещу постановени съдебни актове.</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подадените протести по върнати на прокуратурата от съда дела по обвинителни актове са 99 броя, от които 72 – разгледани и 31 броя са уважени.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подадените протести по върнати на прокуратурата от съда дела по обвинителни актове са 77 броя, от които 49 – разгледани и 16 броя са уважени.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За 2019 г. подадените протести по върнати на прокуратурата от съда дела по обвинителни актове са били 109 броя, от които 66 – разгледани и 26 броя са уважени.</w:t>
      </w:r>
    </w:p>
    <w:p w:rsidR="00867DD0" w:rsidRPr="00867DD0" w:rsidRDefault="00867DD0" w:rsidP="004D24A1">
      <w:pPr>
        <w:spacing w:after="0"/>
        <w:jc w:val="both"/>
        <w:rPr>
          <w:rFonts w:ascii="Times New Roman" w:hAnsi="Times New Roman"/>
          <w:sz w:val="28"/>
          <w:szCs w:val="28"/>
        </w:rPr>
      </w:pP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подадените въззивни протести от прокурорите при СРП и СГП на основание чл.318 ал.2 от НПК /срещу изцяло или частично оправдателни присъди и решения/ са 164 броя, от които 126 броя са разгледани - 31 броя са уважени, а 95 броя не са уважени от въззивната съдебна инстанция. Неразгледани в края на периода остават 38 броя протести.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2020 г. подадените въззивни протести от прокурорите при СРП и СГП на основание чл.318 ал.2 от НПК /срещу изцяло или частично </w:t>
      </w:r>
      <w:r w:rsidRPr="00867DD0">
        <w:rPr>
          <w:rFonts w:ascii="Times New Roman" w:hAnsi="Times New Roman"/>
          <w:sz w:val="28"/>
          <w:szCs w:val="28"/>
        </w:rPr>
        <w:lastRenderedPageBreak/>
        <w:t>оправдателни присъди и решения/ са 141 броя, от които 103 броя са разгледани - 15 броя са уважени, а 88 броя не са уважени от въззивната съдебна инстанция. Неразгледани в края на периода остават 38 броя протести.</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2019 г. подадените въззивни протести от прокурорите при СРП и СГП на основание чл.318 ал.2 от НПК /срещу изцяло или частично оправдателни присъди и решения/ са 245 броя, от които 175 броя са разгледани - 48 броя са уважени, а 127 броя не са уважени от въззивната съдебна инстанция. Неразгледани в края на периода са останали 70 броя протести.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Относителният дял на уважените протести /55/ спрямо общия брой на решените от съда дела за 2021 г. /3542/ възлиза на 1,55 %, при 0,93 % за 2020 г.,  при 1,99 %  за 2019 г. </w:t>
      </w:r>
    </w:p>
    <w:p w:rsidR="00867DD0" w:rsidRPr="00867DD0" w:rsidRDefault="00867DD0" w:rsidP="004D24A1">
      <w:pPr>
        <w:spacing w:after="0"/>
        <w:ind w:firstLine="708"/>
        <w:jc w:val="both"/>
        <w:rPr>
          <w:rFonts w:ascii="Times New Roman" w:hAnsi="Times New Roman"/>
          <w:sz w:val="28"/>
          <w:szCs w:val="28"/>
          <w:lang w:val="en-US"/>
        </w:rPr>
      </w:pPr>
      <w:r w:rsidRPr="00867DD0">
        <w:rPr>
          <w:rFonts w:ascii="Times New Roman" w:hAnsi="Times New Roman"/>
          <w:sz w:val="28"/>
          <w:szCs w:val="28"/>
        </w:rPr>
        <w:t>Видно от горепосочените стойности, се наблюдава тенденцията на увеличаване на уважените протести в сравнение с предходната година.</w:t>
      </w:r>
    </w:p>
    <w:p w:rsidR="00867DD0" w:rsidRPr="00867DD0" w:rsidRDefault="00867DD0" w:rsidP="004D24A1">
      <w:pPr>
        <w:spacing w:after="0"/>
        <w:ind w:firstLine="708"/>
        <w:jc w:val="both"/>
        <w:rPr>
          <w:rFonts w:ascii="Times New Roman" w:hAnsi="Times New Roman"/>
          <w:sz w:val="28"/>
          <w:szCs w:val="28"/>
          <w:lang w:val="en-US"/>
        </w:rPr>
      </w:pPr>
    </w:p>
    <w:p w:rsidR="00867DD0" w:rsidRPr="00867DD0" w:rsidRDefault="00867DD0" w:rsidP="004D24A1">
      <w:pPr>
        <w:ind w:firstLine="708"/>
        <w:jc w:val="both"/>
        <w:rPr>
          <w:rFonts w:ascii="Times New Roman" w:hAnsi="Times New Roman"/>
          <w:b/>
          <w:sz w:val="28"/>
          <w:szCs w:val="28"/>
          <w:lang w:val="en-US"/>
        </w:rPr>
      </w:pPr>
      <w:r w:rsidRPr="00867DD0">
        <w:rPr>
          <w:rFonts w:ascii="Times New Roman" w:hAnsi="Times New Roman"/>
          <w:b/>
          <w:sz w:val="28"/>
          <w:szCs w:val="28"/>
        </w:rPr>
        <w:t>Съкратено съдебно следствие и споразумение - приложно поле, анализ.</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2021 г. със споразумение в съдебна фаза са приключили производствата срещу 1249 лица срещу които са били внесени обвинителни актове от СРП и СГП, а проведените съкратени съдебни следствия по реда на чл. 371, т. 2 НПК са 86 бр.</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През 2020 г. със споразумение в съдебна фаза са приключили производствата срещу 978 лица срещу които са били внесени обвинителни актове от СРП и СГП, а проведените съкратени съдебни следствия по реда на чл. 371, т. 2 НПК са 78 бр.</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През 2019 г. със споразумение в съдебна фаза са приключили производствата срещу 1273 лица срещу които са били внесени обвинителни актове от СРП и СГП, а проведените съкратени съдебни следствия по реда на чл. 371, т. 2 НПК са 94 бр.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 xml:space="preserve">Относно процедурата е релевантен изводът от предходните годишни доклади, че макар и съкратеното съдебно следствие да притежава привлекателни страни, причините за неговата по-слаба приложимост трябва да се търсят в желанието на подсъдимия да получи сигурност относно вида и размера на наказанието и то такава при условията на чл. 58а, ал.1 или ал. 4 НК (най-често) – нещо, което не може да му бъде гарантирано при съкратеното съдебно следствие. Не е за пренебрегване фактът, че съдиите, </w:t>
      </w:r>
      <w:r w:rsidRPr="00867DD0">
        <w:rPr>
          <w:rFonts w:ascii="Times New Roman" w:hAnsi="Times New Roman"/>
          <w:sz w:val="28"/>
          <w:szCs w:val="28"/>
        </w:rPr>
        <w:lastRenderedPageBreak/>
        <w:t xml:space="preserve">поради своята натовареност, също възприемат положително идеята за споразумение, тъй като този ред им спестява изготвянето на мотиви. </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Като негатив на съкратеното съдебно следствие трябва да се отчете, че при него подсъдимият получава бонус при определяне на наказанието, само поради бързината, с която се движи процесът. За разлика от това, при споразумението е задължително вредите от престъплението да бъдат възстановени или обезпечени. Тъй като съкратеното съдебно следствие е една алтернатива на споразумението, то всякога когато подсъдимият откаже да сключи споразумение, той може да постигне пак по-леко наказание по пътя на съкратеното съдебно следствие и без да е възстановил щетите. Това обстоятелство на практика се използва като сериозен аргумент при преговорите за сключване на споразумение – ако обвиняемият не се съгласи на предложените от прокурора условия, за него продължава да съществува възможността да получи по-леко наказание, но този път по реда на съкратеното съдебно следствие. Залагайки ги като алтернативни една на друга процедури, законодателят е допуснал възможността подсъдимите да получават занижени наказания само с оглед ускоряване на процеса, но не и с оглед обезщетяване на пострадалите от престъплението.</w:t>
      </w:r>
    </w:p>
    <w:p w:rsidR="00867DD0" w:rsidRPr="00867DD0" w:rsidRDefault="00867DD0" w:rsidP="004D24A1">
      <w:pPr>
        <w:spacing w:after="0"/>
        <w:ind w:firstLine="708"/>
        <w:jc w:val="both"/>
        <w:rPr>
          <w:rFonts w:ascii="Times New Roman" w:hAnsi="Times New Roman"/>
          <w:sz w:val="28"/>
          <w:szCs w:val="28"/>
        </w:rPr>
      </w:pPr>
      <w:r w:rsidRPr="00867DD0">
        <w:rPr>
          <w:rFonts w:ascii="Times New Roman" w:hAnsi="Times New Roman"/>
          <w:sz w:val="28"/>
          <w:szCs w:val="28"/>
        </w:rPr>
        <w:t>Същевременно стойностите по този показател не следва да се тълкуват в ущърб на прокуратурата, тъй като съгласно волята на законодателя прокурорът няма процесуалната възможност да инициира провеждането на съкратено съдебно следствие.</w:t>
      </w:r>
    </w:p>
    <w:p w:rsidR="00867DD0" w:rsidRPr="00867DD0" w:rsidRDefault="00867DD0" w:rsidP="004D24A1">
      <w:pPr>
        <w:spacing w:after="0"/>
        <w:ind w:firstLine="708"/>
        <w:jc w:val="both"/>
        <w:rPr>
          <w:rFonts w:ascii="Times New Roman" w:hAnsi="Times New Roman"/>
          <w:sz w:val="28"/>
          <w:szCs w:val="28"/>
        </w:rPr>
      </w:pPr>
    </w:p>
    <w:p w:rsidR="00D43478" w:rsidRPr="00D43478" w:rsidRDefault="00D43478" w:rsidP="004D24A1">
      <w:pPr>
        <w:ind w:firstLine="708"/>
        <w:rPr>
          <w:rFonts w:ascii="Times New Roman" w:hAnsi="Times New Roman"/>
          <w:b/>
          <w:caps/>
          <w:sz w:val="28"/>
          <w:szCs w:val="28"/>
          <w:lang w:val="en-US"/>
        </w:rPr>
      </w:pPr>
      <w:r w:rsidRPr="00D43478">
        <w:rPr>
          <w:rFonts w:ascii="Times New Roman" w:hAnsi="Times New Roman"/>
          <w:b/>
          <w:caps/>
          <w:sz w:val="28"/>
          <w:szCs w:val="28"/>
        </w:rPr>
        <w:t xml:space="preserve">3.Гражданско - съдебен надзор. </w:t>
      </w:r>
    </w:p>
    <w:p w:rsidR="00D43478" w:rsidRPr="00D43478" w:rsidRDefault="00D43478" w:rsidP="004D24A1">
      <w:pPr>
        <w:spacing w:after="0"/>
        <w:jc w:val="both"/>
        <w:rPr>
          <w:rFonts w:ascii="Times New Roman" w:hAnsi="Times New Roman"/>
          <w:sz w:val="28"/>
          <w:szCs w:val="28"/>
          <w:lang w:val="ru-RU"/>
        </w:rPr>
      </w:pPr>
      <w:r w:rsidRPr="00D43478">
        <w:rPr>
          <w:lang w:val="en-US"/>
        </w:rPr>
        <w:tab/>
      </w:r>
      <w:r w:rsidRPr="00D43478">
        <w:rPr>
          <w:rFonts w:ascii="Times New Roman" w:hAnsi="Times New Roman"/>
          <w:sz w:val="28"/>
          <w:szCs w:val="28"/>
        </w:rPr>
        <w:t>През</w:t>
      </w:r>
      <w:r w:rsidRPr="00D43478">
        <w:rPr>
          <w:rFonts w:ascii="Times New Roman" w:hAnsi="Times New Roman"/>
          <w:sz w:val="28"/>
          <w:szCs w:val="28"/>
          <w:lang w:val="ru-RU"/>
        </w:rPr>
        <w:t xml:space="preserve"> 20</w:t>
      </w:r>
      <w:r w:rsidRPr="00D43478">
        <w:rPr>
          <w:rFonts w:ascii="Times New Roman" w:hAnsi="Times New Roman"/>
          <w:sz w:val="28"/>
          <w:szCs w:val="28"/>
          <w:lang w:val="en-US"/>
        </w:rPr>
        <w:t>2</w:t>
      </w:r>
      <w:r w:rsidRPr="00D43478">
        <w:rPr>
          <w:rFonts w:ascii="Times New Roman" w:hAnsi="Times New Roman"/>
          <w:sz w:val="28"/>
          <w:szCs w:val="28"/>
        </w:rPr>
        <w:t>1</w:t>
      </w:r>
      <w:r w:rsidRPr="00D43478">
        <w:rPr>
          <w:rFonts w:ascii="Times New Roman" w:hAnsi="Times New Roman"/>
          <w:sz w:val="28"/>
          <w:szCs w:val="28"/>
          <w:lang w:val="ru-RU"/>
        </w:rPr>
        <w:t>г.</w:t>
      </w:r>
      <w:r w:rsidRPr="00D43478">
        <w:rPr>
          <w:rFonts w:ascii="Times New Roman" w:hAnsi="Times New Roman"/>
          <w:sz w:val="28"/>
          <w:szCs w:val="28"/>
        </w:rPr>
        <w:t xml:space="preserve"> дейността</w:t>
      </w:r>
      <w:r w:rsidRPr="00D43478">
        <w:rPr>
          <w:rFonts w:ascii="Times New Roman" w:hAnsi="Times New Roman"/>
          <w:sz w:val="28"/>
          <w:szCs w:val="28"/>
          <w:lang w:val="ru-RU"/>
        </w:rPr>
        <w:t xml:space="preserve"> на отдел</w:t>
      </w:r>
      <w:r w:rsidRPr="00D43478">
        <w:rPr>
          <w:rFonts w:ascii="Times New Roman" w:hAnsi="Times New Roman"/>
          <w:sz w:val="28"/>
          <w:szCs w:val="28"/>
        </w:rPr>
        <w:t xml:space="preserve"> Отдел</w:t>
      </w:r>
      <w:r w:rsidRPr="00D43478">
        <w:rPr>
          <w:rFonts w:ascii="Times New Roman" w:hAnsi="Times New Roman"/>
          <w:sz w:val="28"/>
          <w:szCs w:val="28"/>
          <w:lang w:val="ru-RU"/>
        </w:rPr>
        <w:t xml:space="preserve"> 04 "Надзор за</w:t>
      </w:r>
      <w:r w:rsidRPr="00D43478">
        <w:rPr>
          <w:rFonts w:ascii="Times New Roman" w:hAnsi="Times New Roman"/>
          <w:sz w:val="28"/>
          <w:szCs w:val="28"/>
        </w:rPr>
        <w:t xml:space="preserve"> законност</w:t>
      </w:r>
      <w:r w:rsidRPr="00D43478">
        <w:rPr>
          <w:rFonts w:ascii="Times New Roman" w:hAnsi="Times New Roman"/>
          <w:sz w:val="28"/>
          <w:szCs w:val="28"/>
          <w:lang w:val="ru-RU"/>
        </w:rPr>
        <w:t>,</w:t>
      </w:r>
      <w:r w:rsidRPr="00D43478">
        <w:rPr>
          <w:rFonts w:ascii="Times New Roman" w:hAnsi="Times New Roman"/>
          <w:sz w:val="28"/>
          <w:szCs w:val="28"/>
        </w:rPr>
        <w:t xml:space="preserve"> гражданско-съдебен</w:t>
      </w:r>
      <w:r w:rsidRPr="00D43478">
        <w:rPr>
          <w:rFonts w:ascii="Times New Roman" w:hAnsi="Times New Roman"/>
          <w:sz w:val="28"/>
          <w:szCs w:val="28"/>
          <w:lang w:val="ru-RU"/>
        </w:rPr>
        <w:t xml:space="preserve"> и административно</w:t>
      </w:r>
      <w:r w:rsidRPr="00D43478">
        <w:rPr>
          <w:rFonts w:ascii="Times New Roman" w:hAnsi="Times New Roman"/>
          <w:sz w:val="28"/>
          <w:szCs w:val="28"/>
        </w:rPr>
        <w:t>-съдебен</w:t>
      </w:r>
      <w:r w:rsidRPr="00D43478">
        <w:rPr>
          <w:rFonts w:ascii="Times New Roman" w:hAnsi="Times New Roman"/>
          <w:sz w:val="28"/>
          <w:szCs w:val="28"/>
          <w:lang w:val="ru-RU"/>
        </w:rPr>
        <w:t xml:space="preserve"> надзор"</w:t>
      </w:r>
      <w:r w:rsidRPr="00D43478">
        <w:rPr>
          <w:rFonts w:ascii="Times New Roman" w:hAnsi="Times New Roman"/>
          <w:sz w:val="28"/>
          <w:szCs w:val="28"/>
          <w:lang w:val="en-US"/>
        </w:rPr>
        <w:t xml:space="preserve"> </w:t>
      </w:r>
      <w:r w:rsidRPr="00D43478">
        <w:rPr>
          <w:rFonts w:ascii="Times New Roman" w:hAnsi="Times New Roman"/>
          <w:sz w:val="28"/>
          <w:szCs w:val="28"/>
          <w:lang w:val="ru-RU"/>
        </w:rPr>
        <w:t xml:space="preserve">на СГП и отдел </w:t>
      </w:r>
      <w:r w:rsidRPr="00D43478">
        <w:rPr>
          <w:rFonts w:ascii="Times New Roman" w:hAnsi="Times New Roman"/>
          <w:sz w:val="28"/>
          <w:szCs w:val="28"/>
        </w:rPr>
        <w:t>„</w:t>
      </w:r>
      <w:r w:rsidRPr="00D43478">
        <w:rPr>
          <w:rFonts w:ascii="Times New Roman" w:hAnsi="Times New Roman"/>
          <w:sz w:val="28"/>
          <w:szCs w:val="28"/>
          <w:lang w:val="ru-RU"/>
        </w:rPr>
        <w:t>Надзор за</w:t>
      </w:r>
      <w:r w:rsidRPr="00D43478">
        <w:rPr>
          <w:rFonts w:ascii="Times New Roman" w:hAnsi="Times New Roman"/>
          <w:sz w:val="28"/>
          <w:szCs w:val="28"/>
        </w:rPr>
        <w:t xml:space="preserve"> законност</w:t>
      </w:r>
      <w:r w:rsidRPr="00D43478">
        <w:rPr>
          <w:rFonts w:ascii="Times New Roman" w:hAnsi="Times New Roman"/>
          <w:sz w:val="28"/>
          <w:szCs w:val="28"/>
          <w:lang w:val="ru-RU"/>
        </w:rPr>
        <w:t>,</w:t>
      </w:r>
      <w:r w:rsidRPr="00D43478">
        <w:rPr>
          <w:rFonts w:ascii="Times New Roman" w:hAnsi="Times New Roman"/>
          <w:sz w:val="28"/>
          <w:szCs w:val="28"/>
        </w:rPr>
        <w:t xml:space="preserve"> гражданско съдебен</w:t>
      </w:r>
      <w:r w:rsidRPr="00D43478">
        <w:rPr>
          <w:rFonts w:ascii="Times New Roman" w:hAnsi="Times New Roman"/>
          <w:sz w:val="28"/>
          <w:szCs w:val="28"/>
          <w:lang w:val="ru-RU"/>
        </w:rPr>
        <w:t xml:space="preserve"> надзор</w:t>
      </w:r>
      <w:r w:rsidRPr="00D43478">
        <w:rPr>
          <w:rFonts w:ascii="Times New Roman" w:hAnsi="Times New Roman"/>
          <w:sz w:val="28"/>
          <w:szCs w:val="28"/>
        </w:rPr>
        <w:t>“</w:t>
      </w:r>
      <w:r w:rsidRPr="00D43478">
        <w:rPr>
          <w:rFonts w:ascii="Times New Roman" w:hAnsi="Times New Roman"/>
          <w:sz w:val="28"/>
          <w:szCs w:val="28"/>
          <w:lang w:val="ru-RU"/>
        </w:rPr>
        <w:t xml:space="preserve"> към СРП</w:t>
      </w:r>
      <w:r w:rsidRPr="00D43478">
        <w:rPr>
          <w:rFonts w:ascii="Times New Roman" w:hAnsi="Times New Roman"/>
          <w:sz w:val="28"/>
          <w:szCs w:val="28"/>
        </w:rPr>
        <w:t xml:space="preserve"> беше</w:t>
      </w:r>
      <w:r w:rsidRPr="00D43478">
        <w:rPr>
          <w:rFonts w:ascii="Times New Roman" w:hAnsi="Times New Roman"/>
          <w:sz w:val="28"/>
          <w:szCs w:val="28"/>
          <w:lang w:val="ru-RU"/>
        </w:rPr>
        <w:t xml:space="preserve"> активно</w:t>
      </w:r>
      <w:r w:rsidRPr="00D43478">
        <w:rPr>
          <w:rFonts w:ascii="Times New Roman" w:hAnsi="Times New Roman"/>
          <w:sz w:val="28"/>
          <w:szCs w:val="28"/>
        </w:rPr>
        <w:t xml:space="preserve"> насочена към</w:t>
      </w:r>
      <w:r w:rsidRPr="00D43478">
        <w:rPr>
          <w:rFonts w:ascii="Times New Roman" w:hAnsi="Times New Roman"/>
          <w:sz w:val="28"/>
          <w:szCs w:val="28"/>
          <w:lang w:val="ru-RU"/>
        </w:rPr>
        <w:t xml:space="preserve"> защита на</w:t>
      </w:r>
      <w:r w:rsidRPr="00D43478">
        <w:rPr>
          <w:rFonts w:ascii="Times New Roman" w:hAnsi="Times New Roman"/>
          <w:sz w:val="28"/>
          <w:szCs w:val="28"/>
        </w:rPr>
        <w:t xml:space="preserve"> обществения</w:t>
      </w:r>
      <w:r w:rsidRPr="00D43478">
        <w:rPr>
          <w:rFonts w:ascii="Times New Roman" w:hAnsi="Times New Roman"/>
          <w:sz w:val="28"/>
          <w:szCs w:val="28"/>
          <w:lang w:val="ru-RU"/>
        </w:rPr>
        <w:t xml:space="preserve"> интерес при</w:t>
      </w:r>
      <w:r w:rsidRPr="00D43478">
        <w:rPr>
          <w:rFonts w:ascii="Times New Roman" w:hAnsi="Times New Roman"/>
          <w:sz w:val="28"/>
          <w:szCs w:val="28"/>
        </w:rPr>
        <w:t xml:space="preserve"> развитието</w:t>
      </w:r>
      <w:r w:rsidRPr="00D43478">
        <w:rPr>
          <w:rFonts w:ascii="Times New Roman" w:hAnsi="Times New Roman"/>
          <w:sz w:val="28"/>
          <w:szCs w:val="28"/>
          <w:lang w:val="ru-RU"/>
        </w:rPr>
        <w:t xml:space="preserve"> на</w:t>
      </w:r>
      <w:r w:rsidRPr="00D43478">
        <w:rPr>
          <w:rFonts w:ascii="Times New Roman" w:hAnsi="Times New Roman"/>
          <w:sz w:val="28"/>
          <w:szCs w:val="28"/>
        </w:rPr>
        <w:t xml:space="preserve"> гражданските</w:t>
      </w:r>
      <w:r w:rsidRPr="00D43478">
        <w:rPr>
          <w:rFonts w:ascii="Times New Roman" w:hAnsi="Times New Roman"/>
          <w:sz w:val="28"/>
          <w:szCs w:val="28"/>
          <w:lang w:val="ru-RU"/>
        </w:rPr>
        <w:t xml:space="preserve"> и</w:t>
      </w:r>
      <w:r w:rsidRPr="00D43478">
        <w:rPr>
          <w:rFonts w:ascii="Times New Roman" w:hAnsi="Times New Roman"/>
          <w:sz w:val="28"/>
          <w:szCs w:val="28"/>
        </w:rPr>
        <w:t xml:space="preserve"> търговските</w:t>
      </w:r>
      <w:r w:rsidRPr="00D43478">
        <w:rPr>
          <w:rFonts w:ascii="Times New Roman" w:hAnsi="Times New Roman"/>
          <w:sz w:val="28"/>
          <w:szCs w:val="28"/>
          <w:lang w:val="ru-RU"/>
        </w:rPr>
        <w:t xml:space="preserve"> отношения</w:t>
      </w:r>
      <w:r w:rsidRPr="00D43478">
        <w:rPr>
          <w:rFonts w:ascii="Times New Roman" w:hAnsi="Times New Roman"/>
          <w:sz w:val="28"/>
          <w:szCs w:val="28"/>
          <w:lang w:val="en-US"/>
        </w:rPr>
        <w:t>.</w:t>
      </w:r>
      <w:r w:rsidRPr="00D43478">
        <w:rPr>
          <w:rFonts w:ascii="Times New Roman" w:hAnsi="Times New Roman"/>
          <w:sz w:val="28"/>
          <w:szCs w:val="28"/>
          <w:lang w:val="ru-RU"/>
        </w:rPr>
        <w:t xml:space="preserve"> </w:t>
      </w:r>
      <w:r w:rsidRPr="00D43478">
        <w:rPr>
          <w:rFonts w:ascii="Times New Roman" w:hAnsi="Times New Roman"/>
          <w:sz w:val="28"/>
          <w:szCs w:val="28"/>
        </w:rPr>
        <w:t>В предвидените</w:t>
      </w:r>
      <w:r w:rsidRPr="00D43478">
        <w:rPr>
          <w:rFonts w:ascii="Times New Roman" w:hAnsi="Times New Roman"/>
          <w:sz w:val="28"/>
          <w:szCs w:val="28"/>
          <w:lang w:val="ru-RU"/>
        </w:rPr>
        <w:t xml:space="preserve"> от закона случаи</w:t>
      </w:r>
      <w:r w:rsidRPr="00D43478">
        <w:rPr>
          <w:rFonts w:ascii="Times New Roman" w:hAnsi="Times New Roman"/>
          <w:sz w:val="28"/>
          <w:szCs w:val="28"/>
        </w:rPr>
        <w:t xml:space="preserve"> прокурорите са упражнявали ефективно предоставените</w:t>
      </w:r>
      <w:r w:rsidRPr="00D43478">
        <w:rPr>
          <w:rFonts w:ascii="Times New Roman" w:hAnsi="Times New Roman"/>
          <w:sz w:val="28"/>
          <w:szCs w:val="28"/>
          <w:lang w:val="ru-RU"/>
        </w:rPr>
        <w:t xml:space="preserve"> им по ГПК</w:t>
      </w:r>
      <w:r w:rsidRPr="00D43478">
        <w:rPr>
          <w:rFonts w:ascii="Times New Roman" w:hAnsi="Times New Roman"/>
          <w:sz w:val="28"/>
          <w:szCs w:val="28"/>
        </w:rPr>
        <w:t xml:space="preserve"> процесуални</w:t>
      </w:r>
      <w:r w:rsidRPr="00D43478">
        <w:rPr>
          <w:rFonts w:ascii="Times New Roman" w:hAnsi="Times New Roman"/>
          <w:sz w:val="28"/>
          <w:szCs w:val="28"/>
          <w:lang w:val="ru-RU"/>
        </w:rPr>
        <w:t xml:space="preserve"> права –</w:t>
      </w:r>
      <w:r w:rsidRPr="00D43478">
        <w:rPr>
          <w:rFonts w:ascii="Times New Roman" w:hAnsi="Times New Roman"/>
          <w:sz w:val="28"/>
          <w:szCs w:val="28"/>
        </w:rPr>
        <w:t xml:space="preserve"> изготвяни</w:t>
      </w:r>
      <w:r w:rsidRPr="00D43478">
        <w:rPr>
          <w:rFonts w:ascii="Times New Roman" w:hAnsi="Times New Roman"/>
          <w:sz w:val="28"/>
          <w:szCs w:val="28"/>
          <w:lang w:val="ru-RU"/>
        </w:rPr>
        <w:t xml:space="preserve"> и</w:t>
      </w:r>
      <w:r w:rsidRPr="00D43478">
        <w:rPr>
          <w:rFonts w:ascii="Times New Roman" w:hAnsi="Times New Roman"/>
          <w:sz w:val="28"/>
          <w:szCs w:val="28"/>
        </w:rPr>
        <w:t xml:space="preserve"> внасяни са искови молби</w:t>
      </w:r>
      <w:r w:rsidRPr="00D43478">
        <w:rPr>
          <w:rFonts w:ascii="Times New Roman" w:hAnsi="Times New Roman"/>
          <w:sz w:val="28"/>
          <w:szCs w:val="28"/>
          <w:lang w:val="ru-RU"/>
        </w:rPr>
        <w:t xml:space="preserve"> за</w:t>
      </w:r>
      <w:r w:rsidRPr="00D43478">
        <w:rPr>
          <w:rFonts w:ascii="Times New Roman" w:hAnsi="Times New Roman"/>
          <w:sz w:val="28"/>
          <w:szCs w:val="28"/>
        </w:rPr>
        <w:t xml:space="preserve"> прекратяване</w:t>
      </w:r>
      <w:r w:rsidRPr="00D43478">
        <w:rPr>
          <w:rFonts w:ascii="Times New Roman" w:hAnsi="Times New Roman"/>
          <w:sz w:val="28"/>
          <w:szCs w:val="28"/>
          <w:lang w:val="ru-RU"/>
        </w:rPr>
        <w:t xml:space="preserve"> на</w:t>
      </w:r>
      <w:r w:rsidRPr="00D43478">
        <w:rPr>
          <w:rFonts w:ascii="Times New Roman" w:hAnsi="Times New Roman"/>
          <w:sz w:val="28"/>
          <w:szCs w:val="28"/>
        </w:rPr>
        <w:t xml:space="preserve"> търговски</w:t>
      </w:r>
      <w:r w:rsidRPr="00D43478">
        <w:rPr>
          <w:rFonts w:ascii="Times New Roman" w:hAnsi="Times New Roman"/>
          <w:sz w:val="28"/>
          <w:szCs w:val="28"/>
          <w:lang w:val="ru-RU"/>
        </w:rPr>
        <w:t xml:space="preserve"> дружества, за</w:t>
      </w:r>
      <w:r w:rsidRPr="00D43478">
        <w:rPr>
          <w:rFonts w:ascii="Times New Roman" w:hAnsi="Times New Roman"/>
          <w:sz w:val="28"/>
          <w:szCs w:val="28"/>
        </w:rPr>
        <w:t xml:space="preserve"> прекратяване</w:t>
      </w:r>
      <w:r w:rsidRPr="00D43478">
        <w:rPr>
          <w:rFonts w:ascii="Times New Roman" w:hAnsi="Times New Roman"/>
          <w:sz w:val="28"/>
          <w:szCs w:val="28"/>
          <w:lang w:val="ru-RU"/>
        </w:rPr>
        <w:t xml:space="preserve"> на</w:t>
      </w:r>
      <w:r w:rsidRPr="00D43478">
        <w:rPr>
          <w:rFonts w:ascii="Times New Roman" w:hAnsi="Times New Roman"/>
          <w:sz w:val="28"/>
          <w:szCs w:val="28"/>
        </w:rPr>
        <w:t xml:space="preserve"> дейността</w:t>
      </w:r>
      <w:r w:rsidRPr="00D43478">
        <w:rPr>
          <w:rFonts w:ascii="Times New Roman" w:hAnsi="Times New Roman"/>
          <w:sz w:val="28"/>
          <w:szCs w:val="28"/>
          <w:lang w:val="ru-RU"/>
        </w:rPr>
        <w:t xml:space="preserve"> на политически партии, за</w:t>
      </w:r>
      <w:r w:rsidRPr="00D43478">
        <w:rPr>
          <w:rFonts w:ascii="Times New Roman" w:hAnsi="Times New Roman"/>
          <w:sz w:val="28"/>
          <w:szCs w:val="28"/>
        </w:rPr>
        <w:t xml:space="preserve"> поставяне</w:t>
      </w:r>
      <w:r w:rsidRPr="00D43478">
        <w:rPr>
          <w:rFonts w:ascii="Times New Roman" w:hAnsi="Times New Roman"/>
          <w:sz w:val="28"/>
          <w:szCs w:val="28"/>
          <w:lang w:val="ru-RU"/>
        </w:rPr>
        <w:t xml:space="preserve"> под запрещение и др., становища и</w:t>
      </w:r>
      <w:r w:rsidRPr="00D43478">
        <w:rPr>
          <w:rFonts w:ascii="Times New Roman" w:hAnsi="Times New Roman"/>
          <w:sz w:val="28"/>
          <w:szCs w:val="28"/>
        </w:rPr>
        <w:t xml:space="preserve"> възражения</w:t>
      </w:r>
      <w:r w:rsidRPr="00D43478">
        <w:rPr>
          <w:rFonts w:ascii="Times New Roman" w:hAnsi="Times New Roman"/>
          <w:sz w:val="28"/>
          <w:szCs w:val="28"/>
          <w:lang w:val="ru-RU"/>
        </w:rPr>
        <w:t xml:space="preserve"> в хода на</w:t>
      </w:r>
      <w:r w:rsidRPr="00D43478">
        <w:rPr>
          <w:rFonts w:ascii="Times New Roman" w:hAnsi="Times New Roman"/>
          <w:sz w:val="28"/>
          <w:szCs w:val="28"/>
        </w:rPr>
        <w:t xml:space="preserve"> висящи</w:t>
      </w:r>
      <w:r w:rsidRPr="00D43478">
        <w:rPr>
          <w:rFonts w:ascii="Times New Roman" w:hAnsi="Times New Roman"/>
          <w:sz w:val="28"/>
          <w:szCs w:val="28"/>
          <w:lang w:val="ru-RU"/>
        </w:rPr>
        <w:t xml:space="preserve"> производства,</w:t>
      </w:r>
      <w:r w:rsidRPr="00D43478">
        <w:rPr>
          <w:rFonts w:ascii="Times New Roman" w:hAnsi="Times New Roman"/>
          <w:sz w:val="28"/>
          <w:szCs w:val="28"/>
        </w:rPr>
        <w:t xml:space="preserve"> писмени</w:t>
      </w:r>
      <w:r w:rsidRPr="00D43478">
        <w:rPr>
          <w:rFonts w:ascii="Times New Roman" w:hAnsi="Times New Roman"/>
          <w:sz w:val="28"/>
          <w:szCs w:val="28"/>
          <w:lang w:val="ru-RU"/>
        </w:rPr>
        <w:t xml:space="preserve"> отговори,</w:t>
      </w:r>
      <w:r w:rsidRPr="00D43478">
        <w:rPr>
          <w:rFonts w:ascii="Times New Roman" w:hAnsi="Times New Roman"/>
          <w:sz w:val="28"/>
          <w:szCs w:val="28"/>
        </w:rPr>
        <w:t xml:space="preserve"> въззивни</w:t>
      </w:r>
      <w:r w:rsidRPr="00D43478">
        <w:rPr>
          <w:rFonts w:ascii="Times New Roman" w:hAnsi="Times New Roman"/>
          <w:sz w:val="28"/>
          <w:szCs w:val="28"/>
          <w:lang w:val="ru-RU"/>
        </w:rPr>
        <w:t xml:space="preserve"> и</w:t>
      </w:r>
      <w:r w:rsidRPr="00D43478">
        <w:rPr>
          <w:rFonts w:ascii="Times New Roman" w:hAnsi="Times New Roman"/>
          <w:sz w:val="28"/>
          <w:szCs w:val="28"/>
        </w:rPr>
        <w:t xml:space="preserve"> касационни жалби</w:t>
      </w:r>
      <w:r w:rsidRPr="00D43478">
        <w:rPr>
          <w:rFonts w:ascii="Times New Roman" w:hAnsi="Times New Roman"/>
          <w:sz w:val="28"/>
          <w:szCs w:val="28"/>
          <w:lang w:val="ru-RU"/>
        </w:rPr>
        <w:t xml:space="preserve">, както и участия в съдебни заседания и др. </w:t>
      </w:r>
    </w:p>
    <w:p w:rsidR="00D43478" w:rsidRPr="00D43478" w:rsidRDefault="00D43478" w:rsidP="004D24A1">
      <w:pPr>
        <w:spacing w:after="0"/>
        <w:ind w:firstLine="708"/>
        <w:jc w:val="both"/>
        <w:rPr>
          <w:rFonts w:ascii="Times New Roman" w:hAnsi="Times New Roman"/>
          <w:sz w:val="28"/>
          <w:szCs w:val="28"/>
          <w:lang w:val="ru-RU"/>
        </w:rPr>
      </w:pPr>
      <w:r w:rsidRPr="00D43478">
        <w:rPr>
          <w:rFonts w:ascii="Times New Roman" w:hAnsi="Times New Roman"/>
          <w:sz w:val="28"/>
          <w:szCs w:val="28"/>
          <w:lang w:val="ru-RU"/>
        </w:rPr>
        <w:t>Като положителна тенденция в дейността на отдел 04 "Надзор за законност, гражданско-съдебен и административно-съдебен надзор",</w:t>
      </w:r>
      <w:r w:rsidRPr="00D43478">
        <w:rPr>
          <w:rFonts w:ascii="Times New Roman" w:hAnsi="Times New Roman"/>
          <w:sz w:val="28"/>
          <w:szCs w:val="28"/>
          <w:lang w:val="en-US"/>
        </w:rPr>
        <w:t xml:space="preserve"> </w:t>
      </w:r>
      <w:r w:rsidRPr="00D43478">
        <w:rPr>
          <w:rFonts w:ascii="Times New Roman" w:hAnsi="Times New Roman"/>
          <w:sz w:val="28"/>
          <w:szCs w:val="28"/>
          <w:lang w:val="ru-RU"/>
        </w:rPr>
        <w:t xml:space="preserve">следва да се открои отличната комуникация с органите по приходите, като в </w:t>
      </w:r>
      <w:r w:rsidRPr="00D43478">
        <w:rPr>
          <w:rFonts w:ascii="Times New Roman" w:hAnsi="Times New Roman"/>
          <w:sz w:val="28"/>
          <w:szCs w:val="28"/>
          <w:lang w:val="ru-RU"/>
        </w:rPr>
        <w:lastRenderedPageBreak/>
        <w:t>резултат на това са били подавани своевременно съответните уведомления от ТД на НАП – гр. София, ведно с приложени относими за това документи, с оглед упражняване правомощията на прокуратурата по чл. 155, т.3 и чл. 252, ал.1, т.6 от ТЗ за прекратяване на търговски дружества. В тази връзка следва да се отбележи, че при поискване са били своевременно</w:t>
      </w:r>
      <w:r w:rsidRPr="00D43478">
        <w:rPr>
          <w:rFonts w:ascii="Times New Roman" w:hAnsi="Times New Roman"/>
          <w:sz w:val="28"/>
          <w:szCs w:val="28"/>
        </w:rPr>
        <w:t xml:space="preserve"> предоставяни</w:t>
      </w:r>
      <w:r w:rsidRPr="00D43478">
        <w:rPr>
          <w:rFonts w:ascii="Times New Roman" w:hAnsi="Times New Roman"/>
          <w:sz w:val="28"/>
          <w:szCs w:val="28"/>
          <w:lang w:val="ru-RU"/>
        </w:rPr>
        <w:t xml:space="preserve"> справки по повод</w:t>
      </w:r>
      <w:r w:rsidRPr="00D43478">
        <w:rPr>
          <w:rFonts w:ascii="Times New Roman" w:hAnsi="Times New Roman"/>
          <w:sz w:val="28"/>
          <w:szCs w:val="28"/>
        </w:rPr>
        <w:t xml:space="preserve"> проверяваните</w:t>
      </w:r>
      <w:r w:rsidRPr="00D43478">
        <w:rPr>
          <w:rFonts w:ascii="Times New Roman" w:hAnsi="Times New Roman"/>
          <w:sz w:val="28"/>
          <w:szCs w:val="28"/>
          <w:lang w:val="ru-RU"/>
        </w:rPr>
        <w:t xml:space="preserve"> от СГП </w:t>
      </w:r>
      <w:r w:rsidRPr="00D43478">
        <w:rPr>
          <w:rFonts w:ascii="Times New Roman" w:hAnsi="Times New Roman"/>
          <w:sz w:val="28"/>
          <w:szCs w:val="28"/>
        </w:rPr>
        <w:t>фирми</w:t>
      </w:r>
      <w:r w:rsidRPr="00D43478">
        <w:rPr>
          <w:rFonts w:ascii="Times New Roman" w:hAnsi="Times New Roman"/>
          <w:sz w:val="28"/>
          <w:szCs w:val="28"/>
          <w:lang w:val="ru-RU"/>
        </w:rPr>
        <w:t>.</w:t>
      </w:r>
    </w:p>
    <w:p w:rsidR="00D43478" w:rsidRPr="00D43478" w:rsidRDefault="00D43478" w:rsidP="004D24A1">
      <w:pPr>
        <w:spacing w:after="0"/>
        <w:ind w:firstLine="708"/>
        <w:jc w:val="both"/>
        <w:rPr>
          <w:rFonts w:ascii="Times New Roman" w:hAnsi="Times New Roman"/>
          <w:sz w:val="28"/>
          <w:szCs w:val="28"/>
          <w:lang w:val="ru-RU"/>
        </w:rPr>
      </w:pPr>
      <w:r w:rsidRPr="00D43478">
        <w:rPr>
          <w:rFonts w:ascii="Times New Roman" w:hAnsi="Times New Roman"/>
          <w:sz w:val="28"/>
          <w:szCs w:val="28"/>
        </w:rPr>
        <w:t xml:space="preserve">Прокурорите от отдел 04 "Надзор за законност, гражданско-съдебен и административно-съдебен надзор" на СГП, активно си взаимодействаха през 2021г. </w:t>
      </w:r>
      <w:r w:rsidRPr="00D43478">
        <w:rPr>
          <w:rFonts w:ascii="Times New Roman" w:hAnsi="Times New Roman"/>
          <w:sz w:val="28"/>
          <w:szCs w:val="28"/>
          <w:lang w:val="ru-RU"/>
        </w:rPr>
        <w:t xml:space="preserve">с </w:t>
      </w:r>
      <w:r w:rsidRPr="00D43478">
        <w:rPr>
          <w:rFonts w:ascii="Times New Roman" w:hAnsi="Times New Roman"/>
          <w:sz w:val="28"/>
          <w:szCs w:val="28"/>
        </w:rPr>
        <w:t>органите</w:t>
      </w:r>
      <w:r w:rsidRPr="00D43478">
        <w:rPr>
          <w:rFonts w:ascii="Times New Roman" w:hAnsi="Times New Roman"/>
          <w:sz w:val="28"/>
          <w:szCs w:val="28"/>
          <w:lang w:val="ru-RU"/>
        </w:rPr>
        <w:t xml:space="preserve"> на МВР по повод</w:t>
      </w:r>
      <w:r w:rsidRPr="00D43478">
        <w:rPr>
          <w:rFonts w:ascii="Times New Roman" w:hAnsi="Times New Roman"/>
          <w:sz w:val="28"/>
          <w:szCs w:val="28"/>
        </w:rPr>
        <w:t xml:space="preserve"> извършвани</w:t>
      </w:r>
      <w:r w:rsidRPr="00D43478">
        <w:rPr>
          <w:rFonts w:ascii="Times New Roman" w:hAnsi="Times New Roman"/>
          <w:sz w:val="28"/>
          <w:szCs w:val="28"/>
          <w:lang w:val="ru-RU"/>
        </w:rPr>
        <w:t xml:space="preserve"> проверки за</w:t>
      </w:r>
      <w:r w:rsidRPr="00D43478">
        <w:rPr>
          <w:rFonts w:ascii="Times New Roman" w:hAnsi="Times New Roman"/>
          <w:sz w:val="28"/>
          <w:szCs w:val="28"/>
        </w:rPr>
        <w:t xml:space="preserve"> установяване предпоставки</w:t>
      </w:r>
      <w:r w:rsidRPr="00D43478">
        <w:rPr>
          <w:rFonts w:ascii="Times New Roman" w:hAnsi="Times New Roman"/>
          <w:sz w:val="28"/>
          <w:szCs w:val="28"/>
          <w:lang w:val="ru-RU"/>
        </w:rPr>
        <w:t xml:space="preserve"> и</w:t>
      </w:r>
      <w:r w:rsidRPr="00D43478">
        <w:rPr>
          <w:rFonts w:ascii="Times New Roman" w:hAnsi="Times New Roman"/>
          <w:sz w:val="28"/>
          <w:szCs w:val="28"/>
        </w:rPr>
        <w:t xml:space="preserve"> поставяне</w:t>
      </w:r>
      <w:r w:rsidRPr="00D43478">
        <w:rPr>
          <w:rFonts w:ascii="Times New Roman" w:hAnsi="Times New Roman"/>
          <w:sz w:val="28"/>
          <w:szCs w:val="28"/>
          <w:lang w:val="ru-RU"/>
        </w:rPr>
        <w:t xml:space="preserve"> на лица под запрещение по Закона за</w:t>
      </w:r>
      <w:r w:rsidRPr="00D43478">
        <w:rPr>
          <w:rFonts w:ascii="Times New Roman" w:hAnsi="Times New Roman"/>
          <w:sz w:val="28"/>
          <w:szCs w:val="28"/>
        </w:rPr>
        <w:t xml:space="preserve"> здравето</w:t>
      </w:r>
      <w:r w:rsidRPr="00D43478">
        <w:rPr>
          <w:rFonts w:ascii="Times New Roman" w:hAnsi="Times New Roman"/>
          <w:sz w:val="28"/>
          <w:szCs w:val="28"/>
          <w:lang w:val="ru-RU"/>
        </w:rPr>
        <w:t>.</w:t>
      </w:r>
      <w:r w:rsidRPr="00D43478">
        <w:rPr>
          <w:rFonts w:ascii="Times New Roman" w:hAnsi="Times New Roman"/>
          <w:sz w:val="28"/>
          <w:szCs w:val="28"/>
        </w:rPr>
        <w:t xml:space="preserve"> Тези</w:t>
      </w:r>
      <w:r w:rsidRPr="00D43478">
        <w:rPr>
          <w:rFonts w:ascii="Times New Roman" w:hAnsi="Times New Roman"/>
          <w:sz w:val="28"/>
          <w:szCs w:val="28"/>
          <w:lang w:val="ru-RU"/>
        </w:rPr>
        <w:t xml:space="preserve"> проверки се</w:t>
      </w:r>
      <w:r w:rsidRPr="00D43478">
        <w:rPr>
          <w:rFonts w:ascii="Times New Roman" w:hAnsi="Times New Roman"/>
          <w:sz w:val="28"/>
          <w:szCs w:val="28"/>
        </w:rPr>
        <w:t xml:space="preserve"> отличаваха</w:t>
      </w:r>
      <w:r w:rsidRPr="00D43478">
        <w:rPr>
          <w:rFonts w:ascii="Times New Roman" w:hAnsi="Times New Roman"/>
          <w:sz w:val="28"/>
          <w:szCs w:val="28"/>
          <w:lang w:val="ru-RU"/>
        </w:rPr>
        <w:t xml:space="preserve"> с</w:t>
      </w:r>
      <w:r w:rsidRPr="00D43478">
        <w:rPr>
          <w:rFonts w:ascii="Times New Roman" w:hAnsi="Times New Roman"/>
          <w:sz w:val="28"/>
          <w:szCs w:val="28"/>
        </w:rPr>
        <w:t xml:space="preserve"> фактическа</w:t>
      </w:r>
      <w:r w:rsidRPr="00D43478">
        <w:rPr>
          <w:rFonts w:ascii="Times New Roman" w:hAnsi="Times New Roman"/>
          <w:sz w:val="28"/>
          <w:szCs w:val="28"/>
          <w:lang w:val="ru-RU"/>
        </w:rPr>
        <w:t xml:space="preserve"> сложност, необходимо беше извършването на множество дейности, насочени към изследване на факти свързани с психичното здраве на лицата, изследване на техни роднински връзки, снемане обяснения от множество лица, имащи отношения към съответните случаи.</w:t>
      </w:r>
    </w:p>
    <w:p w:rsidR="00D43478" w:rsidRPr="00D43478" w:rsidRDefault="00D43478" w:rsidP="004D24A1">
      <w:pPr>
        <w:spacing w:after="0"/>
        <w:ind w:firstLine="708"/>
        <w:jc w:val="both"/>
        <w:rPr>
          <w:rFonts w:ascii="Times New Roman" w:hAnsi="Times New Roman"/>
          <w:color w:val="FF0000"/>
          <w:sz w:val="28"/>
          <w:szCs w:val="28"/>
        </w:rPr>
      </w:pPr>
      <w:r w:rsidRPr="00D43478">
        <w:rPr>
          <w:rFonts w:ascii="Times New Roman" w:hAnsi="Times New Roman"/>
          <w:sz w:val="28"/>
          <w:szCs w:val="28"/>
        </w:rPr>
        <w:t>На Софийска градска прокуратура е възложена и специфична функция по надзор, изведена от Закона за политическите партии.</w:t>
      </w:r>
      <w:r w:rsidRPr="00D43478">
        <w:rPr>
          <w:rFonts w:ascii="Times New Roman" w:hAnsi="Times New Roman"/>
          <w:sz w:val="28"/>
          <w:szCs w:val="28"/>
          <w:lang w:val="ru-RU"/>
        </w:rPr>
        <w:t xml:space="preserve"> Във връзка с предоставеното съгласно чл. 40, ал. 2 от Закона за политическите партии правомощие на СГП е да иска по гражданско-правен ред прекратяване на политически партии при наличие на изброените в закона хипотези.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lang w:val="ru-RU"/>
        </w:rPr>
        <w:t xml:space="preserve">В СРП, </w:t>
      </w:r>
      <w:r w:rsidRPr="00D43478">
        <w:rPr>
          <w:rFonts w:ascii="Times New Roman" w:hAnsi="Times New Roman"/>
          <w:sz w:val="28"/>
          <w:szCs w:val="28"/>
        </w:rPr>
        <w:t>създадената организация за работа на прокурорите в отдела благоприятства тяхното пълноценно изпълнение на служебните им задължения. Извършените планови проверки съответстват на обществената проблематика, обуславяща социално-икономическата динамика в отношенията на територията на гр. София, както и на 24-те Районни кметства. Взаимодействието с другите органи на държавна власт е било конструктивно, което води и до пълноценно и ефективно упражняване на правомощията по “Надзора за законност”. За това допринесе създаването и прилагането в практиката на СРП на „Методика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rsidR="00D43478" w:rsidRPr="00D43478" w:rsidRDefault="00D43478" w:rsidP="004D24A1">
      <w:pPr>
        <w:spacing w:after="0"/>
        <w:ind w:firstLine="708"/>
        <w:jc w:val="both"/>
        <w:rPr>
          <w:rFonts w:ascii="Times New Roman" w:hAnsi="Times New Roman"/>
          <w:sz w:val="28"/>
          <w:szCs w:val="28"/>
          <w:lang w:val="en-US"/>
        </w:rPr>
      </w:pPr>
      <w:r w:rsidRPr="00D43478">
        <w:rPr>
          <w:rFonts w:ascii="Times New Roman" w:hAnsi="Times New Roman"/>
          <w:sz w:val="28"/>
          <w:szCs w:val="28"/>
        </w:rPr>
        <w:t>През 2021 година по гражданско – съдебния надзор в съдебния район на СГП /СГП и СРП/ броят на прокурорите  е 18, от които реално работили 16, за 2020г. броят им е 1</w:t>
      </w:r>
      <w:r w:rsidRPr="00D43478">
        <w:rPr>
          <w:rFonts w:ascii="Times New Roman" w:hAnsi="Times New Roman"/>
          <w:sz w:val="28"/>
          <w:szCs w:val="28"/>
          <w:lang w:val="en-US"/>
        </w:rPr>
        <w:t>9</w:t>
      </w:r>
      <w:r w:rsidRPr="00D43478">
        <w:rPr>
          <w:rFonts w:ascii="Times New Roman" w:hAnsi="Times New Roman"/>
          <w:sz w:val="28"/>
          <w:szCs w:val="28"/>
        </w:rPr>
        <w:t>, от които реално са работили 1</w:t>
      </w:r>
      <w:r w:rsidRPr="00D43478">
        <w:rPr>
          <w:rFonts w:ascii="Times New Roman" w:hAnsi="Times New Roman"/>
          <w:sz w:val="28"/>
          <w:szCs w:val="28"/>
          <w:lang w:val="en-US"/>
        </w:rPr>
        <w:t>8</w:t>
      </w:r>
      <w:r w:rsidRPr="00D43478">
        <w:rPr>
          <w:rFonts w:ascii="Times New Roman" w:hAnsi="Times New Roman"/>
          <w:sz w:val="28"/>
          <w:szCs w:val="28"/>
        </w:rPr>
        <w:t xml:space="preserve">, за 2019 година броят остава непроменен спрямо предходната отчетна година.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В Софийска градска прокуратура броят на прокурорите за 2021г. е 1</w:t>
      </w:r>
      <w:r w:rsidRPr="00D43478">
        <w:rPr>
          <w:rFonts w:ascii="Times New Roman" w:hAnsi="Times New Roman"/>
          <w:sz w:val="28"/>
          <w:szCs w:val="28"/>
          <w:lang w:val="en-US"/>
        </w:rPr>
        <w:t>4</w:t>
      </w:r>
      <w:r w:rsidRPr="00D43478">
        <w:rPr>
          <w:rFonts w:ascii="Times New Roman" w:hAnsi="Times New Roman"/>
          <w:sz w:val="28"/>
          <w:szCs w:val="28"/>
        </w:rPr>
        <w:t xml:space="preserve">, като реално са осъществяват дейност в отдел 04 „Надзор за законност, гражданско-съдебен и административно-съдебен надзор“ 12 от тях. </w:t>
      </w:r>
    </w:p>
    <w:p w:rsidR="00D43478" w:rsidRPr="00D43478" w:rsidRDefault="00D43478" w:rsidP="004D24A1">
      <w:pPr>
        <w:spacing w:after="0"/>
        <w:ind w:firstLine="708"/>
        <w:jc w:val="both"/>
        <w:rPr>
          <w:rFonts w:ascii="Times New Roman" w:hAnsi="Times New Roman"/>
          <w:sz w:val="28"/>
          <w:szCs w:val="28"/>
          <w:lang w:val="en-US"/>
        </w:rPr>
      </w:pPr>
      <w:r w:rsidRPr="00D43478">
        <w:rPr>
          <w:rFonts w:ascii="Times New Roman" w:hAnsi="Times New Roman"/>
          <w:sz w:val="28"/>
          <w:szCs w:val="28"/>
        </w:rPr>
        <w:lastRenderedPageBreak/>
        <w:t>В сравнение с предходната година броя на ефективно работилите в отдела е намалял, тъй като за 2020г. те са били 14.</w:t>
      </w:r>
    </w:p>
    <w:p w:rsidR="00D43478" w:rsidRPr="00D43478" w:rsidRDefault="00D43478" w:rsidP="004D24A1">
      <w:pPr>
        <w:spacing w:after="0"/>
        <w:ind w:firstLine="708"/>
        <w:jc w:val="both"/>
        <w:rPr>
          <w:rFonts w:ascii="Times New Roman" w:hAnsi="Times New Roman"/>
          <w:sz w:val="28"/>
          <w:szCs w:val="28"/>
          <w:lang w:val="en-US"/>
        </w:rPr>
      </w:pPr>
      <w:r w:rsidRPr="00D43478">
        <w:rPr>
          <w:rFonts w:ascii="Times New Roman" w:hAnsi="Times New Roman"/>
          <w:sz w:val="28"/>
          <w:szCs w:val="28"/>
        </w:rPr>
        <w:t>За 2019г. броят е бил 14, като от тях реално са работили 13.</w:t>
      </w:r>
      <w:r w:rsidRPr="00D43478">
        <w:rPr>
          <w:rFonts w:ascii="Times New Roman" w:hAnsi="Times New Roman"/>
          <w:sz w:val="28"/>
          <w:szCs w:val="28"/>
          <w:lang w:val="en-US"/>
        </w:rPr>
        <w:t xml:space="preserve">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С оглед вътрешно разпределение на участието в съдебни заседания, броят на прокурорите, които са участвали в заседания по ГСН за 2021г. е  6, намален в сравнение с предходната година с един прокурор.</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През отчетния период в Софийска районна прокуратура отдели „ГСН“ и „НЗ” са работили четирима /последното тримесечие трима/ прокурори. </w:t>
      </w:r>
    </w:p>
    <w:p w:rsidR="00D43478" w:rsidRPr="00D43478" w:rsidRDefault="00D43478" w:rsidP="004D24A1">
      <w:pPr>
        <w:spacing w:after="0"/>
        <w:ind w:firstLine="708"/>
        <w:jc w:val="both"/>
        <w:rPr>
          <w:rFonts w:ascii="Times New Roman" w:hAnsi="Times New Roman"/>
          <w:color w:val="FF0000"/>
          <w:sz w:val="28"/>
          <w:szCs w:val="28"/>
          <w:lang w:val="en-US"/>
        </w:rPr>
      </w:pPr>
      <w:r w:rsidRPr="00D43478">
        <w:rPr>
          <w:rFonts w:ascii="Times New Roman" w:hAnsi="Times New Roman"/>
          <w:sz w:val="28"/>
          <w:szCs w:val="28"/>
          <w:lang w:val="en-US"/>
        </w:rPr>
        <w:t>През 20</w:t>
      </w:r>
      <w:r w:rsidRPr="00D43478">
        <w:rPr>
          <w:rFonts w:ascii="Times New Roman" w:hAnsi="Times New Roman"/>
          <w:sz w:val="28"/>
          <w:szCs w:val="28"/>
        </w:rPr>
        <w:t>20</w:t>
      </w:r>
      <w:r w:rsidRPr="00D43478">
        <w:rPr>
          <w:rFonts w:ascii="Times New Roman" w:hAnsi="Times New Roman"/>
          <w:sz w:val="28"/>
          <w:szCs w:val="28"/>
          <w:lang w:val="en-US"/>
        </w:rPr>
        <w:t>г. отдел „ГСН“ на СРП са работили 5 прокурори</w:t>
      </w:r>
      <w:r w:rsidRPr="00D43478">
        <w:rPr>
          <w:rFonts w:ascii="Times New Roman" w:hAnsi="Times New Roman"/>
          <w:sz w:val="28"/>
          <w:szCs w:val="28"/>
        </w:rPr>
        <w:t>,</w:t>
      </w:r>
      <w:r w:rsidRPr="00D43478">
        <w:rPr>
          <w:rFonts w:ascii="Times New Roman" w:hAnsi="Times New Roman"/>
          <w:sz w:val="28"/>
          <w:szCs w:val="28"/>
          <w:lang w:val="en-US"/>
        </w:rPr>
        <w:t xml:space="preserve"> от които всички са работили реално.</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През 2019г. отдел „ГСН“ на СРП са работили</w:t>
      </w:r>
      <w:r w:rsidRPr="00D43478">
        <w:rPr>
          <w:rFonts w:ascii="Times New Roman" w:hAnsi="Times New Roman"/>
          <w:sz w:val="28"/>
          <w:szCs w:val="28"/>
          <w:lang w:val="en-US"/>
        </w:rPr>
        <w:t xml:space="preserve"> </w:t>
      </w:r>
      <w:r w:rsidRPr="00D43478">
        <w:rPr>
          <w:rFonts w:ascii="Times New Roman" w:hAnsi="Times New Roman"/>
          <w:sz w:val="28"/>
          <w:szCs w:val="28"/>
        </w:rPr>
        <w:t>5 прокурори.</w:t>
      </w:r>
    </w:p>
    <w:p w:rsidR="00D43478" w:rsidRPr="00445257" w:rsidRDefault="00D43478" w:rsidP="00445257">
      <w:pPr>
        <w:spacing w:after="0"/>
        <w:ind w:firstLine="708"/>
        <w:jc w:val="both"/>
        <w:rPr>
          <w:rFonts w:ascii="Times New Roman" w:hAnsi="Times New Roman"/>
          <w:sz w:val="28"/>
          <w:szCs w:val="28"/>
        </w:rPr>
      </w:pPr>
      <w:r w:rsidRPr="00D43478">
        <w:rPr>
          <w:rFonts w:ascii="Times New Roman" w:hAnsi="Times New Roman"/>
          <w:sz w:val="28"/>
          <w:szCs w:val="28"/>
        </w:rPr>
        <w:t xml:space="preserve">Ежемесечно се изготвят графици за участието на прокурорите в заседанията по граждански дела, четирима /последното тримесечие трима/ прокурори покриват заседанията на всички граждански състави при СРС, І-во Г.О. и ІІІ-то Г.О. </w:t>
      </w:r>
    </w:p>
    <w:p w:rsidR="00D43478" w:rsidRPr="00D43478" w:rsidRDefault="00D43478" w:rsidP="004D24A1">
      <w:pPr>
        <w:spacing w:after="0"/>
        <w:ind w:firstLine="708"/>
        <w:jc w:val="both"/>
        <w:rPr>
          <w:rFonts w:ascii="Times New Roman" w:hAnsi="Times New Roman"/>
          <w:b/>
          <w:sz w:val="28"/>
          <w:szCs w:val="28"/>
        </w:rPr>
      </w:pPr>
    </w:p>
    <w:p w:rsidR="00D43478" w:rsidRPr="00D43478" w:rsidRDefault="00D43478" w:rsidP="004D24A1">
      <w:pPr>
        <w:spacing w:after="0"/>
        <w:ind w:firstLine="708"/>
        <w:jc w:val="both"/>
        <w:rPr>
          <w:rFonts w:ascii="Times New Roman" w:hAnsi="Times New Roman"/>
          <w:b/>
          <w:sz w:val="28"/>
          <w:szCs w:val="28"/>
        </w:rPr>
      </w:pPr>
      <w:r w:rsidRPr="00D43478">
        <w:rPr>
          <w:rFonts w:ascii="Times New Roman" w:hAnsi="Times New Roman"/>
          <w:b/>
          <w:sz w:val="28"/>
          <w:szCs w:val="28"/>
        </w:rPr>
        <w:t>Брой дела, участия в съдебни заседания.</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За 2021г. в съдебния район /СГП и СРП/ са били образувани и водени общо 1348 граждански дела, по които като страна се е явявала Прокуратурата на Република България в лицето на прокурори от СГП и СРП /при 1460 за 2020 и 1489 за 2019г. /, като проведените заседания по тези дела са 1790 /като за 2020г. са 1623 брой и 2005 брой за 2019г./. Наблюдава се минимално намаляване на броя на водените граждански дела</w:t>
      </w:r>
      <w:r w:rsidRPr="00D43478">
        <w:rPr>
          <w:rFonts w:ascii="Times New Roman" w:hAnsi="Times New Roman"/>
          <w:sz w:val="28"/>
          <w:szCs w:val="28"/>
          <w:lang w:val="en-US"/>
        </w:rPr>
        <w:t xml:space="preserve"> </w:t>
      </w:r>
      <w:r w:rsidRPr="00D43478">
        <w:rPr>
          <w:rFonts w:ascii="Times New Roman" w:hAnsi="Times New Roman"/>
          <w:sz w:val="28"/>
          <w:szCs w:val="28"/>
        </w:rPr>
        <w:t>с 7,67%</w:t>
      </w:r>
      <w:r w:rsidRPr="00D43478">
        <w:rPr>
          <w:rFonts w:ascii="Times New Roman" w:hAnsi="Times New Roman"/>
          <w:sz w:val="28"/>
          <w:szCs w:val="28"/>
          <w:lang w:val="en-US"/>
        </w:rPr>
        <w:t xml:space="preserve"> </w:t>
      </w:r>
      <w:r w:rsidRPr="00D43478">
        <w:rPr>
          <w:rFonts w:ascii="Times New Roman" w:hAnsi="Times New Roman"/>
          <w:sz w:val="28"/>
          <w:szCs w:val="28"/>
        </w:rPr>
        <w:t xml:space="preserve">спрямо 2020г. и също така с 9,47% намаляване спрямо 2019г., като броя на проведените заседания по тях бележи ръст в сравнение с предходната отчетна година.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За 2021г. прокурорите от СГП - отдел 04 „НЗ, АСН, ГСН“  са участвали в 1393 брой заседания по 1008 брой дела. Наблюдава се тенденция на нарастване през последните три години на водените граждански дела и на броя съдебни заседания.  Спрямо  отчетната 2020г., когато по 985 дела, са били проведени 1109 заседания, както и спрямо 2019г. когато прокурорите от СГП са участвали като страна по 933 дела при проведени 1336 съдебни заседания към тях. В процентно съотношение делата да се увеличили с 2,34% спрямо 2020г. и с 8,04% спрямо 2019г.</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За отчетния период прокурорите от СРП са участвали в</w:t>
      </w:r>
      <w:r w:rsidRPr="00D43478">
        <w:rPr>
          <w:rFonts w:ascii="Times New Roman" w:hAnsi="Times New Roman"/>
          <w:sz w:val="28"/>
          <w:szCs w:val="28"/>
          <w:lang w:val="en-US"/>
        </w:rPr>
        <w:t xml:space="preserve"> </w:t>
      </w:r>
      <w:r w:rsidRPr="00D43478">
        <w:rPr>
          <w:rFonts w:ascii="Times New Roman" w:hAnsi="Times New Roman"/>
          <w:sz w:val="28"/>
          <w:szCs w:val="28"/>
        </w:rPr>
        <w:t xml:space="preserve">340 дела, по които са проведени 397 съдебни засения, в сравнение с 2020г. когато делата са били  475, по които са били проведени 514 съдебни заседания. Наблюдава се спад с 28,42%,  а  през 2019г.  броят на делата е бил 556, по които са били </w:t>
      </w:r>
      <w:r w:rsidRPr="00D43478">
        <w:rPr>
          <w:rFonts w:ascii="Times New Roman" w:hAnsi="Times New Roman"/>
          <w:sz w:val="28"/>
          <w:szCs w:val="28"/>
        </w:rPr>
        <w:lastRenderedPageBreak/>
        <w:t xml:space="preserve">проведени 669 съдебни заседания или по- малко с 38,84 % спрямо делата за 2021г.  </w:t>
      </w:r>
    </w:p>
    <w:p w:rsidR="00D43478" w:rsidRPr="00D43478" w:rsidRDefault="00D43478" w:rsidP="004D24A1">
      <w:pPr>
        <w:spacing w:after="0"/>
        <w:jc w:val="both"/>
        <w:rPr>
          <w:rFonts w:ascii="Times New Roman" w:hAnsi="Times New Roman"/>
          <w:sz w:val="28"/>
          <w:szCs w:val="28"/>
        </w:rPr>
      </w:pPr>
      <w:r w:rsidRPr="00D43478">
        <w:rPr>
          <w:rFonts w:ascii="Times New Roman" w:hAnsi="Times New Roman"/>
          <w:sz w:val="28"/>
          <w:szCs w:val="28"/>
        </w:rPr>
        <w:t xml:space="preserve"> </w:t>
      </w:r>
      <w:r w:rsidRPr="00D43478">
        <w:rPr>
          <w:rFonts w:ascii="Times New Roman" w:hAnsi="Times New Roman"/>
          <w:sz w:val="28"/>
          <w:szCs w:val="28"/>
          <w:lang w:val="en-US"/>
        </w:rPr>
        <w:tab/>
      </w:r>
      <w:r w:rsidRPr="00D43478">
        <w:rPr>
          <w:rFonts w:ascii="Times New Roman" w:hAnsi="Times New Roman"/>
          <w:sz w:val="28"/>
          <w:szCs w:val="28"/>
        </w:rPr>
        <w:t xml:space="preserve">Общият брой първоинстанционни граждански дела за съдебния район за 2021г. е 1200, а за 2020г. те са едва 889 броя, за 2019г. този брой е 999 броя. Анализът на данните показва значителен ръст спрямо предходната година на броя дела с 34,98% и увеличаване с 20,12% спрямо отчетната 2019г. Броят решени първоинстанционни граждански дела за 2021г. е  974, като и при този показател се отчита покачване с 30,56% , в сравнение с 2020г., когато те са 746 броя и  719 брой дела за 2019г.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На  производство пред първа инстанция СГП е участвала по 842  брой дела. Този показател се е повишил  в сравнение с 2020г. с 68,06%, през която броят е 501 и ръст с 61,61% спрямо 2019г. през която са 521 броя дела. Решени първоинстанционни дела за отчетната 2021г. са 690, тенденцията за ръст продължава, като за 2020г. са 436 броя, което бележи ръст с 58,26 % в сравнение с 2019г., когато те са 393 броя.</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През 2021г. Софийска районна прокуратура пред първа инстанция е участвала в 358 дела, от които са решени 284,  за 2020г. в 388 броя дела, от които 310 брой са били решени-  минимален спад  с 8,38% за делата спрямо 2020г., спад и спрямо 2019г. когато те са 478 броя, от които 326 брой са били решени от първоинстанционен съд.</w:t>
      </w:r>
    </w:p>
    <w:p w:rsidR="00D43478" w:rsidRPr="00D43478" w:rsidRDefault="00D43478" w:rsidP="004D24A1">
      <w:pPr>
        <w:rPr>
          <w:b/>
        </w:rPr>
      </w:pPr>
    </w:p>
    <w:p w:rsidR="00D43478" w:rsidRPr="00D43478" w:rsidRDefault="003515B0" w:rsidP="004D24A1">
      <w:pPr>
        <w:rPr>
          <w:b/>
        </w:rPr>
      </w:pPr>
      <w:r w:rsidRPr="00D43478">
        <w:rPr>
          <w:b/>
          <w:noProof/>
          <w:lang w:eastAsia="bg-BG"/>
        </w:rPr>
        <w:drawing>
          <wp:inline distT="0" distB="0" distL="0" distR="0" wp14:anchorId="7E71A801" wp14:editId="1710A0B1">
            <wp:extent cx="5629275" cy="2870200"/>
            <wp:effectExtent l="0" t="0" r="0" b="0"/>
            <wp:docPr id="20" name="Диагра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43478" w:rsidRPr="00D43478" w:rsidRDefault="003515B0" w:rsidP="004D24A1">
      <w:pPr>
        <w:rPr>
          <w:b/>
        </w:rPr>
      </w:pPr>
      <w:r w:rsidRPr="00D43478">
        <w:rPr>
          <w:b/>
          <w:noProof/>
          <w:lang w:eastAsia="bg-BG"/>
        </w:rPr>
        <w:lastRenderedPageBreak/>
        <w:drawing>
          <wp:inline distT="0" distB="0" distL="0" distR="0" wp14:anchorId="69471AB5" wp14:editId="5A3A1836">
            <wp:extent cx="5629275" cy="2759075"/>
            <wp:effectExtent l="0" t="0" r="0" b="0"/>
            <wp:docPr id="21" name="Диагра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43478" w:rsidRPr="00D43478" w:rsidRDefault="00D43478" w:rsidP="004D24A1">
      <w:pPr>
        <w:ind w:firstLine="708"/>
        <w:jc w:val="both"/>
        <w:rPr>
          <w:rFonts w:ascii="Times New Roman" w:hAnsi="Times New Roman"/>
          <w:sz w:val="28"/>
          <w:szCs w:val="28"/>
        </w:rPr>
      </w:pPr>
      <w:r w:rsidRPr="00D43478">
        <w:rPr>
          <w:rFonts w:ascii="Times New Roman" w:hAnsi="Times New Roman"/>
          <w:b/>
          <w:sz w:val="28"/>
          <w:szCs w:val="28"/>
        </w:rPr>
        <w:t>Предявени искове от прокурор. Уважени и  неуважени искове</w:t>
      </w:r>
      <w:r w:rsidRPr="00D43478">
        <w:rPr>
          <w:rFonts w:ascii="Times New Roman" w:hAnsi="Times New Roman"/>
          <w:sz w:val="28"/>
          <w:szCs w:val="28"/>
        </w:rPr>
        <w:t>.</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През 2021г. прокурорите от съдебният район са предявили общо 577 иска по СК, ГПК, ТЗ и други закони. Сравнено с предходните години има увеличаване на броя искове с 189,95%  спрямо 2020г., когато са предявени 199 иска, и ръст с 225,99%  сравнено с 2019г.- 177  брой искове.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Софийска градска прокуратура е предявила 576  брой иска съгласно предоставените по закон правомощия за защита на обществения интерес в сферата на гражданския и търговски оборот, което бележи ръст /при 198 за 2020г. и 174 за 2019г./.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В СРП броя на предявените искове остава непроменен в сравнение с предходната отчетна година- 1 за 2021г.  един иск за 2020г., три  за 2019г..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При анализ на данните се наблюдава положителна тенденцията и увеличение на предявените искове от страна на прокурорите от СГП, в сравнение с предходната 2020 година с 190,91 % и с 231,03 % за 2019г. Запазва се в пълна степен повишеното взаимодействие с органите на НАП и МВР, и инициативността на прокурорите при СГП по повод предоставените им законови правомощия. Следва в тази връзка отново да се отбележи като положително обстоятелство, че посочените контролни органи  своевременно подават уведомления при  констатирани случаи, при които е необходима намесата на Прокуратурата по реда на гражданско-съдебния надзор.</w:t>
      </w:r>
    </w:p>
    <w:p w:rsidR="00D43478" w:rsidRPr="00D43478" w:rsidRDefault="00D43478" w:rsidP="004D24A1">
      <w:pPr>
        <w:rPr>
          <w:lang w:val="ru-RU"/>
        </w:rPr>
      </w:pPr>
    </w:p>
    <w:p w:rsidR="00D43478" w:rsidRPr="00D43478" w:rsidRDefault="003515B0" w:rsidP="004D24A1">
      <w:r w:rsidRPr="00846F18">
        <w:rPr>
          <w:noProof/>
          <w:lang w:eastAsia="bg-BG"/>
        </w:rPr>
        <w:lastRenderedPageBreak/>
        <w:drawing>
          <wp:inline distT="0" distB="0" distL="0" distR="0" wp14:anchorId="67D884C4" wp14:editId="3BB84FF3">
            <wp:extent cx="5701030" cy="2345690"/>
            <wp:effectExtent l="0" t="0" r="0" b="0"/>
            <wp:docPr id="22" name="Ди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43478" w:rsidRPr="00D43478" w:rsidRDefault="00D43478" w:rsidP="004D24A1"/>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От общия брой предявените искова за 2021 година от страна на прокурорите в градска прокуратура (576 броя), съдът е разгледал 219  брой, а уважени са 197 от тях. За 2020г. броят им е 198  брой, като от тях разгледаните са били 82 броя, а от тях 77 уважени от съда. За 2019г. броят на предявените искове на СГП е 174, като от тях разгледани са били 104, а уважените – 79  брой. През 2021 година  процент на  уважени искове </w:t>
      </w:r>
      <w:r w:rsidRPr="00D43478">
        <w:rPr>
          <w:rFonts w:ascii="Times New Roman" w:hAnsi="Times New Roman"/>
          <w:sz w:val="28"/>
          <w:szCs w:val="28"/>
          <w:lang w:val="en-US"/>
        </w:rPr>
        <w:t xml:space="preserve"> e 34,2</w:t>
      </w:r>
      <w:r w:rsidRPr="00D43478">
        <w:rPr>
          <w:rFonts w:ascii="Times New Roman" w:hAnsi="Times New Roman"/>
          <w:sz w:val="28"/>
          <w:szCs w:val="28"/>
        </w:rPr>
        <w:t>%</w:t>
      </w:r>
      <w:r w:rsidRPr="00D43478">
        <w:rPr>
          <w:rFonts w:ascii="Times New Roman" w:hAnsi="Times New Roman"/>
          <w:sz w:val="28"/>
          <w:szCs w:val="28"/>
          <w:lang w:val="en-US"/>
        </w:rPr>
        <w:t xml:space="preserve"> </w:t>
      </w:r>
      <w:r w:rsidRPr="00D43478">
        <w:rPr>
          <w:rFonts w:ascii="Times New Roman" w:hAnsi="Times New Roman"/>
          <w:sz w:val="28"/>
          <w:szCs w:val="28"/>
        </w:rPr>
        <w:t>като този процент за 2020 г. е 45%. За 2019г. той е 38,8%.</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Това се дължи на отличната специализация на прокурорите от отдела, тяхната висока мотивация, отлична теоретична подготовка, висока процесуална активност и самоинициатива, както и на отличното им взаимодействие с контролните органи от системата на изпълнителната власт. </w:t>
      </w:r>
    </w:p>
    <w:p w:rsidR="00D43478" w:rsidRPr="00D43478" w:rsidRDefault="003515B0" w:rsidP="004D24A1">
      <w:r w:rsidRPr="00846F18">
        <w:rPr>
          <w:noProof/>
          <w:lang w:eastAsia="bg-BG"/>
        </w:rPr>
        <w:drawing>
          <wp:inline distT="0" distB="0" distL="0" distR="0" wp14:anchorId="786A4C6F" wp14:editId="24BE0E61">
            <wp:extent cx="5701030" cy="2687320"/>
            <wp:effectExtent l="0" t="0" r="0" b="0"/>
            <wp:docPr id="23" name="Ди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3478" w:rsidRPr="00D43478" w:rsidRDefault="00D43478" w:rsidP="004D24A1">
      <w:pPr>
        <w:spacing w:after="0"/>
        <w:ind w:firstLine="708"/>
        <w:jc w:val="both"/>
        <w:rPr>
          <w:rFonts w:ascii="Times New Roman" w:hAnsi="Times New Roman"/>
          <w:b/>
          <w:sz w:val="28"/>
          <w:szCs w:val="28"/>
        </w:rPr>
      </w:pPr>
      <w:r w:rsidRPr="00D43478">
        <w:rPr>
          <w:rFonts w:ascii="Times New Roman" w:hAnsi="Times New Roman"/>
          <w:sz w:val="28"/>
          <w:szCs w:val="28"/>
        </w:rPr>
        <w:t xml:space="preserve">През отчетния период СРП има един предявени иска, като същият е бил разгледан от съда и уважен. </w:t>
      </w:r>
    </w:p>
    <w:p w:rsidR="00D43478" w:rsidRPr="00D43478" w:rsidRDefault="00D43478" w:rsidP="004D24A1">
      <w:pPr>
        <w:spacing w:after="0"/>
        <w:jc w:val="both"/>
        <w:rPr>
          <w:rFonts w:ascii="Times New Roman" w:hAnsi="Times New Roman"/>
          <w:b/>
          <w:sz w:val="28"/>
          <w:szCs w:val="28"/>
        </w:rPr>
      </w:pPr>
    </w:p>
    <w:p w:rsidR="00D43478" w:rsidRPr="00D43478" w:rsidRDefault="00D43478" w:rsidP="004D24A1">
      <w:pPr>
        <w:spacing w:after="0"/>
        <w:ind w:firstLine="708"/>
        <w:jc w:val="both"/>
        <w:rPr>
          <w:rFonts w:ascii="Times New Roman" w:hAnsi="Times New Roman"/>
          <w:b/>
          <w:sz w:val="28"/>
          <w:szCs w:val="28"/>
        </w:rPr>
      </w:pPr>
      <w:r w:rsidRPr="00D43478">
        <w:rPr>
          <w:rFonts w:ascii="Times New Roman" w:hAnsi="Times New Roman"/>
          <w:b/>
          <w:sz w:val="28"/>
          <w:szCs w:val="28"/>
        </w:rPr>
        <w:lastRenderedPageBreak/>
        <w:t>Участие на прокурорите в граждански дела. Изготвени жалби.</w:t>
      </w:r>
    </w:p>
    <w:p w:rsidR="00D43478" w:rsidRPr="00D43478" w:rsidRDefault="00D43478" w:rsidP="004D24A1">
      <w:pPr>
        <w:spacing w:after="0"/>
        <w:jc w:val="both"/>
        <w:rPr>
          <w:rFonts w:ascii="Times New Roman" w:hAnsi="Times New Roman"/>
          <w:b/>
          <w:sz w:val="28"/>
          <w:szCs w:val="28"/>
          <w:u w:val="single"/>
        </w:rPr>
      </w:pP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Фактическата и правна сложност на преписките налага специализация на прокурорите с оглед приложимата гражданскоправна материя.  При участието си в граждански дела, прокурорите са проявявали активност, а дадените от тях заключения се възприемат от съда в по-голямата си част.</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За отчетния период 2021г. от СГП и СРП са били подадени общо 978   брой уведомления по реда на Закона за противодействие на корупцията и за отнемане на незаконно придобитото имущество /при 160  брой за 2020г. и  219  брой за 2019г./, което бележи огромен ръст спрямо предходните 2020г. и 2019г., съответно с 511,25 % и 346,58 %.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От Софийска градска прокуратура са били подадени 134 броя уведомления. Наблюдава се ръст в сравнение с предходната отчетна година – 89 брой за 2020г. /с  49,44%/  и 168 брой за 2019г. / спад със 20,24 %/.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От СРП са били подадени 844 брой уведомления като е налице солиден ръст /с 1088,73%/ спрямо предходната  2020г. с 71 брой, както  и увеличаване /с 1554,9 %/  спрямо 2019г. с 51 брой.</w:t>
      </w:r>
    </w:p>
    <w:p w:rsidR="00D43478" w:rsidRPr="00D43478" w:rsidRDefault="00D43478" w:rsidP="004D24A1">
      <w:pPr>
        <w:spacing w:after="0"/>
        <w:ind w:firstLine="708"/>
        <w:jc w:val="both"/>
        <w:rPr>
          <w:rFonts w:ascii="Times New Roman" w:hAnsi="Times New Roman"/>
          <w:sz w:val="28"/>
          <w:szCs w:val="28"/>
        </w:rPr>
      </w:pPr>
    </w:p>
    <w:p w:rsidR="00D43478" w:rsidRPr="00D43478" w:rsidRDefault="003515B0" w:rsidP="004D24A1">
      <w:pPr>
        <w:ind w:firstLine="426"/>
        <w:jc w:val="both"/>
        <w:rPr>
          <w:rFonts w:ascii="Times New Roman" w:hAnsi="Times New Roman"/>
          <w:sz w:val="24"/>
          <w:szCs w:val="24"/>
        </w:rPr>
      </w:pPr>
      <w:r w:rsidRPr="00846F18">
        <w:rPr>
          <w:noProof/>
          <w:lang w:eastAsia="bg-BG"/>
        </w:rPr>
        <w:drawing>
          <wp:inline distT="0" distB="0" distL="0" distR="0" wp14:anchorId="21033A7C" wp14:editId="051D02FB">
            <wp:extent cx="5470525" cy="2544445"/>
            <wp:effectExtent l="0" t="0" r="0" b="0"/>
            <wp:docPr id="24" name="Ди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 xml:space="preserve">Като контролираща страна Софийска градска прокуратура участва по дела по чл. 61 и сл. от Семейния кодекс – при осиновявания от българи или чужденци, дела по чл. 13, ал. 2 от ЗЮЛНЦ – при незаконна дейност от лица с нестопанска цел и участва при наличие на основанията по чл. 155 от Търговския закон досежно случаите за прекратяване на търговски дружества и еднолични търговци.  </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t>Значителна ангажираност на Софийска градска прокуратура има по охранителните производства по чл. 2 от ЗОДОВ, като контролираща страна, но фактически осъществяваща в исковия процес защитата на държавата.</w:t>
      </w:r>
    </w:p>
    <w:p w:rsidR="00D43478" w:rsidRPr="00D43478" w:rsidRDefault="00D43478" w:rsidP="004D24A1">
      <w:pPr>
        <w:spacing w:after="0"/>
        <w:ind w:firstLine="708"/>
        <w:jc w:val="both"/>
        <w:rPr>
          <w:rFonts w:ascii="Times New Roman" w:hAnsi="Times New Roman"/>
          <w:sz w:val="28"/>
          <w:szCs w:val="28"/>
        </w:rPr>
      </w:pPr>
      <w:r w:rsidRPr="00D43478">
        <w:rPr>
          <w:rFonts w:ascii="Times New Roman" w:hAnsi="Times New Roman"/>
          <w:sz w:val="28"/>
          <w:szCs w:val="28"/>
        </w:rPr>
        <w:lastRenderedPageBreak/>
        <w:t xml:space="preserve">Съгласно чл. 10 от ЗОДОВ, делата по последния се разглеждат със задължително участие на прокурор, а същите представляват основна част от дейността на прокуратурата по гражданско-съдебния надзор, особено в хипотезите на чл. 2 от ЗОДОВ в производствата, по които прокуратурата е в процесуалното качество на ответник. </w:t>
      </w:r>
    </w:p>
    <w:p w:rsidR="00D43478" w:rsidRDefault="00D43478" w:rsidP="004D24A1">
      <w:pPr>
        <w:spacing w:after="0"/>
        <w:ind w:firstLine="708"/>
        <w:jc w:val="both"/>
        <w:rPr>
          <w:rFonts w:ascii="Times New Roman" w:hAnsi="Times New Roman"/>
          <w:sz w:val="28"/>
          <w:szCs w:val="28"/>
        </w:rPr>
      </w:pPr>
      <w:r w:rsidRPr="00604C86">
        <w:rPr>
          <w:rFonts w:ascii="Times New Roman" w:hAnsi="Times New Roman"/>
          <w:sz w:val="28"/>
          <w:szCs w:val="28"/>
        </w:rPr>
        <w:t>Защитата на прокуратурата в качеството ѝ на ответник започва още с отговора на исковата молба по чл.131-133 от ГПК. Изготвяните от прокурорите от отдел 04 „АСН, ГСН,</w:t>
      </w:r>
      <w:r w:rsidRPr="00604C86">
        <w:rPr>
          <w:rFonts w:ascii="Times New Roman" w:hAnsi="Times New Roman"/>
          <w:sz w:val="28"/>
          <w:szCs w:val="28"/>
          <w:lang w:val="ru-RU"/>
        </w:rPr>
        <w:t xml:space="preserve"> </w:t>
      </w:r>
      <w:r w:rsidRPr="00604C86">
        <w:rPr>
          <w:rFonts w:ascii="Times New Roman" w:hAnsi="Times New Roman"/>
          <w:sz w:val="28"/>
          <w:szCs w:val="28"/>
        </w:rPr>
        <w:t>НЗ” при Софийска градска прокуратура са максимално мотивирани, имайки предвид, че защитата срещу иска се осъществява в две насоки – процесуалноправна и материалноправна, вкл. и са направени необходимите доказателствени искания. В този смисъл прокурорите упражняват предоставените им правомощия в хода на цялото производство по ЗОДОВ, вкл. и пред въззивните инстанции.</w:t>
      </w:r>
    </w:p>
    <w:p w:rsidR="00664472" w:rsidRDefault="00664472" w:rsidP="004D24A1">
      <w:pPr>
        <w:spacing w:after="0"/>
        <w:ind w:firstLine="708"/>
        <w:jc w:val="both"/>
        <w:rPr>
          <w:rFonts w:ascii="Times New Roman" w:hAnsi="Times New Roman"/>
          <w:sz w:val="28"/>
          <w:szCs w:val="28"/>
        </w:rPr>
      </w:pPr>
    </w:p>
    <w:p w:rsidR="00604C86" w:rsidRPr="00604C86" w:rsidRDefault="00604C86" w:rsidP="004D24A1">
      <w:pPr>
        <w:overflowPunct w:val="0"/>
        <w:autoSpaceDE w:val="0"/>
        <w:autoSpaceDN w:val="0"/>
        <w:adjustRightInd w:val="0"/>
        <w:spacing w:after="0"/>
        <w:ind w:firstLine="708"/>
        <w:jc w:val="both"/>
        <w:textAlignment w:val="baseline"/>
        <w:rPr>
          <w:rFonts w:ascii="Times" w:eastAsia="Times New Roman" w:hAnsi="Times" w:cs="Arial"/>
          <w:caps/>
          <w:sz w:val="28"/>
          <w:szCs w:val="28"/>
          <w:lang w:val="ru-RU"/>
        </w:rPr>
      </w:pPr>
      <w:r w:rsidRPr="00604C86">
        <w:rPr>
          <w:rFonts w:ascii="Times" w:eastAsia="Times New Roman" w:hAnsi="Times" w:cs="Arial"/>
          <w:b/>
          <w:caps/>
          <w:sz w:val="28"/>
          <w:szCs w:val="28"/>
          <w:lang w:val="en-US"/>
        </w:rPr>
        <w:t xml:space="preserve">4. </w:t>
      </w:r>
      <w:r w:rsidRPr="00604C86">
        <w:rPr>
          <w:rFonts w:ascii="Times New Roman" w:eastAsia="Times New Roman" w:hAnsi="Times New Roman"/>
          <w:b/>
          <w:caps/>
          <w:sz w:val="28"/>
          <w:szCs w:val="28"/>
          <w:lang w:val="ru-RU"/>
        </w:rPr>
        <w:t>Осъдителни</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решения</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срещу</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Прокуратурата</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на</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Република България</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на</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основание</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ЗОДОВ</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Жалби</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срещу</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въззивни</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и</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касационни</w:t>
      </w:r>
      <w:r w:rsidRPr="00604C86">
        <w:rPr>
          <w:rFonts w:ascii="Times" w:eastAsia="Times New Roman" w:hAnsi="Times" w:cs="Arial"/>
          <w:b/>
          <w:caps/>
          <w:sz w:val="28"/>
          <w:szCs w:val="28"/>
          <w:lang w:val="ru-RU"/>
        </w:rPr>
        <w:t xml:space="preserve"> </w:t>
      </w:r>
      <w:r w:rsidRPr="00604C86">
        <w:rPr>
          <w:rFonts w:ascii="Times New Roman" w:eastAsia="Times New Roman" w:hAnsi="Times New Roman"/>
          <w:b/>
          <w:caps/>
          <w:sz w:val="28"/>
          <w:szCs w:val="28"/>
          <w:lang w:val="ru-RU"/>
        </w:rPr>
        <w:t>решения</w:t>
      </w:r>
      <w:r w:rsidRPr="00604C86">
        <w:rPr>
          <w:rFonts w:ascii="Times" w:eastAsia="Times New Roman" w:hAnsi="Times" w:cs="Arial"/>
          <w:b/>
          <w:caps/>
          <w:sz w:val="28"/>
          <w:szCs w:val="28"/>
          <w:lang w:val="ru-RU"/>
        </w:rPr>
        <w:t>.</w:t>
      </w:r>
      <w:r w:rsidRPr="00604C86">
        <w:rPr>
          <w:rFonts w:ascii="Times" w:eastAsia="Times New Roman" w:hAnsi="Times" w:cs="Arial"/>
          <w:caps/>
          <w:sz w:val="28"/>
          <w:szCs w:val="28"/>
          <w:lang w:val="ru-RU"/>
        </w:rPr>
        <w:t xml:space="preserve"> </w:t>
      </w:r>
    </w:p>
    <w:p w:rsidR="00604C86" w:rsidRPr="00604C86" w:rsidRDefault="00604C86" w:rsidP="004D24A1">
      <w:pPr>
        <w:overflowPunct w:val="0"/>
        <w:autoSpaceDE w:val="0"/>
        <w:autoSpaceDN w:val="0"/>
        <w:adjustRightInd w:val="0"/>
        <w:spacing w:after="0"/>
        <w:ind w:firstLine="709"/>
        <w:jc w:val="both"/>
        <w:textAlignment w:val="baseline"/>
        <w:rPr>
          <w:rFonts w:ascii="Times" w:eastAsia="Times New Roman" w:hAnsi="Times" w:cs="Arial"/>
          <w:sz w:val="28"/>
          <w:szCs w:val="28"/>
          <w:lang w:val="ru-RU"/>
        </w:rPr>
      </w:pP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Общият брой на решените първоинстанционни дела по ЗОДОВ за 2021г. са били общо 229 броя за съдебния район, от които 201броя са приключили с осъждане на прокуратурата. За 2020г. са били общо 186 броя за съдебния район от които 177 броя са приключили с осъдителни решения против ПРБ. За сравнение през 2019г. общият броя за съдебния район /СГП и СРП/ е 200 броя, от които 193 броя са приключили с осъдителни решения против ПРБ. Наблюдава се ръст през 2021г. в общия брой на постановените решения с 23,12% спрямо 2020г. и с 14,50% спрямо 2019г. По отношение на приключилите дела с осъдителни решения спрямо прокуратурата, за 2021г. данните показват също така ръст с 13,56% спрямо 2020г. и ръст с 4,15% спрямо 2019г.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През настоящия отчетен период за 2021г. за района на СГП са постановени 152 броя решения по ЗОДОВ на първа инстанция, от които 124 броя са били осъдителни. През 2020г. в района на СГП са постановени 101 броя решения по ЗОДОВ на първа инстанция, от които 92 броя са били осъдителни. За сравнение през отчетната 2019 г. в района на Софийска градска прокуратура са постановени 120 броя решения по ЗОДОВ на първа инстанция, от които 117 броя осъдителни.</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 Тук също се наблюдава ръст по отношение на общият брой решения по ЗОДОВ спрямо предходните години, съответно с 50,50% броя спрямо </w:t>
      </w:r>
      <w:r w:rsidRPr="00604C86">
        <w:rPr>
          <w:rFonts w:ascii="Times New Roman" w:eastAsia="Times New Roman" w:hAnsi="Times New Roman"/>
          <w:sz w:val="28"/>
          <w:szCs w:val="28"/>
          <w:lang w:val="ru-RU"/>
        </w:rPr>
        <w:lastRenderedPageBreak/>
        <w:t>2020г. и ръст с 26,67 % спрямо 2019г. Броят на осъдителните решения за 2021г. бележи ръст с 34,78% спрямо 2020г. и ръст с 5,98% спрямо 2019г.</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По дела, по които е участвала СРП през 2021г. са били постановени 77 броя решения на първа инстанция като всичките са осъдителни /77 броя приключили с осъждане на прокуратурата/. През 2020г. са били постановени 85 броя решения на първа инстанция като всичките са осъдителни /85 броя приключили с осъждане на прокуратурата/, за сравнение за 2019г. са постановени 80 броя решения на първа инстанция, от които осъдителните са 76 броя с решения срещу прокуратурата.</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И през тази отчетна година се запазва относително високият дял на осъдителните решения срещу ПРБ по ЗОДОВ в сравнение с общия брой заведени в съдилищата такива дела.</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Против осъдителните решения срещу ПРБ на първа инстанция в рамките на 2021г. в съдебния район на СГП /СГП и СРП/ са били внесени 149 броя жалби. През 2020г. са били внесени 143 броя жалби, при 166 броя за 2019г. По този показател се наблюдава лек ръст с 4,20% спрямо 2020г. и спад с 10,24% спрямо 2019г.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Против първоинстанционните 124броя осъдителни решения на съда, прокурорите от СГП за периода на 2021г. са подали 94броя жалби. За предходните два отчетни периода всички първоинстанционни осъдителни решение на съда са били обжалвани.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Насоките, по които се осъществява защитата на ПРБ в делата по ЗОДОВ са свързани, както с материалноправната, така и с процесуалноправната законосъобразност на постановените съдебни актове. В голяма част от случаите се касае за нарушения във връзка с оценката на събраните по делото писмени и гласни доказателствени средства.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Налага се извод за прекомерност на присъдените обезщетения и това определя тяхното оспорване от страна на СГП.</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Общият брой на въззивните граждански дела в СГП за 2021г. е бил 110бр., за 2020г. е бил 192 броя, за 2019г. техният брой е бил 160 броя. Наблюдава се намаляване на броя на въззивните граждански дела през 2021г. В сравнение с 2020г. спад с 42,71 %, а спрямо 2019г. спад  с 31,25%.</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Общият брой решени въззивни граждански дела за 2021г. е бил 34 броя, като за 2020г. е бил 94 броя, а за 2019г. решени са били 54 броя. Процентно през 2021г. са решени с 63,83% по-малко дела спрямо 2020г., а спрямо 2019г. с 37,04% по-малко.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В СРП за периода на 2021г. са били внесени 55 броя въззивни жалби против 77 броя осъдителни решения. През 2020г. са били внесени 51 броя въззивни жалби против 85 броя осъдителни решения. За същият период на </w:t>
      </w:r>
      <w:r w:rsidRPr="00604C86">
        <w:rPr>
          <w:rFonts w:ascii="Times New Roman" w:eastAsia="Times New Roman" w:hAnsi="Times New Roman"/>
          <w:sz w:val="28"/>
          <w:szCs w:val="28"/>
          <w:lang w:val="ru-RU"/>
        </w:rPr>
        <w:lastRenderedPageBreak/>
        <w:t>2019 г. са били внесени 49 броя въззивни жалби против 76 броя осъдителните решения срещу ПРБ.</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Цифрите за СРП показват по – малък брой на подадените въззивни жалби по решения, по които  прокуратурата е била осъдена. Това може да бъде обяснено с факта, че на СРС като първа инстанция са подсъдни граждански дела с по–нисък материален интерес – до 25 000 лв.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С оглед ниския размер на дължимите обезщетения се налага и изводът, че е безпредметно обжалването на първоинстанционните решения, доколкото е в интерес на ПРБ периодът на дължимата лихва да бъде по–кратък.</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 Обратната тенденция /независимо дали се касае за дела, по които се явяват прокурори при СРП или СГП/ – да бъде обжалвано всяко едно решение на първа или на втора инстанция, би означавало ненужно натоварване с разноски за воденето на делата и плащане на изтекли лихви за периода над 3 години, съгласно чл. 111, буква „в“ от ЗЗД.</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В този смисъл все повече се утвърждава становището за необжалваемост на съответните решения на първоинстанционния или въззивния съд.  </w:t>
      </w:r>
    </w:p>
    <w:p w:rsidR="00604C86" w:rsidRPr="00604C86" w:rsidRDefault="00604C86" w:rsidP="004D24A1">
      <w:pPr>
        <w:overflowPunct w:val="0"/>
        <w:autoSpaceDE w:val="0"/>
        <w:autoSpaceDN w:val="0"/>
        <w:adjustRightInd w:val="0"/>
        <w:spacing w:after="0"/>
        <w:ind w:firstLine="708"/>
        <w:jc w:val="both"/>
        <w:textAlignment w:val="baseline"/>
        <w:rPr>
          <w:rFonts w:ascii="Times" w:eastAsia="Times New Roman" w:hAnsi="Times" w:cs="Arial"/>
          <w:sz w:val="28"/>
          <w:szCs w:val="28"/>
          <w:lang w:val="ru-RU"/>
        </w:rPr>
      </w:pPr>
    </w:p>
    <w:p w:rsidR="00604C86" w:rsidRPr="00604C86" w:rsidRDefault="00604C86" w:rsidP="004D24A1">
      <w:pPr>
        <w:overflowPunct w:val="0"/>
        <w:autoSpaceDE w:val="0"/>
        <w:autoSpaceDN w:val="0"/>
        <w:adjustRightInd w:val="0"/>
        <w:spacing w:after="0"/>
        <w:ind w:firstLine="567"/>
        <w:jc w:val="both"/>
        <w:textAlignment w:val="baseline"/>
        <w:rPr>
          <w:rFonts w:ascii="Times" w:eastAsia="Times New Roman" w:hAnsi="Times" w:cs="Arial"/>
          <w:sz w:val="28"/>
          <w:szCs w:val="28"/>
          <w:lang w:val="ru-RU"/>
        </w:rPr>
      </w:pPr>
      <w:r w:rsidRPr="00604C86">
        <w:rPr>
          <w:noProof/>
          <w:lang w:eastAsia="bg-BG"/>
        </w:rPr>
        <w:drawing>
          <wp:inline distT="0" distB="0" distL="0" distR="0" wp14:anchorId="4F276C8F" wp14:editId="367C83CA">
            <wp:extent cx="5288280" cy="2760345"/>
            <wp:effectExtent l="0" t="0" r="0" b="0"/>
            <wp:docPr id="67" name="Об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04C86" w:rsidRPr="00604C86" w:rsidRDefault="00604C86" w:rsidP="004D24A1">
      <w:pPr>
        <w:overflowPunct w:val="0"/>
        <w:autoSpaceDE w:val="0"/>
        <w:autoSpaceDN w:val="0"/>
        <w:adjustRightInd w:val="0"/>
        <w:spacing w:after="0"/>
        <w:ind w:firstLine="708"/>
        <w:jc w:val="both"/>
        <w:textAlignment w:val="baseline"/>
        <w:rPr>
          <w:rFonts w:ascii="Times New Roman" w:eastAsia="Times New Roman" w:hAnsi="Times New Roman"/>
          <w:sz w:val="20"/>
          <w:szCs w:val="20"/>
          <w:lang w:val="ru-RU"/>
        </w:rPr>
      </w:pPr>
    </w:p>
    <w:p w:rsidR="00604C86" w:rsidRPr="00604C86" w:rsidRDefault="00604C86" w:rsidP="004D24A1">
      <w:pPr>
        <w:overflowPunct w:val="0"/>
        <w:autoSpaceDE w:val="0"/>
        <w:autoSpaceDN w:val="0"/>
        <w:adjustRightInd w:val="0"/>
        <w:spacing w:after="0"/>
        <w:ind w:firstLine="708"/>
        <w:jc w:val="both"/>
        <w:textAlignment w:val="baseline"/>
        <w:rPr>
          <w:rFonts w:ascii="Times New Roman" w:eastAsia="Times New Roman" w:hAnsi="Times New Roman"/>
          <w:sz w:val="20"/>
          <w:szCs w:val="20"/>
          <w:lang w:val="ru-RU"/>
        </w:rPr>
      </w:pPr>
      <w:r w:rsidRPr="00604C86">
        <w:rPr>
          <w:rFonts w:ascii="Times New Roman" w:eastAsia="Times New Roman" w:hAnsi="Times New Roman"/>
          <w:sz w:val="20"/>
          <w:szCs w:val="20"/>
          <w:lang w:val="ru-RU"/>
        </w:rPr>
        <w:t xml:space="preserve">Фиг.1   Постановени решения и осъдителни присъди в сравнителните периоди от </w:t>
      </w:r>
    </w:p>
    <w:p w:rsidR="00604C86" w:rsidRPr="00604C86" w:rsidRDefault="00604C86" w:rsidP="004D24A1">
      <w:pPr>
        <w:overflowPunct w:val="0"/>
        <w:autoSpaceDE w:val="0"/>
        <w:autoSpaceDN w:val="0"/>
        <w:adjustRightInd w:val="0"/>
        <w:spacing w:after="0"/>
        <w:ind w:firstLine="708"/>
        <w:jc w:val="both"/>
        <w:textAlignment w:val="baseline"/>
        <w:rPr>
          <w:rFonts w:ascii="Times New Roman" w:eastAsia="Times New Roman" w:hAnsi="Times New Roman"/>
          <w:sz w:val="20"/>
          <w:szCs w:val="20"/>
          <w:lang w:val="ru-RU"/>
        </w:rPr>
      </w:pPr>
      <w:r w:rsidRPr="00604C86">
        <w:rPr>
          <w:rFonts w:ascii="Times New Roman" w:eastAsia="Times New Roman" w:hAnsi="Times New Roman"/>
          <w:sz w:val="20"/>
          <w:szCs w:val="20"/>
          <w:lang w:val="ru-RU"/>
        </w:rPr>
        <w:t xml:space="preserve">             01.01.2019г. – 31.12.2021г. за СРП и СГП.</w:t>
      </w:r>
    </w:p>
    <w:p w:rsidR="00604C86" w:rsidRPr="00604C86" w:rsidRDefault="00604C86" w:rsidP="004D24A1">
      <w:pPr>
        <w:overflowPunct w:val="0"/>
        <w:autoSpaceDE w:val="0"/>
        <w:autoSpaceDN w:val="0"/>
        <w:adjustRightInd w:val="0"/>
        <w:spacing w:after="0"/>
        <w:ind w:firstLine="708"/>
        <w:jc w:val="both"/>
        <w:textAlignment w:val="baseline"/>
        <w:rPr>
          <w:rFonts w:ascii="Times New Roman" w:eastAsia="Times New Roman" w:hAnsi="Times New Roman"/>
          <w:sz w:val="20"/>
          <w:szCs w:val="20"/>
          <w:lang w:val="ru-RU"/>
        </w:rPr>
      </w:pPr>
    </w:p>
    <w:p w:rsidR="00604C86" w:rsidRPr="00604C86" w:rsidRDefault="00604C86"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Решените въззивни граждански дела по ЗОДОВ през 2021г. в СГП са били 40броя, от тях 27 броя са приключили с осъждане на прокуратурата. През 2020г. в СГП са били 40 броя в това число 16 броя са приключили с осъждане на прокуратурата, за сравнение през 2019г. техния брой е бил 29 броя, като осъдителни спрямо ПРБ са били 13 броя дела.</w:t>
      </w:r>
    </w:p>
    <w:p w:rsidR="00604C86" w:rsidRPr="00604C86" w:rsidRDefault="00604C86" w:rsidP="004D24A1">
      <w:pPr>
        <w:overflowPunct w:val="0"/>
        <w:autoSpaceDE w:val="0"/>
        <w:autoSpaceDN w:val="0"/>
        <w:adjustRightInd w:val="0"/>
        <w:spacing w:after="0"/>
        <w:ind w:firstLine="709"/>
        <w:jc w:val="both"/>
        <w:textAlignment w:val="baseline"/>
        <w:rPr>
          <w:rFonts w:ascii="Times" w:eastAsia="Times New Roman" w:hAnsi="Times" w:cs="Arial"/>
          <w:sz w:val="28"/>
          <w:szCs w:val="28"/>
          <w:lang w:val="ru-RU"/>
        </w:rPr>
      </w:pPr>
      <w:r w:rsidRPr="00604C86">
        <w:rPr>
          <w:rFonts w:ascii="Times New Roman" w:eastAsia="Times New Roman" w:hAnsi="Times New Roman"/>
          <w:sz w:val="28"/>
          <w:szCs w:val="28"/>
          <w:lang w:val="ru-RU"/>
        </w:rPr>
        <w:lastRenderedPageBreak/>
        <w:t>През 2021г., против осъдителните решения са внесени 9 броя касационни жалби във ВКС, от тях 6 броя са разгледани от съда. За отчетния период няма уважени жалби от съда. Разгледани от съда през 2020г. са били 10 броя жалби, като от тях няма уважени, за същия период на 2019г. жалбите разгледани от съда са били 7 броя, а от тях уважени са били 2 броя.</w:t>
      </w:r>
    </w:p>
    <w:p w:rsidR="00604C86" w:rsidRPr="00604C86" w:rsidRDefault="00604C86" w:rsidP="004D24A1">
      <w:pPr>
        <w:overflowPunct w:val="0"/>
        <w:autoSpaceDE w:val="0"/>
        <w:autoSpaceDN w:val="0"/>
        <w:adjustRightInd w:val="0"/>
        <w:spacing w:after="0"/>
        <w:ind w:firstLine="567"/>
        <w:jc w:val="both"/>
        <w:textAlignment w:val="baseline"/>
        <w:rPr>
          <w:rFonts w:ascii="Times" w:eastAsia="Times New Roman" w:hAnsi="Times" w:cs="Arial"/>
          <w:sz w:val="28"/>
          <w:szCs w:val="28"/>
          <w:lang w:val="ru-RU"/>
        </w:rPr>
      </w:pPr>
      <w:r w:rsidRPr="00604C86">
        <w:rPr>
          <w:noProof/>
          <w:lang w:eastAsia="bg-BG"/>
        </w:rPr>
        <w:drawing>
          <wp:inline distT="0" distB="0" distL="0" distR="0" wp14:anchorId="61D8AE0E" wp14:editId="509A287A">
            <wp:extent cx="5288280" cy="1863090"/>
            <wp:effectExtent l="0" t="0" r="0" b="0"/>
            <wp:docPr id="68" name="Об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0"/>
          <w:szCs w:val="20"/>
          <w:lang w:val="ru-RU"/>
        </w:rPr>
      </w:pPr>
      <w:r w:rsidRPr="00604C86">
        <w:rPr>
          <w:rFonts w:ascii="Times New Roman" w:eastAsia="Times New Roman" w:hAnsi="Times New Roman"/>
          <w:sz w:val="20"/>
          <w:szCs w:val="20"/>
          <w:lang w:val="ru-RU"/>
        </w:rPr>
        <w:t>Фиг. № 2 Решения от въззивна инстанция и осъдителни решения срещу ПРБ</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0"/>
          <w:szCs w:val="20"/>
          <w:lang w:val="ru-RU"/>
        </w:rPr>
      </w:pP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Общият брой на влезлите в сила решения по реда на ЗОДОВ против ПРБ в съдебния район на СГП /СГП и СРП/ за 2021г. е 83 броя. През 2020г. е бил 92 броя, за 2019г. е бил </w:t>
      </w:r>
      <w:r w:rsidRPr="00604C86">
        <w:rPr>
          <w:rFonts w:ascii="Times New Roman" w:eastAsia="Times New Roman" w:hAnsi="Times New Roman"/>
          <w:sz w:val="28"/>
          <w:szCs w:val="28"/>
          <w:lang w:val="en-US"/>
        </w:rPr>
        <w:t xml:space="preserve">111 </w:t>
      </w:r>
      <w:r w:rsidRPr="00604C86">
        <w:rPr>
          <w:rFonts w:ascii="Times New Roman" w:eastAsia="Times New Roman" w:hAnsi="Times New Roman"/>
          <w:sz w:val="28"/>
          <w:szCs w:val="28"/>
          <w:lang w:val="ru-RU"/>
        </w:rPr>
        <w:t>броя. Данните за последния отчетен период показват, че спрямо 2020г. броят на влезлите в сила решения по ЗОДОВ против ПРБ се е намалял с 9,78%, а спрямо 2019г. с 25,23%.</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В отчетния период на 2021г., както и за 2020г и 2019г. от страна на СРП  не са налице влезли в сила решения срещу прокуратурата.</w:t>
      </w:r>
    </w:p>
    <w:p w:rsidR="00604C86" w:rsidRPr="00604C86" w:rsidRDefault="00604C86" w:rsidP="004D24A1">
      <w:pPr>
        <w:overflowPunct w:val="0"/>
        <w:autoSpaceDE w:val="0"/>
        <w:autoSpaceDN w:val="0"/>
        <w:adjustRightInd w:val="0"/>
        <w:spacing w:after="0"/>
        <w:jc w:val="both"/>
        <w:textAlignment w:val="baseline"/>
        <w:rPr>
          <w:rFonts w:ascii="Times New Roman" w:eastAsia="Times New Roman" w:hAnsi="Times New Roman"/>
          <w:sz w:val="28"/>
          <w:szCs w:val="28"/>
          <w:lang w:val="ru-RU"/>
        </w:rPr>
      </w:pPr>
    </w:p>
    <w:p w:rsidR="00604C86" w:rsidRPr="00604C86" w:rsidRDefault="00604C86" w:rsidP="004D24A1">
      <w:pPr>
        <w:overflowPunct w:val="0"/>
        <w:autoSpaceDE w:val="0"/>
        <w:autoSpaceDN w:val="0"/>
        <w:adjustRightInd w:val="0"/>
        <w:spacing w:after="0"/>
        <w:ind w:firstLine="567"/>
        <w:jc w:val="both"/>
        <w:textAlignment w:val="baseline"/>
        <w:rPr>
          <w:rFonts w:ascii="Times" w:eastAsia="Times New Roman" w:hAnsi="Times" w:cs="Arial"/>
          <w:sz w:val="28"/>
          <w:szCs w:val="28"/>
          <w:lang w:val="ru-RU"/>
        </w:rPr>
      </w:pPr>
      <w:r w:rsidRPr="00604C86">
        <w:rPr>
          <w:noProof/>
          <w:lang w:eastAsia="bg-BG"/>
        </w:rPr>
        <w:drawing>
          <wp:inline distT="0" distB="0" distL="0" distR="0" wp14:anchorId="450F9E8C" wp14:editId="03422C9E">
            <wp:extent cx="4572000" cy="2035810"/>
            <wp:effectExtent l="0" t="0" r="19050" b="21590"/>
            <wp:docPr id="69" name="Об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04C86" w:rsidRPr="00604C86" w:rsidRDefault="00604C86" w:rsidP="004D24A1">
      <w:pPr>
        <w:overflowPunct w:val="0"/>
        <w:autoSpaceDE w:val="0"/>
        <w:autoSpaceDN w:val="0"/>
        <w:adjustRightInd w:val="0"/>
        <w:spacing w:after="0"/>
        <w:jc w:val="both"/>
        <w:textAlignment w:val="baseline"/>
        <w:rPr>
          <w:rFonts w:ascii="Times New Roman" w:eastAsia="Times New Roman" w:hAnsi="Times New Roman"/>
          <w:sz w:val="20"/>
          <w:szCs w:val="20"/>
          <w:lang w:val="ru-RU"/>
        </w:rPr>
      </w:pPr>
      <w:r w:rsidRPr="00604C86">
        <w:rPr>
          <w:rFonts w:ascii="Times New Roman" w:eastAsia="Times New Roman" w:hAnsi="Times New Roman"/>
          <w:sz w:val="20"/>
          <w:szCs w:val="20"/>
          <w:lang w:val="ru-RU"/>
        </w:rPr>
        <w:t xml:space="preserve">               Фиг.3  Влезли в сила решения по ЗОДОВ на СРП и СГП </w:t>
      </w:r>
    </w:p>
    <w:p w:rsidR="00604C86" w:rsidRPr="00604C86" w:rsidRDefault="00604C86" w:rsidP="004D24A1">
      <w:pPr>
        <w:overflowPunct w:val="0"/>
        <w:autoSpaceDE w:val="0"/>
        <w:autoSpaceDN w:val="0"/>
        <w:adjustRightInd w:val="0"/>
        <w:spacing w:after="0"/>
        <w:jc w:val="both"/>
        <w:textAlignment w:val="baseline"/>
        <w:rPr>
          <w:rFonts w:ascii="Times New Roman" w:eastAsia="Times New Roman" w:hAnsi="Times New Roman"/>
          <w:sz w:val="28"/>
          <w:szCs w:val="28"/>
          <w:lang w:val="ru-RU"/>
        </w:rPr>
      </w:pP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Причините за осъжданията на Прокуратурата са били многократно обсъждани от нас в различни справки, като те следва да се обособят в няколко групи.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На първо място отговорността на Прокуратурата се ангажира поради обективния ѝ характер – тя е безвиновна.</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lastRenderedPageBreak/>
        <w:t>От друга страна задължителната съдебна практика на ВКС приема, че във всички случаи на незаконно обвинение срещу определено лице, то търпи неимуществени вреди от него, когато исковете са доказани по основание /чл. 2 – 2б ЗОДОВ/.</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На следващо място причините за осъжданията по ЗОДОВ следва да се търсят в допуснати пропуски при провеждането на наказателното производство, което не следва да бъде предмет на анализ в настоящата глава.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В тази връзка следва да се отбележи, че в много от осъдителните решения, присъдените средства за неимуществени вреди за ищците се обосновават с разпространяване на информация за воденото наказателно производство срещу тях в средствата за масово осведомяване от органи на ПРБ.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На законодателно равнище възможностите за защита на ПРБ по реда на ЗОДОВ са ограничени, предвид ограничения касационен контрол върху решенията на въззивната инстанция.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Независимо от високата процесуална активност на прокурорите от отдела в хода на гражданските производства, поради горните причини изходът от водените срещу ПРБ дела е негативен.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Въпреки това, положителен извод, който следва от извършения анализ на данните е, че по нито едно от делата не са били присъдени обезщетения в пълния претендиран размер, което се дължи както на правилната преценка на съда, така и на интензивността и качеството на процесуалните действия на прокурорите, работещи по гражданско – съдебния надзор. Нещо повече, в голяма част от случаите обезщетенията не надвишават дори 10% от пълния претендиран от ищците размер.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За отчетния период на 2021г. и 2020г. няма съдебни решения по повод на отменени задържания под стража във връзка с чл.2, ал.1, т.1 ЗОДОВ, за същия период на 2019г. е било произнесено 1 решение от страна на съда.</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shd w:val="clear" w:color="auto" w:fill="FFFFFF"/>
          <w:lang w:val="ru-RU"/>
        </w:rPr>
      </w:pPr>
      <w:r w:rsidRPr="00604C86">
        <w:rPr>
          <w:rFonts w:ascii="Times New Roman" w:eastAsia="Times New Roman" w:hAnsi="Times New Roman"/>
          <w:sz w:val="28"/>
          <w:szCs w:val="28"/>
          <w:shd w:val="clear" w:color="auto" w:fill="FFFFFF"/>
          <w:lang w:val="ru-RU"/>
        </w:rPr>
        <w:t xml:space="preserve">За периода на 2021г. </w:t>
      </w:r>
      <w:r w:rsidRPr="00604C86">
        <w:rPr>
          <w:rFonts w:ascii="Times New Roman" w:eastAsia="Times New Roman" w:hAnsi="Times New Roman"/>
          <w:sz w:val="28"/>
          <w:szCs w:val="28"/>
          <w:lang w:val="ru-RU"/>
        </w:rPr>
        <w:t>делата по ЗОДОВ, водени срещу ПРБ, с основание чл.2, ал.1, т.3, пр.1 ЗОДОВ във връзка с оправдани подсъдими са били 64 броя дела.</w:t>
      </w:r>
      <w:r w:rsidRPr="00604C86">
        <w:rPr>
          <w:rFonts w:ascii="Times New Roman" w:eastAsia="Times New Roman" w:hAnsi="Times New Roman"/>
          <w:sz w:val="28"/>
          <w:szCs w:val="28"/>
          <w:shd w:val="clear" w:color="auto" w:fill="FFFFFF"/>
          <w:lang w:val="ru-RU"/>
        </w:rPr>
        <w:t xml:space="preserve"> За 2020 г. </w:t>
      </w:r>
      <w:r w:rsidRPr="00604C86">
        <w:rPr>
          <w:rFonts w:ascii="Times New Roman" w:eastAsia="Times New Roman" w:hAnsi="Times New Roman"/>
          <w:sz w:val="28"/>
          <w:szCs w:val="28"/>
          <w:lang w:val="ru-RU"/>
        </w:rPr>
        <w:t>са били 65 броя дела, за сравнение за</w:t>
      </w:r>
      <w:r w:rsidRPr="00604C86">
        <w:rPr>
          <w:rFonts w:ascii="Times New Roman" w:eastAsia="Times New Roman" w:hAnsi="Times New Roman"/>
          <w:sz w:val="28"/>
          <w:szCs w:val="28"/>
          <w:shd w:val="clear" w:color="auto" w:fill="FFFFFF"/>
          <w:lang w:val="ru-RU"/>
        </w:rPr>
        <w:t xml:space="preserve"> 2019 г. техният броя е бил 88 броя.</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shd w:val="clear" w:color="auto" w:fill="FFFFFF"/>
          <w:lang w:val="ru-RU"/>
        </w:rPr>
        <w:t xml:space="preserve">През 2021г. дела </w:t>
      </w:r>
      <w:r w:rsidRPr="00604C86">
        <w:rPr>
          <w:rFonts w:ascii="Times New Roman" w:eastAsia="Times New Roman" w:hAnsi="Times New Roman"/>
          <w:sz w:val="28"/>
          <w:szCs w:val="28"/>
          <w:lang w:val="ru-RU"/>
        </w:rPr>
        <w:t xml:space="preserve">във връзка с наказателните производства, приключили с постановление за прекратяване /чл.2, ал.1, т.3, пр.2 ЗОДОВ/ са били  водени 19 броя. </w:t>
      </w:r>
      <w:r w:rsidRPr="00604C86">
        <w:rPr>
          <w:rFonts w:ascii="Times New Roman" w:eastAsia="Times New Roman" w:hAnsi="Times New Roman"/>
          <w:sz w:val="28"/>
          <w:szCs w:val="28"/>
          <w:shd w:val="clear" w:color="auto" w:fill="FFFFFF"/>
          <w:lang w:val="ru-RU"/>
        </w:rPr>
        <w:t>През 2020г.</w:t>
      </w:r>
      <w:r w:rsidRPr="00604C86">
        <w:rPr>
          <w:rFonts w:ascii="Times New Roman" w:eastAsia="Times New Roman" w:hAnsi="Times New Roman"/>
          <w:sz w:val="28"/>
          <w:szCs w:val="28"/>
          <w:lang w:val="ru-RU"/>
        </w:rPr>
        <w:t xml:space="preserve"> те са били 24 броя, а п</w:t>
      </w:r>
      <w:r w:rsidRPr="00604C86">
        <w:rPr>
          <w:rFonts w:ascii="Times New Roman" w:eastAsia="Times New Roman" w:hAnsi="Times New Roman"/>
          <w:sz w:val="28"/>
          <w:szCs w:val="28"/>
          <w:shd w:val="clear" w:color="auto" w:fill="FFFFFF"/>
          <w:lang w:val="ru-RU"/>
        </w:rPr>
        <w:t>рез 2019 г. - 21 броя.</w:t>
      </w:r>
      <w:r w:rsidRPr="00604C86">
        <w:rPr>
          <w:rFonts w:ascii="Times New Roman" w:eastAsia="Times New Roman" w:hAnsi="Times New Roman"/>
          <w:sz w:val="28"/>
          <w:szCs w:val="28"/>
          <w:lang w:val="ru-RU"/>
        </w:rPr>
        <w:t xml:space="preserve">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lastRenderedPageBreak/>
        <w:t>През 2021г. за СГП броят на осъдителните решения на основание чл. 2, ал.1, т.3, пр.1 ЗОДОВ е бил 64 бр., като за  2020г. е бил 65 броя, за 2019г. броят е бил 88 броя.</w:t>
      </w:r>
    </w:p>
    <w:p w:rsidR="00604C86" w:rsidRPr="00604C86" w:rsidRDefault="00604C86"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shd w:val="clear" w:color="auto" w:fill="FFFFFF"/>
          <w:lang w:val="ru-RU"/>
        </w:rPr>
      </w:pPr>
      <w:r w:rsidRPr="00604C86">
        <w:rPr>
          <w:rFonts w:ascii="Times New Roman" w:eastAsia="Times New Roman" w:hAnsi="Times New Roman"/>
          <w:sz w:val="28"/>
          <w:szCs w:val="28"/>
          <w:shd w:val="clear" w:color="auto" w:fill="FFFFFF"/>
          <w:lang w:val="ru-RU"/>
        </w:rPr>
        <w:t xml:space="preserve">По делата с участие на СРП за 2021г. както и за предходните два отчетни периода  </w:t>
      </w:r>
      <w:r w:rsidRPr="00604C86">
        <w:rPr>
          <w:rFonts w:ascii="Times New Roman" w:eastAsia="Times New Roman" w:hAnsi="Times New Roman"/>
          <w:sz w:val="28"/>
          <w:szCs w:val="28"/>
          <w:shd w:val="clear" w:color="auto" w:fill="FFFFFF"/>
        </w:rPr>
        <w:t xml:space="preserve">не </w:t>
      </w:r>
      <w:r w:rsidRPr="00604C86">
        <w:rPr>
          <w:rFonts w:ascii="Times New Roman" w:eastAsia="Times New Roman" w:hAnsi="Times New Roman"/>
          <w:sz w:val="28"/>
          <w:szCs w:val="28"/>
          <w:shd w:val="clear" w:color="auto" w:fill="FFFFFF"/>
          <w:lang w:val="ru-RU"/>
        </w:rPr>
        <w:t xml:space="preserve">са били постановени решения с правно основание на предявения иск по чл. 2, ал.1, т.3, пр.1 ЗОДОВ. </w:t>
      </w:r>
    </w:p>
    <w:p w:rsidR="00604C86" w:rsidRPr="00604C86" w:rsidRDefault="00604C86"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За СГП през 2021г. са постановени 19 броя съдебни решения срещу прокуратурата на основание чл. 2, ал.1, т.3, пр.2 от ЗОДОВ – прекратено наказателно производство. За сравнение през предходната 2020г. те са били 24 броя, а за 2019г. са постановени 21 броя решения.</w:t>
      </w:r>
    </w:p>
    <w:p w:rsidR="00604C86" w:rsidRPr="00604C86" w:rsidRDefault="00604C86"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В сравнителния тригодишен период 2021г.-2019г. по дела на СРП съдебни решения срещу прокуратурата на основание чл. 2, ал.1, т.3, пр.2 от ЗОДОВ – прекратено наказателно производство не са постановявани.</w:t>
      </w:r>
    </w:p>
    <w:p w:rsidR="00604C86" w:rsidRPr="00604C86" w:rsidRDefault="00604C86"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През 2021г. както и през 2020г. по предявени срещу ПРБ искове с правно основание чл. 2, ал.1, т.1 от ЗОДОВ – отменено задържане под стража не е имало, а за 2019г. има 1 брой. </w:t>
      </w:r>
    </w:p>
    <w:p w:rsidR="00604C86" w:rsidRPr="00604C86" w:rsidRDefault="00604C86"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За 2021г. няма съдебни решения срещу ПРБ във връзка с незаконно използване на специално разознавателно средство /СРС/, за 2020г. - 1 брой решение по дело на СГП, а за 2019г. е имало също 1 брой постановено решение. </w:t>
      </w:r>
    </w:p>
    <w:p w:rsidR="00604C86" w:rsidRPr="00604C86" w:rsidRDefault="00604C86"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За 2021г. няма влезли в сила решения във връзка с нарушаване на правото на разглеждане на делото в разумен срок /чл.6, §1, ЕКПЧОС-чл.2б ЗОДОВ/, като за 2020г. са били 2 броя, за сравнение през 2019г. не е имало подобни решения.</w:t>
      </w:r>
    </w:p>
    <w:p w:rsidR="00604C86" w:rsidRPr="00604C86" w:rsidRDefault="00604C86" w:rsidP="004D24A1">
      <w:pPr>
        <w:overflowPunct w:val="0"/>
        <w:autoSpaceDE w:val="0"/>
        <w:autoSpaceDN w:val="0"/>
        <w:adjustRightInd w:val="0"/>
        <w:spacing w:after="0"/>
        <w:ind w:firstLine="709"/>
        <w:jc w:val="both"/>
        <w:textAlignment w:val="baseline"/>
        <w:rPr>
          <w:rFonts w:ascii="Times" w:eastAsia="Times New Roman" w:hAnsi="Times" w:cs="Arial"/>
          <w:sz w:val="28"/>
          <w:szCs w:val="28"/>
          <w:lang w:val="ru-RU"/>
        </w:rPr>
      </w:pPr>
    </w:p>
    <w:p w:rsidR="00604C86" w:rsidRPr="00604C86" w:rsidRDefault="00604C86" w:rsidP="004D24A1">
      <w:pPr>
        <w:overflowPunct w:val="0"/>
        <w:autoSpaceDE w:val="0"/>
        <w:autoSpaceDN w:val="0"/>
        <w:adjustRightInd w:val="0"/>
        <w:spacing w:after="0"/>
        <w:ind w:firstLine="708"/>
        <w:jc w:val="both"/>
        <w:textAlignment w:val="baseline"/>
        <w:rPr>
          <w:rFonts w:ascii="Times" w:eastAsia="Times New Roman" w:hAnsi="Times" w:cs="Arial"/>
          <w:sz w:val="28"/>
          <w:szCs w:val="28"/>
          <w:lang w:val="ru-RU"/>
        </w:rPr>
      </w:pPr>
      <w:r w:rsidRPr="00604C86">
        <w:rPr>
          <w:noProof/>
          <w:lang w:eastAsia="bg-BG"/>
        </w:rPr>
        <w:drawing>
          <wp:inline distT="0" distB="0" distL="0" distR="0" wp14:anchorId="1CB64F04" wp14:editId="6D719688">
            <wp:extent cx="5184140" cy="3009014"/>
            <wp:effectExtent l="0" t="0" r="16510" b="1270"/>
            <wp:docPr id="70" name="Об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0"/>
          <w:szCs w:val="20"/>
        </w:rPr>
      </w:pP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0"/>
          <w:szCs w:val="20"/>
        </w:rPr>
      </w:pPr>
      <w:r w:rsidRPr="00604C86">
        <w:rPr>
          <w:rFonts w:ascii="Times New Roman" w:eastAsia="Times New Roman" w:hAnsi="Times New Roman"/>
          <w:sz w:val="20"/>
          <w:szCs w:val="20"/>
        </w:rPr>
        <w:t xml:space="preserve">  Фиг.4   Основания за осъждане по ЗОДОВ за 2021г.</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0"/>
          <w:szCs w:val="20"/>
        </w:rPr>
      </w:pP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shd w:val="clear" w:color="auto" w:fill="FFFFFF"/>
          <w:lang w:val="ru-RU"/>
        </w:rPr>
        <w:t>Общият брой на лицата, осъдили ПРБ по реда на ЗОДОВ за съдебния район /СГП и СРП/ за отчетния период на 2021г. е бил 83 броя, като за 2020г. е бил 93 лица, а за 2019г. са били 114 лица.</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lang w:val="ru-RU"/>
        </w:rPr>
        <w:t xml:space="preserve"> Разбито по прокуратури за 2021г. за СГП са били 83броя, като за 2020г. са били 93 лица, за 2019г. - 114 лица. През 2021г., 2020г. и 2019 г. няма лица, осъдили прокуратурата / СРП/ по ЗОДОВ.</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ru-RU"/>
        </w:rPr>
      </w:pPr>
      <w:r w:rsidRPr="00604C86">
        <w:rPr>
          <w:rFonts w:ascii="Times New Roman" w:eastAsia="Times New Roman" w:hAnsi="Times New Roman"/>
          <w:sz w:val="28"/>
          <w:szCs w:val="28"/>
        </w:rPr>
        <w:t xml:space="preserve">За отчетния период на 2021г. общият размер на присъдените обезщетения по ЗОДОВ срещу ПРБ /СРП и СГП/ е 842492,96 лева, за 2020г. е 1058572,83 лева, а за </w:t>
      </w:r>
      <w:r w:rsidRPr="00604C86">
        <w:rPr>
          <w:rFonts w:ascii="Times New Roman" w:eastAsia="Times New Roman" w:hAnsi="Times New Roman"/>
          <w:sz w:val="28"/>
          <w:szCs w:val="28"/>
          <w:lang w:val="ru-RU"/>
        </w:rPr>
        <w:t xml:space="preserve"> 2019г. общият размер е 1635256,21 лева. </w:t>
      </w:r>
    </w:p>
    <w:p w:rsidR="00604C86" w:rsidRPr="00604C86" w:rsidRDefault="00604C86" w:rsidP="004D24A1">
      <w:pPr>
        <w:overflowPunct w:val="0"/>
        <w:autoSpaceDE w:val="0"/>
        <w:autoSpaceDN w:val="0"/>
        <w:adjustRightInd w:val="0"/>
        <w:spacing w:after="0"/>
        <w:ind w:firstLine="709"/>
        <w:jc w:val="both"/>
        <w:textAlignment w:val="baseline"/>
        <w:rPr>
          <w:rFonts w:ascii="Times" w:eastAsia="Times New Roman" w:hAnsi="Times" w:cs="Arial"/>
          <w:sz w:val="28"/>
          <w:szCs w:val="28"/>
          <w:lang w:val="ru-RU"/>
        </w:rPr>
      </w:pPr>
    </w:p>
    <w:p w:rsidR="00604C86" w:rsidRPr="00604C86" w:rsidRDefault="00604C86" w:rsidP="004D24A1">
      <w:pPr>
        <w:overflowPunct w:val="0"/>
        <w:autoSpaceDE w:val="0"/>
        <w:autoSpaceDN w:val="0"/>
        <w:adjustRightInd w:val="0"/>
        <w:spacing w:after="0"/>
        <w:ind w:firstLine="426"/>
        <w:jc w:val="both"/>
        <w:textAlignment w:val="baseline"/>
        <w:rPr>
          <w:rFonts w:ascii="Times New Roman" w:eastAsia="Times New Roman" w:hAnsi="Times New Roman"/>
          <w:sz w:val="20"/>
          <w:szCs w:val="20"/>
        </w:rPr>
      </w:pPr>
      <w:r w:rsidRPr="00604C86">
        <w:rPr>
          <w:noProof/>
          <w:lang w:eastAsia="bg-BG"/>
        </w:rPr>
        <w:drawing>
          <wp:inline distT="0" distB="0" distL="0" distR="0" wp14:anchorId="7DD269FA" wp14:editId="0C388EC4">
            <wp:extent cx="5400040" cy="2760345"/>
            <wp:effectExtent l="0" t="0" r="0" b="0"/>
            <wp:docPr id="71" name="Об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604C86">
        <w:rPr>
          <w:rFonts w:ascii="Times New Roman" w:eastAsia="Times New Roman" w:hAnsi="Times New Roman"/>
          <w:sz w:val="20"/>
          <w:szCs w:val="20"/>
        </w:rPr>
        <w:t xml:space="preserve">                      </w:t>
      </w:r>
    </w:p>
    <w:p w:rsidR="00604C86" w:rsidRPr="00604C86" w:rsidRDefault="00604C86" w:rsidP="004D24A1">
      <w:pPr>
        <w:overflowPunct w:val="0"/>
        <w:autoSpaceDE w:val="0"/>
        <w:autoSpaceDN w:val="0"/>
        <w:adjustRightInd w:val="0"/>
        <w:spacing w:after="0"/>
        <w:ind w:firstLine="426"/>
        <w:jc w:val="both"/>
        <w:textAlignment w:val="baseline"/>
        <w:rPr>
          <w:rFonts w:ascii="Times New Roman" w:eastAsia="Times New Roman" w:hAnsi="Times New Roman"/>
          <w:sz w:val="20"/>
          <w:szCs w:val="20"/>
        </w:rPr>
      </w:pPr>
      <w:r w:rsidRPr="00604C86">
        <w:rPr>
          <w:rFonts w:ascii="Times New Roman" w:eastAsia="Times New Roman" w:hAnsi="Times New Roman"/>
          <w:sz w:val="20"/>
          <w:szCs w:val="20"/>
        </w:rPr>
        <w:t xml:space="preserve">                    Фиг.5   Размер на присъдените обезщетения по ЗОДОВ за времето </w:t>
      </w:r>
    </w:p>
    <w:p w:rsidR="00604C86" w:rsidRPr="00604C86" w:rsidRDefault="00604C86" w:rsidP="004D24A1">
      <w:pPr>
        <w:overflowPunct w:val="0"/>
        <w:autoSpaceDE w:val="0"/>
        <w:autoSpaceDN w:val="0"/>
        <w:adjustRightInd w:val="0"/>
        <w:spacing w:after="0"/>
        <w:ind w:firstLine="709"/>
        <w:jc w:val="both"/>
        <w:textAlignment w:val="baseline"/>
        <w:rPr>
          <w:rFonts w:ascii="Times New Roman" w:eastAsia="Times New Roman" w:hAnsi="Times New Roman"/>
          <w:sz w:val="20"/>
          <w:szCs w:val="20"/>
        </w:rPr>
      </w:pPr>
      <w:r w:rsidRPr="00604C86">
        <w:rPr>
          <w:rFonts w:ascii="Times New Roman" w:eastAsia="Times New Roman" w:hAnsi="Times New Roman"/>
          <w:sz w:val="20"/>
          <w:szCs w:val="20"/>
        </w:rPr>
        <w:t xml:space="preserve">                           от 01.01.2019г. до 31.12.2021г.</w:t>
      </w:r>
    </w:p>
    <w:p w:rsidR="00604C86" w:rsidRPr="00604C86" w:rsidRDefault="00604C86" w:rsidP="004D24A1">
      <w:pPr>
        <w:overflowPunct w:val="0"/>
        <w:autoSpaceDE w:val="0"/>
        <w:autoSpaceDN w:val="0"/>
        <w:adjustRightInd w:val="0"/>
        <w:spacing w:after="0"/>
        <w:ind w:firstLine="709"/>
        <w:jc w:val="both"/>
        <w:textAlignment w:val="baseline"/>
        <w:rPr>
          <w:rFonts w:ascii="Times" w:hAnsi="Times" w:cs="Arial"/>
          <w:sz w:val="28"/>
          <w:szCs w:val="28"/>
        </w:rPr>
      </w:pPr>
    </w:p>
    <w:p w:rsidR="00604C86" w:rsidRPr="00604C86" w:rsidRDefault="00604C86" w:rsidP="004D24A1">
      <w:pPr>
        <w:spacing w:after="0"/>
        <w:ind w:firstLine="708"/>
        <w:jc w:val="both"/>
        <w:rPr>
          <w:rFonts w:ascii="Times New Roman" w:eastAsia="Times New Roman" w:hAnsi="Times New Roman"/>
          <w:sz w:val="28"/>
          <w:szCs w:val="28"/>
          <w:lang w:eastAsia="bg-BG"/>
        </w:rPr>
      </w:pPr>
      <w:r w:rsidRPr="00604C86">
        <w:rPr>
          <w:rFonts w:ascii="Times New Roman" w:eastAsia="Times New Roman" w:hAnsi="Times New Roman"/>
          <w:sz w:val="28"/>
          <w:szCs w:val="28"/>
          <w:lang w:eastAsia="bg-BG"/>
        </w:rPr>
        <w:t xml:space="preserve">Видно от статистическите резултати през 2021 г. присъдените обезщетения са с 216 079,87 лева по-малко в сравнение с 2020г. и с 792 763,25 лева по-малко в сравнение с 2019г. Наблюдава се значителен спад в присъдените суми по обезщетения по ЗОДОВ срещу ПРБ с </w:t>
      </w:r>
      <w:r w:rsidRPr="00604C86">
        <w:rPr>
          <w:rFonts w:ascii="Times New Roman" w:eastAsia="Times New Roman" w:hAnsi="Times New Roman"/>
          <w:sz w:val="28"/>
          <w:szCs w:val="28"/>
          <w:lang w:val="en-US" w:eastAsia="bg-BG"/>
        </w:rPr>
        <w:t>20.41</w:t>
      </w:r>
      <w:r w:rsidRPr="00604C86">
        <w:rPr>
          <w:rFonts w:ascii="Times New Roman" w:eastAsia="Times New Roman" w:hAnsi="Times New Roman"/>
          <w:sz w:val="28"/>
          <w:szCs w:val="28"/>
          <w:lang w:eastAsia="bg-BG"/>
        </w:rPr>
        <w:t>% в сравнение с 20</w:t>
      </w:r>
      <w:r w:rsidRPr="00604C86">
        <w:rPr>
          <w:rFonts w:ascii="Times New Roman" w:eastAsia="Times New Roman" w:hAnsi="Times New Roman"/>
          <w:sz w:val="28"/>
          <w:szCs w:val="28"/>
          <w:lang w:val="en-US" w:eastAsia="bg-BG"/>
        </w:rPr>
        <w:t>20</w:t>
      </w:r>
      <w:r w:rsidRPr="00604C86">
        <w:rPr>
          <w:rFonts w:ascii="Times New Roman" w:eastAsia="Times New Roman" w:hAnsi="Times New Roman"/>
          <w:sz w:val="28"/>
          <w:szCs w:val="28"/>
          <w:lang w:eastAsia="bg-BG"/>
        </w:rPr>
        <w:t>г. и за 2018г. с 48,48%.</w:t>
      </w:r>
    </w:p>
    <w:p w:rsidR="00604C86" w:rsidRPr="00604C86" w:rsidRDefault="00604C86" w:rsidP="004D24A1">
      <w:pPr>
        <w:spacing w:after="0"/>
        <w:ind w:firstLine="708"/>
        <w:jc w:val="both"/>
        <w:rPr>
          <w:rFonts w:ascii="Times New Roman" w:eastAsia="Times New Roman" w:hAnsi="Times New Roman"/>
          <w:sz w:val="28"/>
          <w:szCs w:val="28"/>
          <w:lang w:eastAsia="bg-BG"/>
        </w:rPr>
      </w:pPr>
      <w:r w:rsidRPr="00604C86">
        <w:rPr>
          <w:rFonts w:ascii="Times New Roman" w:eastAsia="Times New Roman" w:hAnsi="Times New Roman"/>
          <w:sz w:val="28"/>
          <w:szCs w:val="28"/>
          <w:lang w:eastAsia="bg-BG"/>
        </w:rPr>
        <w:t>В заключение може да се обобщи, че и през 2021г. продължава активното участие на прокурорите в исковите производства по Закона за отговорността на държавата и общините за вреди.</w:t>
      </w:r>
    </w:p>
    <w:p w:rsidR="00604C86" w:rsidRPr="00604C86" w:rsidRDefault="00604C86" w:rsidP="004D24A1">
      <w:pPr>
        <w:spacing w:after="0"/>
        <w:ind w:firstLine="708"/>
        <w:jc w:val="both"/>
        <w:rPr>
          <w:rFonts w:ascii="Times New Roman" w:eastAsia="Times New Roman" w:hAnsi="Times New Roman"/>
          <w:sz w:val="28"/>
          <w:szCs w:val="28"/>
          <w:lang w:eastAsia="bg-BG"/>
        </w:rPr>
      </w:pPr>
      <w:r w:rsidRPr="00604C86">
        <w:rPr>
          <w:rFonts w:ascii="Times New Roman" w:eastAsia="Times New Roman" w:hAnsi="Times New Roman"/>
          <w:sz w:val="28"/>
          <w:szCs w:val="28"/>
          <w:lang w:eastAsia="bg-BG"/>
        </w:rPr>
        <w:t xml:space="preserve">Прокурорите от отдела са с богат професионален опит и много добра теоретична и практическа подготовка. Те са подхождали с необходимата отговорност, своевременно са искали събирането на доказателства от съда и са давали мотивирани становища по хода на производствата. Изготвените актове са с необходимото качество, което обуславя и относително добрата успеваемост по тези дела. </w:t>
      </w:r>
    </w:p>
    <w:p w:rsidR="00604C86" w:rsidRPr="00604C86" w:rsidRDefault="00604C86" w:rsidP="004D24A1">
      <w:pPr>
        <w:spacing w:after="0"/>
        <w:ind w:firstLine="708"/>
        <w:jc w:val="both"/>
        <w:rPr>
          <w:rFonts w:ascii="Times New Roman" w:eastAsia="Times New Roman" w:hAnsi="Times New Roman"/>
          <w:sz w:val="28"/>
          <w:szCs w:val="28"/>
          <w:lang w:eastAsia="bg-BG"/>
        </w:rPr>
      </w:pPr>
    </w:p>
    <w:p w:rsidR="00604C86" w:rsidRPr="00604C86" w:rsidRDefault="00604C86" w:rsidP="004D24A1">
      <w:pPr>
        <w:spacing w:after="0"/>
        <w:ind w:firstLine="708"/>
        <w:jc w:val="both"/>
        <w:rPr>
          <w:rFonts w:ascii="Times New Roman" w:eastAsia="Times New Roman" w:hAnsi="Times New Roman"/>
          <w:b/>
          <w:sz w:val="28"/>
          <w:szCs w:val="28"/>
          <w:lang w:eastAsia="bg-BG"/>
        </w:rPr>
      </w:pPr>
      <w:r w:rsidRPr="00604C86">
        <w:rPr>
          <w:rFonts w:ascii="Times New Roman" w:eastAsia="Times New Roman" w:hAnsi="Times New Roman"/>
          <w:b/>
          <w:sz w:val="28"/>
          <w:szCs w:val="28"/>
          <w:lang w:eastAsia="bg-BG"/>
        </w:rPr>
        <w:t xml:space="preserve">Изпълнение на индивидуални и общи мерки във връзка с решенията на Европейския съд по правата на човека по дела срещу България. </w:t>
      </w:r>
    </w:p>
    <w:p w:rsidR="00604C86" w:rsidRPr="00604C86" w:rsidRDefault="00604C86" w:rsidP="004D24A1">
      <w:pPr>
        <w:spacing w:after="0"/>
        <w:ind w:firstLine="708"/>
        <w:jc w:val="both"/>
        <w:rPr>
          <w:rFonts w:ascii="Times New Roman" w:eastAsia="Times New Roman" w:hAnsi="Times New Roman"/>
          <w:sz w:val="28"/>
          <w:szCs w:val="28"/>
          <w:lang w:eastAsia="bg-BG"/>
        </w:rPr>
      </w:pPr>
      <w:r w:rsidRPr="00604C86">
        <w:rPr>
          <w:rFonts w:ascii="Times New Roman" w:eastAsia="Times New Roman" w:hAnsi="Times New Roman"/>
          <w:sz w:val="28"/>
          <w:szCs w:val="28"/>
          <w:lang w:eastAsia="bg-BG"/>
        </w:rPr>
        <w:t>В отчетния период на 2021г. няма влезли в сила съдебни решения на ЕКПЧОС срещу прокуратурата  по дела на СГП във връзка с нарушение на правото на разглеждане на делото в разумен срок по чл.6, §1 ЕКПЧОС – чл.2б ЗОДОВ. За сравнение през 2020г. са постъпили 2 броя, а за 2019г. няма. Също така по дела на СГП, няма постановени решения на Европейския съд по правата на човека по дела срещу България за нарушения на чл. 5, §  2 – 4  на ЕКЗПЧОС.</w:t>
      </w:r>
    </w:p>
    <w:p w:rsidR="00604C86" w:rsidRPr="00604C86" w:rsidRDefault="00604C86" w:rsidP="004D24A1">
      <w:pPr>
        <w:spacing w:after="0"/>
        <w:ind w:firstLine="708"/>
        <w:jc w:val="both"/>
        <w:rPr>
          <w:rFonts w:ascii="Times New Roman" w:eastAsia="Times New Roman" w:hAnsi="Times New Roman"/>
          <w:sz w:val="28"/>
          <w:szCs w:val="28"/>
          <w:lang w:eastAsia="bg-BG"/>
        </w:rPr>
      </w:pPr>
      <w:r w:rsidRPr="00604C86">
        <w:rPr>
          <w:rFonts w:ascii="Times New Roman" w:eastAsia="Times New Roman" w:hAnsi="Times New Roman"/>
          <w:sz w:val="28"/>
          <w:szCs w:val="28"/>
          <w:lang w:eastAsia="bg-BG"/>
        </w:rPr>
        <w:t xml:space="preserve">В тази насока са и усилията на ръководството за запознаване на прокурорите с решенията на Европейския съд по правата на човека срещу България с оглед съобразяване на практиката и недопускане в бъдеще на констатираните до сега нарушения и пропуски. </w:t>
      </w:r>
    </w:p>
    <w:p w:rsidR="00664472" w:rsidRDefault="00664472" w:rsidP="004D24A1">
      <w:pPr>
        <w:spacing w:after="0"/>
        <w:jc w:val="both"/>
        <w:rPr>
          <w:rFonts w:ascii="Times New Roman" w:hAnsi="Times New Roman"/>
          <w:sz w:val="28"/>
          <w:szCs w:val="28"/>
        </w:rPr>
      </w:pPr>
    </w:p>
    <w:p w:rsidR="00DD1D27" w:rsidRDefault="00DD1D27" w:rsidP="004D24A1">
      <w:pPr>
        <w:spacing w:after="0"/>
        <w:ind w:firstLine="708"/>
        <w:jc w:val="both"/>
        <w:rPr>
          <w:rFonts w:ascii="Times New Roman" w:hAnsi="Times New Roman"/>
          <w:sz w:val="28"/>
          <w:szCs w:val="28"/>
        </w:rPr>
      </w:pPr>
    </w:p>
    <w:p w:rsidR="00DD1D27" w:rsidRPr="00B364A7" w:rsidRDefault="00DD1D27" w:rsidP="004D24A1">
      <w:pPr>
        <w:spacing w:after="0"/>
        <w:ind w:firstLine="708"/>
        <w:jc w:val="both"/>
        <w:rPr>
          <w:rFonts w:ascii="Times New Roman" w:eastAsia="Times New Roman" w:hAnsi="Times New Roman"/>
          <w:b/>
          <w:bCs/>
          <w:caps/>
          <w:sz w:val="28"/>
          <w:szCs w:val="28"/>
          <w:lang w:eastAsia="bg-BG"/>
        </w:rPr>
      </w:pPr>
      <w:r w:rsidRPr="00B364A7">
        <w:rPr>
          <w:rFonts w:ascii="Times New Roman" w:eastAsia="Times New Roman" w:hAnsi="Times New Roman"/>
          <w:b/>
          <w:bCs/>
          <w:caps/>
          <w:sz w:val="28"/>
          <w:szCs w:val="28"/>
          <w:lang w:eastAsia="bg-BG"/>
        </w:rPr>
        <w:t xml:space="preserve">5. Изпълнение на наказанията и другите принудителни мерки </w:t>
      </w:r>
    </w:p>
    <w:p w:rsidR="00DD1D27" w:rsidRPr="00B364A7" w:rsidRDefault="00DD1D27" w:rsidP="004D24A1">
      <w:pPr>
        <w:spacing w:after="0"/>
        <w:jc w:val="both"/>
        <w:rPr>
          <w:rFonts w:ascii="Times New Roman" w:eastAsia="Times New Roman" w:hAnsi="Times New Roman"/>
          <w:b/>
          <w:bCs/>
          <w:sz w:val="28"/>
          <w:szCs w:val="28"/>
          <w:lang w:eastAsia="bg-BG"/>
        </w:rPr>
      </w:pPr>
    </w:p>
    <w:p w:rsidR="00DD1D27" w:rsidRDefault="00DD1D27" w:rsidP="004D24A1">
      <w:pPr>
        <w:spacing w:after="0"/>
        <w:jc w:val="both"/>
        <w:rPr>
          <w:rFonts w:ascii="Times New Roman" w:eastAsia="Times New Roman" w:hAnsi="Times New Roman"/>
          <w:b/>
          <w:bCs/>
          <w:caps/>
          <w:sz w:val="28"/>
          <w:szCs w:val="28"/>
          <w:lang w:eastAsia="bg-BG"/>
        </w:rPr>
      </w:pPr>
      <w:r w:rsidRPr="00B364A7">
        <w:rPr>
          <w:rFonts w:ascii="Times New Roman" w:eastAsia="Times New Roman" w:hAnsi="Times New Roman"/>
          <w:b/>
          <w:bCs/>
          <w:caps/>
          <w:sz w:val="28"/>
          <w:szCs w:val="28"/>
          <w:lang w:eastAsia="bg-BG"/>
        </w:rPr>
        <w:tab/>
        <w:t>Привеждане на присъдите в изпълнение.</w:t>
      </w:r>
    </w:p>
    <w:p w:rsidR="00DD1D27" w:rsidRPr="00B364A7" w:rsidRDefault="00DD1D27" w:rsidP="004D24A1">
      <w:pPr>
        <w:spacing w:after="0"/>
        <w:jc w:val="both"/>
        <w:rPr>
          <w:rFonts w:ascii="Times New Roman" w:eastAsia="Times New Roman" w:hAnsi="Times New Roman"/>
          <w:b/>
          <w:bCs/>
          <w:caps/>
          <w:sz w:val="28"/>
          <w:szCs w:val="28"/>
          <w:lang w:eastAsia="bg-BG"/>
        </w:rPr>
      </w:pP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Настоящия доклад отчетен период - 01.01.2021г. до 31.12.2021г., в двете подотчетни прокуратури Софийска градска прокуратура и Софийска районна прокуратура са получени общо за изпълнение присъди и споразумения спрямо 1791 броя лица. За сравнение през 2020г. броят на повучените за изпълнение присъди по лица е бил 1554 броя, а през 2019г. са получени лица 2102 броя присъди по лица.</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Аналитичните данни от трите наблюдавани годишни периода при сравнение показват, че броят на получените за изпълнение присъди и споразумения по лица за 2021г. се е увеличил с 237 броя, което показва увеличение с </w:t>
      </w:r>
      <w:r w:rsidRPr="00B364A7">
        <w:rPr>
          <w:rFonts w:ascii="Times New Roman" w:hAnsi="Times New Roman"/>
          <w:noProof/>
          <w:sz w:val="28"/>
          <w:szCs w:val="28"/>
          <w:lang w:val="en-US"/>
        </w:rPr>
        <w:t>1</w:t>
      </w:r>
      <w:r w:rsidRPr="00B364A7">
        <w:rPr>
          <w:rFonts w:ascii="Times New Roman" w:hAnsi="Times New Roman"/>
          <w:noProof/>
          <w:sz w:val="28"/>
          <w:szCs w:val="28"/>
        </w:rPr>
        <w:t>5</w:t>
      </w:r>
      <w:r w:rsidRPr="00B364A7">
        <w:rPr>
          <w:rFonts w:ascii="Times New Roman" w:hAnsi="Times New Roman"/>
          <w:noProof/>
          <w:sz w:val="28"/>
          <w:szCs w:val="28"/>
          <w:lang w:val="ru-RU"/>
        </w:rPr>
        <w:t>,</w:t>
      </w:r>
      <w:r w:rsidRPr="00B364A7">
        <w:rPr>
          <w:rFonts w:ascii="Times New Roman" w:hAnsi="Times New Roman"/>
          <w:noProof/>
          <w:sz w:val="28"/>
          <w:szCs w:val="28"/>
          <w:lang w:val="en-US"/>
        </w:rPr>
        <w:t>2</w:t>
      </w:r>
      <w:r w:rsidRPr="00B364A7">
        <w:rPr>
          <w:rFonts w:ascii="Times New Roman" w:hAnsi="Times New Roman"/>
          <w:noProof/>
          <w:sz w:val="28"/>
          <w:szCs w:val="28"/>
        </w:rPr>
        <w:t>5</w:t>
      </w:r>
      <w:r w:rsidRPr="00B364A7">
        <w:rPr>
          <w:rFonts w:ascii="Times New Roman" w:hAnsi="Times New Roman"/>
          <w:noProof/>
          <w:sz w:val="28"/>
          <w:szCs w:val="28"/>
          <w:lang w:val="ru-RU"/>
        </w:rPr>
        <w:t xml:space="preserve"> % спряво 2020г., а при сравнение на данните за 2021г. с данните за 2019г., намалението е 311 броя или 1</w:t>
      </w:r>
      <w:r w:rsidRPr="00B364A7">
        <w:rPr>
          <w:rFonts w:ascii="Times New Roman" w:hAnsi="Times New Roman"/>
          <w:noProof/>
          <w:sz w:val="28"/>
          <w:szCs w:val="28"/>
          <w:lang w:val="en-US"/>
        </w:rPr>
        <w:t>4</w:t>
      </w:r>
      <w:r w:rsidRPr="00B364A7">
        <w:rPr>
          <w:rFonts w:ascii="Times New Roman" w:hAnsi="Times New Roman"/>
          <w:noProof/>
          <w:sz w:val="28"/>
          <w:szCs w:val="28"/>
          <w:lang w:val="ru-RU"/>
        </w:rPr>
        <w:t>,</w:t>
      </w:r>
      <w:r w:rsidRPr="00B364A7">
        <w:rPr>
          <w:rFonts w:ascii="Times New Roman" w:hAnsi="Times New Roman"/>
          <w:noProof/>
          <w:sz w:val="28"/>
          <w:szCs w:val="28"/>
          <w:lang w:val="en-US"/>
        </w:rPr>
        <w:t>80</w:t>
      </w:r>
      <w:r w:rsidRPr="00B364A7">
        <w:rPr>
          <w:rFonts w:ascii="Times New Roman" w:hAnsi="Times New Roman"/>
          <w:noProof/>
          <w:sz w:val="28"/>
          <w:szCs w:val="28"/>
          <w:lang w:val="ru-RU"/>
        </w:rPr>
        <w:t xml:space="preserve"> %.</w:t>
      </w:r>
    </w:p>
    <w:p w:rsidR="00DD1D27" w:rsidRPr="00B364A7" w:rsidRDefault="00DD1D27" w:rsidP="004D24A1">
      <w:pPr>
        <w:spacing w:after="0"/>
        <w:ind w:firstLine="708"/>
        <w:jc w:val="both"/>
        <w:rPr>
          <w:rFonts w:ascii="Times New Roman" w:hAnsi="Times New Roman"/>
          <w:b/>
          <w:noProof/>
          <w:sz w:val="28"/>
          <w:szCs w:val="28"/>
          <w:lang w:val="ru-RU"/>
        </w:rPr>
      </w:pPr>
      <w:r w:rsidRPr="00B364A7">
        <w:rPr>
          <w:rFonts w:ascii="Times New Roman" w:hAnsi="Times New Roman"/>
          <w:b/>
          <w:noProof/>
          <w:sz w:val="28"/>
          <w:szCs w:val="28"/>
          <w:lang w:val="ru-RU"/>
        </w:rPr>
        <w:t>По видове наказанията постановени срещу лица през 2021г. получени в двете прокуратури заедно /СРП и СГП/ се разпределят, както следва:</w:t>
      </w:r>
    </w:p>
    <w:p w:rsidR="00DD1D27" w:rsidRPr="00B364A7" w:rsidRDefault="00DD1D27" w:rsidP="004D24A1">
      <w:pPr>
        <w:spacing w:after="0"/>
        <w:jc w:val="both"/>
        <w:rPr>
          <w:rFonts w:ascii="Times New Roman" w:hAnsi="Times New Roman"/>
          <w:noProof/>
          <w:sz w:val="28"/>
          <w:szCs w:val="28"/>
        </w:rPr>
      </w:pPr>
      <w:r w:rsidRPr="00B364A7">
        <w:rPr>
          <w:rFonts w:ascii="Times New Roman" w:hAnsi="Times New Roman"/>
          <w:noProof/>
          <w:sz w:val="28"/>
          <w:szCs w:val="28"/>
          <w:lang w:val="ru-RU"/>
        </w:rPr>
        <w:tab/>
        <w:t xml:space="preserve">- с наказание </w:t>
      </w:r>
      <w:r w:rsidRPr="00B364A7">
        <w:rPr>
          <w:rFonts w:ascii="Times New Roman" w:hAnsi="Times New Roman"/>
          <w:noProof/>
          <w:sz w:val="28"/>
          <w:szCs w:val="28"/>
        </w:rPr>
        <w:t>„</w:t>
      </w:r>
      <w:r w:rsidRPr="00B364A7">
        <w:rPr>
          <w:rFonts w:ascii="Times New Roman" w:hAnsi="Times New Roman"/>
          <w:noProof/>
          <w:sz w:val="28"/>
          <w:szCs w:val="28"/>
          <w:lang w:val="ru-RU"/>
        </w:rPr>
        <w:t>Доживотен затвор</w:t>
      </w:r>
      <w:r w:rsidRPr="00B364A7">
        <w:rPr>
          <w:rFonts w:ascii="Times New Roman" w:hAnsi="Times New Roman"/>
          <w:noProof/>
          <w:sz w:val="28"/>
          <w:szCs w:val="28"/>
        </w:rPr>
        <w:t>“</w:t>
      </w:r>
      <w:r w:rsidRPr="00B364A7">
        <w:rPr>
          <w:rFonts w:ascii="Times New Roman" w:hAnsi="Times New Roman"/>
          <w:noProof/>
          <w:sz w:val="28"/>
          <w:szCs w:val="28"/>
          <w:lang w:val="ru-RU"/>
        </w:rPr>
        <w:t xml:space="preserve"> – през 2021г. не е  било налагано това наказание, през 2020г. с това наказание са били наказани 2 лица, а през 2019г. са получени присъди срещу 3 лица</w:t>
      </w:r>
      <w:r w:rsidRPr="00B364A7">
        <w:rPr>
          <w:rFonts w:ascii="Times New Roman" w:hAnsi="Times New Roman"/>
          <w:noProof/>
          <w:sz w:val="28"/>
          <w:szCs w:val="28"/>
        </w:rPr>
        <w:t xml:space="preserve">. </w:t>
      </w:r>
    </w:p>
    <w:p w:rsidR="00DD1D27" w:rsidRPr="00B364A7" w:rsidRDefault="00DD1D27" w:rsidP="004D24A1">
      <w:pPr>
        <w:spacing w:after="0"/>
        <w:ind w:firstLine="708"/>
        <w:jc w:val="both"/>
        <w:rPr>
          <w:rFonts w:ascii="Times New Roman" w:hAnsi="Times New Roman"/>
          <w:noProof/>
          <w:sz w:val="28"/>
          <w:szCs w:val="28"/>
        </w:rPr>
      </w:pPr>
      <w:r w:rsidRPr="00B364A7">
        <w:rPr>
          <w:rFonts w:ascii="Times New Roman" w:hAnsi="Times New Roman"/>
          <w:noProof/>
          <w:sz w:val="28"/>
          <w:szCs w:val="28"/>
        </w:rPr>
        <w:lastRenderedPageBreak/>
        <w:t>- наказанието „Доживотен затвор“, като най-тежка форма на репресия съдилищата прилагат изключително рядко, като тази тенденция през годините се запазва.</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 присъдите и споразуменията с наложено наказание </w:t>
      </w:r>
      <w:r w:rsidRPr="00B364A7">
        <w:rPr>
          <w:rFonts w:ascii="Times New Roman" w:hAnsi="Times New Roman"/>
          <w:noProof/>
          <w:sz w:val="28"/>
          <w:szCs w:val="28"/>
        </w:rPr>
        <w:t>„</w:t>
      </w:r>
      <w:r w:rsidRPr="00B364A7">
        <w:rPr>
          <w:rFonts w:ascii="Times New Roman" w:hAnsi="Times New Roman"/>
          <w:noProof/>
          <w:sz w:val="28"/>
          <w:szCs w:val="28"/>
          <w:lang w:val="ru-RU"/>
        </w:rPr>
        <w:t>Лишаване от свобода</w:t>
      </w:r>
      <w:r w:rsidRPr="00B364A7">
        <w:rPr>
          <w:rFonts w:ascii="Times New Roman" w:hAnsi="Times New Roman"/>
          <w:noProof/>
          <w:sz w:val="28"/>
          <w:szCs w:val="28"/>
        </w:rPr>
        <w:t>“</w:t>
      </w:r>
      <w:r w:rsidRPr="00B364A7">
        <w:rPr>
          <w:rFonts w:ascii="Times New Roman" w:hAnsi="Times New Roman"/>
          <w:noProof/>
          <w:sz w:val="28"/>
          <w:szCs w:val="28"/>
          <w:lang w:val="ru-RU"/>
        </w:rPr>
        <w:t xml:space="preserve"> за 2021г. по лица са били 1092 броя лица, за 2020г. това наказание е приложено спрямо 998 лица, а за 2019г. лицата с наложено наказание лишаване от свобода са били 1306 броя.</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Броят на получените за изпълнение присъди с наложено наказание </w:t>
      </w:r>
      <w:r w:rsidRPr="00B364A7">
        <w:rPr>
          <w:rFonts w:ascii="Times New Roman" w:hAnsi="Times New Roman"/>
          <w:noProof/>
          <w:sz w:val="28"/>
          <w:szCs w:val="28"/>
        </w:rPr>
        <w:t>„</w:t>
      </w:r>
      <w:r w:rsidRPr="00B364A7">
        <w:rPr>
          <w:rFonts w:ascii="Times New Roman" w:hAnsi="Times New Roman"/>
          <w:noProof/>
          <w:sz w:val="28"/>
          <w:szCs w:val="28"/>
          <w:lang w:val="ru-RU"/>
        </w:rPr>
        <w:t>Лишаване от свобода</w:t>
      </w:r>
      <w:r w:rsidRPr="00B364A7">
        <w:rPr>
          <w:rFonts w:ascii="Times New Roman" w:hAnsi="Times New Roman"/>
          <w:noProof/>
          <w:sz w:val="28"/>
          <w:szCs w:val="28"/>
        </w:rPr>
        <w:t>“</w:t>
      </w:r>
      <w:r w:rsidRPr="00B364A7">
        <w:rPr>
          <w:rFonts w:ascii="Times New Roman" w:hAnsi="Times New Roman"/>
          <w:noProof/>
          <w:sz w:val="28"/>
          <w:szCs w:val="28"/>
          <w:lang w:val="ru-RU"/>
        </w:rPr>
        <w:t xml:space="preserve"> показва, че осъдените за 2021г. лица се е увеличил с 94 лица в сравнение с 2020 г. или 9,42%, а спрямо 2019г. броят е намалял с 214 лица или с 16,39% по-малко. </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 наказание </w:t>
      </w:r>
      <w:r w:rsidRPr="00B364A7">
        <w:rPr>
          <w:rFonts w:ascii="Times New Roman" w:hAnsi="Times New Roman"/>
          <w:noProof/>
          <w:sz w:val="28"/>
          <w:szCs w:val="28"/>
        </w:rPr>
        <w:t>„Л</w:t>
      </w:r>
      <w:r w:rsidRPr="00B364A7">
        <w:rPr>
          <w:rFonts w:ascii="Times New Roman" w:hAnsi="Times New Roman"/>
          <w:noProof/>
          <w:sz w:val="28"/>
          <w:szCs w:val="28"/>
          <w:lang w:val="ru-RU"/>
        </w:rPr>
        <w:t>ишаване от право</w:t>
      </w:r>
      <w:r w:rsidRPr="00B364A7">
        <w:rPr>
          <w:rFonts w:ascii="Times New Roman" w:hAnsi="Times New Roman"/>
          <w:noProof/>
          <w:sz w:val="28"/>
          <w:szCs w:val="28"/>
        </w:rPr>
        <w:t>“</w:t>
      </w:r>
      <w:r w:rsidRPr="00B364A7">
        <w:rPr>
          <w:rFonts w:ascii="Times New Roman" w:hAnsi="Times New Roman"/>
          <w:noProof/>
          <w:sz w:val="28"/>
          <w:szCs w:val="28"/>
          <w:lang w:val="ru-RU"/>
        </w:rPr>
        <w:t xml:space="preserve"> по чл.37, ал.1, т.6-10 НК през 2021г. е било наложено спрямо 589 лица, за сравнение през 2020г. това наказание е наложено спрямо 438 лица, а през 2019г. е наложено спрямо 635 лица.</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Сравнението на данните в рамките на отчетния период на 2021г. показва, че се наблюдава увеличение на броя на наложените наказания </w:t>
      </w:r>
      <w:r w:rsidRPr="00B364A7">
        <w:rPr>
          <w:rFonts w:ascii="Times New Roman" w:hAnsi="Times New Roman"/>
          <w:noProof/>
          <w:sz w:val="28"/>
          <w:szCs w:val="28"/>
        </w:rPr>
        <w:t>„</w:t>
      </w:r>
      <w:r w:rsidRPr="00B364A7">
        <w:rPr>
          <w:rFonts w:ascii="Times New Roman" w:hAnsi="Times New Roman"/>
          <w:noProof/>
          <w:sz w:val="28"/>
          <w:szCs w:val="28"/>
          <w:lang w:val="ru-RU"/>
        </w:rPr>
        <w:t>Лишаване от права</w:t>
      </w:r>
      <w:r w:rsidRPr="00B364A7">
        <w:rPr>
          <w:rFonts w:ascii="Times New Roman" w:hAnsi="Times New Roman"/>
          <w:noProof/>
          <w:sz w:val="28"/>
          <w:szCs w:val="28"/>
        </w:rPr>
        <w:t>“</w:t>
      </w:r>
      <w:r w:rsidRPr="00B364A7">
        <w:rPr>
          <w:rFonts w:ascii="Times New Roman" w:hAnsi="Times New Roman"/>
          <w:noProof/>
          <w:sz w:val="28"/>
          <w:szCs w:val="28"/>
          <w:lang w:val="ru-RU"/>
        </w:rPr>
        <w:t xml:space="preserve"> спрямо 2020г. с 151 броя по-малко или 34,47%, а спрямо 2019г. е налице намаляване на броя наложени наказания с 46 броя, или по-малко или 7,24%.</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 наказанията </w:t>
      </w:r>
      <w:r w:rsidRPr="00B364A7">
        <w:rPr>
          <w:rFonts w:ascii="Times New Roman" w:hAnsi="Times New Roman"/>
          <w:noProof/>
          <w:sz w:val="28"/>
          <w:szCs w:val="28"/>
        </w:rPr>
        <w:t>„П</w:t>
      </w:r>
      <w:r w:rsidRPr="00B364A7">
        <w:rPr>
          <w:rFonts w:ascii="Times New Roman" w:hAnsi="Times New Roman"/>
          <w:noProof/>
          <w:sz w:val="28"/>
          <w:szCs w:val="28"/>
          <w:lang w:val="ru-RU"/>
        </w:rPr>
        <w:t>робация</w:t>
      </w:r>
      <w:r w:rsidRPr="00B364A7">
        <w:rPr>
          <w:rFonts w:ascii="Times New Roman" w:hAnsi="Times New Roman"/>
          <w:noProof/>
          <w:sz w:val="28"/>
          <w:szCs w:val="28"/>
        </w:rPr>
        <w:t>“</w:t>
      </w:r>
      <w:r w:rsidRPr="00B364A7">
        <w:rPr>
          <w:rFonts w:ascii="Times New Roman" w:hAnsi="Times New Roman"/>
          <w:noProof/>
          <w:sz w:val="28"/>
          <w:szCs w:val="28"/>
          <w:lang w:val="ru-RU"/>
        </w:rPr>
        <w:t xml:space="preserve"> наложени през 2021г. са били спрямо 390 лица, за 2020г. са били спрямо 327 лица, а за 2019г. това наказание е наложено спрямо 461 лица.</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При сравнение на данните за отчетния период на 2021г. броят на получените за изпълнение присъди /по лица/ с наказание </w:t>
      </w:r>
      <w:r w:rsidRPr="00B364A7">
        <w:rPr>
          <w:rFonts w:ascii="Times New Roman" w:hAnsi="Times New Roman"/>
          <w:noProof/>
          <w:sz w:val="28"/>
          <w:szCs w:val="28"/>
        </w:rPr>
        <w:t>„П</w:t>
      </w:r>
      <w:r w:rsidRPr="00B364A7">
        <w:rPr>
          <w:rFonts w:ascii="Times New Roman" w:hAnsi="Times New Roman"/>
          <w:noProof/>
          <w:sz w:val="28"/>
          <w:szCs w:val="28"/>
          <w:lang w:val="ru-RU"/>
        </w:rPr>
        <w:t>робация</w:t>
      </w:r>
      <w:r w:rsidRPr="00B364A7">
        <w:rPr>
          <w:rFonts w:ascii="Times New Roman" w:hAnsi="Times New Roman"/>
          <w:noProof/>
          <w:sz w:val="28"/>
          <w:szCs w:val="28"/>
        </w:rPr>
        <w:t>“</w:t>
      </w:r>
      <w:r w:rsidRPr="00B364A7">
        <w:rPr>
          <w:rFonts w:ascii="Times New Roman" w:hAnsi="Times New Roman"/>
          <w:noProof/>
          <w:sz w:val="28"/>
          <w:szCs w:val="28"/>
          <w:lang w:val="ru-RU"/>
        </w:rPr>
        <w:t xml:space="preserve"> се е  увеличил с 63 броя /по лица/ срямо 2020г. и е намалял със 71 броя /по лица/. В проценти анализът показва спад съответно с 19,27% спрямо 2020г., а спрямо 2019г. намалениете е с 15,40%.</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Получените присъди с наказание </w:t>
      </w:r>
      <w:r w:rsidRPr="00B364A7">
        <w:rPr>
          <w:rFonts w:ascii="Times New Roman" w:hAnsi="Times New Roman"/>
          <w:noProof/>
          <w:sz w:val="28"/>
          <w:szCs w:val="28"/>
        </w:rPr>
        <w:t>„</w:t>
      </w:r>
      <w:r w:rsidRPr="00B364A7">
        <w:rPr>
          <w:rFonts w:ascii="Times New Roman" w:hAnsi="Times New Roman"/>
          <w:noProof/>
          <w:sz w:val="28"/>
          <w:szCs w:val="28"/>
          <w:lang w:val="ru-RU"/>
        </w:rPr>
        <w:t>Обществено порицание</w:t>
      </w:r>
      <w:r w:rsidRPr="00B364A7">
        <w:rPr>
          <w:rFonts w:ascii="Times New Roman" w:hAnsi="Times New Roman"/>
          <w:noProof/>
          <w:sz w:val="28"/>
          <w:szCs w:val="28"/>
        </w:rPr>
        <w:t>“ за 2021г. са били спрямо 40 лица, като за сравнение през 2020г. са били спрямо 33 лица,</w:t>
      </w:r>
      <w:r w:rsidRPr="00B364A7">
        <w:rPr>
          <w:rFonts w:ascii="Times New Roman" w:hAnsi="Times New Roman"/>
          <w:noProof/>
          <w:sz w:val="28"/>
          <w:szCs w:val="28"/>
          <w:lang w:val="ru-RU"/>
        </w:rPr>
        <w:t xml:space="preserve"> а за 2019г. са били спрямо 51 лица.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Тук данните показват увеличение през 2021г. със 7 броя  броя спрямо 2020г., а  спрямо 2019г. намалението е с 10 броя на наложени наказания </w:t>
      </w:r>
      <w:r w:rsidRPr="00B364A7">
        <w:rPr>
          <w:rFonts w:ascii="Times New Roman" w:hAnsi="Times New Roman"/>
          <w:noProof/>
          <w:sz w:val="28"/>
          <w:szCs w:val="28"/>
        </w:rPr>
        <w:t>„Общестнево порицание“, или с 21</w:t>
      </w:r>
      <w:r w:rsidRPr="00B364A7">
        <w:rPr>
          <w:rFonts w:ascii="Times New Roman" w:hAnsi="Times New Roman"/>
          <w:noProof/>
          <w:sz w:val="28"/>
          <w:szCs w:val="28"/>
          <w:lang w:val="ru-RU"/>
        </w:rPr>
        <w:t>,21%, а спрямо 2020г. а спрямо 2019г. спада е с 21,57%.</w:t>
      </w:r>
    </w:p>
    <w:p w:rsidR="00DD1D27" w:rsidRPr="00691111" w:rsidRDefault="00DD1D27" w:rsidP="004D24A1">
      <w:pPr>
        <w:spacing w:after="0"/>
        <w:ind w:firstLine="708"/>
        <w:jc w:val="both"/>
        <w:rPr>
          <w:rFonts w:ascii="Times New Roman" w:hAnsi="Times New Roman"/>
          <w:noProof/>
          <w:color w:val="000000"/>
          <w:sz w:val="28"/>
          <w:szCs w:val="28"/>
          <w:lang w:val="ru-RU"/>
        </w:rPr>
      </w:pPr>
    </w:p>
    <w:p w:rsidR="00DD1D27" w:rsidRPr="00691111" w:rsidRDefault="003515B0" w:rsidP="004D24A1">
      <w:pPr>
        <w:spacing w:after="0"/>
        <w:jc w:val="both"/>
        <w:rPr>
          <w:rFonts w:ascii="Times New Roman" w:hAnsi="Times New Roman"/>
          <w:bCs/>
          <w:noProof/>
          <w:color w:val="000000"/>
          <w:sz w:val="18"/>
          <w:szCs w:val="18"/>
        </w:rPr>
      </w:pPr>
      <w:r w:rsidRPr="004B20C5">
        <w:rPr>
          <w:rFonts w:ascii="Times New Roman" w:hAnsi="Times New Roman"/>
          <w:noProof/>
          <w:sz w:val="28"/>
          <w:szCs w:val="28"/>
          <w:lang w:eastAsia="bg-BG"/>
        </w:rPr>
        <w:lastRenderedPageBreak/>
        <w:drawing>
          <wp:inline distT="0" distB="0" distL="0" distR="0" wp14:anchorId="13E759C7" wp14:editId="1FB30433">
            <wp:extent cx="5716988" cy="2393315"/>
            <wp:effectExtent l="0" t="0" r="17145" b="6985"/>
            <wp:docPr id="25" name="Обект 25" descr="Title: Фигура 1. Състояние на получените присъди за периода 2015г.-2017г."/>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D1D27" w:rsidRPr="00EA468D">
        <w:rPr>
          <w:rFonts w:ascii="Times New Roman" w:hAnsi="Times New Roman"/>
          <w:b/>
          <w:bCs/>
          <w:sz w:val="18"/>
          <w:szCs w:val="18"/>
        </w:rPr>
        <w:t xml:space="preserve">                          </w:t>
      </w:r>
      <w:r w:rsidR="00DD1D27" w:rsidRPr="00A90893">
        <w:rPr>
          <w:rFonts w:ascii="Times New Roman" w:hAnsi="Times New Roman"/>
          <w:b/>
          <w:bCs/>
          <w:color w:val="00B050"/>
          <w:sz w:val="18"/>
          <w:szCs w:val="18"/>
        </w:rPr>
        <w:t xml:space="preserve"> </w:t>
      </w:r>
      <w:r w:rsidR="00DD1D27" w:rsidRPr="00691111">
        <w:rPr>
          <w:rFonts w:ascii="Times New Roman" w:hAnsi="Times New Roman"/>
          <w:bCs/>
          <w:color w:val="000000"/>
          <w:sz w:val="18"/>
          <w:szCs w:val="18"/>
        </w:rPr>
        <w:t xml:space="preserve">Фиг. </w:t>
      </w:r>
      <w:r w:rsidR="00DD1D27" w:rsidRPr="00691111">
        <w:rPr>
          <w:rFonts w:ascii="Times New Roman" w:hAnsi="Times New Roman"/>
          <w:bCs/>
          <w:color w:val="000000"/>
          <w:sz w:val="18"/>
          <w:szCs w:val="18"/>
        </w:rPr>
        <w:fldChar w:fldCharType="begin"/>
      </w:r>
      <w:r w:rsidR="00DD1D27" w:rsidRPr="00691111">
        <w:rPr>
          <w:rFonts w:ascii="Times New Roman" w:hAnsi="Times New Roman"/>
          <w:bCs/>
          <w:color w:val="000000"/>
          <w:sz w:val="18"/>
          <w:szCs w:val="18"/>
        </w:rPr>
        <w:instrText xml:space="preserve"> SEQ фигура \* ARABIC </w:instrText>
      </w:r>
      <w:r w:rsidR="00DD1D27" w:rsidRPr="00691111">
        <w:rPr>
          <w:rFonts w:ascii="Times New Roman" w:hAnsi="Times New Roman"/>
          <w:bCs/>
          <w:color w:val="000000"/>
          <w:sz w:val="18"/>
          <w:szCs w:val="18"/>
        </w:rPr>
        <w:fldChar w:fldCharType="separate"/>
      </w:r>
      <w:r w:rsidR="00A46D50">
        <w:rPr>
          <w:rFonts w:ascii="Times New Roman" w:hAnsi="Times New Roman"/>
          <w:bCs/>
          <w:noProof/>
          <w:color w:val="000000"/>
          <w:sz w:val="18"/>
          <w:szCs w:val="18"/>
        </w:rPr>
        <w:t>1</w:t>
      </w:r>
      <w:r w:rsidR="00DD1D27" w:rsidRPr="00691111">
        <w:rPr>
          <w:rFonts w:ascii="Times New Roman" w:hAnsi="Times New Roman"/>
          <w:bCs/>
          <w:noProof/>
          <w:color w:val="000000"/>
          <w:sz w:val="18"/>
          <w:szCs w:val="18"/>
        </w:rPr>
        <w:fldChar w:fldCharType="end"/>
      </w:r>
      <w:r w:rsidR="00DD1D27" w:rsidRPr="00691111">
        <w:rPr>
          <w:rFonts w:ascii="Times New Roman" w:hAnsi="Times New Roman"/>
          <w:bCs/>
          <w:color w:val="000000"/>
          <w:sz w:val="18"/>
          <w:szCs w:val="18"/>
        </w:rPr>
        <w:t xml:space="preserve">. </w:t>
      </w:r>
      <w:r w:rsidR="00DD1D27" w:rsidRPr="00691111">
        <w:rPr>
          <w:rFonts w:ascii="Times New Roman" w:hAnsi="Times New Roman"/>
          <w:bCs/>
          <w:noProof/>
          <w:color w:val="000000"/>
          <w:sz w:val="18"/>
          <w:szCs w:val="18"/>
        </w:rPr>
        <w:t>Състояние на получените присъди за периода 20</w:t>
      </w:r>
      <w:r w:rsidR="00DD1D27">
        <w:rPr>
          <w:rFonts w:ascii="Times New Roman" w:hAnsi="Times New Roman"/>
          <w:bCs/>
          <w:noProof/>
          <w:color w:val="000000"/>
          <w:sz w:val="18"/>
          <w:szCs w:val="18"/>
        </w:rPr>
        <w:t>19</w:t>
      </w:r>
      <w:r w:rsidR="00DD1D27" w:rsidRPr="00691111">
        <w:rPr>
          <w:rFonts w:ascii="Times New Roman" w:hAnsi="Times New Roman"/>
          <w:bCs/>
          <w:noProof/>
          <w:color w:val="000000"/>
          <w:sz w:val="18"/>
          <w:szCs w:val="18"/>
        </w:rPr>
        <w:t>г.-20</w:t>
      </w:r>
      <w:r w:rsidR="00DD1D27">
        <w:rPr>
          <w:rFonts w:ascii="Times New Roman" w:hAnsi="Times New Roman"/>
          <w:bCs/>
          <w:noProof/>
          <w:color w:val="000000"/>
          <w:sz w:val="18"/>
          <w:szCs w:val="18"/>
        </w:rPr>
        <w:t>21</w:t>
      </w:r>
      <w:r w:rsidR="00DD1D27" w:rsidRPr="00691111">
        <w:rPr>
          <w:rFonts w:ascii="Times New Roman" w:hAnsi="Times New Roman"/>
          <w:bCs/>
          <w:noProof/>
          <w:color w:val="000000"/>
          <w:sz w:val="18"/>
          <w:szCs w:val="18"/>
        </w:rPr>
        <w:t>г.</w:t>
      </w:r>
    </w:p>
    <w:p w:rsidR="00DD1D27" w:rsidRDefault="00DD1D27" w:rsidP="004D24A1">
      <w:pPr>
        <w:spacing w:after="0"/>
        <w:jc w:val="both"/>
        <w:rPr>
          <w:rFonts w:ascii="Times New Roman" w:hAnsi="Times New Roman"/>
          <w:b/>
          <w:bCs/>
          <w:noProof/>
          <w:sz w:val="18"/>
          <w:szCs w:val="18"/>
        </w:rPr>
      </w:pPr>
    </w:p>
    <w:p w:rsidR="00DD1D27" w:rsidRDefault="00DD1D27" w:rsidP="004D24A1">
      <w:pPr>
        <w:spacing w:after="0"/>
        <w:jc w:val="both"/>
        <w:rPr>
          <w:rFonts w:ascii="Times New Roman" w:hAnsi="Times New Roman"/>
          <w:b/>
          <w:bCs/>
          <w:noProof/>
          <w:sz w:val="18"/>
          <w:szCs w:val="18"/>
        </w:rPr>
      </w:pPr>
    </w:p>
    <w:tbl>
      <w:tblPr>
        <w:tblW w:w="8234"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3"/>
        <w:gridCol w:w="1817"/>
        <w:gridCol w:w="1817"/>
        <w:gridCol w:w="1817"/>
      </w:tblGrid>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Получени за изпълнение присъди</w:t>
            </w:r>
          </w:p>
        </w:tc>
        <w:tc>
          <w:tcPr>
            <w:tcW w:w="1817"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2021             СГП и СРП</w:t>
            </w:r>
          </w:p>
        </w:tc>
        <w:tc>
          <w:tcPr>
            <w:tcW w:w="1817"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2020             СГП и СРП</w:t>
            </w:r>
          </w:p>
        </w:tc>
        <w:tc>
          <w:tcPr>
            <w:tcW w:w="1817"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2019             СГП и СРП</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ОБЩО</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1791</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1554</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2102</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Доживотен затвор</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Лишаване от свобода</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1092</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998</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1306</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Лишаване от право</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589</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438</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635</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Пробация</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390</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327</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461</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 порицание</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40</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33</w:t>
            </w:r>
          </w:p>
        </w:tc>
        <w:tc>
          <w:tcPr>
            <w:tcW w:w="1817"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51</w:t>
            </w:r>
          </w:p>
        </w:tc>
      </w:tr>
    </w:tbl>
    <w:p w:rsidR="00DD1D27" w:rsidRPr="00B364A7" w:rsidRDefault="00DD1D27" w:rsidP="004D24A1">
      <w:pPr>
        <w:spacing w:after="0"/>
        <w:jc w:val="both"/>
        <w:rPr>
          <w:rFonts w:ascii="Times New Roman" w:hAnsi="Times New Roman"/>
          <w:b/>
          <w:noProof/>
          <w:sz w:val="20"/>
          <w:szCs w:val="20"/>
          <w:lang w:val="ru-RU"/>
        </w:rPr>
      </w:pPr>
      <w:r w:rsidRPr="00B364A7">
        <w:rPr>
          <w:rFonts w:ascii="Times New Roman" w:eastAsia="Times New Roman" w:hAnsi="Times New Roman"/>
          <w:b/>
          <w:sz w:val="20"/>
          <w:szCs w:val="20"/>
          <w:lang w:eastAsia="bg-BG"/>
        </w:rPr>
        <w:t xml:space="preserve">                       Табл.1   </w:t>
      </w:r>
      <w:r w:rsidRPr="00B364A7">
        <w:rPr>
          <w:rFonts w:ascii="Times New Roman" w:hAnsi="Times New Roman"/>
          <w:b/>
          <w:noProof/>
          <w:sz w:val="20"/>
          <w:szCs w:val="20"/>
          <w:lang w:val="ru-RU"/>
        </w:rPr>
        <w:t xml:space="preserve">Разбивка на данните за получените за изпълнение присъди /по лица/ </w:t>
      </w:r>
    </w:p>
    <w:p w:rsidR="00DD1D27" w:rsidRPr="00B364A7" w:rsidRDefault="00DD1D27" w:rsidP="004D24A1">
      <w:pPr>
        <w:spacing w:after="0"/>
        <w:jc w:val="both"/>
        <w:rPr>
          <w:rFonts w:ascii="Times New Roman" w:hAnsi="Times New Roman"/>
          <w:b/>
          <w:noProof/>
          <w:sz w:val="20"/>
          <w:szCs w:val="20"/>
          <w:lang w:val="ru-RU"/>
        </w:rPr>
      </w:pPr>
      <w:r w:rsidRPr="00B364A7">
        <w:rPr>
          <w:rFonts w:ascii="Times New Roman" w:hAnsi="Times New Roman"/>
          <w:b/>
          <w:noProof/>
          <w:sz w:val="20"/>
          <w:szCs w:val="20"/>
          <w:lang w:val="ru-RU"/>
        </w:rPr>
        <w:t xml:space="preserve">                                      в периода 2019г.-2021г.</w:t>
      </w:r>
    </w:p>
    <w:p w:rsidR="00DD1D27" w:rsidRPr="00B364A7" w:rsidRDefault="00DD1D27" w:rsidP="004D24A1">
      <w:pPr>
        <w:spacing w:after="0"/>
        <w:jc w:val="both"/>
        <w:rPr>
          <w:rFonts w:ascii="Times New Roman" w:eastAsia="Times New Roman" w:hAnsi="Times New Roman"/>
          <w:b/>
          <w:sz w:val="28"/>
          <w:szCs w:val="28"/>
          <w:lang w:val="en-US" w:eastAsia="bg-BG"/>
        </w:rPr>
      </w:pP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eastAsia="Times New Roman" w:hAnsi="Times New Roman"/>
          <w:sz w:val="28"/>
          <w:szCs w:val="28"/>
          <w:lang w:eastAsia="bg-BG"/>
        </w:rPr>
        <w:tab/>
        <w:t xml:space="preserve">Видно от общо получените данни за СРП и СГП в сравнителния период на 2019г. - 2021г., се наблюдава леко увеличаване в стойността на общия брой получени наказания по лица за 2021г. спрямо 2020г. с 237 броя, и леко намаляване на стойностите спрямо 2019г. с 311 броя /по лица/.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В таблиците по-долу са дадени получените присъди и споразумения за изпълнение /по лица/ за анализираните години, съответно за СГП и СРП, както следва:</w:t>
      </w:r>
    </w:p>
    <w:tbl>
      <w:tblPr>
        <w:tblW w:w="90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3"/>
        <w:gridCol w:w="2093"/>
        <w:gridCol w:w="2093"/>
        <w:gridCol w:w="2093"/>
      </w:tblGrid>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Получени за изпълнение присъди</w:t>
            </w:r>
          </w:p>
        </w:tc>
        <w:tc>
          <w:tcPr>
            <w:tcW w:w="2093"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2021г.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w:t>
            </w:r>
          </w:p>
        </w:tc>
        <w:tc>
          <w:tcPr>
            <w:tcW w:w="2093"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2020г.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w:t>
            </w:r>
          </w:p>
        </w:tc>
        <w:tc>
          <w:tcPr>
            <w:tcW w:w="2093"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2019г.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ОБЩО</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260</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229</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265</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Доживотен затвор</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Лишаване от свобода</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197</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184</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221</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Лишаване от право</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29</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27</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26</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Пробация</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34</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19</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16</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 порицание</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5</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w:t>
            </w:r>
          </w:p>
        </w:tc>
      </w:tr>
    </w:tbl>
    <w:p w:rsidR="00DD1D27" w:rsidRPr="00B364A7" w:rsidRDefault="00DD1D27" w:rsidP="004D24A1">
      <w:pPr>
        <w:spacing w:after="0"/>
        <w:jc w:val="both"/>
        <w:rPr>
          <w:rFonts w:ascii="Times New Roman" w:eastAsia="Times New Roman" w:hAnsi="Times New Roman"/>
          <w:sz w:val="20"/>
          <w:szCs w:val="20"/>
          <w:lang w:eastAsia="bg-BG"/>
        </w:rPr>
      </w:pPr>
      <w:r w:rsidRPr="00B364A7">
        <w:rPr>
          <w:rFonts w:ascii="Times New Roman" w:eastAsia="Times New Roman" w:hAnsi="Times New Roman"/>
          <w:sz w:val="20"/>
          <w:szCs w:val="20"/>
          <w:lang w:eastAsia="bg-BG"/>
        </w:rPr>
        <w:t xml:space="preserve">               Табл.2 Получени присъди в СГП </w:t>
      </w:r>
    </w:p>
    <w:p w:rsidR="00DD1D27" w:rsidRPr="00B364A7" w:rsidRDefault="00DD1D27" w:rsidP="004D24A1">
      <w:pPr>
        <w:spacing w:after="0"/>
        <w:jc w:val="both"/>
        <w:rPr>
          <w:rFonts w:ascii="Times New Roman" w:eastAsia="Times New Roman" w:hAnsi="Times New Roman"/>
          <w:b/>
          <w:sz w:val="20"/>
          <w:szCs w:val="20"/>
          <w:lang w:eastAsia="bg-BG"/>
        </w:rPr>
      </w:pPr>
    </w:p>
    <w:p w:rsidR="00DD1D27" w:rsidRPr="00B364A7" w:rsidRDefault="00DD1D27" w:rsidP="004D24A1">
      <w:pPr>
        <w:spacing w:after="0"/>
        <w:jc w:val="both"/>
        <w:rPr>
          <w:rFonts w:ascii="Times New Roman" w:eastAsia="Times New Roman" w:hAnsi="Times New Roman"/>
          <w:b/>
          <w:sz w:val="20"/>
          <w:szCs w:val="20"/>
          <w:lang w:eastAsia="bg-BG"/>
        </w:rPr>
      </w:pPr>
    </w:p>
    <w:tbl>
      <w:tblPr>
        <w:tblW w:w="90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3"/>
        <w:gridCol w:w="2093"/>
        <w:gridCol w:w="2093"/>
        <w:gridCol w:w="2093"/>
      </w:tblGrid>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Получени за изпълнение присъди</w:t>
            </w:r>
          </w:p>
        </w:tc>
        <w:tc>
          <w:tcPr>
            <w:tcW w:w="20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2021г.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СРП</w:t>
            </w:r>
          </w:p>
        </w:tc>
        <w:tc>
          <w:tcPr>
            <w:tcW w:w="2093"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2020г.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СРП</w:t>
            </w:r>
          </w:p>
        </w:tc>
        <w:tc>
          <w:tcPr>
            <w:tcW w:w="2093"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2019г.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СРП</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ОБЩО</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1531</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1325</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1837</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Доживотен затвор</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Лишаване от свобода</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895</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814</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1085</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Лишаване от право</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560</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411</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609</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Пробация</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356</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308</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445</w:t>
            </w:r>
          </w:p>
        </w:tc>
      </w:tr>
      <w:tr w:rsidR="00DD1D27" w:rsidRPr="00B364A7" w:rsidTr="00DD1D27">
        <w:trPr>
          <w:trHeight w:val="360"/>
        </w:trPr>
        <w:tc>
          <w:tcPr>
            <w:tcW w:w="2783"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 порицание</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35</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30</w:t>
            </w:r>
          </w:p>
        </w:tc>
        <w:tc>
          <w:tcPr>
            <w:tcW w:w="2093"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48</w:t>
            </w:r>
          </w:p>
        </w:tc>
      </w:tr>
    </w:tbl>
    <w:p w:rsidR="00DD1D27" w:rsidRPr="00B364A7" w:rsidRDefault="00DD1D27" w:rsidP="004D24A1">
      <w:pPr>
        <w:spacing w:after="0"/>
        <w:jc w:val="both"/>
        <w:rPr>
          <w:rFonts w:ascii="Times New Roman" w:eastAsia="Times New Roman" w:hAnsi="Times New Roman"/>
          <w:sz w:val="20"/>
          <w:szCs w:val="20"/>
          <w:lang w:eastAsia="bg-BG"/>
        </w:rPr>
      </w:pPr>
      <w:r w:rsidRPr="00B364A7">
        <w:rPr>
          <w:rFonts w:ascii="Times New Roman" w:eastAsia="Times New Roman" w:hAnsi="Times New Roman"/>
          <w:sz w:val="20"/>
          <w:szCs w:val="20"/>
          <w:lang w:eastAsia="bg-BG"/>
        </w:rPr>
        <w:t xml:space="preserve">               Табл.3 Получени присъди в СРП </w:t>
      </w:r>
    </w:p>
    <w:p w:rsidR="00DD1D27" w:rsidRPr="00B364A7" w:rsidRDefault="00DD1D27" w:rsidP="004D24A1">
      <w:pPr>
        <w:spacing w:after="0"/>
        <w:jc w:val="both"/>
        <w:rPr>
          <w:rFonts w:ascii="Times New Roman" w:eastAsia="Times New Roman" w:hAnsi="Times New Roman"/>
          <w:sz w:val="28"/>
          <w:szCs w:val="28"/>
          <w:u w:val="single"/>
          <w:lang w:eastAsia="bg-BG"/>
        </w:rPr>
      </w:pP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Основен показател за дейността на отделите по изпълнение на наказанията е стойността на приведени присъди в изпълнение по лица /изпратени до органите по изпълнението/ общо за СГП и СРП през 2021г. са били 1846 броя, като за сравнение през 2020г. са били 1552 броя по лица, а за 2019г. са били 1779 броя по лица.</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 </w:t>
      </w:r>
      <w:r w:rsidRPr="00B364A7">
        <w:rPr>
          <w:rFonts w:ascii="Times New Roman" w:eastAsia="Times New Roman" w:hAnsi="Times New Roman"/>
          <w:sz w:val="28"/>
          <w:szCs w:val="28"/>
          <w:lang w:eastAsia="bg-BG"/>
        </w:rPr>
        <w:tab/>
        <w:t>Наблюдава се обща тенденцията на увеличение, която макар и с малки стойности има траен характер, виден при анализа на данните от преходните години по отношение на приведените присъди в изпълнение /по лица/, през за 2021г. са били приведени с 294 броя присъди повече в сравнение с 2020г. или 18,94% повече, а в сравнение с 2019г. увеличението е с 67 броя или 3,77% повече.</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Според този показател, в двете прокуратури се наблюдава обща тенденция към увеличение на броя приведените в изпълнение присъди/по лица/ спрямо предходните две години.</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За Софийска градска прокуратура са били приведени през 2021г. 260 броя присъди по лица, за 2020г. броя на приведените присъди по лица е 228 броя, а за 2019г. са били приведени 261 броя присъди по лица. Сравнението показва, че за 2021г. са приведени повече присъди спрямо 2020г. с 14,04%, а в сравнение с 2019г. - 0,38% повичи.</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Софийска районна прокуратура за 2021г. са приведени 1586 броя присъди по лица, за сравнение през 2020г. броят на приведените по лица присъди е 1324 броя, а за 2019г. са били 1518 броя присъди по лица. Приведените вот СРП присъди през 2021г. са с 262 броя повече или с 19,79%, а в сравнение с 2019г. с 68 повече или с 4,48% повече. </w:t>
      </w:r>
    </w:p>
    <w:p w:rsidR="00DD1D27" w:rsidRPr="00B364A7" w:rsidRDefault="00DD1D27" w:rsidP="004D24A1">
      <w:pPr>
        <w:spacing w:after="0"/>
        <w:ind w:firstLine="708"/>
        <w:jc w:val="both"/>
        <w:rPr>
          <w:rFonts w:ascii="Times New Roman" w:eastAsia="Times New Roman" w:hAnsi="Times New Roman"/>
          <w:sz w:val="28"/>
          <w:szCs w:val="28"/>
          <w:lang w:eastAsia="bg-BG"/>
        </w:rPr>
      </w:pP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В периода, който се анализира в настоящия доклад 01.01.2021г. – 31.12.2021г., общо за СГП и СРП по реда на чл.415 НПК е отложено изпълнението на наложени наказания спрямо 4 лица от страна на </w:t>
      </w:r>
      <w:r w:rsidRPr="00B364A7">
        <w:rPr>
          <w:rFonts w:ascii="Times New Roman" w:eastAsia="Times New Roman" w:hAnsi="Times New Roman"/>
          <w:sz w:val="28"/>
          <w:szCs w:val="28"/>
          <w:lang w:eastAsia="bg-BG"/>
        </w:rPr>
        <w:lastRenderedPageBreak/>
        <w:t xml:space="preserve">прокурорите от СРП. За същият период на 2020г. е отложено наказанието на 2 лица, по 1 брой от СРП и 1 брой от страна на СГП, за същия период на 2019г. общо за СГП и СРП по реда на чл.415 НПК е отложено изпълнението на наложени наказания спрямо 4 лица, в това число 1 отложено наказание от страна на СГП и 3 от страна на СРП.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Цифрите от годишните данни показват, че броят на отложените наказания остава изключително нисък на все по-вазишаващото се количество на получени и приведени съдебни актове. Отложените наказания за 2021г. са с 100% повече в сравнение с предходния период на 2020г. но по количество са равни на броя от 2019г.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В отчетния период на 2021г. общо за СГП и СРП са останали неприведени в изпълнение 80 броя присъди /по лица/, през 2020г. броят е бил 91 броя присъди /по лица/, а за сравнение през 2019г. неприведените присъди са били 111 броя /по лица/. </w:t>
      </w:r>
    </w:p>
    <w:p w:rsidR="00DD1D27" w:rsidRDefault="00DD1D27" w:rsidP="004D24A1">
      <w:pPr>
        <w:spacing w:after="0"/>
        <w:jc w:val="both"/>
        <w:rPr>
          <w:rFonts w:ascii="Times New Roman" w:eastAsia="Times New Roman" w:hAnsi="Times New Roman"/>
          <w:color w:val="00B050"/>
          <w:sz w:val="28"/>
          <w:szCs w:val="28"/>
          <w:lang w:eastAsia="bg-BG"/>
        </w:rPr>
      </w:pPr>
    </w:p>
    <w:p w:rsidR="00DD1D27" w:rsidRDefault="003515B0" w:rsidP="004D24A1">
      <w:pPr>
        <w:spacing w:after="0"/>
        <w:ind w:firstLine="1134"/>
        <w:jc w:val="both"/>
        <w:rPr>
          <w:rFonts w:ascii="Times New Roman" w:eastAsia="Times New Roman" w:hAnsi="Times New Roman"/>
          <w:color w:val="00B050"/>
          <w:sz w:val="28"/>
          <w:szCs w:val="28"/>
          <w:lang w:eastAsia="bg-BG"/>
        </w:rPr>
      </w:pPr>
      <w:r w:rsidRPr="004B20C5">
        <w:rPr>
          <w:rFonts w:ascii="Times New Roman" w:hAnsi="Times New Roman"/>
          <w:b/>
          <w:noProof/>
          <w:sz w:val="18"/>
          <w:szCs w:val="18"/>
          <w:lang w:eastAsia="bg-BG"/>
        </w:rPr>
        <w:drawing>
          <wp:inline distT="0" distB="0" distL="0" distR="0" wp14:anchorId="2D6BD9A5" wp14:editId="0793C220">
            <wp:extent cx="4063365" cy="2409190"/>
            <wp:effectExtent l="0" t="0" r="0" b="0"/>
            <wp:docPr id="26" name="Об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D1D27" w:rsidRPr="00B364A7" w:rsidRDefault="00DD1D27" w:rsidP="004D24A1">
      <w:pPr>
        <w:spacing w:after="0"/>
        <w:jc w:val="both"/>
        <w:rPr>
          <w:rFonts w:ascii="Times New Roman" w:eastAsia="Times New Roman" w:hAnsi="Times New Roman"/>
          <w:sz w:val="20"/>
          <w:szCs w:val="20"/>
          <w:lang w:eastAsia="bg-BG"/>
        </w:rPr>
      </w:pPr>
      <w:r w:rsidRPr="00B364A7">
        <w:rPr>
          <w:rFonts w:ascii="Times New Roman" w:eastAsia="Times New Roman" w:hAnsi="Times New Roman"/>
          <w:sz w:val="20"/>
          <w:szCs w:val="20"/>
          <w:lang w:eastAsia="bg-BG"/>
        </w:rPr>
        <w:t xml:space="preserve">                       Фиг. 2 Неприведени присъди в сръвнителния период 2019г. – 2021г.</w:t>
      </w:r>
    </w:p>
    <w:p w:rsidR="00DD1D27" w:rsidRPr="00B364A7" w:rsidRDefault="00DD1D27" w:rsidP="004D24A1">
      <w:pPr>
        <w:spacing w:after="0"/>
        <w:jc w:val="both"/>
        <w:rPr>
          <w:rFonts w:ascii="Times New Roman" w:eastAsia="Times New Roman" w:hAnsi="Times New Roman"/>
          <w:sz w:val="28"/>
          <w:szCs w:val="28"/>
          <w:lang w:eastAsia="bg-BG"/>
        </w:rPr>
      </w:pP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При сравнение на данните за 2021г. спрямо 2020г. неприведените наказания са намалел и с 11 броя, а спрямо 2019г. са намалели с 31 броя. Цифрите показват, че при неприведените в изпълнение присъди е налице тенденция към намаляване на броя на неприведените присъди съответно с 12,09% спрямо данните на 2020г. и с 27,93% спрямо 2019г.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Статистическите данни за 2021г. за двете прокуратури СГП и СРП показват по видове неприведените присъди за отчетния период, както следва:</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наложените наказания „Доживотен затвор“ няма неприведени присъди през целия сравнителен тригодишен период.</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неприведени присъди с наказание „Лишаване от свобода“ – 2021г. са били 47 броя, за 2020г. са били 55 броя, а за 2019г. са били 72 броя.</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lastRenderedPageBreak/>
        <w:tab/>
        <w:t>- неприведените присъди с наказание „Лишаване от права по чл.37, ал.1, т.6-10 НК” за 2021г. са били 14 броя, за 2020г. са били 11 броя, за 2019г. са били 15 броя.</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неприведените присъди с наказание „Пробация” за 2021г. са били 17 броя, за 2020г. са били 22 броя, за 2019г. са били 23 броя.</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неприведени присъди с наказание „Обществено порицание“ за 2021г са били 2 броя, за 2020г. са били 3 броя, за 2019г. е имало 1 брой.</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eastAsia="Times New Roman" w:hAnsi="Times New Roman"/>
          <w:sz w:val="28"/>
          <w:szCs w:val="28"/>
          <w:lang w:eastAsia="bg-BG"/>
        </w:rPr>
        <w:tab/>
        <w:t>Основната п</w:t>
      </w:r>
      <w:r w:rsidRPr="00B364A7">
        <w:rPr>
          <w:rFonts w:ascii="Times New Roman" w:hAnsi="Times New Roman"/>
          <w:noProof/>
          <w:sz w:val="28"/>
          <w:szCs w:val="28"/>
          <w:lang w:val="ru-RU"/>
        </w:rPr>
        <w:t xml:space="preserve">ричина, водеща до този брой неприведени присъди е обстоятелството, че не винаги предприетите от органите по издирването мероприятия дават необходимия резултат. Осъдените полагат значителни усилия за своето отклоняване от изтърпяване на наложеното им наказание, в това число - сменят адресите си по местоживеене и местопребиваване без да уведомяват по надлежен ред органите на МВР, близките им не съдействат за изясняване на тяхното местонахождение. В следствие на това се предприемат процедури за обявяване за общодържавно издирване и издаване чрез ЕЗА.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hAnsi="Times New Roman"/>
          <w:noProof/>
          <w:sz w:val="28"/>
          <w:szCs w:val="28"/>
          <w:lang w:val="ru-RU"/>
        </w:rPr>
        <w:t>Прокуратурата осъществява постоянен контрол върху дейността по издирване на лицата, като се изискват регулярни справки за резултатите от оперативно – издирвателните мероприятия, което има за цел да се сведе до минимум достигане на погасяване по давност за привеждане на наложеното наказание, без същото да е било приведено в изпълнение.</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Чакащите групиране на наложените наказания присъди в СГП и СРП за периода на 2021г. са били общо 45 броя само на СРП, за сравнение за 2020г. техният брой е бил общо 22 броя само на СРП, като за 2019г. са били общо 39 броя, в това число 3 броя са СГП и 36 броя на СРП.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Анализът на цифрите показва, че броя на чакащите групиране неприведени в изпълнение присъди за 2021г. са с 23 броя по-повече в сравнение с 2020г. или 104,55%, а в сравнение с 2019г. броят е увеличен с  6 броя или с 15,38% по-повече.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поредна година се констатира, че значителна част от получените влезли в сила присъди, определения и споразумения са нуждаят от последващо групиране, което не е извършено в рамките редовното производство, което налага иницииране и насрочване на отделно производство за групиране.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За 2021г. обобщените данни за СГП и СРП за реално приведените в изпълнение присъди /по лица/, за които са получени потвърждения за начало на изпълнението по привеждане на акта са били 1541 броя, за 2020г. са били 1248 броя, а за 2019г. са били 1650 броя.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lastRenderedPageBreak/>
        <w:tab/>
        <w:t xml:space="preserve">В сравнителния тригодишен период 2019г. - 2021г. статистическите данните сочат, че реално приведените присъди и за двете прокуратури, за които има потвърждение за привеждането им през 2021г. в сравнение с 2020г. са се увеличили с 293 броя или с 23,48%, а в сравнение с 2019г. са се намалели с 109 броя, което е намаление с 6,61% по-малко.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По прокуратури статистическите данни показват следното:</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СГП реално приведените присъди, за които е получено потвърждение за 2021г. са били 276 броя, за 2020г. са били 270 броя, а за 2019г. са били 255 броя. При сравнение на данните ва СГП се наблюдава увеличение на броя на реално приведените присъди за които е получено потвърждение през 2021г. спрямо 2020г. са с 7 броя повече или 2,22%, а в сравнение с 2019г. има увеличение с 21 броя или 8,24%.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 </w:t>
      </w:r>
      <w:r w:rsidRPr="00B364A7">
        <w:rPr>
          <w:rFonts w:ascii="Times New Roman" w:eastAsia="Times New Roman" w:hAnsi="Times New Roman"/>
          <w:sz w:val="28"/>
          <w:szCs w:val="28"/>
          <w:lang w:eastAsia="bg-BG"/>
        </w:rPr>
        <w:tab/>
        <w:t>Броят на реално приведените в изпълнение присъдите, за които е получено потвърждение, в СРП за 2021г. са били 1265 броя, за 2020г. са били 978 броя, а за 2019г. са били 1395 броя. При сравнение се наблюдава увеличение на броя на реално приведените присъди за които е получено потвърждение през 2021г. спрямо 2020г. с 287 броя повече или 29,35%, а в сравнение с 2019г. е налице намаление с 130 броя, или 9,32%.</w:t>
      </w:r>
    </w:p>
    <w:p w:rsidR="00DD1D27" w:rsidRPr="00EA468D" w:rsidRDefault="00DD1D27" w:rsidP="004D24A1">
      <w:pPr>
        <w:spacing w:after="0"/>
        <w:jc w:val="both"/>
        <w:rPr>
          <w:rFonts w:ascii="Times New Roman" w:hAnsi="Times New Roman"/>
          <w:b/>
          <w:bCs/>
          <w:color w:val="00B050"/>
          <w:sz w:val="18"/>
          <w:szCs w:val="18"/>
        </w:rPr>
      </w:pPr>
      <w:r w:rsidRPr="00EA468D">
        <w:rPr>
          <w:rFonts w:ascii="Times New Roman" w:hAnsi="Times New Roman"/>
          <w:b/>
          <w:bCs/>
          <w:color w:val="00B050"/>
          <w:sz w:val="18"/>
          <w:szCs w:val="18"/>
        </w:rPr>
        <w:t xml:space="preserve">                                 </w:t>
      </w:r>
    </w:p>
    <w:p w:rsidR="00DD1D27" w:rsidRPr="00EA468D" w:rsidRDefault="00DD1D27" w:rsidP="004D24A1">
      <w:pPr>
        <w:spacing w:after="0"/>
        <w:jc w:val="both"/>
        <w:rPr>
          <w:rFonts w:ascii="Times New Roman" w:hAnsi="Times New Roman"/>
          <w:b/>
          <w:bCs/>
          <w:sz w:val="18"/>
          <w:szCs w:val="18"/>
        </w:rPr>
      </w:pPr>
    </w:p>
    <w:p w:rsidR="00DD1D27" w:rsidRDefault="003515B0" w:rsidP="004D24A1">
      <w:pPr>
        <w:spacing w:after="0"/>
        <w:jc w:val="both"/>
        <w:rPr>
          <w:rFonts w:ascii="Times New Roman" w:hAnsi="Times New Roman"/>
          <w:b/>
          <w:bCs/>
          <w:color w:val="00B050"/>
          <w:sz w:val="18"/>
          <w:szCs w:val="18"/>
        </w:rPr>
      </w:pPr>
      <w:r w:rsidRPr="004B20C5">
        <w:rPr>
          <w:rFonts w:ascii="Times New Roman" w:hAnsi="Times New Roman"/>
          <w:b/>
          <w:noProof/>
          <w:sz w:val="18"/>
          <w:szCs w:val="18"/>
          <w:lang w:eastAsia="bg-BG"/>
        </w:rPr>
        <w:drawing>
          <wp:inline distT="0" distB="0" distL="0" distR="0" wp14:anchorId="34ADCECC" wp14:editId="4AA106FD">
            <wp:extent cx="5756745" cy="3084830"/>
            <wp:effectExtent l="0" t="0" r="15875" b="1270"/>
            <wp:docPr id="59" name="Об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DD1D27" w:rsidRPr="0099325D">
        <w:rPr>
          <w:rFonts w:ascii="Times New Roman" w:hAnsi="Times New Roman"/>
          <w:b/>
          <w:bCs/>
          <w:color w:val="00B050"/>
          <w:sz w:val="18"/>
          <w:szCs w:val="18"/>
        </w:rPr>
        <w:t xml:space="preserve">                     </w:t>
      </w:r>
    </w:p>
    <w:p w:rsidR="00DD1D27" w:rsidRDefault="00DD1D27" w:rsidP="004D24A1">
      <w:pPr>
        <w:spacing w:after="0"/>
        <w:jc w:val="both"/>
        <w:rPr>
          <w:rFonts w:ascii="Times New Roman" w:hAnsi="Times New Roman"/>
          <w:b/>
          <w:bCs/>
          <w:color w:val="00B050"/>
          <w:sz w:val="18"/>
          <w:szCs w:val="18"/>
        </w:rPr>
      </w:pPr>
    </w:p>
    <w:p w:rsidR="00DD1D27" w:rsidRPr="00B364A7" w:rsidRDefault="00DD1D27" w:rsidP="004D24A1">
      <w:pPr>
        <w:spacing w:after="0"/>
        <w:jc w:val="both"/>
        <w:rPr>
          <w:rFonts w:ascii="Times New Roman" w:hAnsi="Times New Roman"/>
          <w:bCs/>
          <w:sz w:val="18"/>
          <w:szCs w:val="18"/>
        </w:rPr>
      </w:pPr>
      <w:r w:rsidRPr="00B364A7">
        <w:rPr>
          <w:rFonts w:ascii="Times New Roman" w:hAnsi="Times New Roman"/>
          <w:bCs/>
          <w:sz w:val="18"/>
          <w:szCs w:val="18"/>
        </w:rPr>
        <w:t xml:space="preserve">                         Фиг. 3 Брой на приведените присъди за които има реално получено уведомление</w:t>
      </w:r>
    </w:p>
    <w:p w:rsidR="00DD1D27" w:rsidRPr="00B364A7" w:rsidRDefault="00DD1D27" w:rsidP="004D24A1">
      <w:pPr>
        <w:spacing w:after="0"/>
        <w:jc w:val="both"/>
        <w:rPr>
          <w:rFonts w:ascii="Times New Roman" w:eastAsia="Times New Roman" w:hAnsi="Times New Roman"/>
          <w:bCs/>
          <w:sz w:val="28"/>
          <w:szCs w:val="28"/>
          <w:lang w:eastAsia="bg-BG"/>
        </w:rPr>
      </w:pPr>
      <w:r w:rsidRPr="00B364A7">
        <w:rPr>
          <w:rFonts w:ascii="Times New Roman" w:hAnsi="Times New Roman"/>
          <w:bCs/>
          <w:sz w:val="18"/>
          <w:szCs w:val="18"/>
        </w:rPr>
        <w:t xml:space="preserve">                                    за начало на изпълнението на наказанието в периода 2019г. - 2021г.</w:t>
      </w:r>
    </w:p>
    <w:p w:rsidR="00DD1D27" w:rsidRPr="00B364A7" w:rsidRDefault="00DD1D27" w:rsidP="004D24A1">
      <w:pPr>
        <w:spacing w:after="0"/>
        <w:jc w:val="both"/>
        <w:rPr>
          <w:rFonts w:ascii="Times New Roman" w:eastAsia="Times New Roman" w:hAnsi="Times New Roman"/>
          <w:sz w:val="28"/>
          <w:szCs w:val="28"/>
          <w:lang w:eastAsia="bg-BG"/>
        </w:rPr>
      </w:pP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От анализът на статистическите данни и съпоставката за периода 2019г.-2021г. е видно, че през 2021г. на фона на затруднената и силно ограничена епидемиологичната обстановка в страната в СГП и СРП, заедно са получени присъди спрямо 1791 лица, като за 1541 броя/по лица/ е </w:t>
      </w:r>
      <w:r w:rsidRPr="00B364A7">
        <w:rPr>
          <w:rFonts w:ascii="Times New Roman" w:eastAsia="Times New Roman" w:hAnsi="Times New Roman"/>
          <w:sz w:val="28"/>
          <w:szCs w:val="28"/>
          <w:lang w:eastAsia="bg-BG"/>
        </w:rPr>
        <w:lastRenderedPageBreak/>
        <w:t xml:space="preserve">получено известие за привеждането им в сила, като това показва, че 86,04% са приведени в изпълнение, за сравнение през 2020г. са получени 1554 присъди /по лица/ като известие за начало на наказанието е получено за 1248 броя, или са били приведени 80,31%. За сравнение през 2019г. общият брой  получени 2102 броя присъди, а известия за привеждането им е получено за 1650 броя или 78,50%. </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В рамките на отчетния период 01.01.2021г. – 31.12.2021г. общо за СГП и СРП задържани над срока на определеното им наказание са били общо 11 лица. За сравнение през 2020г. общо за СГП и СРП задържани над срока на определеното им наказание са били 7 лица, а за 2019г. задържани лица над срока на определеното им наказание, са били 9 лица.</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В зависимост от срока на задържане над наложеното им наказание лицата се разпределят по следния начин:</w:t>
      </w:r>
    </w:p>
    <w:p w:rsidR="00DD1D27" w:rsidRPr="00714778" w:rsidRDefault="00DD1D27" w:rsidP="004D24A1">
      <w:pPr>
        <w:tabs>
          <w:tab w:val="left" w:pos="1560"/>
        </w:tabs>
        <w:spacing w:after="0"/>
        <w:jc w:val="both"/>
        <w:rPr>
          <w:rFonts w:ascii="Times New Roman" w:hAnsi="Times New Roman"/>
          <w:noProof/>
          <w:color w:val="00B050"/>
          <w:sz w:val="28"/>
          <w:szCs w:val="28"/>
          <w:lang w:val="ru-RU"/>
        </w:rPr>
      </w:pPr>
      <w:r>
        <w:rPr>
          <w:rFonts w:ascii="Times New Roman" w:hAnsi="Times New Roman"/>
          <w:noProof/>
          <w:color w:val="00B050"/>
          <w:sz w:val="28"/>
          <w:szCs w:val="28"/>
          <w:lang w:val="ru-RU"/>
        </w:rPr>
        <w:tab/>
      </w:r>
    </w:p>
    <w:tbl>
      <w:tblPr>
        <w:tblW w:w="8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0"/>
        <w:gridCol w:w="1980"/>
        <w:gridCol w:w="1980"/>
        <w:gridCol w:w="1980"/>
      </w:tblGrid>
      <w:tr w:rsidR="00DD1D27" w:rsidRPr="00B364A7" w:rsidTr="00DD1D27">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Надлежали лица</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2021г.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СГП/СРП</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2020г.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СГП/СРП</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2019г.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СГП/СРП</w:t>
            </w:r>
          </w:p>
        </w:tc>
      </w:tr>
      <w:tr w:rsidR="00DD1D27" w:rsidRPr="00B364A7" w:rsidTr="00DD1D27">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До 10 дни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  /  2</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  /  1</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  /  1</w:t>
            </w:r>
          </w:p>
        </w:tc>
      </w:tr>
      <w:tr w:rsidR="00DD1D27" w:rsidRPr="00B364A7" w:rsidTr="00DD1D27">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До 30 дни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  /  2</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  /  0</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  /  0</w:t>
            </w:r>
          </w:p>
        </w:tc>
      </w:tr>
      <w:tr w:rsidR="00DD1D27" w:rsidRPr="00B364A7" w:rsidTr="00DD1D27">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До 3 месеца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  /  1</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  /  0</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  /  3</w:t>
            </w:r>
          </w:p>
        </w:tc>
      </w:tr>
      <w:tr w:rsidR="00DD1D27" w:rsidRPr="00B364A7" w:rsidTr="00DD1D27">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Над 3 месеца</w:t>
            </w:r>
          </w:p>
        </w:tc>
        <w:tc>
          <w:tcPr>
            <w:tcW w:w="1980" w:type="dxa"/>
            <w:tcBorders>
              <w:top w:val="single" w:sz="4" w:space="0" w:color="auto"/>
              <w:left w:val="single" w:sz="4" w:space="0" w:color="auto"/>
              <w:bottom w:val="single" w:sz="4" w:space="0" w:color="auto"/>
              <w:right w:val="single" w:sz="4" w:space="0" w:color="auto"/>
            </w:tcBorders>
            <w:vAlign w:val="center"/>
            <w:hideMark/>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  /  3</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  /  0</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0  /  3</w:t>
            </w:r>
          </w:p>
        </w:tc>
      </w:tr>
      <w:tr w:rsidR="00DD1D27" w:rsidRPr="00B364A7" w:rsidTr="00DD1D27">
        <w:trPr>
          <w:trHeight w:val="360"/>
        </w:trPr>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ОБЩО</w:t>
            </w:r>
          </w:p>
        </w:tc>
        <w:tc>
          <w:tcPr>
            <w:tcW w:w="1980" w:type="dxa"/>
            <w:tcBorders>
              <w:top w:val="single" w:sz="4" w:space="0" w:color="auto"/>
              <w:left w:val="single" w:sz="4" w:space="0" w:color="auto"/>
              <w:bottom w:val="single" w:sz="4" w:space="0" w:color="auto"/>
              <w:right w:val="single" w:sz="4" w:space="0" w:color="auto"/>
            </w:tcBorders>
            <w:vAlign w:val="center"/>
            <w:hideMark/>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  /  8</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6  /  1</w:t>
            </w:r>
          </w:p>
        </w:tc>
        <w:tc>
          <w:tcPr>
            <w:tcW w:w="1980"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  /  7</w:t>
            </w:r>
          </w:p>
        </w:tc>
      </w:tr>
    </w:tbl>
    <w:p w:rsidR="00DD1D27" w:rsidRPr="00B364A7" w:rsidRDefault="00DD1D27" w:rsidP="004D24A1">
      <w:pPr>
        <w:spacing w:after="0"/>
        <w:jc w:val="both"/>
        <w:rPr>
          <w:rFonts w:ascii="Times New Roman" w:eastAsia="Times New Roman" w:hAnsi="Times New Roman"/>
          <w:sz w:val="20"/>
          <w:szCs w:val="20"/>
          <w:lang w:eastAsia="bg-BG"/>
        </w:rPr>
      </w:pPr>
      <w:r w:rsidRPr="00B364A7">
        <w:rPr>
          <w:rFonts w:ascii="Times New Roman" w:eastAsia="Times New Roman" w:hAnsi="Times New Roman"/>
          <w:sz w:val="20"/>
          <w:szCs w:val="20"/>
          <w:lang w:eastAsia="bg-BG"/>
        </w:rPr>
        <w:t xml:space="preserve">              Табл.4 Надлежали лица по преписки на СГП и СРП в периода 01.01.2019г. - 31.12.2021г. </w:t>
      </w:r>
    </w:p>
    <w:p w:rsidR="00DD1D27" w:rsidRPr="00B364A7" w:rsidRDefault="00DD1D27" w:rsidP="004D24A1">
      <w:pPr>
        <w:spacing w:after="0"/>
        <w:jc w:val="both"/>
        <w:rPr>
          <w:rFonts w:ascii="Times New Roman" w:eastAsia="Times New Roman" w:hAnsi="Times New Roman"/>
          <w:b/>
          <w:sz w:val="20"/>
          <w:szCs w:val="20"/>
          <w:lang w:eastAsia="bg-BG"/>
        </w:rPr>
      </w:pPr>
    </w:p>
    <w:p w:rsidR="00DD1D27" w:rsidRPr="00B364A7" w:rsidRDefault="00DD1D27" w:rsidP="004D24A1">
      <w:pPr>
        <w:spacing w:after="0"/>
        <w:jc w:val="both"/>
        <w:rPr>
          <w:rFonts w:ascii="Times New Roman" w:eastAsia="Times New Roman" w:hAnsi="Times New Roman"/>
          <w:b/>
          <w:sz w:val="20"/>
          <w:szCs w:val="20"/>
          <w:lang w:eastAsia="bg-BG"/>
        </w:rPr>
      </w:pP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През 2021г. по преписки на СГП са задържани над срока на определеното им наказание са били </w:t>
      </w:r>
      <w:r w:rsidR="009D751D">
        <w:rPr>
          <w:rFonts w:ascii="Times New Roman" w:eastAsia="Times New Roman" w:hAnsi="Times New Roman"/>
          <w:sz w:val="28"/>
          <w:szCs w:val="28"/>
          <w:lang w:eastAsia="bg-BG"/>
        </w:rPr>
        <w:t>3</w:t>
      </w:r>
      <w:r w:rsidRPr="00B364A7">
        <w:rPr>
          <w:rFonts w:ascii="Times New Roman" w:eastAsia="Times New Roman" w:hAnsi="Times New Roman"/>
          <w:sz w:val="28"/>
          <w:szCs w:val="28"/>
          <w:lang w:eastAsia="bg-BG"/>
        </w:rPr>
        <w:t xml:space="preserve"> лица, за 2020г. техният брой е бил 6 лица, а за 2019г. са били 2 лица.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СРП прави впечатление, че броят на задържаните лица над срока на определеното им наказание за 2021г. са били 8 лица, за 2020г. е било 1 лице, за сравнение през 2019г. са били 7 лица.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Основна причина за допуснатите задържания на осъдени лица над срока на определеното им наказанието остават същите, отново се установява, че надлежаването се дължи главно на забавянето при провеждане и насрочване на съдебните заседания за определяне на общо наказание от страна на съда, както и забавено насрочване на заседания за разглеждане на внесените от СРП предложения по чл.306 НПК, неотчитането на срока на вече изтърпяната част от наложеното наказание при определяне на общо или конкретно наказание, както и невземане под внимание на периодите, през които лицето е било с мярка за неотклонение „задържане под стража” или „домашен арест”, при определяне на общо </w:t>
      </w:r>
      <w:r w:rsidRPr="00B364A7">
        <w:rPr>
          <w:rFonts w:ascii="Times New Roman" w:eastAsia="Times New Roman" w:hAnsi="Times New Roman"/>
          <w:sz w:val="28"/>
          <w:szCs w:val="28"/>
          <w:lang w:eastAsia="bg-BG"/>
        </w:rPr>
        <w:lastRenderedPageBreak/>
        <w:t xml:space="preserve">наказание; късното изпращане на влезлите в сила определения за  общо наказание от съда; неточните, непълни и несвоевременно получени справки за действително изтърпяно наказание от ГД „ИН” и от затворите в страната; неприлагане от решаващите съдилища на материалната разпоредба на чл.24 НК.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Основните причини за незаконосъобразното задържане на осъдените лица се дължат на пропуски в съдопроизводството, а не на укоримо поведение от страна на прокурори.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отчетния период на 2021г. броят на внесените предложения във връзка с получени влезли в сила определения или осъдителни присъди, за които са налице основанията за възобновяване на производството на основанията посочени в чл.422 от НПК, прокурорите от СГП и СРП са подали общо 12 броя предложения, през същия период на 2020г. техния брой е бил 30 броя, за сравнение през 2019г. са били внесени 41 броя сигнали/искания/ за възобновяване. Броят на изготвените и изпратени във ВКП сигнали за възобновяване на наказателни производства от СГП и СРП за 2021г. в сравнесие с 2020г. са с 18 броя по-малко или с 60%, а спрямо 2019г. са с 29 броя по-малко  или 70,73%.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През отчетния период на 2021г. от страна на прокурорите на СГП  са внесени 1 сигнал, като за същият период на 2020г. са внесени 3 броя сигнали от страна на СГП, за 2019г. са внесени 3 сигнала от страна на СГП.</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При получени влезли в сила определения или присъди, за които са налице основанията за възобновяване на производството на основанията посочени в чл.422 НПК, прокурорите от отдел ИНПЛ при СРП са подавали сигнали до ВКП за 2021г. са били 11 броя, през 2020г. – общо са били 27 броя, за 2019г. - общо 38 броя.</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По всички определения, по които има основания за протест и опасност от задържане на осъдени лица над срока на наказанието им, СРП е подавала протести срещу актове на съда. Наблюдава се доста по-голяма активност на прокурорите от отдел ИНПЛ при СРП, респ. по-качествено изпълнение на служебните им задължения.</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2021г. в СРП са постъпили 2 молби за отлагане на изпълнение на наложено наказание, за сравнение през 2020г. са били постъпили 4 броя молби за отлагане изпълнението на наказанието, а за 2019 г. те са били 16 броя.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Издадените от страна на прокурорите от СРП Европейски заповеди за арест през 2021г. са били 11 броя, за сравнение през 2020г. техния брой е бил 14 броя, а за  2019г. са били издадени 15 броя. Данните показват намаление в броя на издаденти ЕЗА от страна на СРП през 20201г. в </w:t>
      </w:r>
      <w:r w:rsidRPr="00B364A7">
        <w:rPr>
          <w:rFonts w:ascii="Times New Roman" w:eastAsia="Times New Roman" w:hAnsi="Times New Roman"/>
          <w:sz w:val="28"/>
          <w:szCs w:val="28"/>
          <w:lang w:eastAsia="bg-BG"/>
        </w:rPr>
        <w:lastRenderedPageBreak/>
        <w:t>сравнение със същия период на 2020г. с 3 броя или 21,43%, а в сравнение с данните за 2019г. броят за 2021г. на издадените ЕЗА е намалял с 4 броя или с 26,67%.</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Изготвени и внесени предложения по чл.414 НПК /за тълкуване на съдебен акт в СРС през 2021г. от страна на прокурорите на СРП са били 20 броя, през 2020г. техният броя е бил 18 броя, а за 2019г. са били издадени 34 броя. Данните показват увеличение на броя на внесените предложения по реда на чл.414 НПК за 2021г. в сравнение със същия период на 2020г. с 2 броя или 11,11% повече, а в сравнение с 2019г. броят на предложенията е намалял с 14 броя или с 41,18%.</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През 2021г. прокурорите от отдел ИНПЛ при СРП са участвали общо в </w:t>
      </w:r>
      <w:r w:rsidRPr="00B364A7">
        <w:rPr>
          <w:rFonts w:ascii="Times New Roman" w:eastAsia="Times New Roman" w:hAnsi="Times New Roman"/>
          <w:sz w:val="28"/>
          <w:szCs w:val="28"/>
        </w:rPr>
        <w:t xml:space="preserve">682 броя заседания по 405 броя производства, а през 2020г. са участвали в </w:t>
      </w:r>
      <w:r w:rsidRPr="00B364A7">
        <w:rPr>
          <w:rFonts w:ascii="Times New Roman" w:eastAsia="Times New Roman" w:hAnsi="Times New Roman"/>
          <w:sz w:val="28"/>
          <w:szCs w:val="28"/>
          <w:lang w:eastAsia="bg-BG"/>
        </w:rPr>
        <w:t>534 броя съдебни заседания по 329 броя производства във връзка с изпълнение на наказанията.</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Прокурорите от отдел ИНПЛ при СРП през 2021г. са се произнесли с </w:t>
      </w:r>
      <w:r w:rsidRPr="00B364A7">
        <w:rPr>
          <w:rFonts w:ascii="Times New Roman" w:eastAsia="Times New Roman" w:hAnsi="Times New Roman"/>
          <w:sz w:val="28"/>
          <w:szCs w:val="28"/>
        </w:rPr>
        <w:t>177 броя постановления по реда на чл.417 НПК, за сравнение през 202</w:t>
      </w:r>
      <w:r w:rsidRPr="00B364A7">
        <w:rPr>
          <w:rFonts w:ascii="Times New Roman" w:eastAsia="Times New Roman" w:hAnsi="Times New Roman"/>
          <w:sz w:val="28"/>
          <w:szCs w:val="28"/>
          <w:lang w:eastAsia="bg-BG"/>
        </w:rPr>
        <w:t>0 г. броят на произнасянията е бил 146 броя, а за 2019 г. техният брой е 194 броя. Данните сочат, че през 2021г. произнасянията по реда на чл.417 НПК е с 31 броя в сравнение със същия период на 2020г., или 21,24%, а в сравнение с 2019г. броят е намалял със 17 броя или с 8,76%.</w:t>
      </w:r>
    </w:p>
    <w:p w:rsidR="00DD1D27" w:rsidRPr="00B364A7" w:rsidRDefault="00DD1D27" w:rsidP="004D24A1">
      <w:pPr>
        <w:spacing w:after="0"/>
        <w:jc w:val="both"/>
        <w:rPr>
          <w:rFonts w:ascii="Times New Roman" w:eastAsia="Times New Roman" w:hAnsi="Times New Roman"/>
          <w:b/>
          <w:sz w:val="28"/>
          <w:szCs w:val="28"/>
          <w:lang w:eastAsia="bg-BG"/>
        </w:rPr>
      </w:pPr>
    </w:p>
    <w:p w:rsidR="00DD1D27" w:rsidRPr="00B364A7" w:rsidRDefault="00DD1D27" w:rsidP="004D24A1">
      <w:pPr>
        <w:spacing w:after="0"/>
        <w:jc w:val="both"/>
        <w:rPr>
          <w:rFonts w:ascii="Times New Roman" w:eastAsia="Times New Roman" w:hAnsi="Times New Roman"/>
          <w:b/>
          <w:sz w:val="28"/>
          <w:szCs w:val="28"/>
          <w:lang w:eastAsia="bg-BG"/>
        </w:rPr>
      </w:pPr>
      <w:r w:rsidRPr="00B364A7">
        <w:rPr>
          <w:rFonts w:ascii="Times New Roman" w:eastAsia="Times New Roman" w:hAnsi="Times New Roman"/>
          <w:b/>
          <w:sz w:val="28"/>
          <w:szCs w:val="28"/>
          <w:lang w:eastAsia="bg-BG"/>
        </w:rPr>
        <w:tab/>
        <w:t>Предложения по 306 НПК.</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В настоящият отчетен период на 2021г. по отношение на внесените и разгледани от съда предложения по реда на чл.306 от НПК статистическите данни показват увеличаване на броя на внесените предложения от страна на двете прокуратури. </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През </w:t>
      </w:r>
      <w:r w:rsidRPr="00B364A7">
        <w:rPr>
          <w:rFonts w:ascii="Times New Roman" w:hAnsi="Times New Roman"/>
          <w:noProof/>
          <w:sz w:val="28"/>
          <w:szCs w:val="28"/>
          <w:lang w:val="en-US"/>
        </w:rPr>
        <w:t>202</w:t>
      </w:r>
      <w:r w:rsidRPr="00B364A7">
        <w:rPr>
          <w:rFonts w:ascii="Times New Roman" w:hAnsi="Times New Roman"/>
          <w:noProof/>
          <w:sz w:val="28"/>
          <w:szCs w:val="28"/>
        </w:rPr>
        <w:t>1г. са били внесени общо 298 броя предложения по реда на чл.306 НПК / 53 броя са внесени от СГП и 245 броя са внесени от прокурорите при СРП/ за сравнение през 2020г. са внесени 231 броя</w:t>
      </w:r>
      <w:r w:rsidRPr="00B364A7">
        <w:rPr>
          <w:rFonts w:ascii="Times New Roman" w:hAnsi="Times New Roman"/>
          <w:noProof/>
          <w:sz w:val="28"/>
          <w:szCs w:val="28"/>
          <w:lang w:val="en-US"/>
        </w:rPr>
        <w:t xml:space="preserve"> </w:t>
      </w:r>
      <w:r w:rsidRPr="00B364A7">
        <w:rPr>
          <w:rFonts w:ascii="Times New Roman" w:hAnsi="Times New Roman"/>
          <w:noProof/>
          <w:sz w:val="28"/>
          <w:szCs w:val="28"/>
          <w:lang w:val="ru-RU"/>
        </w:rPr>
        <w:t>предложения по реда на чл.306 НПК от страна на двете прокуратури /СГП-41 броя, СРП-190 броя/, за 2019г. предложенията са били общо 342 броя в това число влизат 45 предложения от СГП и 297 броя предложения от СРП. При сравнение на данните от 2021г. със статистиката за 2020г. се наблюдава увеличение с 67 броя или 29%, а при сравнение с 2019г. е установено намаляване на внесените предложения по реда на чл.306 с 44 броя или 12,87%.</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Уважените предложения по реда на чл.306 НПК за двете прокуратури са били, както следва за 2021г. – 170 броя, за 2020г. – 124 броя, за 2019г. – 219 броя.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lastRenderedPageBreak/>
        <w:t>Неуважените предложения по реда на чл.306 НПК за двете прокуратури са били, както следва за 2021г. са били 7 броя, за 2020г. – 2 броя, за 2019г. – 4 броя.</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Неразгледани предложения по реда на чл.306 НПК за двете прокуратури са били, както следва за 2021г. са били 121 броя, за 2020г. – 105 броя, за 2019г. – 119 броя, а за 2019г. - 190 броя.</w:t>
      </w:r>
    </w:p>
    <w:p w:rsidR="00DD1D27" w:rsidRPr="00EA468D" w:rsidRDefault="003515B0" w:rsidP="004D24A1">
      <w:pPr>
        <w:spacing w:after="0"/>
        <w:ind w:firstLine="567"/>
        <w:jc w:val="both"/>
        <w:rPr>
          <w:rFonts w:ascii="Times New Roman" w:hAnsi="Times New Roman"/>
          <w:noProof/>
          <w:color w:val="00B050"/>
          <w:sz w:val="28"/>
          <w:szCs w:val="28"/>
          <w:lang w:val="ru-RU"/>
        </w:rPr>
      </w:pPr>
      <w:r w:rsidRPr="004B20C5">
        <w:rPr>
          <w:rFonts w:ascii="Times New Roman" w:hAnsi="Times New Roman"/>
          <w:noProof/>
          <w:color w:val="FF0000"/>
          <w:sz w:val="28"/>
          <w:szCs w:val="28"/>
          <w:lang w:eastAsia="bg-BG"/>
        </w:rPr>
        <w:drawing>
          <wp:inline distT="0" distB="0" distL="0" distR="0" wp14:anchorId="1D896B2E" wp14:editId="2BB228C1">
            <wp:extent cx="5192395" cy="2003425"/>
            <wp:effectExtent l="0" t="0" r="0" b="0"/>
            <wp:docPr id="27" name="Об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D1D27" w:rsidRPr="00B364A7" w:rsidRDefault="00DD1D27" w:rsidP="004D24A1">
      <w:pPr>
        <w:spacing w:after="0"/>
        <w:jc w:val="both"/>
        <w:rPr>
          <w:rFonts w:ascii="Times New Roman" w:hAnsi="Times New Roman"/>
          <w:bCs/>
          <w:sz w:val="20"/>
          <w:szCs w:val="20"/>
        </w:rPr>
      </w:pPr>
      <w:r w:rsidRPr="00B364A7">
        <w:rPr>
          <w:rFonts w:ascii="Times New Roman" w:hAnsi="Times New Roman"/>
          <w:bCs/>
          <w:sz w:val="20"/>
          <w:szCs w:val="20"/>
        </w:rPr>
        <w:t xml:space="preserve">           </w:t>
      </w:r>
    </w:p>
    <w:p w:rsidR="00DD1D27" w:rsidRPr="00B364A7" w:rsidRDefault="00DD1D27" w:rsidP="004D24A1">
      <w:pPr>
        <w:spacing w:after="0"/>
        <w:jc w:val="both"/>
        <w:rPr>
          <w:rFonts w:ascii="Times New Roman" w:hAnsi="Times New Roman"/>
          <w:noProof/>
          <w:sz w:val="20"/>
          <w:szCs w:val="20"/>
          <w:lang w:val="ru-RU"/>
        </w:rPr>
      </w:pPr>
      <w:r w:rsidRPr="00B364A7">
        <w:rPr>
          <w:rFonts w:ascii="Times New Roman" w:hAnsi="Times New Roman"/>
          <w:bCs/>
          <w:sz w:val="20"/>
          <w:szCs w:val="20"/>
        </w:rPr>
        <w:t xml:space="preserve">                     Фиг. 4 Брой на </w:t>
      </w:r>
      <w:r w:rsidRPr="00B364A7">
        <w:rPr>
          <w:rFonts w:ascii="Times New Roman" w:hAnsi="Times New Roman"/>
          <w:noProof/>
          <w:sz w:val="20"/>
          <w:szCs w:val="20"/>
          <w:lang w:val="ru-RU"/>
        </w:rPr>
        <w:t xml:space="preserve">внесените и разгледани от съда предложения по реда на </w:t>
      </w:r>
    </w:p>
    <w:p w:rsidR="00DD1D27" w:rsidRPr="00B364A7" w:rsidRDefault="00DD1D27" w:rsidP="004D24A1">
      <w:pPr>
        <w:spacing w:after="0"/>
        <w:jc w:val="both"/>
        <w:rPr>
          <w:rFonts w:ascii="Times New Roman" w:eastAsia="Times New Roman" w:hAnsi="Times New Roman"/>
          <w:bCs/>
          <w:sz w:val="20"/>
          <w:szCs w:val="20"/>
          <w:lang w:eastAsia="bg-BG"/>
        </w:rPr>
      </w:pPr>
      <w:r w:rsidRPr="00B364A7">
        <w:rPr>
          <w:rFonts w:ascii="Times New Roman" w:hAnsi="Times New Roman"/>
          <w:noProof/>
          <w:sz w:val="20"/>
          <w:szCs w:val="20"/>
          <w:lang w:val="ru-RU"/>
        </w:rPr>
        <w:t xml:space="preserve">                                 чл.306 НПК в СРП и СГП </w:t>
      </w:r>
      <w:r w:rsidRPr="00B364A7">
        <w:rPr>
          <w:rFonts w:ascii="Times New Roman" w:hAnsi="Times New Roman"/>
          <w:bCs/>
          <w:sz w:val="20"/>
          <w:szCs w:val="20"/>
        </w:rPr>
        <w:t>за периода 2019г. - 2021г.</w:t>
      </w:r>
    </w:p>
    <w:p w:rsidR="00DD1D27" w:rsidRPr="00B364A7" w:rsidRDefault="00DD1D27" w:rsidP="004D24A1">
      <w:pPr>
        <w:spacing w:after="0"/>
        <w:ind w:right="-851"/>
        <w:jc w:val="both"/>
        <w:rPr>
          <w:rFonts w:ascii="Times New Roman" w:hAnsi="Times New Roman"/>
          <w:noProof/>
          <w:sz w:val="28"/>
          <w:szCs w:val="28"/>
          <w:lang w:val="ru-RU"/>
        </w:rPr>
      </w:pP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Данните за 2021г. /298 броя/ сочат увеличение на броя внесени предложения в сравнение с 2020г. /231 броя/ с 22,48%, а в сравнение с 2019г. /342 броя/е налице намаление с 12,87%.</w:t>
      </w:r>
    </w:p>
    <w:p w:rsidR="00DD1D27" w:rsidRPr="00EA468D" w:rsidRDefault="00DD1D27" w:rsidP="004D24A1">
      <w:pPr>
        <w:spacing w:after="0"/>
        <w:jc w:val="both"/>
        <w:rPr>
          <w:rFonts w:ascii="Times New Roman" w:hAnsi="Times New Roman"/>
          <w:noProof/>
          <w:sz w:val="28"/>
          <w:szCs w:val="28"/>
          <w:lang w:val="ru-RU"/>
        </w:rPr>
      </w:pPr>
    </w:p>
    <w:tbl>
      <w:tblPr>
        <w:tblW w:w="87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8"/>
        <w:gridCol w:w="2005"/>
        <w:gridCol w:w="2005"/>
        <w:gridCol w:w="2005"/>
      </w:tblGrid>
      <w:tr w:rsidR="00DD1D27" w:rsidRPr="00B364A7" w:rsidTr="00DD1D27">
        <w:trPr>
          <w:trHeight w:val="421"/>
        </w:trPr>
        <w:tc>
          <w:tcPr>
            <w:tcW w:w="2728" w:type="dxa"/>
            <w:tcBorders>
              <w:top w:val="single" w:sz="4" w:space="0" w:color="auto"/>
              <w:left w:val="single" w:sz="4" w:space="0" w:color="auto"/>
              <w:bottom w:val="single" w:sz="4" w:space="0" w:color="auto"/>
              <w:right w:val="single" w:sz="4" w:space="0" w:color="auto"/>
            </w:tcBorders>
            <w:shd w:val="clear" w:color="auto" w:fill="D9D9D9"/>
            <w:hideMark/>
          </w:tcPr>
          <w:p w:rsidR="00DD1D27" w:rsidRPr="00B364A7" w:rsidRDefault="00DD1D27" w:rsidP="004D24A1">
            <w:pPr>
              <w:spacing w:after="0"/>
              <w:jc w:val="center"/>
              <w:rPr>
                <w:rFonts w:ascii="Times New Roman" w:hAnsi="Times New Roman"/>
                <w:b/>
                <w:noProof/>
                <w:sz w:val="24"/>
                <w:szCs w:val="24"/>
                <w:lang w:val="ru-RU"/>
              </w:rPr>
            </w:pPr>
            <w:r w:rsidRPr="00B364A7">
              <w:rPr>
                <w:rFonts w:ascii="Times New Roman" w:hAnsi="Times New Roman"/>
                <w:b/>
                <w:noProof/>
                <w:sz w:val="24"/>
                <w:szCs w:val="24"/>
                <w:lang w:val="ru-RU"/>
              </w:rPr>
              <w:t>Внесени предложения по чл.306 НПК</w:t>
            </w:r>
          </w:p>
        </w:tc>
        <w:tc>
          <w:tcPr>
            <w:tcW w:w="2005"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2021г.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 / СРП</w:t>
            </w:r>
          </w:p>
        </w:tc>
        <w:tc>
          <w:tcPr>
            <w:tcW w:w="2005"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2020г.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 / СРП</w:t>
            </w:r>
          </w:p>
        </w:tc>
        <w:tc>
          <w:tcPr>
            <w:tcW w:w="2005" w:type="dxa"/>
            <w:tcBorders>
              <w:top w:val="single" w:sz="4" w:space="0" w:color="auto"/>
              <w:left w:val="single" w:sz="4" w:space="0" w:color="auto"/>
              <w:bottom w:val="single" w:sz="4" w:space="0" w:color="auto"/>
              <w:right w:val="single" w:sz="4" w:space="0" w:color="auto"/>
            </w:tcBorders>
            <w:shd w:val="clear" w:color="auto" w:fill="D9D9D9"/>
            <w:vAlign w:val="center"/>
          </w:tcPr>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2019г.</w:t>
            </w:r>
          </w:p>
          <w:p w:rsidR="00DD1D27" w:rsidRPr="00B364A7" w:rsidRDefault="00DD1D27" w:rsidP="004D24A1">
            <w:pPr>
              <w:spacing w:after="0"/>
              <w:jc w:val="center"/>
              <w:rPr>
                <w:rFonts w:ascii="Times New Roman" w:hAnsi="Times New Roman"/>
                <w:b/>
                <w:noProof/>
                <w:sz w:val="28"/>
                <w:szCs w:val="28"/>
                <w:lang w:val="ru-RU"/>
              </w:rPr>
            </w:pPr>
            <w:r w:rsidRPr="00B364A7">
              <w:rPr>
                <w:rFonts w:ascii="Times New Roman" w:hAnsi="Times New Roman"/>
                <w:b/>
                <w:noProof/>
                <w:sz w:val="28"/>
                <w:szCs w:val="28"/>
                <w:lang w:val="ru-RU"/>
              </w:rPr>
              <w:t>СГП / СРП</w:t>
            </w:r>
          </w:p>
        </w:tc>
      </w:tr>
      <w:tr w:rsidR="00DD1D27" w:rsidRPr="00B364A7" w:rsidTr="00DD1D27">
        <w:trPr>
          <w:trHeight w:val="421"/>
        </w:trPr>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D1D27" w:rsidRPr="00B364A7" w:rsidRDefault="00DD1D27" w:rsidP="004D24A1">
            <w:pPr>
              <w:spacing w:after="0"/>
              <w:rPr>
                <w:rFonts w:ascii="Times New Roman" w:hAnsi="Times New Roman"/>
                <w:noProof/>
                <w:sz w:val="28"/>
                <w:szCs w:val="28"/>
                <w:lang w:val="ru-RU"/>
              </w:rPr>
            </w:pPr>
            <w:r w:rsidRPr="00B364A7">
              <w:rPr>
                <w:rFonts w:ascii="Times New Roman" w:hAnsi="Times New Roman"/>
                <w:noProof/>
                <w:sz w:val="28"/>
                <w:szCs w:val="28"/>
                <w:lang w:val="ru-RU"/>
              </w:rPr>
              <w:t>Уважени</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28  /  142</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28  /   96</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28    /   191</w:t>
            </w:r>
          </w:p>
        </w:tc>
      </w:tr>
      <w:tr w:rsidR="00DD1D27" w:rsidRPr="00B364A7" w:rsidTr="00DD1D27">
        <w:trPr>
          <w:trHeight w:val="421"/>
        </w:trPr>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D1D27" w:rsidRPr="00B364A7" w:rsidRDefault="00DD1D27" w:rsidP="004D24A1">
            <w:pPr>
              <w:spacing w:after="0"/>
              <w:rPr>
                <w:rFonts w:ascii="Times New Roman" w:hAnsi="Times New Roman"/>
                <w:noProof/>
                <w:sz w:val="28"/>
                <w:szCs w:val="28"/>
                <w:lang w:val="ru-RU"/>
              </w:rPr>
            </w:pPr>
            <w:r w:rsidRPr="00B364A7">
              <w:rPr>
                <w:rFonts w:ascii="Times New Roman" w:hAnsi="Times New Roman"/>
                <w:noProof/>
                <w:sz w:val="28"/>
                <w:szCs w:val="28"/>
                <w:lang w:val="ru-RU"/>
              </w:rPr>
              <w:t>Неуважени</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3  /    4</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  /    0</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    /      3</w:t>
            </w:r>
          </w:p>
        </w:tc>
      </w:tr>
      <w:tr w:rsidR="00DD1D27" w:rsidRPr="00B364A7" w:rsidTr="00DD1D27">
        <w:trPr>
          <w:trHeight w:val="421"/>
        </w:trPr>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D1D27" w:rsidRPr="00B364A7" w:rsidRDefault="00DD1D27" w:rsidP="004D24A1">
            <w:pPr>
              <w:spacing w:after="0"/>
              <w:rPr>
                <w:rFonts w:ascii="Times New Roman" w:hAnsi="Times New Roman"/>
                <w:noProof/>
                <w:sz w:val="28"/>
                <w:szCs w:val="28"/>
                <w:lang w:val="ru-RU"/>
              </w:rPr>
            </w:pPr>
            <w:r w:rsidRPr="00B364A7">
              <w:rPr>
                <w:rFonts w:ascii="Times New Roman" w:hAnsi="Times New Roman"/>
                <w:noProof/>
                <w:sz w:val="28"/>
                <w:szCs w:val="28"/>
                <w:lang w:val="ru-RU"/>
              </w:rPr>
              <w:t>Неразгледани</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22  /  99</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11  /   94</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16    /   103</w:t>
            </w:r>
          </w:p>
        </w:tc>
      </w:tr>
      <w:tr w:rsidR="00DD1D27" w:rsidRPr="00B364A7" w:rsidTr="00DD1D27">
        <w:trPr>
          <w:trHeight w:val="421"/>
        </w:trPr>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D1D27" w:rsidRPr="00B364A7" w:rsidRDefault="00DD1D27" w:rsidP="004D24A1">
            <w:pPr>
              <w:spacing w:after="0"/>
              <w:rPr>
                <w:rFonts w:ascii="Times New Roman" w:hAnsi="Times New Roman"/>
                <w:noProof/>
                <w:sz w:val="28"/>
                <w:szCs w:val="28"/>
                <w:lang w:val="ru-RU"/>
              </w:rPr>
            </w:pPr>
            <w:r w:rsidRPr="00B364A7">
              <w:rPr>
                <w:rFonts w:ascii="Times New Roman" w:hAnsi="Times New Roman"/>
                <w:noProof/>
                <w:sz w:val="28"/>
                <w:szCs w:val="28"/>
                <w:lang w:val="ru-RU"/>
              </w:rPr>
              <w:t>Общо</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53  / 245</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41  / 190</w:t>
            </w:r>
          </w:p>
        </w:tc>
        <w:tc>
          <w:tcPr>
            <w:tcW w:w="2005" w:type="dxa"/>
            <w:tcBorders>
              <w:top w:val="single" w:sz="4" w:space="0" w:color="auto"/>
              <w:left w:val="single" w:sz="4" w:space="0" w:color="auto"/>
              <w:bottom w:val="single" w:sz="4" w:space="0" w:color="auto"/>
              <w:right w:val="single" w:sz="4" w:space="0" w:color="auto"/>
            </w:tcBorders>
            <w:vAlign w:val="center"/>
          </w:tcPr>
          <w:p w:rsidR="00DD1D27" w:rsidRPr="00B364A7" w:rsidRDefault="00DD1D27" w:rsidP="004D24A1">
            <w:pPr>
              <w:spacing w:after="0"/>
              <w:jc w:val="center"/>
              <w:rPr>
                <w:rFonts w:ascii="Times New Roman" w:hAnsi="Times New Roman"/>
                <w:noProof/>
                <w:sz w:val="28"/>
                <w:szCs w:val="28"/>
                <w:lang w:val="ru-RU"/>
              </w:rPr>
            </w:pPr>
            <w:r w:rsidRPr="00B364A7">
              <w:rPr>
                <w:rFonts w:ascii="Times New Roman" w:hAnsi="Times New Roman"/>
                <w:noProof/>
                <w:sz w:val="28"/>
                <w:szCs w:val="28"/>
                <w:lang w:val="ru-RU"/>
              </w:rPr>
              <w:t>45    /   297</w:t>
            </w:r>
          </w:p>
        </w:tc>
      </w:tr>
    </w:tbl>
    <w:p w:rsidR="00DD1D27" w:rsidRPr="00B364A7" w:rsidRDefault="00DD1D27" w:rsidP="004D24A1">
      <w:pPr>
        <w:spacing w:after="0"/>
        <w:jc w:val="both"/>
        <w:rPr>
          <w:rFonts w:ascii="Times New Roman" w:eastAsia="Times New Roman" w:hAnsi="Times New Roman"/>
          <w:sz w:val="20"/>
          <w:szCs w:val="20"/>
          <w:lang w:eastAsia="bg-BG"/>
        </w:rPr>
      </w:pPr>
      <w:r w:rsidRPr="00B364A7">
        <w:rPr>
          <w:rFonts w:ascii="Times New Roman" w:hAnsi="Times New Roman"/>
          <w:noProof/>
          <w:sz w:val="28"/>
          <w:szCs w:val="28"/>
        </w:rPr>
        <w:tab/>
      </w:r>
      <w:r w:rsidRPr="00B364A7">
        <w:rPr>
          <w:rFonts w:ascii="Times New Roman" w:eastAsia="Times New Roman" w:hAnsi="Times New Roman"/>
          <w:sz w:val="20"/>
          <w:szCs w:val="20"/>
          <w:lang w:eastAsia="bg-BG"/>
        </w:rPr>
        <w:t xml:space="preserve">               Табл.5  Внесени предложения по чл.306 от СГП и СРП. </w:t>
      </w:r>
    </w:p>
    <w:p w:rsidR="00DD1D27" w:rsidRPr="00B364A7" w:rsidRDefault="00DD1D27" w:rsidP="004D24A1">
      <w:pPr>
        <w:spacing w:after="0"/>
        <w:jc w:val="both"/>
        <w:rPr>
          <w:rFonts w:ascii="Times New Roman" w:hAnsi="Times New Roman"/>
          <w:noProof/>
          <w:sz w:val="28"/>
          <w:szCs w:val="28"/>
        </w:rPr>
      </w:pPr>
    </w:p>
    <w:p w:rsidR="00DD1D27" w:rsidRPr="00B364A7" w:rsidRDefault="00DD1D27" w:rsidP="004D24A1">
      <w:pPr>
        <w:spacing w:after="0"/>
        <w:ind w:firstLine="708"/>
        <w:jc w:val="both"/>
        <w:rPr>
          <w:rFonts w:ascii="Times New Roman" w:hAnsi="Times New Roman"/>
          <w:noProof/>
          <w:sz w:val="28"/>
          <w:szCs w:val="28"/>
        </w:rPr>
      </w:pPr>
      <w:r w:rsidRPr="00B364A7">
        <w:rPr>
          <w:rFonts w:ascii="Times New Roman" w:hAnsi="Times New Roman"/>
          <w:noProof/>
          <w:sz w:val="28"/>
          <w:szCs w:val="28"/>
        </w:rPr>
        <w:t xml:space="preserve">Данните за 2021г.на СГП показват, че са били внесени 53 броя предложения по реда на чл.306 НПК, от тях 28 са уважени, 3 не са били уважени, а 22 броя са неразглледани. За същият период на 2020г. от страна на прокурорите на СГП са внесли 41 предложения по реда на чл.306, от които са уважени 28 броя, 2 броя не е уважено, а 11 броя са неразгледани. За сравнение през 2019г. СГП предложенията са били 45 броя, от които са уважени 28 броя, 1 брой не е уважено, а 16 броя са неразгледани. </w:t>
      </w:r>
    </w:p>
    <w:p w:rsidR="00DD1D27" w:rsidRPr="00B364A7" w:rsidRDefault="00DD1D27" w:rsidP="004D24A1">
      <w:pPr>
        <w:spacing w:after="0"/>
        <w:ind w:firstLine="708"/>
        <w:jc w:val="both"/>
        <w:rPr>
          <w:rFonts w:ascii="Times New Roman" w:hAnsi="Times New Roman"/>
          <w:noProof/>
          <w:sz w:val="28"/>
          <w:szCs w:val="28"/>
        </w:rPr>
      </w:pPr>
      <w:r w:rsidRPr="00B364A7">
        <w:rPr>
          <w:rFonts w:ascii="Times New Roman" w:hAnsi="Times New Roman"/>
          <w:noProof/>
          <w:sz w:val="28"/>
          <w:szCs w:val="28"/>
        </w:rPr>
        <w:t xml:space="preserve">Прокурорите от СРП за отчетния период на 2021г. са внесли 245 броя предложения по реда на чл.306 НПК, от тях 142 броя са уважени, 4 броя не </w:t>
      </w:r>
      <w:r w:rsidRPr="00B364A7">
        <w:rPr>
          <w:rFonts w:ascii="Times New Roman" w:hAnsi="Times New Roman"/>
          <w:noProof/>
          <w:sz w:val="28"/>
          <w:szCs w:val="28"/>
        </w:rPr>
        <w:lastRenderedPageBreak/>
        <w:t xml:space="preserve">са били уважени, а 99 броя са останали неразгледани. За 2020г. от страна на СРП са внесени 190 броя предложения по реда на чл.306, от които са уважени 96 броя, няма неуважени предложения, а 94 броя не са разгледани. Данните за 2019г. сочат, че от страна на СРП са внесени 297 броя предложения по реда на чл.306, от които са уважени 191броя, 3 броя не са уважени, а 103 броя не са разгледани. </w:t>
      </w:r>
    </w:p>
    <w:p w:rsidR="00DD1D27" w:rsidRPr="00B364A7" w:rsidRDefault="00DD1D27" w:rsidP="004D24A1">
      <w:pPr>
        <w:spacing w:after="0"/>
        <w:ind w:firstLine="708"/>
        <w:jc w:val="both"/>
        <w:rPr>
          <w:rFonts w:ascii="Times New Roman" w:hAnsi="Times New Roman"/>
          <w:noProof/>
          <w:sz w:val="28"/>
          <w:szCs w:val="28"/>
        </w:rPr>
      </w:pPr>
      <w:r w:rsidRPr="00B364A7">
        <w:rPr>
          <w:rFonts w:ascii="Times New Roman" w:hAnsi="Times New Roman"/>
          <w:noProof/>
          <w:sz w:val="28"/>
          <w:szCs w:val="28"/>
        </w:rPr>
        <w:t xml:space="preserve">Практическият извод, че съдебните състави при произнасяне с краен акт продължават да не извършват задължителното пълно групиране на наказанията на осъдените, а се ограничават или до частично, или въобще пренебрегват разпоредбите на чл.23-25 НК се потвърждава и за настоящия отчетен период на 2021г. Значителният брой на неразгледаните предложения за 2021г. отново показва че съдебните състави пренебрегват или не отдават съществено значение на определянето на общо най-тежко наказание спрямо осъдените лица в редовната фаза на съдебното производство, а се възползват от дадената допълнителна възможност за произнасуне в отделно съдебно заседание по реда на чл.306 НПК. </w:t>
      </w:r>
    </w:p>
    <w:p w:rsidR="00DD1D27" w:rsidRPr="00B364A7" w:rsidRDefault="00DD1D27" w:rsidP="004D24A1">
      <w:pPr>
        <w:spacing w:after="0"/>
        <w:jc w:val="both"/>
        <w:rPr>
          <w:rFonts w:ascii="Times New Roman" w:hAnsi="Times New Roman"/>
          <w:b/>
          <w:noProof/>
          <w:sz w:val="28"/>
          <w:szCs w:val="28"/>
        </w:rPr>
      </w:pPr>
      <w:r w:rsidRPr="00B364A7">
        <w:rPr>
          <w:rFonts w:ascii="Times New Roman" w:hAnsi="Times New Roman"/>
          <w:b/>
          <w:noProof/>
          <w:sz w:val="28"/>
          <w:szCs w:val="28"/>
        </w:rPr>
        <w:tab/>
      </w:r>
      <w:r w:rsidRPr="00B364A7">
        <w:rPr>
          <w:rFonts w:ascii="Times New Roman" w:hAnsi="Times New Roman"/>
          <w:b/>
          <w:noProof/>
          <w:sz w:val="28"/>
          <w:szCs w:val="28"/>
        </w:rPr>
        <w:tab/>
      </w:r>
    </w:p>
    <w:p w:rsidR="00DD1D27" w:rsidRPr="00B364A7" w:rsidRDefault="00DD1D27" w:rsidP="004D24A1">
      <w:pPr>
        <w:spacing w:after="0"/>
        <w:jc w:val="both"/>
        <w:rPr>
          <w:rFonts w:ascii="Times New Roman" w:hAnsi="Times New Roman"/>
          <w:b/>
          <w:noProof/>
          <w:sz w:val="28"/>
          <w:szCs w:val="28"/>
        </w:rPr>
      </w:pPr>
      <w:r w:rsidRPr="00B364A7">
        <w:rPr>
          <w:rFonts w:ascii="Times New Roman" w:hAnsi="Times New Roman"/>
          <w:b/>
          <w:noProof/>
          <w:sz w:val="28"/>
          <w:szCs w:val="28"/>
        </w:rPr>
        <w:tab/>
        <w:t>Предложения по чл.70 и 71 от НК.</w:t>
      </w:r>
    </w:p>
    <w:p w:rsidR="00DD1D27" w:rsidRPr="00B364A7" w:rsidRDefault="00DD1D27" w:rsidP="004D24A1">
      <w:pPr>
        <w:spacing w:after="0"/>
        <w:jc w:val="both"/>
        <w:rPr>
          <w:rFonts w:ascii="Times New Roman" w:hAnsi="Times New Roman"/>
          <w:noProof/>
          <w:sz w:val="28"/>
          <w:szCs w:val="28"/>
        </w:rPr>
      </w:pPr>
      <w:r w:rsidRPr="00B364A7">
        <w:rPr>
          <w:rFonts w:ascii="Times New Roman" w:hAnsi="Times New Roman"/>
          <w:noProof/>
          <w:sz w:val="28"/>
          <w:szCs w:val="28"/>
        </w:rPr>
        <w:tab/>
        <w:t>В настоящият отчетен период на 2021г. се запазва тенденцията констатирана в предходните сравнителни периоди на 2020г. и 2019г. да  няма внесени предложения по реда на чл.70 и чл.71 НПК /чл.437 и сл. НПК/.</w:t>
      </w:r>
    </w:p>
    <w:p w:rsidR="00DD1D27" w:rsidRPr="00B364A7" w:rsidRDefault="00DD1D27" w:rsidP="004D24A1">
      <w:pPr>
        <w:spacing w:after="0"/>
        <w:jc w:val="both"/>
        <w:rPr>
          <w:rFonts w:ascii="Times New Roman" w:hAnsi="Times New Roman"/>
          <w:noProof/>
          <w:sz w:val="28"/>
          <w:szCs w:val="28"/>
        </w:rPr>
      </w:pPr>
      <w:r w:rsidRPr="00B364A7">
        <w:rPr>
          <w:rFonts w:ascii="Times New Roman" w:hAnsi="Times New Roman"/>
          <w:noProof/>
          <w:sz w:val="28"/>
          <w:szCs w:val="28"/>
        </w:rPr>
        <w:tab/>
        <w:t xml:space="preserve">Направените изводи през предходните години с пълна сила се отнасят и за настоящия отчетен период на 2021г. в частта на предложенията за условно-предсрочно освобождаване, в този смисъл, след измененията на НПК в частта на чл.437 на НПК, с които се създаде възможност предложения за условно предсрочно да се правят не само от окръжния прокурор, но и от началника на Затвора, както и осъденият сам да подава молба по реда на чл.70 и 71 НК функцията на прокуратурата се фокусира в участие в многобройни заседания, насрочени от съда по повод на подадените молби. Незначителен или нулев е броя на инициираните предложения за условно предсрочно освобощдаване от страна на прокурорите, а новия ред на движение на молбите, доводе до почти нищожна възможност за намеса, освен в частта протест при явно необосновани или противоречащо на закона решения. </w:t>
      </w:r>
    </w:p>
    <w:p w:rsidR="00DD1D27" w:rsidRPr="00B364A7" w:rsidRDefault="00DD1D27" w:rsidP="004D24A1">
      <w:pPr>
        <w:spacing w:after="0"/>
        <w:jc w:val="both"/>
        <w:rPr>
          <w:rFonts w:ascii="Times New Roman" w:hAnsi="Times New Roman"/>
          <w:noProof/>
          <w:sz w:val="28"/>
          <w:szCs w:val="28"/>
        </w:rPr>
      </w:pPr>
    </w:p>
    <w:p w:rsidR="00DD1D27" w:rsidRPr="00B364A7" w:rsidRDefault="00DD1D27" w:rsidP="004D24A1">
      <w:pPr>
        <w:spacing w:after="0"/>
        <w:jc w:val="both"/>
        <w:rPr>
          <w:rFonts w:ascii="Times New Roman" w:hAnsi="Times New Roman"/>
          <w:b/>
          <w:noProof/>
          <w:sz w:val="28"/>
          <w:szCs w:val="28"/>
          <w:lang w:val="ru-RU"/>
        </w:rPr>
      </w:pPr>
      <w:r w:rsidRPr="00B364A7">
        <w:rPr>
          <w:rFonts w:ascii="Times New Roman" w:hAnsi="Times New Roman"/>
          <w:b/>
          <w:noProof/>
          <w:sz w:val="28"/>
          <w:szCs w:val="28"/>
          <w:lang w:val="ru-RU"/>
        </w:rPr>
        <w:tab/>
        <w:t>Прекъсване изпълнение на наказание от страна на СГП по реда на чл.448 НПК.</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В отчетеният период на 2021г. от страна на СГП с постановление е било прекъснато изпълнение на наказание </w:t>
      </w:r>
      <w:r w:rsidRPr="00B364A7">
        <w:rPr>
          <w:rFonts w:ascii="Times New Roman" w:hAnsi="Times New Roman"/>
          <w:noProof/>
          <w:sz w:val="28"/>
          <w:szCs w:val="28"/>
        </w:rPr>
        <w:t>„</w:t>
      </w:r>
      <w:r w:rsidRPr="00B364A7">
        <w:rPr>
          <w:rFonts w:ascii="Times New Roman" w:hAnsi="Times New Roman"/>
          <w:noProof/>
          <w:sz w:val="28"/>
          <w:szCs w:val="28"/>
          <w:lang w:val="ru-RU"/>
        </w:rPr>
        <w:t>Лишаване от свобода</w:t>
      </w:r>
      <w:r w:rsidRPr="00B364A7">
        <w:rPr>
          <w:rFonts w:ascii="Times New Roman" w:hAnsi="Times New Roman"/>
          <w:noProof/>
          <w:sz w:val="28"/>
          <w:szCs w:val="28"/>
        </w:rPr>
        <w:t>“</w:t>
      </w:r>
      <w:r w:rsidRPr="00B364A7">
        <w:rPr>
          <w:rFonts w:ascii="Times New Roman" w:hAnsi="Times New Roman"/>
          <w:noProof/>
          <w:sz w:val="28"/>
          <w:szCs w:val="28"/>
          <w:lang w:val="ru-RU"/>
        </w:rPr>
        <w:t xml:space="preserve"> спрямо </w:t>
      </w:r>
      <w:r w:rsidRPr="00B364A7">
        <w:rPr>
          <w:rFonts w:ascii="Times New Roman" w:hAnsi="Times New Roman"/>
          <w:noProof/>
          <w:sz w:val="28"/>
          <w:szCs w:val="28"/>
          <w:lang w:val="ru-RU"/>
        </w:rPr>
        <w:lastRenderedPageBreak/>
        <w:t xml:space="preserve">139 лица. За 2020г. прокурорите от СГП са прекъсвали изпълнявани наказания </w:t>
      </w:r>
      <w:r w:rsidRPr="00B364A7">
        <w:rPr>
          <w:rFonts w:ascii="Times New Roman" w:hAnsi="Times New Roman"/>
          <w:noProof/>
          <w:sz w:val="28"/>
          <w:szCs w:val="28"/>
        </w:rPr>
        <w:t>„</w:t>
      </w:r>
      <w:r w:rsidRPr="00B364A7">
        <w:rPr>
          <w:rFonts w:ascii="Times New Roman" w:hAnsi="Times New Roman"/>
          <w:noProof/>
          <w:sz w:val="28"/>
          <w:szCs w:val="28"/>
          <w:lang w:val="ru-RU"/>
        </w:rPr>
        <w:t>Лишаване от свобода</w:t>
      </w:r>
      <w:r w:rsidRPr="00B364A7">
        <w:rPr>
          <w:rFonts w:ascii="Times New Roman" w:hAnsi="Times New Roman"/>
          <w:noProof/>
          <w:sz w:val="28"/>
          <w:szCs w:val="28"/>
        </w:rPr>
        <w:t>“</w:t>
      </w:r>
      <w:r w:rsidRPr="00B364A7">
        <w:rPr>
          <w:rFonts w:ascii="Times New Roman" w:hAnsi="Times New Roman"/>
          <w:noProof/>
          <w:sz w:val="28"/>
          <w:szCs w:val="28"/>
          <w:lang w:val="ru-RU"/>
        </w:rPr>
        <w:t xml:space="preserve"> спрямо 210 лица, за сравнение през 2019г. прекъсванията са били 67 броя. При сравнение данните за 2021г. спрямо 2020г. показват намаление на броя на прекъсванията със 71 броя, или с 33 %, а в сревнение с 2019г. е налице увеличение със 72 броя или 107,46%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За подотчетния период на </w:t>
      </w:r>
      <w:r w:rsidRPr="00B364A7">
        <w:rPr>
          <w:rFonts w:ascii="Times New Roman" w:hAnsi="Times New Roman"/>
          <w:noProof/>
          <w:sz w:val="28"/>
          <w:szCs w:val="28"/>
          <w:lang w:val="en-US"/>
        </w:rPr>
        <w:t>202</w:t>
      </w:r>
      <w:r w:rsidRPr="00B364A7">
        <w:rPr>
          <w:rFonts w:ascii="Times New Roman" w:hAnsi="Times New Roman"/>
          <w:noProof/>
          <w:sz w:val="28"/>
          <w:szCs w:val="28"/>
        </w:rPr>
        <w:t xml:space="preserve">1г. </w:t>
      </w:r>
      <w:r w:rsidRPr="00B364A7">
        <w:rPr>
          <w:rFonts w:ascii="Times New Roman" w:hAnsi="Times New Roman"/>
          <w:noProof/>
          <w:sz w:val="28"/>
          <w:szCs w:val="28"/>
          <w:lang w:val="ru-RU"/>
        </w:rPr>
        <w:t xml:space="preserve">са били издадени 293 броя постановления във връзка с искания </w:t>
      </w:r>
      <w:r w:rsidRPr="00B364A7">
        <w:rPr>
          <w:rFonts w:ascii="Times New Roman" w:hAnsi="Times New Roman"/>
          <w:b/>
          <w:noProof/>
          <w:sz w:val="28"/>
          <w:szCs w:val="28"/>
          <w:lang w:val="ru-RU"/>
        </w:rPr>
        <w:t>за отлагане или прекъсване</w:t>
      </w:r>
      <w:r w:rsidRPr="00B364A7">
        <w:rPr>
          <w:rFonts w:ascii="Times New Roman" w:hAnsi="Times New Roman"/>
          <w:noProof/>
          <w:sz w:val="28"/>
          <w:szCs w:val="28"/>
          <w:lang w:val="ru-RU"/>
        </w:rPr>
        <w:t xml:space="preserve"> на наказания в това число 279 броя постановления от СГП и 14 броя от страна на СРП. За същият период на 2020г. са били издадени 224 броя постановления във връзка с искания за отлагане или прекъсване на наказания в това число 210 броя постановления от СГП и 14 броя от страна на СРП, за 2019г. са издадени 184 броя постановления от страна на СГП /168 броя/ и СРП/16 броя/.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При сравнение на данните за 2021г. с данните за 2020г. общият брой на постановленията за отлагане или прекъсване изпълнението на наказанията прекъсванията за 2021г. е били с 69 броя по-вече, или е налице увеличение с 30,80%, а спрямо 2019 със 109 броя повече или 59,24%.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В общия брой 279 броя постановления за прекъсване от страна на СГП, влизат 139 броя постановления за прекъсване на търпяно наказание, 3 броя постановления за продължаване на прекъсване на наказания, 129 броя постановления за отказ от прекъсване на наказания, 6 броя постановления за отказ от предължаване на прекъсване, 2 брой постановление за прекратяване на прекъсване на наказание. За сравнение през 2020г. актовете във връзка с прекъсване на наказанията от страна на СГП са били 210 броя, в това число са влизали 85 броя постановления за прекъсване на търпяно наказание, 14 броя постановления за продължаване на прекъсване на наказания, 102 броя постановления за отказ от прекъсване на наказания, 6 броя постановления за отказ от предължаване на прекъсване, 1 брой постановление за прекратяване на прекъсване на наказание, 1 брой отказ от отлагане на изпълнение на наказание и 1 брой постановление за отлагане изпълнението на наказание. </w:t>
      </w:r>
    </w:p>
    <w:p w:rsidR="00DD1D27" w:rsidRPr="00B364A7" w:rsidRDefault="00DD1D27" w:rsidP="004D24A1">
      <w:pPr>
        <w:tabs>
          <w:tab w:val="left" w:pos="709"/>
        </w:tabs>
        <w:autoSpaceDN w:val="0"/>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За 2021г. в РП – София са постъпили 2 бр. молби за отлагане изпълнението на наказанието, за 2020 г. техният брой е бил 4 броя, за 2019г. са били 16 броя. </w:t>
      </w:r>
    </w:p>
    <w:p w:rsidR="00DD1D27" w:rsidRPr="00B364A7" w:rsidRDefault="00DD1D27" w:rsidP="004D24A1">
      <w:pPr>
        <w:tabs>
          <w:tab w:val="left" w:pos="709"/>
        </w:tabs>
        <w:autoSpaceDN w:val="0"/>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При получени влезли в сила определения или присъди, за които са налице основанията за възобновяване на производството, на основанията посочени в чл.422 НПК, прокурорите от отдел ИНПЛ при СРП са подавали сигнали до ВКП през 2021г. общо 11 броя, за сравнение през 2020 г. те са били 27  броя, а за 2019 г. -  38 броя. </w:t>
      </w:r>
    </w:p>
    <w:p w:rsidR="00DD1D27" w:rsidRPr="00B364A7" w:rsidRDefault="00DD1D27" w:rsidP="004D24A1">
      <w:pPr>
        <w:tabs>
          <w:tab w:val="left" w:pos="709"/>
        </w:tabs>
        <w:autoSpaceDN w:val="0"/>
        <w:spacing w:after="0"/>
        <w:ind w:firstLine="708"/>
        <w:jc w:val="both"/>
        <w:rPr>
          <w:rFonts w:ascii="Times New Roman" w:eastAsia="Times New Roman" w:hAnsi="Times New Roman"/>
          <w:i/>
          <w:sz w:val="28"/>
          <w:szCs w:val="28"/>
          <w:lang w:eastAsia="bg-BG"/>
        </w:rPr>
      </w:pPr>
      <w:r w:rsidRPr="00B364A7">
        <w:rPr>
          <w:rFonts w:ascii="Times New Roman" w:eastAsia="Times New Roman" w:hAnsi="Times New Roman"/>
          <w:sz w:val="28"/>
          <w:szCs w:val="28"/>
          <w:lang w:eastAsia="bg-BG"/>
        </w:rPr>
        <w:lastRenderedPageBreak/>
        <w:t>През отчетния период на 2021г. с цел недопускане на незаконосъобразно задържане на осъдени лица над срока на присъдата са изготвени и изпратени в окръжните прокуратури /СГП и ОП/ 50 броя сигнали за прекъсване на изпълнението на присъдата /за сравнение техният брой през 2020 г. е бил 31 броя, а през 2019 г. – 12   броя.</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През настоящата отчетна година епидемиологичната обстановка в страната допълнително създаде предпоставки за увеличаване броя на прекъсванията на търпените наказания. От статистическите данни ясно се вижда увеличаване броя на прекъснати наказания. Констатираните в предходните години причини - забавяне при произнасяне по групиране на наказания от страна на съда, влошеното здравсловно състояние на лишените от свобода и необходимостта от лечение, или изследвания във външни лечебни заведения, както и проблеми от семеен или обществен характер се насложи и завишения епидемиологичен фактор в страната.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Всички тези фактори имат неопределени във времето периодичен характер, и водят до повишаване на необходимостта от незабавно, и адекватно произнасяне от страна на надзорни, и наблюдаващи прокурори, в частност чрез прекъсване на изтърпяваните наказания.</w:t>
      </w:r>
    </w:p>
    <w:p w:rsidR="00DD1D27" w:rsidRPr="00B364A7" w:rsidRDefault="00DD1D27" w:rsidP="004D24A1">
      <w:pPr>
        <w:spacing w:after="0"/>
        <w:jc w:val="both"/>
        <w:rPr>
          <w:rFonts w:ascii="Times New Roman" w:hAnsi="Times New Roman"/>
          <w:noProof/>
          <w:sz w:val="28"/>
          <w:szCs w:val="28"/>
          <w:lang w:val="ru-RU"/>
        </w:rPr>
      </w:pPr>
    </w:p>
    <w:p w:rsidR="00DD1D27" w:rsidRPr="00B364A7" w:rsidRDefault="00DD1D27" w:rsidP="004D24A1">
      <w:pPr>
        <w:spacing w:after="0"/>
        <w:jc w:val="both"/>
        <w:rPr>
          <w:rFonts w:ascii="Times New Roman" w:hAnsi="Times New Roman"/>
          <w:b/>
          <w:noProof/>
          <w:sz w:val="28"/>
          <w:szCs w:val="28"/>
          <w:lang w:val="ru-RU"/>
        </w:rPr>
      </w:pPr>
      <w:r w:rsidRPr="00B364A7">
        <w:rPr>
          <w:rFonts w:ascii="Times New Roman" w:hAnsi="Times New Roman"/>
          <w:b/>
          <w:noProof/>
          <w:sz w:val="28"/>
          <w:szCs w:val="28"/>
          <w:lang w:val="ru-RU"/>
        </w:rPr>
        <w:tab/>
        <w:t>Незадържани лица по изпратени за изпълнение присъди.</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 xml:space="preserve">През настоящият отчетен период от 01.01.2021г. до 31.12.2021г. броят на незадържаните лица по изпратените за изпълнение на СГП и СРП присъди е 157 броя /лица/, за сравнение в същия период от 01.01.2020г. до 31.12.2020г. броя на незадържаните лица е бил 163 броя, а за 2019г. са били 162 броя /по лица/. </w:t>
      </w:r>
    </w:p>
    <w:p w:rsidR="00DD1D27" w:rsidRPr="00B364A7" w:rsidRDefault="00DD1D27" w:rsidP="004D24A1">
      <w:pPr>
        <w:spacing w:after="0"/>
        <w:ind w:firstLine="708"/>
        <w:jc w:val="both"/>
        <w:rPr>
          <w:rFonts w:ascii="Times New Roman" w:hAnsi="Times New Roman"/>
          <w:noProof/>
          <w:sz w:val="28"/>
          <w:szCs w:val="28"/>
          <w:lang w:val="ru-RU"/>
        </w:rPr>
      </w:pPr>
      <w:r w:rsidRPr="00B364A7">
        <w:rPr>
          <w:rFonts w:ascii="Times New Roman" w:hAnsi="Times New Roman"/>
          <w:noProof/>
          <w:sz w:val="28"/>
          <w:szCs w:val="28"/>
          <w:lang w:val="ru-RU"/>
        </w:rPr>
        <w:t xml:space="preserve">При сравнение на данните за тригодишнитя отчетен период е видно, че за 2021г. в сравнение с предходната 2020г. броят на незадържаните лица е намалял с 6 лица или с 3,68%, а в сравнение със същият период на 2019г. броят е намалял с 5 лица или с 3,09%. </w:t>
      </w:r>
    </w:p>
    <w:p w:rsidR="00DD1D27" w:rsidRPr="00B364A7" w:rsidRDefault="00DD1D27" w:rsidP="004D24A1">
      <w:pPr>
        <w:spacing w:after="0"/>
        <w:jc w:val="both"/>
        <w:rPr>
          <w:rFonts w:ascii="Times New Roman" w:hAnsi="Times New Roman"/>
          <w:noProof/>
          <w:sz w:val="28"/>
          <w:szCs w:val="28"/>
          <w:lang w:val="ru-RU"/>
        </w:rPr>
      </w:pPr>
      <w:r w:rsidRPr="00B364A7">
        <w:rPr>
          <w:rFonts w:ascii="Times New Roman" w:hAnsi="Times New Roman"/>
          <w:noProof/>
          <w:sz w:val="28"/>
          <w:szCs w:val="28"/>
          <w:lang w:val="ru-RU"/>
        </w:rPr>
        <w:tab/>
        <w:t>Прокуратурите ангажирани с дейността по изпълнение на насаказията в частност СГП и СРП предприема незабавни мерки за своевременно привеждане на полечените за изпълнение присъди, като налагат забрани за напускате на страната, инициират се процедури за общодържавно и международно издирване, но ефективността в значителна стелен зависи от органите по издирване, методите им и стиковката между отделните звена.</w:t>
      </w:r>
    </w:p>
    <w:p w:rsidR="00DD1D27" w:rsidRPr="00B364A7" w:rsidRDefault="00DD1D27" w:rsidP="004D24A1">
      <w:pPr>
        <w:spacing w:after="0"/>
        <w:jc w:val="both"/>
        <w:rPr>
          <w:rFonts w:ascii="Times New Roman" w:eastAsia="Times New Roman" w:hAnsi="Times New Roman"/>
          <w:b/>
          <w:sz w:val="28"/>
          <w:szCs w:val="28"/>
          <w:lang w:eastAsia="bg-BG"/>
        </w:rPr>
      </w:pPr>
      <w:r w:rsidRPr="00B364A7">
        <w:rPr>
          <w:rFonts w:ascii="Times New Roman" w:eastAsia="Times New Roman" w:hAnsi="Times New Roman"/>
          <w:b/>
          <w:sz w:val="28"/>
          <w:szCs w:val="28"/>
          <w:lang w:eastAsia="bg-BG"/>
        </w:rPr>
        <w:tab/>
        <w:t>Участие в съдебни заседания по производства във връзка с изпълнение на наказания.</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В отчетния период на 2021г. бщия брой на участия в съдебни заседания във връзка с изпълнение на наказанията за двете прокуратури </w:t>
      </w:r>
      <w:r w:rsidRPr="00B364A7">
        <w:rPr>
          <w:rFonts w:ascii="Times New Roman" w:eastAsia="Times New Roman" w:hAnsi="Times New Roman"/>
          <w:sz w:val="28"/>
          <w:szCs w:val="28"/>
          <w:lang w:eastAsia="bg-BG"/>
        </w:rPr>
        <w:lastRenderedPageBreak/>
        <w:t xml:space="preserve">СГП и СРП е бил 857 броя, за сравнение през 2020г. този брой на участия в съдебни заседания във връзка с изпълнение на наказанията за двете прокуратури СГП и СРП е бил 894 броя, а за 2019г. е бил 690 броя.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От анализа на статистическите данни се вижда намаление на данните за 2021г. в сравнение с данните за 2020г. с 37 броя или с 4,14%, а в сравнение с 2019г. броят е намалял с 167 броя или с 23,20%.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 </w:t>
      </w:r>
      <w:r w:rsidRPr="00B364A7">
        <w:rPr>
          <w:rFonts w:ascii="Times New Roman" w:eastAsia="Times New Roman" w:hAnsi="Times New Roman"/>
          <w:sz w:val="28"/>
          <w:szCs w:val="28"/>
          <w:lang w:eastAsia="bg-BG"/>
        </w:rPr>
        <w:tab/>
        <w:t xml:space="preserve">Проведените заседания във връзка с производствата по изпълнение на наказанията за 2021г. са били 1412 броя, за същия период на 2020г. са били 1399 броя, а през 2019г. са били 1072 броя заседания. Тук се наблюдава плавно покачване на броя на заседанията за 2021г. спрямопредходните две години, като спрямо 2020г. броят е увеличен с 13 броя или с 0,93%, а спрямо 2019г. с 340 бр. или с 31,72%. </w:t>
      </w:r>
    </w:p>
    <w:p w:rsidR="00DD1D2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Графиката отразява разпределението на съдебните заседания по  прокуратури в периода 2019г.-2021г.</w:t>
      </w:r>
    </w:p>
    <w:p w:rsidR="00DD1D27" w:rsidRPr="00B364A7" w:rsidRDefault="00DD1D27" w:rsidP="004D24A1">
      <w:pPr>
        <w:spacing w:after="0"/>
        <w:jc w:val="both"/>
        <w:rPr>
          <w:rFonts w:ascii="Times New Roman" w:eastAsia="Times New Roman" w:hAnsi="Times New Roman"/>
          <w:sz w:val="28"/>
          <w:szCs w:val="28"/>
          <w:lang w:eastAsia="bg-BG"/>
        </w:rPr>
      </w:pPr>
    </w:p>
    <w:p w:rsidR="00DD1D27" w:rsidRPr="00EA468D" w:rsidRDefault="003515B0" w:rsidP="004D24A1">
      <w:pPr>
        <w:spacing w:after="0"/>
        <w:contextualSpacing/>
        <w:jc w:val="both"/>
        <w:rPr>
          <w:rFonts w:ascii="Times New Roman" w:eastAsia="Times New Roman" w:hAnsi="Times New Roman"/>
          <w:color w:val="00B050"/>
          <w:sz w:val="28"/>
          <w:szCs w:val="28"/>
          <w:lang w:eastAsia="bg-BG"/>
        </w:rPr>
      </w:pPr>
      <w:r w:rsidRPr="004B20C5">
        <w:rPr>
          <w:rFonts w:ascii="Times New Roman" w:eastAsia="Times New Roman" w:hAnsi="Times New Roman"/>
          <w:noProof/>
          <w:color w:val="00B050"/>
          <w:sz w:val="28"/>
          <w:szCs w:val="28"/>
          <w:lang w:eastAsia="bg-BG"/>
        </w:rPr>
        <w:drawing>
          <wp:inline distT="0" distB="0" distL="0" distR="0" wp14:anchorId="3BE18E31" wp14:editId="1EC21EC1">
            <wp:extent cx="2830830" cy="1820545"/>
            <wp:effectExtent l="0" t="0" r="0" b="0"/>
            <wp:docPr id="28" name="Об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DD1D27" w:rsidRPr="00EA468D">
        <w:rPr>
          <w:rFonts w:ascii="Times New Roman" w:eastAsia="Times New Roman" w:hAnsi="Times New Roman"/>
          <w:color w:val="00B050"/>
          <w:sz w:val="28"/>
          <w:szCs w:val="28"/>
          <w:lang w:eastAsia="bg-BG"/>
        </w:rPr>
        <w:t xml:space="preserve"> </w:t>
      </w:r>
      <w:r w:rsidRPr="004B20C5">
        <w:rPr>
          <w:rFonts w:ascii="Times New Roman" w:eastAsia="Times New Roman" w:hAnsi="Times New Roman"/>
          <w:noProof/>
          <w:color w:val="00B050"/>
          <w:sz w:val="28"/>
          <w:szCs w:val="28"/>
          <w:lang w:eastAsia="bg-BG"/>
        </w:rPr>
        <w:drawing>
          <wp:inline distT="0" distB="0" distL="0" distR="0" wp14:anchorId="5718B668" wp14:editId="42FFBF7C">
            <wp:extent cx="2830830" cy="1820545"/>
            <wp:effectExtent l="0" t="0" r="0" b="0"/>
            <wp:docPr id="29" name="Об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D1D27" w:rsidRPr="00EA468D">
        <w:rPr>
          <w:rFonts w:ascii="Times New Roman" w:eastAsia="Times New Roman" w:hAnsi="Times New Roman"/>
          <w:color w:val="00B050"/>
          <w:sz w:val="28"/>
          <w:szCs w:val="28"/>
          <w:lang w:eastAsia="bg-BG"/>
        </w:rPr>
        <w:t xml:space="preserve">    </w:t>
      </w:r>
    </w:p>
    <w:p w:rsidR="00DD1D27" w:rsidRPr="00B364A7" w:rsidRDefault="00DD1D27" w:rsidP="004D24A1">
      <w:pPr>
        <w:spacing w:after="0"/>
        <w:contextualSpacing/>
        <w:jc w:val="both"/>
        <w:rPr>
          <w:rFonts w:ascii="Times New Roman" w:eastAsia="Times New Roman" w:hAnsi="Times New Roman"/>
          <w:sz w:val="16"/>
          <w:szCs w:val="16"/>
          <w:lang w:eastAsia="bg-BG"/>
        </w:rPr>
      </w:pPr>
      <w:r w:rsidRPr="00B364A7">
        <w:rPr>
          <w:rFonts w:ascii="Times New Roman" w:eastAsia="Times New Roman" w:hAnsi="Times New Roman"/>
          <w:sz w:val="16"/>
          <w:szCs w:val="16"/>
          <w:lang w:eastAsia="bg-BG"/>
        </w:rPr>
        <w:t xml:space="preserve">  Фиг.5   Участие на прокурори от СГП в съдебни                         Фиг.6  Участие на прокурори от СРП в съдебни</w:t>
      </w:r>
    </w:p>
    <w:p w:rsidR="00DD1D27" w:rsidRPr="00B364A7" w:rsidRDefault="00DD1D27" w:rsidP="004D24A1">
      <w:pPr>
        <w:spacing w:after="0"/>
        <w:contextualSpacing/>
        <w:jc w:val="both"/>
        <w:rPr>
          <w:rFonts w:ascii="Times New Roman" w:eastAsia="Times New Roman" w:hAnsi="Times New Roman"/>
          <w:sz w:val="16"/>
          <w:szCs w:val="16"/>
          <w:lang w:eastAsia="bg-BG"/>
        </w:rPr>
      </w:pPr>
      <w:r w:rsidRPr="00B364A7">
        <w:rPr>
          <w:rFonts w:ascii="Times New Roman" w:eastAsia="Times New Roman" w:hAnsi="Times New Roman"/>
          <w:sz w:val="16"/>
          <w:szCs w:val="16"/>
          <w:lang w:eastAsia="bg-BG"/>
        </w:rPr>
        <w:t xml:space="preserve">                 заседания по производства във връзка с                                        заседания по производства във връзка с</w:t>
      </w:r>
    </w:p>
    <w:p w:rsidR="00DD1D27" w:rsidRPr="00B364A7" w:rsidRDefault="00DD1D27" w:rsidP="004D24A1">
      <w:pPr>
        <w:spacing w:after="0"/>
        <w:contextualSpacing/>
        <w:jc w:val="both"/>
        <w:rPr>
          <w:rFonts w:ascii="Times New Roman" w:eastAsia="Times New Roman" w:hAnsi="Times New Roman"/>
          <w:sz w:val="16"/>
          <w:szCs w:val="16"/>
          <w:lang w:eastAsia="bg-BG"/>
        </w:rPr>
      </w:pPr>
      <w:r w:rsidRPr="00B364A7">
        <w:rPr>
          <w:rFonts w:ascii="Times New Roman" w:eastAsia="Times New Roman" w:hAnsi="Times New Roman"/>
          <w:sz w:val="16"/>
          <w:szCs w:val="16"/>
          <w:lang w:eastAsia="bg-BG"/>
        </w:rPr>
        <w:t xml:space="preserve">                 изпълнение на наказания                                                                  изпълнение на наказания</w:t>
      </w:r>
    </w:p>
    <w:p w:rsidR="00DD1D27" w:rsidRPr="00B364A7" w:rsidRDefault="00DD1D27" w:rsidP="004D24A1">
      <w:pPr>
        <w:spacing w:after="0"/>
        <w:contextualSpacing/>
        <w:jc w:val="both"/>
        <w:rPr>
          <w:rFonts w:ascii="Times New Roman" w:eastAsia="Times New Roman" w:hAnsi="Times New Roman"/>
          <w:sz w:val="28"/>
          <w:szCs w:val="28"/>
          <w:lang w:eastAsia="bg-BG"/>
        </w:rPr>
      </w:pPr>
    </w:p>
    <w:p w:rsidR="00DD1D27" w:rsidRPr="00B364A7" w:rsidRDefault="00DD1D27" w:rsidP="004D24A1">
      <w:pPr>
        <w:spacing w:after="0"/>
        <w:ind w:firstLine="708"/>
        <w:jc w:val="both"/>
        <w:rPr>
          <w:rFonts w:ascii="Times New Roman" w:eastAsia="Times New Roman" w:hAnsi="Times New Roman"/>
          <w:b/>
          <w:sz w:val="28"/>
          <w:szCs w:val="28"/>
          <w:lang w:eastAsia="bg-BG"/>
        </w:rPr>
      </w:pPr>
      <w:r w:rsidRPr="00B364A7">
        <w:rPr>
          <w:rFonts w:ascii="Times New Roman" w:eastAsia="Times New Roman" w:hAnsi="Times New Roman"/>
          <w:b/>
          <w:sz w:val="28"/>
          <w:szCs w:val="28"/>
          <w:lang w:eastAsia="bg-BG"/>
        </w:rPr>
        <w:t xml:space="preserve">Проверки на местата за лишаване </w:t>
      </w:r>
    </w:p>
    <w:p w:rsidR="00DD1D27" w:rsidRPr="00B364A7" w:rsidRDefault="00DD1D27"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периода от 01.01.2021г. до 31.12.2021г. прокурорите от отдел „Международен, изпълнение на наказанията и наказателно-съдебен надзор“ в СГП, са осъществили 68 броя посещения на територията на Затвора, затворните общежития от закрит и открит тип, „Кремиковци“ и „Казичене“ и ареста на бул.“Г.М.Димитров“№42, като са осъществили пряк контрол върху дейността по изпълнение на наказанията. За сравнение през през същият период на 2020г. посещенията са били 71 броя, а през 2019г. посещенията са били 57 броя, а през 2019г. посещенията са били 113 броя. Извършени са били 2 тематична проверка на </w:t>
      </w:r>
      <w:r w:rsidRPr="00B364A7">
        <w:rPr>
          <w:rFonts w:ascii="Times New Roman" w:hAnsi="Times New Roman"/>
          <w:sz w:val="28"/>
          <w:szCs w:val="28"/>
        </w:rPr>
        <w:t xml:space="preserve">Затвора гр. София, ЗО „Кремиковци“ и ЗО „Казичене“. Със заповед №РД-04-385/04.06.2021г. на адм.ръководител, градски прокурор на СГП е разпоредена внезапна проверка в местата за лишаване от свобода, в това число Затвора-София, </w:t>
      </w:r>
      <w:r w:rsidRPr="00B364A7">
        <w:rPr>
          <w:rFonts w:ascii="Times New Roman" w:hAnsi="Times New Roman"/>
          <w:sz w:val="28"/>
          <w:szCs w:val="28"/>
        </w:rPr>
        <w:lastRenderedPageBreak/>
        <w:t xml:space="preserve">затворническите общежития „Казичене“ и „Кремиковци“ по повод спазване на разпоредбите на чл.97 и чл.122 ЗИНЗС и съответната актуална заповед на Министъра на правосъдието, регламентираща притежаването и забраната за притежаване и ползване на вещи и предмети от лишените от свобода. Резултатите са докладвани по реда посочен в заповедта на Главния прокурор на Апелативна прокуратура-София. Отделно от това със заповед №РД-04-678/01.10.2021г. на адм.ръководител, градски прокурор на СГП е разпоредено извършване на тематична проверка в местата за лишаване от свобода относно начина и реда на изпълнение на укази за помилване, определения за условно предсрочно и предсрочно освобождаване, както и на актовете за освобождаване от местата за лишаване от свобода по реда на НПК, които са получени в периода 01.01.2019г. до 30.09.2021г. Относно резултатите и констатазиите от проверката е изготвен надлежен доклад до Апелативна прокуратура – София. </w:t>
      </w:r>
    </w:p>
    <w:p w:rsidR="00DD1D27" w:rsidRPr="00B364A7" w:rsidRDefault="00DD1D27"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 </w:t>
      </w:r>
    </w:p>
    <w:p w:rsidR="00DD1D27" w:rsidRPr="00B364A7" w:rsidRDefault="00DD1D27" w:rsidP="004D24A1">
      <w:pPr>
        <w:spacing w:after="0"/>
        <w:jc w:val="both"/>
        <w:rPr>
          <w:rFonts w:ascii="Times New Roman" w:eastAsia="Times New Roman" w:hAnsi="Times New Roman"/>
          <w:b/>
          <w:sz w:val="28"/>
          <w:szCs w:val="28"/>
          <w:lang w:eastAsia="bg-BG"/>
        </w:rPr>
      </w:pPr>
      <w:r w:rsidRPr="00B364A7">
        <w:rPr>
          <w:rFonts w:ascii="Times New Roman" w:eastAsia="Times New Roman" w:hAnsi="Times New Roman"/>
          <w:b/>
          <w:sz w:val="28"/>
          <w:szCs w:val="28"/>
          <w:lang w:eastAsia="bg-BG"/>
        </w:rPr>
        <w:tab/>
        <w:t>Принудителни мерки.</w:t>
      </w:r>
    </w:p>
    <w:p w:rsidR="00DD1D27" w:rsidRPr="00B364A7" w:rsidRDefault="00DD1D27" w:rsidP="004D24A1">
      <w:pPr>
        <w:autoSpaceDE w:val="0"/>
        <w:autoSpaceDN w:val="0"/>
        <w:adjustRightInd w:val="0"/>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Предвид компетентността на СГП, прокурорите ангажирани с дейността по изпълнение на наказанията не вземат участие в производства,  свързани с принудителни мерки. </w:t>
      </w:r>
    </w:p>
    <w:p w:rsidR="00DD1D27" w:rsidRPr="00B364A7" w:rsidRDefault="00DD1D27" w:rsidP="004D24A1">
      <w:pPr>
        <w:spacing w:after="0"/>
        <w:ind w:left="20" w:right="20" w:firstLine="700"/>
        <w:jc w:val="both"/>
        <w:rPr>
          <w:rFonts w:ascii="Times New Roman" w:eastAsia="Times New Roman" w:hAnsi="Times New Roman"/>
          <w:sz w:val="28"/>
          <w:szCs w:val="28"/>
        </w:rPr>
      </w:pPr>
      <w:r w:rsidRPr="00B364A7">
        <w:rPr>
          <w:rFonts w:ascii="Times New Roman" w:eastAsia="Times New Roman" w:hAnsi="Times New Roman"/>
          <w:sz w:val="28"/>
          <w:szCs w:val="28"/>
        </w:rPr>
        <w:t>Общият брой на наблюдаваните в СРП през 2021 г. преписки, касаещи принудително и задължително настаняване и лечение на психично болни лица е 1639 броя /за 2020 г. те са 1354 броя, а за 2019г. – 1268 броя/, което е увеличение с 21,05% спрямо 2020г. и увеличения с 29,26% спрямо броя на преписките за 2019г.</w:t>
      </w:r>
    </w:p>
    <w:p w:rsidR="00DD1D27" w:rsidRPr="00B364A7" w:rsidRDefault="00DD1D27" w:rsidP="004D24A1">
      <w:pPr>
        <w:spacing w:after="0"/>
        <w:ind w:left="20" w:right="20" w:firstLine="70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Общо за отчетния период на 2021г. новообразувани преписки във връзка с принудителните мерки са били са били 1219 броя, за 2020г. новообразувани преписки са били 1215 броя, а за 2019г. техният брой е бил 1206 броя преписки. При този показател през 2021г. се наблюдава ръст на увеличение спрямо предходните години съответно 4 броя или с 0,33% а спрямо 2019г.  с 13 броя или с 1,08% спрямо същият период на 2021г.</w:t>
      </w:r>
    </w:p>
    <w:p w:rsidR="00DD1D27" w:rsidRPr="00B364A7" w:rsidRDefault="00DD1D27" w:rsidP="004D24A1">
      <w:pPr>
        <w:tabs>
          <w:tab w:val="left" w:pos="709"/>
        </w:tabs>
        <w:autoSpaceDN w:val="0"/>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През 2021г. в съда са внесени общо 244 броя искания по реда на чл.155 – 157 Закона за здравето и предложения по чл.89 от НК, за сравнение през 2020 г. те са били 215 броя, а за 2019г. те са 264 броя, което е увеличение с 13,49% на данните за 2021г. спрямо предходната 2020г. и намаление с 7,58% спрямо данните за 2019г.</w:t>
      </w:r>
    </w:p>
    <w:p w:rsidR="00DD1D27" w:rsidRPr="00B364A7" w:rsidRDefault="00DD1D27" w:rsidP="004D24A1">
      <w:pPr>
        <w:tabs>
          <w:tab w:val="left" w:pos="709"/>
        </w:tabs>
        <w:autoSpaceDN w:val="0"/>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Общият брой на разгледаните от съда през отчетния период наказателни частни дела е 172 броя, за сравнение през 2020 г. те са били 150 броя, а за 2019 г. – 196  броя, или увеличение спрямо 2020 г. с 14,67% и намаление спрямо 2019 г. с 12,24 %.</w:t>
      </w:r>
    </w:p>
    <w:p w:rsidR="00DD1D27" w:rsidRPr="00B364A7" w:rsidRDefault="00DD1D27" w:rsidP="004D24A1">
      <w:pPr>
        <w:spacing w:after="0"/>
        <w:ind w:left="20" w:right="20" w:firstLine="700"/>
        <w:jc w:val="both"/>
        <w:rPr>
          <w:rFonts w:ascii="Times New Roman" w:eastAsia="Times New Roman" w:hAnsi="Times New Roman"/>
          <w:iCs/>
          <w:sz w:val="28"/>
          <w:szCs w:val="28"/>
          <w:lang w:eastAsia="bg-BG"/>
        </w:rPr>
      </w:pPr>
      <w:r w:rsidRPr="00B364A7">
        <w:rPr>
          <w:rFonts w:ascii="Times New Roman" w:eastAsia="Times New Roman" w:hAnsi="Times New Roman"/>
          <w:sz w:val="28"/>
          <w:szCs w:val="28"/>
          <w:lang w:eastAsia="bg-BG"/>
        </w:rPr>
        <w:lastRenderedPageBreak/>
        <w:t>От внесените и разгледани искания от СРП пред СРС са уважени от съда са били 121 броя искания, за 2020 г. те са били 104  броя, а за 2019 г. – 143 броя;  и прекратени от съда - 42 броя</w:t>
      </w:r>
      <w:r w:rsidRPr="00B364A7">
        <w:rPr>
          <w:rFonts w:ascii="Times New Roman" w:eastAsia="Times New Roman" w:hAnsi="Times New Roman"/>
          <w:iCs/>
          <w:sz w:val="28"/>
          <w:szCs w:val="28"/>
          <w:lang w:eastAsia="bg-BG"/>
        </w:rPr>
        <w:t xml:space="preserve">. </w:t>
      </w:r>
    </w:p>
    <w:p w:rsidR="00DD1D27" w:rsidRPr="00B364A7" w:rsidRDefault="00DD1D27" w:rsidP="004D24A1">
      <w:pPr>
        <w:spacing w:after="0"/>
        <w:ind w:left="20" w:right="20" w:firstLine="70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Прекратените дела от съда през 2021г. са били 42 броя дела във връзка с принудителни мерки за лечение, за 2020г. са били прекратени 39 броя, за 2019г. са били прекратени 38 броя. Статистическото сравнение на данните за 2021г. показва, че спрямо 2020г. се наблюдава увеличение с 3 броя, или 7,69%, а спрямо 2019г. има намаляване с 4 броя или 10,53%.</w:t>
      </w:r>
    </w:p>
    <w:p w:rsidR="00DD1D27" w:rsidRPr="00B364A7" w:rsidRDefault="00DD1D27" w:rsidP="004D24A1">
      <w:pPr>
        <w:spacing w:after="0"/>
        <w:ind w:left="20" w:right="20" w:firstLine="70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В отчетния период на 2021г. прокурорите от СРП са участвали в 1439 броя съдебни заседания по предложения и искания във връзка с принудителни мерки, за същия период на 2020г. съдебни заседания по предложения и искания във връзка с принудителни мерки са били 1394 броя, а за 2019г. техния брой е бил 1503 броя. При сравнение на данните от 2021г. с предходния период на 2020г. се констатира увеличение на броя на участия в съдебни заседания е с 45 броя или с 3,23%, а в сравнение с 2019г. се установява намаление с 64 броя, или с 4,26%.</w:t>
      </w:r>
    </w:p>
    <w:p w:rsidR="00DD1D27" w:rsidRDefault="00DD1D27" w:rsidP="004D24A1">
      <w:pPr>
        <w:spacing w:after="0"/>
        <w:ind w:firstLine="708"/>
        <w:jc w:val="both"/>
        <w:rPr>
          <w:rFonts w:ascii="Times New Roman" w:hAnsi="Times New Roman"/>
          <w:sz w:val="28"/>
          <w:szCs w:val="28"/>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r w:rsidRPr="006605D3">
        <w:rPr>
          <w:rFonts w:ascii="Times New Roman" w:eastAsia="Times New Roman" w:hAnsi="Times New Roman"/>
          <w:b/>
          <w:sz w:val="28"/>
          <w:szCs w:val="28"/>
        </w:rPr>
        <w:t>ІІІ. 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6605D3" w:rsidRPr="006605D3" w:rsidRDefault="006605D3" w:rsidP="004D24A1">
      <w:pPr>
        <w:overflowPunct w:val="0"/>
        <w:autoSpaceDE w:val="0"/>
        <w:autoSpaceDN w:val="0"/>
        <w:adjustRightInd w:val="0"/>
        <w:spacing w:after="0"/>
        <w:jc w:val="both"/>
        <w:textAlignment w:val="baseline"/>
        <w:rPr>
          <w:rFonts w:ascii="Times New Roman" w:eastAsia="Times New Roman" w:hAnsi="Times New Roman"/>
          <w:b/>
          <w:sz w:val="28"/>
          <w:szCs w:val="28"/>
        </w:rPr>
      </w:pP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Обобщените данни за отчетния период на 20</w:t>
      </w:r>
      <w:r w:rsidRPr="006605D3">
        <w:rPr>
          <w:rFonts w:ascii="Times New Roman" w:hAnsi="Times New Roman"/>
          <w:sz w:val="28"/>
          <w:szCs w:val="28"/>
          <w:lang w:val="en-US"/>
        </w:rPr>
        <w:t>2</w:t>
      </w:r>
      <w:r w:rsidRPr="006605D3">
        <w:rPr>
          <w:rFonts w:ascii="Times New Roman" w:hAnsi="Times New Roman"/>
          <w:sz w:val="28"/>
          <w:szCs w:val="28"/>
        </w:rPr>
        <w:t>1 г., касаещи дейността на Софийска градска прокуратура и Софийска районна прокуратура, по дела взети на специален надзор, включително наблюдавани от ВСС са следните:</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Общо наблюдаваните досъдебни производства и за двете прокуратури са </w:t>
      </w:r>
      <w:r w:rsidRPr="006605D3">
        <w:rPr>
          <w:rFonts w:ascii="Times New Roman" w:hAnsi="Times New Roman"/>
          <w:b/>
          <w:sz w:val="28"/>
          <w:szCs w:val="28"/>
        </w:rPr>
        <w:t>2</w:t>
      </w:r>
      <w:r w:rsidRPr="006605D3">
        <w:rPr>
          <w:rFonts w:ascii="Times New Roman" w:hAnsi="Times New Roman"/>
          <w:b/>
          <w:sz w:val="28"/>
          <w:szCs w:val="28"/>
          <w:lang w:val="en-US"/>
        </w:rPr>
        <w:t>3</w:t>
      </w:r>
      <w:r w:rsidRPr="006605D3">
        <w:rPr>
          <w:rFonts w:ascii="Times New Roman" w:hAnsi="Times New Roman"/>
          <w:b/>
          <w:sz w:val="28"/>
          <w:szCs w:val="28"/>
        </w:rPr>
        <w:t>9</w:t>
      </w:r>
      <w:r w:rsidRPr="006605D3">
        <w:rPr>
          <w:rFonts w:ascii="Times New Roman" w:hAnsi="Times New Roman"/>
          <w:sz w:val="28"/>
          <w:szCs w:val="28"/>
        </w:rPr>
        <w:t xml:space="preserve"> броя. От тях новообразувани са </w:t>
      </w:r>
      <w:r w:rsidRPr="006605D3">
        <w:rPr>
          <w:rFonts w:ascii="Times New Roman" w:hAnsi="Times New Roman"/>
          <w:b/>
          <w:sz w:val="28"/>
          <w:szCs w:val="28"/>
        </w:rPr>
        <w:t>56</w:t>
      </w:r>
      <w:r w:rsidRPr="006605D3">
        <w:rPr>
          <w:rFonts w:ascii="Times New Roman" w:hAnsi="Times New Roman"/>
          <w:sz w:val="28"/>
          <w:szCs w:val="28"/>
        </w:rPr>
        <w:t xml:space="preserve"> дела.</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Превес имат наблюдаваните дела със значим обществен интерес, образувани по преценка на ГП, зам.- гл. прокурор или апелативен прокурор – </w:t>
      </w:r>
      <w:r w:rsidRPr="006605D3">
        <w:rPr>
          <w:rFonts w:ascii="Times New Roman" w:hAnsi="Times New Roman"/>
          <w:b/>
          <w:sz w:val="28"/>
          <w:szCs w:val="28"/>
        </w:rPr>
        <w:t xml:space="preserve">88 </w:t>
      </w:r>
      <w:r w:rsidRPr="006605D3">
        <w:rPr>
          <w:rFonts w:ascii="Times New Roman" w:hAnsi="Times New Roman"/>
          <w:sz w:val="28"/>
          <w:szCs w:val="28"/>
        </w:rPr>
        <w:t xml:space="preserve">броя, следвани от делата, образувани за корупционни престъпления – </w:t>
      </w:r>
      <w:r w:rsidRPr="006605D3">
        <w:rPr>
          <w:rFonts w:ascii="Times New Roman" w:hAnsi="Times New Roman"/>
          <w:b/>
          <w:sz w:val="28"/>
          <w:szCs w:val="28"/>
        </w:rPr>
        <w:t>56</w:t>
      </w:r>
      <w:r w:rsidRPr="006605D3">
        <w:rPr>
          <w:rFonts w:ascii="Times New Roman" w:hAnsi="Times New Roman"/>
          <w:sz w:val="28"/>
          <w:szCs w:val="28"/>
        </w:rPr>
        <w:t xml:space="preserve"> броя. Делата за убийства с особен обществен интерес са </w:t>
      </w:r>
      <w:r w:rsidRPr="006605D3">
        <w:rPr>
          <w:rFonts w:ascii="Times New Roman" w:hAnsi="Times New Roman"/>
          <w:b/>
          <w:sz w:val="28"/>
          <w:szCs w:val="28"/>
        </w:rPr>
        <w:t xml:space="preserve">35 </w:t>
      </w:r>
      <w:r w:rsidRPr="006605D3">
        <w:rPr>
          <w:rFonts w:ascii="Times New Roman" w:hAnsi="Times New Roman"/>
          <w:sz w:val="28"/>
          <w:szCs w:val="28"/>
        </w:rPr>
        <w:t xml:space="preserve">броя. През 2021 г. са наблюдавани </w:t>
      </w:r>
      <w:r w:rsidRPr="006605D3">
        <w:rPr>
          <w:rFonts w:ascii="Times New Roman" w:hAnsi="Times New Roman"/>
          <w:b/>
          <w:sz w:val="28"/>
          <w:szCs w:val="28"/>
        </w:rPr>
        <w:t>25</w:t>
      </w:r>
      <w:r w:rsidRPr="006605D3">
        <w:rPr>
          <w:rFonts w:ascii="Times New Roman" w:hAnsi="Times New Roman"/>
          <w:sz w:val="28"/>
          <w:szCs w:val="28"/>
        </w:rPr>
        <w:t xml:space="preserve"> броя разследвания за документни, данъчни и финансови измами, от които </w:t>
      </w:r>
      <w:r w:rsidRPr="006605D3">
        <w:rPr>
          <w:rFonts w:ascii="Times New Roman" w:hAnsi="Times New Roman"/>
          <w:b/>
          <w:sz w:val="28"/>
          <w:szCs w:val="28"/>
        </w:rPr>
        <w:t xml:space="preserve">8 </w:t>
      </w:r>
      <w:r w:rsidRPr="006605D3">
        <w:rPr>
          <w:rFonts w:ascii="Times New Roman" w:hAnsi="Times New Roman"/>
          <w:sz w:val="28"/>
          <w:szCs w:val="28"/>
        </w:rPr>
        <w:t xml:space="preserve">новообразувани и </w:t>
      </w:r>
      <w:r w:rsidRPr="006605D3">
        <w:rPr>
          <w:rFonts w:ascii="Times New Roman" w:hAnsi="Times New Roman"/>
          <w:b/>
          <w:sz w:val="28"/>
          <w:szCs w:val="28"/>
        </w:rPr>
        <w:t>12</w:t>
      </w:r>
      <w:r w:rsidRPr="006605D3">
        <w:rPr>
          <w:rFonts w:ascii="Times New Roman" w:hAnsi="Times New Roman"/>
          <w:sz w:val="28"/>
          <w:szCs w:val="28"/>
        </w:rPr>
        <w:t xml:space="preserve"> броя дела за пране на пари, от които </w:t>
      </w:r>
      <w:r w:rsidRPr="006605D3">
        <w:rPr>
          <w:rFonts w:ascii="Times New Roman" w:hAnsi="Times New Roman"/>
          <w:b/>
          <w:sz w:val="28"/>
          <w:szCs w:val="28"/>
        </w:rPr>
        <w:t>2</w:t>
      </w:r>
      <w:r w:rsidRPr="006605D3">
        <w:rPr>
          <w:rFonts w:ascii="Times New Roman" w:hAnsi="Times New Roman"/>
          <w:sz w:val="28"/>
          <w:szCs w:val="28"/>
        </w:rPr>
        <w:t xml:space="preserve"> новообразувани.  Следват  дела за злоупотреби с ЕФ – </w:t>
      </w:r>
      <w:r w:rsidRPr="006605D3">
        <w:rPr>
          <w:rFonts w:ascii="Times New Roman" w:hAnsi="Times New Roman"/>
          <w:b/>
          <w:sz w:val="28"/>
          <w:szCs w:val="28"/>
        </w:rPr>
        <w:t>11 броя</w:t>
      </w:r>
      <w:r w:rsidRPr="006605D3">
        <w:rPr>
          <w:rFonts w:ascii="Times New Roman" w:hAnsi="Times New Roman"/>
          <w:sz w:val="28"/>
          <w:szCs w:val="28"/>
        </w:rPr>
        <w:t xml:space="preserve">, от които </w:t>
      </w:r>
      <w:r w:rsidRPr="006605D3">
        <w:rPr>
          <w:rFonts w:ascii="Times New Roman" w:hAnsi="Times New Roman"/>
          <w:b/>
          <w:sz w:val="28"/>
          <w:szCs w:val="28"/>
        </w:rPr>
        <w:t>2</w:t>
      </w:r>
      <w:r w:rsidRPr="006605D3">
        <w:rPr>
          <w:rFonts w:ascii="Times New Roman" w:hAnsi="Times New Roman"/>
          <w:sz w:val="28"/>
          <w:szCs w:val="28"/>
        </w:rPr>
        <w:t xml:space="preserve"> образувани.</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Делата, водени срещу ръководители, зам.-ръководители и членове на независими институции, създадени със закон; държавни изпълнителни агенции и комисии през 2021г. са </w:t>
      </w:r>
      <w:r w:rsidRPr="006605D3">
        <w:rPr>
          <w:rFonts w:ascii="Times New Roman" w:hAnsi="Times New Roman"/>
          <w:b/>
          <w:sz w:val="28"/>
          <w:szCs w:val="28"/>
        </w:rPr>
        <w:t>6</w:t>
      </w:r>
      <w:r w:rsidRPr="006605D3">
        <w:rPr>
          <w:rFonts w:ascii="Times New Roman" w:hAnsi="Times New Roman"/>
          <w:sz w:val="28"/>
          <w:szCs w:val="28"/>
        </w:rPr>
        <w:t xml:space="preserve"> броя, дела за организирана престъпност </w:t>
      </w:r>
      <w:r w:rsidRPr="006605D3">
        <w:rPr>
          <w:rFonts w:ascii="Times New Roman" w:hAnsi="Times New Roman"/>
          <w:sz w:val="28"/>
          <w:szCs w:val="28"/>
        </w:rPr>
        <w:lastRenderedPageBreak/>
        <w:t xml:space="preserve">са </w:t>
      </w:r>
      <w:r w:rsidRPr="006605D3">
        <w:rPr>
          <w:rFonts w:ascii="Times New Roman" w:hAnsi="Times New Roman"/>
          <w:b/>
          <w:sz w:val="28"/>
          <w:szCs w:val="28"/>
        </w:rPr>
        <w:t>3</w:t>
      </w:r>
      <w:r w:rsidRPr="006605D3">
        <w:rPr>
          <w:rFonts w:ascii="Times New Roman" w:hAnsi="Times New Roman"/>
          <w:sz w:val="28"/>
          <w:szCs w:val="28"/>
        </w:rPr>
        <w:t xml:space="preserve"> броя и дела срещу министри – </w:t>
      </w:r>
      <w:r w:rsidRPr="006605D3">
        <w:rPr>
          <w:rFonts w:ascii="Times New Roman" w:hAnsi="Times New Roman"/>
          <w:b/>
          <w:sz w:val="28"/>
          <w:szCs w:val="28"/>
        </w:rPr>
        <w:t>2</w:t>
      </w:r>
      <w:r w:rsidRPr="006605D3">
        <w:rPr>
          <w:rFonts w:ascii="Times New Roman" w:hAnsi="Times New Roman"/>
          <w:sz w:val="28"/>
          <w:szCs w:val="28"/>
        </w:rPr>
        <w:t xml:space="preserve"> броя. През 2021г. е наблюдавано  </w:t>
      </w:r>
      <w:r w:rsidRPr="006605D3">
        <w:rPr>
          <w:rFonts w:ascii="Times New Roman" w:hAnsi="Times New Roman"/>
          <w:b/>
          <w:sz w:val="28"/>
          <w:szCs w:val="28"/>
        </w:rPr>
        <w:t>1</w:t>
      </w:r>
      <w:r w:rsidRPr="006605D3">
        <w:rPr>
          <w:rFonts w:ascii="Times New Roman" w:hAnsi="Times New Roman"/>
          <w:sz w:val="28"/>
          <w:szCs w:val="28"/>
        </w:rPr>
        <w:t xml:space="preserve"> дело срещу кметове, зам.- кметове и председатели на общински съвети.</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Срещу народни представители, заместник –министри, главни комисари в МВР и генерали в МО и БА, както и срещу магистрати, през отчетния период </w:t>
      </w:r>
      <w:r w:rsidRPr="006605D3">
        <w:rPr>
          <w:rFonts w:ascii="Times New Roman" w:hAnsi="Times New Roman"/>
          <w:b/>
          <w:sz w:val="28"/>
          <w:szCs w:val="28"/>
        </w:rPr>
        <w:t>няма</w:t>
      </w:r>
      <w:r w:rsidRPr="006605D3">
        <w:rPr>
          <w:rFonts w:ascii="Times New Roman" w:hAnsi="Times New Roman"/>
          <w:sz w:val="28"/>
          <w:szCs w:val="28"/>
        </w:rPr>
        <w:t xml:space="preserve"> образувани и наблюдавани дела.</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color w:val="000000"/>
          <w:sz w:val="28"/>
          <w:szCs w:val="28"/>
        </w:rPr>
        <w:t xml:space="preserve">Затвърждава се тенденцията от предходния период, най – висок ръст да бележат </w:t>
      </w:r>
      <w:r w:rsidRPr="006605D3">
        <w:rPr>
          <w:rFonts w:ascii="Times New Roman" w:hAnsi="Times New Roman"/>
          <w:sz w:val="28"/>
          <w:szCs w:val="28"/>
        </w:rPr>
        <w:t xml:space="preserve">делата със значим обществен интерес, образувани по преценка на ГП, зам.- гл. прокурор или апелативен прокурор </w:t>
      </w:r>
      <w:r w:rsidRPr="006605D3">
        <w:rPr>
          <w:rFonts w:ascii="Times New Roman" w:hAnsi="Times New Roman"/>
          <w:color w:val="000000"/>
          <w:sz w:val="28"/>
          <w:szCs w:val="28"/>
        </w:rPr>
        <w:t xml:space="preserve">– </w:t>
      </w:r>
      <w:r w:rsidRPr="006605D3">
        <w:rPr>
          <w:rFonts w:ascii="Times New Roman" w:hAnsi="Times New Roman"/>
          <w:b/>
          <w:color w:val="000000"/>
          <w:sz w:val="28"/>
          <w:szCs w:val="28"/>
        </w:rPr>
        <w:t xml:space="preserve">36,82%,  </w:t>
      </w:r>
      <w:r w:rsidRPr="006605D3">
        <w:rPr>
          <w:rFonts w:ascii="Times New Roman" w:hAnsi="Times New Roman"/>
          <w:color w:val="000000"/>
          <w:sz w:val="28"/>
          <w:szCs w:val="28"/>
        </w:rPr>
        <w:t xml:space="preserve">като статистическите данни сочат, че от общо наблюдаваните досъдебни производства, делата за корупционни престъпления са </w:t>
      </w:r>
      <w:r w:rsidRPr="006605D3">
        <w:rPr>
          <w:rFonts w:ascii="Times New Roman" w:hAnsi="Times New Roman"/>
          <w:b/>
          <w:color w:val="000000"/>
          <w:sz w:val="28"/>
          <w:szCs w:val="28"/>
        </w:rPr>
        <w:t>23,43%</w:t>
      </w:r>
      <w:r w:rsidRPr="006605D3">
        <w:rPr>
          <w:rFonts w:ascii="Times New Roman" w:hAnsi="Times New Roman"/>
          <w:color w:val="000000"/>
          <w:sz w:val="28"/>
          <w:szCs w:val="28"/>
        </w:rPr>
        <w:t xml:space="preserve">. </w:t>
      </w:r>
      <w:r w:rsidRPr="006605D3">
        <w:rPr>
          <w:rFonts w:ascii="Times New Roman" w:hAnsi="Times New Roman"/>
          <w:sz w:val="28"/>
          <w:szCs w:val="28"/>
        </w:rPr>
        <w:t xml:space="preserve">За отчетния период са приключени от разследващ орган </w:t>
      </w:r>
      <w:r w:rsidRPr="006605D3">
        <w:rPr>
          <w:rFonts w:ascii="Times New Roman" w:hAnsi="Times New Roman"/>
          <w:b/>
          <w:sz w:val="28"/>
          <w:szCs w:val="28"/>
        </w:rPr>
        <w:t xml:space="preserve">131 </w:t>
      </w:r>
      <w:r w:rsidRPr="006605D3">
        <w:rPr>
          <w:rFonts w:ascii="Times New Roman" w:hAnsi="Times New Roman"/>
          <w:sz w:val="28"/>
          <w:szCs w:val="28"/>
        </w:rPr>
        <w:t xml:space="preserve">досъдебни производства. От тях прекратени от прокурор са </w:t>
      </w:r>
      <w:r w:rsidRPr="006605D3">
        <w:rPr>
          <w:rFonts w:ascii="Times New Roman" w:hAnsi="Times New Roman"/>
          <w:b/>
          <w:sz w:val="28"/>
          <w:szCs w:val="28"/>
        </w:rPr>
        <w:t>55</w:t>
      </w:r>
      <w:r w:rsidRPr="006605D3">
        <w:rPr>
          <w:rFonts w:ascii="Times New Roman" w:hAnsi="Times New Roman"/>
          <w:sz w:val="28"/>
          <w:szCs w:val="28"/>
        </w:rPr>
        <w:t xml:space="preserve"> броя, а внесени в съда с прокурорски акт са </w:t>
      </w:r>
      <w:r w:rsidRPr="006605D3">
        <w:rPr>
          <w:rFonts w:ascii="Times New Roman" w:hAnsi="Times New Roman"/>
          <w:b/>
          <w:sz w:val="28"/>
          <w:szCs w:val="28"/>
        </w:rPr>
        <w:t>34</w:t>
      </w:r>
      <w:r w:rsidRPr="006605D3">
        <w:rPr>
          <w:rFonts w:ascii="Times New Roman" w:hAnsi="Times New Roman"/>
          <w:sz w:val="28"/>
          <w:szCs w:val="28"/>
        </w:rPr>
        <w:t xml:space="preserve"> дела. </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Неприключилите дела за отчетния период са общо </w:t>
      </w:r>
      <w:r w:rsidRPr="006605D3">
        <w:rPr>
          <w:rFonts w:ascii="Times New Roman" w:hAnsi="Times New Roman"/>
          <w:b/>
          <w:sz w:val="28"/>
          <w:szCs w:val="28"/>
        </w:rPr>
        <w:t>104</w:t>
      </w:r>
      <w:r w:rsidRPr="006605D3">
        <w:rPr>
          <w:rFonts w:ascii="Times New Roman" w:hAnsi="Times New Roman"/>
          <w:sz w:val="28"/>
          <w:szCs w:val="28"/>
        </w:rPr>
        <w:t xml:space="preserve"> броя. </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Предадени на съд са </w:t>
      </w:r>
      <w:r w:rsidRPr="006605D3">
        <w:rPr>
          <w:rFonts w:ascii="Times New Roman" w:hAnsi="Times New Roman"/>
          <w:b/>
          <w:sz w:val="28"/>
          <w:szCs w:val="28"/>
        </w:rPr>
        <w:t>74</w:t>
      </w:r>
      <w:r w:rsidRPr="006605D3">
        <w:rPr>
          <w:rFonts w:ascii="Times New Roman" w:hAnsi="Times New Roman"/>
          <w:sz w:val="28"/>
          <w:szCs w:val="28"/>
        </w:rPr>
        <w:t xml:space="preserve"> лица, от които:</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 осъдени са </w:t>
      </w:r>
      <w:r w:rsidRPr="006605D3">
        <w:rPr>
          <w:rFonts w:ascii="Times New Roman" w:hAnsi="Times New Roman"/>
          <w:b/>
          <w:sz w:val="28"/>
          <w:szCs w:val="28"/>
        </w:rPr>
        <w:t>15</w:t>
      </w:r>
      <w:r w:rsidRPr="006605D3">
        <w:rPr>
          <w:rFonts w:ascii="Times New Roman" w:hAnsi="Times New Roman"/>
          <w:sz w:val="28"/>
          <w:szCs w:val="28"/>
        </w:rPr>
        <w:t xml:space="preserve"> лица, като за </w:t>
      </w:r>
      <w:r w:rsidRPr="006605D3">
        <w:rPr>
          <w:rFonts w:ascii="Times New Roman" w:hAnsi="Times New Roman"/>
          <w:b/>
          <w:sz w:val="28"/>
          <w:szCs w:val="28"/>
        </w:rPr>
        <w:t>1</w:t>
      </w:r>
      <w:r w:rsidRPr="006605D3">
        <w:rPr>
          <w:rFonts w:ascii="Times New Roman" w:hAnsi="Times New Roman"/>
          <w:sz w:val="28"/>
          <w:szCs w:val="28"/>
        </w:rPr>
        <w:t xml:space="preserve"> лице е влязъл в сила съдебният акт;</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 оправдани са </w:t>
      </w:r>
      <w:r w:rsidRPr="006605D3">
        <w:rPr>
          <w:rFonts w:ascii="Times New Roman" w:hAnsi="Times New Roman"/>
          <w:b/>
          <w:sz w:val="28"/>
          <w:szCs w:val="28"/>
        </w:rPr>
        <w:t>20</w:t>
      </w:r>
      <w:r w:rsidRPr="006605D3">
        <w:rPr>
          <w:rFonts w:ascii="Times New Roman" w:hAnsi="Times New Roman"/>
          <w:sz w:val="28"/>
          <w:szCs w:val="28"/>
        </w:rPr>
        <w:t xml:space="preserve"> лица, като за </w:t>
      </w:r>
      <w:r w:rsidRPr="006605D3">
        <w:rPr>
          <w:rFonts w:ascii="Times New Roman" w:hAnsi="Times New Roman"/>
          <w:b/>
          <w:sz w:val="28"/>
          <w:szCs w:val="28"/>
        </w:rPr>
        <w:t>7</w:t>
      </w:r>
      <w:r w:rsidRPr="006605D3">
        <w:rPr>
          <w:rFonts w:ascii="Times New Roman" w:hAnsi="Times New Roman"/>
          <w:sz w:val="28"/>
          <w:szCs w:val="28"/>
        </w:rPr>
        <w:t xml:space="preserve"> лица е влязъл в сила съдебният акт.</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В процентно съотношение внесените в съда дела са </w:t>
      </w:r>
      <w:r w:rsidRPr="006605D3">
        <w:rPr>
          <w:rFonts w:ascii="Times New Roman" w:hAnsi="Times New Roman"/>
          <w:b/>
          <w:sz w:val="28"/>
          <w:szCs w:val="28"/>
        </w:rPr>
        <w:t>14,22 %</w:t>
      </w:r>
      <w:r w:rsidRPr="006605D3">
        <w:rPr>
          <w:rFonts w:ascii="Times New Roman" w:hAnsi="Times New Roman"/>
          <w:sz w:val="28"/>
          <w:szCs w:val="28"/>
        </w:rPr>
        <w:t xml:space="preserve"> от общо наблюдаваните дела, а прекратените са </w:t>
      </w:r>
      <w:r w:rsidRPr="006605D3">
        <w:rPr>
          <w:rFonts w:ascii="Times New Roman" w:hAnsi="Times New Roman"/>
          <w:b/>
          <w:sz w:val="28"/>
          <w:szCs w:val="28"/>
        </w:rPr>
        <w:t>23,01 %</w:t>
      </w:r>
      <w:r w:rsidRPr="006605D3">
        <w:rPr>
          <w:rFonts w:ascii="Times New Roman" w:hAnsi="Times New Roman"/>
          <w:sz w:val="28"/>
          <w:szCs w:val="28"/>
        </w:rPr>
        <w:t>.</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В Софийска районна прокуратура на специален надзор се наблюдават </w:t>
      </w:r>
      <w:r w:rsidRPr="006605D3">
        <w:rPr>
          <w:rFonts w:ascii="Times New Roman" w:hAnsi="Times New Roman"/>
          <w:b/>
          <w:sz w:val="28"/>
          <w:szCs w:val="28"/>
        </w:rPr>
        <w:t>74</w:t>
      </w:r>
      <w:r w:rsidRPr="006605D3">
        <w:rPr>
          <w:rFonts w:ascii="Times New Roman" w:hAnsi="Times New Roman"/>
          <w:sz w:val="28"/>
          <w:szCs w:val="28"/>
        </w:rPr>
        <w:t xml:space="preserve"> досъдебни производства, като за отчетната 2021 г. са образувани </w:t>
      </w:r>
      <w:r w:rsidRPr="006605D3">
        <w:rPr>
          <w:rFonts w:ascii="Times New Roman" w:hAnsi="Times New Roman"/>
          <w:b/>
          <w:sz w:val="28"/>
          <w:szCs w:val="28"/>
        </w:rPr>
        <w:t>31</w:t>
      </w:r>
      <w:r w:rsidRPr="006605D3">
        <w:rPr>
          <w:rFonts w:ascii="Times New Roman" w:hAnsi="Times New Roman"/>
          <w:sz w:val="28"/>
          <w:szCs w:val="28"/>
        </w:rPr>
        <w:t xml:space="preserve"> броя дела, от които </w:t>
      </w:r>
      <w:r w:rsidRPr="006605D3">
        <w:rPr>
          <w:rFonts w:ascii="Times New Roman" w:hAnsi="Times New Roman"/>
          <w:b/>
          <w:sz w:val="28"/>
          <w:szCs w:val="28"/>
        </w:rPr>
        <w:t>две</w:t>
      </w:r>
      <w:r w:rsidRPr="006605D3">
        <w:rPr>
          <w:rFonts w:ascii="Times New Roman" w:hAnsi="Times New Roman"/>
          <w:sz w:val="28"/>
          <w:szCs w:val="28"/>
        </w:rPr>
        <w:t xml:space="preserve"> са образувани за дела за документни, данъчни и финансови измами и </w:t>
      </w:r>
      <w:r w:rsidRPr="006605D3">
        <w:rPr>
          <w:rFonts w:ascii="Times New Roman" w:hAnsi="Times New Roman"/>
          <w:b/>
          <w:sz w:val="28"/>
          <w:szCs w:val="28"/>
        </w:rPr>
        <w:t>29</w:t>
      </w:r>
      <w:r w:rsidRPr="006605D3">
        <w:rPr>
          <w:rFonts w:ascii="Times New Roman" w:hAnsi="Times New Roman"/>
          <w:sz w:val="28"/>
          <w:szCs w:val="28"/>
        </w:rPr>
        <w:t xml:space="preserve"> за дела със значим обществен интерес по преценка на ГП, зам.-главен прокурор, апелативен прокурор.</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Към настоящия момент </w:t>
      </w:r>
      <w:r w:rsidRPr="006605D3">
        <w:rPr>
          <w:rFonts w:ascii="Times New Roman" w:hAnsi="Times New Roman"/>
          <w:b/>
          <w:sz w:val="28"/>
          <w:szCs w:val="28"/>
        </w:rPr>
        <w:t>19</w:t>
      </w:r>
      <w:r w:rsidRPr="006605D3">
        <w:rPr>
          <w:rFonts w:ascii="Times New Roman" w:hAnsi="Times New Roman"/>
          <w:sz w:val="28"/>
          <w:szCs w:val="28"/>
        </w:rPr>
        <w:t xml:space="preserve"> дела не са приключени и се намират във фаза на разследване.</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В Софийска градска прокуратура общо наблюдаваните дела по този показател са </w:t>
      </w:r>
      <w:r w:rsidRPr="006605D3">
        <w:rPr>
          <w:rFonts w:ascii="Times New Roman" w:hAnsi="Times New Roman"/>
          <w:b/>
          <w:sz w:val="28"/>
          <w:szCs w:val="28"/>
        </w:rPr>
        <w:t>165</w:t>
      </w:r>
      <w:r w:rsidRPr="006605D3">
        <w:rPr>
          <w:rFonts w:ascii="Times New Roman" w:hAnsi="Times New Roman"/>
          <w:sz w:val="28"/>
          <w:szCs w:val="28"/>
        </w:rPr>
        <w:t xml:space="preserve"> броя, като </w:t>
      </w:r>
      <w:r w:rsidRPr="006605D3">
        <w:rPr>
          <w:rFonts w:ascii="Times New Roman" w:hAnsi="Times New Roman"/>
          <w:b/>
          <w:sz w:val="28"/>
          <w:szCs w:val="28"/>
        </w:rPr>
        <w:t xml:space="preserve">25 броя </w:t>
      </w:r>
      <w:r w:rsidRPr="006605D3">
        <w:rPr>
          <w:rFonts w:ascii="Times New Roman" w:hAnsi="Times New Roman"/>
          <w:sz w:val="28"/>
          <w:szCs w:val="28"/>
        </w:rPr>
        <w:t>са</w:t>
      </w:r>
      <w:r w:rsidRPr="006605D3">
        <w:rPr>
          <w:rFonts w:ascii="Times New Roman" w:hAnsi="Times New Roman"/>
          <w:b/>
          <w:sz w:val="28"/>
          <w:szCs w:val="28"/>
        </w:rPr>
        <w:t xml:space="preserve"> </w:t>
      </w:r>
      <w:r w:rsidRPr="006605D3">
        <w:rPr>
          <w:rFonts w:ascii="Times New Roman" w:hAnsi="Times New Roman"/>
          <w:sz w:val="28"/>
          <w:szCs w:val="28"/>
        </w:rPr>
        <w:t xml:space="preserve">новообразувани. Приключени от разследващ орган са </w:t>
      </w:r>
      <w:r w:rsidRPr="006605D3">
        <w:rPr>
          <w:rFonts w:ascii="Times New Roman" w:hAnsi="Times New Roman"/>
          <w:b/>
          <w:sz w:val="28"/>
          <w:szCs w:val="28"/>
        </w:rPr>
        <w:t>80</w:t>
      </w:r>
      <w:r w:rsidRPr="006605D3">
        <w:rPr>
          <w:rFonts w:ascii="Times New Roman" w:hAnsi="Times New Roman"/>
          <w:sz w:val="28"/>
          <w:szCs w:val="28"/>
        </w:rPr>
        <w:t xml:space="preserve"> досъдебни производства. По преценка на прокурор са прекратени </w:t>
      </w:r>
      <w:r w:rsidRPr="006605D3">
        <w:rPr>
          <w:rFonts w:ascii="Times New Roman" w:hAnsi="Times New Roman"/>
          <w:b/>
          <w:sz w:val="28"/>
          <w:szCs w:val="28"/>
        </w:rPr>
        <w:t>15</w:t>
      </w:r>
      <w:r w:rsidRPr="006605D3">
        <w:rPr>
          <w:rFonts w:ascii="Times New Roman" w:hAnsi="Times New Roman"/>
          <w:sz w:val="28"/>
          <w:szCs w:val="28"/>
        </w:rPr>
        <w:t xml:space="preserve"> дела, а внесени в съда с прокурорски акт са </w:t>
      </w:r>
      <w:r w:rsidRPr="006605D3">
        <w:rPr>
          <w:rFonts w:ascii="Times New Roman" w:hAnsi="Times New Roman"/>
          <w:b/>
          <w:sz w:val="28"/>
          <w:szCs w:val="28"/>
        </w:rPr>
        <w:t>28 броя</w:t>
      </w:r>
      <w:r w:rsidRPr="006605D3">
        <w:rPr>
          <w:rFonts w:ascii="Times New Roman" w:hAnsi="Times New Roman"/>
          <w:sz w:val="28"/>
          <w:szCs w:val="28"/>
        </w:rPr>
        <w:t xml:space="preserve">. </w:t>
      </w:r>
    </w:p>
    <w:p w:rsidR="006605D3" w:rsidRPr="006605D3" w:rsidRDefault="006605D3" w:rsidP="004D24A1">
      <w:pPr>
        <w:spacing w:after="0"/>
        <w:ind w:firstLine="709"/>
        <w:jc w:val="both"/>
        <w:rPr>
          <w:rFonts w:ascii="Times New Roman" w:hAnsi="Times New Roman"/>
          <w:sz w:val="28"/>
          <w:szCs w:val="28"/>
        </w:rPr>
      </w:pPr>
      <w:r w:rsidRPr="006605D3">
        <w:rPr>
          <w:rFonts w:ascii="Times New Roman" w:hAnsi="Times New Roman"/>
          <w:sz w:val="28"/>
          <w:szCs w:val="28"/>
        </w:rPr>
        <w:t xml:space="preserve">От наблюдаваните досъдебни производства превес имат делата, водени за корупция – </w:t>
      </w:r>
      <w:r w:rsidRPr="006605D3">
        <w:rPr>
          <w:rFonts w:ascii="Times New Roman" w:hAnsi="Times New Roman"/>
          <w:b/>
          <w:sz w:val="28"/>
          <w:szCs w:val="28"/>
        </w:rPr>
        <w:t>56</w:t>
      </w:r>
      <w:r w:rsidRPr="006605D3">
        <w:rPr>
          <w:rFonts w:ascii="Times New Roman" w:hAnsi="Times New Roman"/>
          <w:sz w:val="28"/>
          <w:szCs w:val="28"/>
        </w:rPr>
        <w:t xml:space="preserve"> броя; следвани от делата, образувани за убийства с особен обществен интерес – </w:t>
      </w:r>
      <w:r w:rsidRPr="006605D3">
        <w:rPr>
          <w:rFonts w:ascii="Times New Roman" w:hAnsi="Times New Roman"/>
          <w:b/>
          <w:sz w:val="28"/>
          <w:szCs w:val="28"/>
        </w:rPr>
        <w:t>35</w:t>
      </w:r>
      <w:r w:rsidRPr="006605D3">
        <w:rPr>
          <w:rFonts w:ascii="Times New Roman" w:hAnsi="Times New Roman"/>
          <w:sz w:val="28"/>
          <w:szCs w:val="28"/>
        </w:rPr>
        <w:t xml:space="preserve"> броя. Делата, образувани със значим обществен интерес по преценка на Главния прокурор, Зам.-главен прокурор и апелативен прокурор са </w:t>
      </w:r>
      <w:r w:rsidRPr="006605D3">
        <w:rPr>
          <w:rFonts w:ascii="Times New Roman" w:hAnsi="Times New Roman"/>
          <w:b/>
          <w:sz w:val="28"/>
          <w:szCs w:val="28"/>
        </w:rPr>
        <w:t>21</w:t>
      </w:r>
      <w:r w:rsidRPr="006605D3">
        <w:rPr>
          <w:rFonts w:ascii="Times New Roman" w:hAnsi="Times New Roman"/>
          <w:sz w:val="28"/>
          <w:szCs w:val="28"/>
        </w:rPr>
        <w:t xml:space="preserve"> броя. На следващо място са делата за документни, данъчни и финансови измами - </w:t>
      </w:r>
      <w:r w:rsidRPr="006605D3">
        <w:rPr>
          <w:rFonts w:ascii="Times New Roman" w:hAnsi="Times New Roman"/>
          <w:b/>
          <w:sz w:val="28"/>
          <w:szCs w:val="28"/>
        </w:rPr>
        <w:t>18</w:t>
      </w:r>
      <w:r w:rsidRPr="006605D3">
        <w:rPr>
          <w:rFonts w:ascii="Times New Roman" w:hAnsi="Times New Roman"/>
          <w:sz w:val="28"/>
          <w:szCs w:val="28"/>
        </w:rPr>
        <w:t xml:space="preserve"> броя  и дела за изпиране на пари – </w:t>
      </w:r>
      <w:r w:rsidRPr="006605D3">
        <w:rPr>
          <w:rFonts w:ascii="Times New Roman" w:hAnsi="Times New Roman"/>
          <w:b/>
          <w:sz w:val="28"/>
          <w:szCs w:val="28"/>
        </w:rPr>
        <w:t>12</w:t>
      </w:r>
      <w:r w:rsidRPr="006605D3">
        <w:rPr>
          <w:rFonts w:ascii="Times New Roman" w:hAnsi="Times New Roman"/>
          <w:sz w:val="28"/>
          <w:szCs w:val="28"/>
        </w:rPr>
        <w:t xml:space="preserve"> броя. Делата за злоупотреби с ЕФ през 2021г. са </w:t>
      </w:r>
      <w:r w:rsidRPr="006605D3">
        <w:rPr>
          <w:rFonts w:ascii="Times New Roman" w:hAnsi="Times New Roman"/>
          <w:b/>
          <w:sz w:val="28"/>
          <w:szCs w:val="28"/>
        </w:rPr>
        <w:t>11</w:t>
      </w:r>
      <w:r w:rsidRPr="006605D3">
        <w:rPr>
          <w:rFonts w:ascii="Times New Roman" w:hAnsi="Times New Roman"/>
          <w:sz w:val="28"/>
          <w:szCs w:val="28"/>
        </w:rPr>
        <w:t xml:space="preserve"> броя, а срещу ръководители, зам.-ръководители и членове на  независими институции, създадени със закон; държавни изпълнителни агенции и комисии – </w:t>
      </w:r>
      <w:r w:rsidRPr="006605D3">
        <w:rPr>
          <w:rFonts w:ascii="Times New Roman" w:hAnsi="Times New Roman"/>
          <w:b/>
          <w:sz w:val="28"/>
          <w:szCs w:val="28"/>
        </w:rPr>
        <w:t>6</w:t>
      </w:r>
      <w:r w:rsidRPr="006605D3">
        <w:rPr>
          <w:rFonts w:ascii="Times New Roman" w:hAnsi="Times New Roman"/>
          <w:sz w:val="28"/>
          <w:szCs w:val="28"/>
        </w:rPr>
        <w:t xml:space="preserve"> броя. </w:t>
      </w:r>
      <w:r w:rsidRPr="006605D3">
        <w:rPr>
          <w:rFonts w:ascii="Times New Roman" w:hAnsi="Times New Roman"/>
          <w:sz w:val="28"/>
          <w:szCs w:val="28"/>
        </w:rPr>
        <w:lastRenderedPageBreak/>
        <w:t xml:space="preserve">Следват делата, образувани за престъпления, свързани с организираната престъпност - </w:t>
      </w:r>
      <w:r w:rsidRPr="006605D3">
        <w:rPr>
          <w:rFonts w:ascii="Times New Roman" w:hAnsi="Times New Roman"/>
          <w:b/>
          <w:sz w:val="28"/>
          <w:szCs w:val="28"/>
        </w:rPr>
        <w:t>3</w:t>
      </w:r>
      <w:r w:rsidRPr="006605D3">
        <w:rPr>
          <w:rFonts w:ascii="Times New Roman" w:hAnsi="Times New Roman"/>
          <w:sz w:val="28"/>
          <w:szCs w:val="28"/>
        </w:rPr>
        <w:t xml:space="preserve"> броя; дела, образувани срещу министри - </w:t>
      </w:r>
      <w:r w:rsidRPr="006605D3">
        <w:rPr>
          <w:rFonts w:ascii="Times New Roman" w:hAnsi="Times New Roman"/>
          <w:b/>
          <w:sz w:val="28"/>
          <w:szCs w:val="28"/>
        </w:rPr>
        <w:t>2</w:t>
      </w:r>
      <w:r w:rsidRPr="006605D3">
        <w:rPr>
          <w:rFonts w:ascii="Times New Roman" w:hAnsi="Times New Roman"/>
          <w:sz w:val="28"/>
          <w:szCs w:val="28"/>
        </w:rPr>
        <w:t xml:space="preserve"> броя; и дела, водени срещу кметове, зам.-кметове и председатели на общински съвети - </w:t>
      </w:r>
      <w:r w:rsidRPr="006605D3">
        <w:rPr>
          <w:rFonts w:ascii="Times New Roman" w:hAnsi="Times New Roman"/>
          <w:b/>
          <w:sz w:val="28"/>
          <w:szCs w:val="28"/>
        </w:rPr>
        <w:t xml:space="preserve">1 </w:t>
      </w:r>
      <w:r w:rsidRPr="006605D3">
        <w:rPr>
          <w:rFonts w:ascii="Times New Roman" w:hAnsi="Times New Roman"/>
          <w:sz w:val="28"/>
          <w:szCs w:val="28"/>
        </w:rPr>
        <w:t xml:space="preserve">брой. </w:t>
      </w:r>
      <w:r w:rsidRPr="006605D3">
        <w:rPr>
          <w:rFonts w:ascii="Times New Roman" w:hAnsi="Times New Roman"/>
          <w:b/>
          <w:sz w:val="28"/>
          <w:szCs w:val="28"/>
        </w:rPr>
        <w:t xml:space="preserve">Няма </w:t>
      </w:r>
      <w:r w:rsidRPr="006605D3">
        <w:rPr>
          <w:rFonts w:ascii="Times New Roman" w:hAnsi="Times New Roman"/>
          <w:sz w:val="28"/>
          <w:szCs w:val="28"/>
        </w:rPr>
        <w:t>наблюдавани дела срещу народни представители и магистрати, както и дела срещу областни представители, заместник министри и главни комисари на МВР и генерали в МО и БА.</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При съпоставка и анализ на отчетните показатели, касаещи делата на специален надзор, общо за Софийска градска прокуратура и Софийска районна прокуратура за 2021г. с предходните 2020г. и  2019г. се наблюдава следната тенденция:</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Новообразувани дела за отчетния период са </w:t>
      </w:r>
      <w:r w:rsidRPr="006605D3">
        <w:rPr>
          <w:rFonts w:ascii="Times New Roman" w:hAnsi="Times New Roman"/>
          <w:b/>
          <w:color w:val="000000"/>
          <w:sz w:val="28"/>
          <w:szCs w:val="28"/>
        </w:rPr>
        <w:t>56 броя</w:t>
      </w:r>
      <w:r w:rsidRPr="006605D3">
        <w:rPr>
          <w:rFonts w:ascii="Times New Roman" w:hAnsi="Times New Roman"/>
          <w:color w:val="000000"/>
          <w:sz w:val="28"/>
          <w:szCs w:val="28"/>
        </w:rPr>
        <w:t>, за 2020г. - 29</w:t>
      </w:r>
      <w:r w:rsidRPr="006605D3">
        <w:rPr>
          <w:rFonts w:ascii="Times New Roman" w:hAnsi="Times New Roman"/>
          <w:b/>
          <w:color w:val="000000"/>
          <w:sz w:val="28"/>
          <w:szCs w:val="28"/>
        </w:rPr>
        <w:t xml:space="preserve"> </w:t>
      </w:r>
      <w:r w:rsidRPr="006605D3">
        <w:rPr>
          <w:rFonts w:ascii="Times New Roman" w:hAnsi="Times New Roman"/>
          <w:color w:val="000000"/>
          <w:sz w:val="28"/>
          <w:szCs w:val="28"/>
        </w:rPr>
        <w:t>броя, за 2019 г. няма.</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През 2021 г. внесени в съда дела са </w:t>
      </w:r>
      <w:r w:rsidRPr="006605D3">
        <w:rPr>
          <w:rFonts w:ascii="Times New Roman" w:hAnsi="Times New Roman"/>
          <w:b/>
          <w:color w:val="000000"/>
          <w:sz w:val="28"/>
          <w:szCs w:val="28"/>
        </w:rPr>
        <w:t>34 броя</w:t>
      </w:r>
      <w:r w:rsidRPr="006605D3">
        <w:rPr>
          <w:rFonts w:ascii="Times New Roman" w:hAnsi="Times New Roman"/>
          <w:color w:val="000000"/>
          <w:sz w:val="28"/>
          <w:szCs w:val="28"/>
        </w:rPr>
        <w:t>, за 2020г. - 27 броя, за 2019 г.-  28 броя.</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Прекратените дела през отчетния период са </w:t>
      </w:r>
      <w:r w:rsidRPr="006605D3">
        <w:rPr>
          <w:rFonts w:ascii="Times New Roman" w:hAnsi="Times New Roman"/>
          <w:b/>
          <w:color w:val="000000"/>
          <w:sz w:val="28"/>
          <w:szCs w:val="28"/>
        </w:rPr>
        <w:t>55 броя</w:t>
      </w:r>
      <w:r w:rsidRPr="006605D3">
        <w:rPr>
          <w:rFonts w:ascii="Times New Roman" w:hAnsi="Times New Roman"/>
          <w:color w:val="000000"/>
          <w:sz w:val="28"/>
          <w:szCs w:val="28"/>
        </w:rPr>
        <w:t>, за 2020г. - 16 броя, за 2019 г</w:t>
      </w:r>
      <w:r w:rsidRPr="006605D3">
        <w:rPr>
          <w:rFonts w:ascii="Times New Roman" w:hAnsi="Times New Roman"/>
          <w:color w:val="000000"/>
          <w:sz w:val="28"/>
          <w:szCs w:val="28"/>
          <w:lang w:val="en-US"/>
        </w:rPr>
        <w:t>.</w:t>
      </w:r>
      <w:r w:rsidRPr="006605D3">
        <w:rPr>
          <w:rFonts w:ascii="Times New Roman" w:hAnsi="Times New Roman"/>
          <w:color w:val="000000"/>
          <w:sz w:val="28"/>
          <w:szCs w:val="28"/>
        </w:rPr>
        <w:t>- 3 броя.</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Видно от посочените показатели, се наблюдава увеличение в  броя на новообразуваните дела, взети на специален надзор, като през 2019 г. няма новообразувано досъдебно производство от посочената категория. Увеличават се  внесените  в  съда прокурорски актове. Тази тенденция е обусловена от актуализирането на НПК, относно подсъдността на някои престъпления, извършени от лица с особено длъжностно качество. Във връзка с обособяването на тази категория престъпления, подсъдни по специалните правила на глава 31 „а“ от НПК, закономерна е и тенденцията към плавно намаляване на образуването на такива, от страна на прокуратури, извън специализираната. От друга страна, и към настоящия момент под надзора на СГП остават образуваните досъдебни производства, преди промените в закона, които следва да се приключат от органа, пред който са висящи.  </w:t>
      </w:r>
    </w:p>
    <w:p w:rsidR="006605D3" w:rsidRPr="006605D3" w:rsidRDefault="006605D3" w:rsidP="004D24A1">
      <w:pPr>
        <w:spacing w:after="0"/>
        <w:ind w:firstLine="709"/>
        <w:jc w:val="both"/>
        <w:rPr>
          <w:rFonts w:ascii="Times New Roman" w:hAnsi="Times New Roman"/>
          <w:sz w:val="28"/>
          <w:szCs w:val="28"/>
          <w:lang w:val="en-US"/>
        </w:rPr>
      </w:pPr>
    </w:p>
    <w:p w:rsidR="006605D3" w:rsidRPr="006605D3" w:rsidRDefault="006605D3" w:rsidP="004D24A1">
      <w:pPr>
        <w:spacing w:after="120"/>
        <w:jc w:val="both"/>
        <w:rPr>
          <w:rFonts w:ascii="Times New Roman" w:eastAsia="Times New Roman" w:hAnsi="Times New Roman"/>
          <w:b/>
          <w:sz w:val="28"/>
          <w:szCs w:val="28"/>
        </w:rPr>
      </w:pPr>
      <w:r w:rsidRPr="006605D3">
        <w:rPr>
          <w:rFonts w:ascii="Times New Roman" w:eastAsia="Times New Roman" w:hAnsi="Times New Roman"/>
          <w:b/>
          <w:sz w:val="28"/>
          <w:szCs w:val="28"/>
        </w:rPr>
        <w:tab/>
        <w:t xml:space="preserve">Досъдебни производства за престъпления свързани с организираната престъпност. </w:t>
      </w:r>
    </w:p>
    <w:p w:rsidR="006605D3" w:rsidRPr="006605D3" w:rsidRDefault="006605D3" w:rsidP="004D24A1">
      <w:pPr>
        <w:spacing w:after="120"/>
        <w:jc w:val="both"/>
        <w:rPr>
          <w:rFonts w:ascii="Times New Roman" w:eastAsia="Times New Roman" w:hAnsi="Times New Roman"/>
          <w:b/>
          <w:sz w:val="28"/>
          <w:szCs w:val="28"/>
        </w:rPr>
      </w:pPr>
    </w:p>
    <w:tbl>
      <w:tblPr>
        <w:tblW w:w="4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5"/>
        <w:gridCol w:w="1259"/>
        <w:gridCol w:w="1259"/>
        <w:gridCol w:w="1259"/>
      </w:tblGrid>
      <w:tr w:rsidR="006605D3" w:rsidRPr="006605D3" w:rsidTr="00E22699">
        <w:trPr>
          <w:trHeight w:val="345"/>
          <w:jc w:val="center"/>
        </w:trPr>
        <w:tc>
          <w:tcPr>
            <w:tcW w:w="2579"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07"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2019 г.</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2021 г.</w:t>
            </w:r>
          </w:p>
        </w:tc>
      </w:tr>
      <w:tr w:rsidR="006605D3" w:rsidRPr="006605D3" w:rsidTr="00E22699">
        <w:trPr>
          <w:trHeight w:val="304"/>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19</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w:t>
            </w:r>
          </w:p>
        </w:tc>
      </w:tr>
      <w:tr w:rsidR="006605D3" w:rsidRPr="006605D3" w:rsidTr="00E22699">
        <w:trPr>
          <w:trHeight w:val="279"/>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r>
      <w:tr w:rsidR="006605D3" w:rsidRPr="006605D3" w:rsidTr="00E22699">
        <w:trPr>
          <w:trHeight w:val="270"/>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10</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3</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3</w:t>
            </w:r>
          </w:p>
        </w:tc>
      </w:tr>
      <w:tr w:rsidR="006605D3" w:rsidRPr="006605D3" w:rsidTr="00E22699">
        <w:trPr>
          <w:trHeight w:val="274"/>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lastRenderedPageBreak/>
              <w:t>Прокурорски актове, внесени в съда</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w:t>
            </w:r>
          </w:p>
        </w:tc>
      </w:tr>
      <w:tr w:rsidR="006605D3" w:rsidRPr="006605D3" w:rsidTr="00E22699">
        <w:trPr>
          <w:trHeight w:val="278"/>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7</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w:t>
            </w:r>
          </w:p>
        </w:tc>
      </w:tr>
      <w:tr w:rsidR="006605D3" w:rsidRPr="006605D3" w:rsidTr="00E22699">
        <w:trPr>
          <w:trHeight w:val="268"/>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w:t>
            </w:r>
          </w:p>
        </w:tc>
      </w:tr>
      <w:tr w:rsidR="006605D3" w:rsidRPr="006605D3" w:rsidTr="00E22699">
        <w:trPr>
          <w:trHeight w:val="272"/>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07"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3</w:t>
            </w:r>
          </w:p>
        </w:tc>
      </w:tr>
    </w:tbl>
    <w:p w:rsidR="006605D3" w:rsidRPr="006605D3" w:rsidRDefault="006605D3" w:rsidP="004D24A1">
      <w:pPr>
        <w:overflowPunct w:val="0"/>
        <w:autoSpaceDE w:val="0"/>
        <w:autoSpaceDN w:val="0"/>
        <w:adjustRightInd w:val="0"/>
        <w:spacing w:after="120"/>
        <w:jc w:val="both"/>
        <w:rPr>
          <w:rFonts w:ascii="Times New Roman" w:eastAsia="Times New Roman" w:hAnsi="Times New Roman"/>
          <w:b/>
          <w:sz w:val="28"/>
          <w:szCs w:val="28"/>
        </w:rPr>
      </w:pP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В Софийска градска прокуратура през 2021 г. общо наблюдаваните досъдебни производства, свързани с организирана престъпност са  </w:t>
      </w:r>
      <w:r w:rsidRPr="006605D3">
        <w:rPr>
          <w:rFonts w:ascii="Times New Roman" w:eastAsia="Times New Roman" w:hAnsi="Times New Roman"/>
          <w:b/>
          <w:sz w:val="28"/>
          <w:szCs w:val="28"/>
        </w:rPr>
        <w:t xml:space="preserve">5 </w:t>
      </w:r>
      <w:r w:rsidRPr="006605D3">
        <w:rPr>
          <w:rFonts w:ascii="Times New Roman" w:eastAsia="Times New Roman" w:hAnsi="Times New Roman"/>
          <w:sz w:val="28"/>
          <w:szCs w:val="28"/>
        </w:rPr>
        <w:t xml:space="preserve">броя, като през 2020г. са били 5 броя също, а през 2019 г. са били 19 броя. Броят на приключените дела е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а на неприключените дела – </w:t>
      </w:r>
      <w:r w:rsidRPr="006605D3">
        <w:rPr>
          <w:rFonts w:ascii="Times New Roman" w:eastAsia="Times New Roman" w:hAnsi="Times New Roman"/>
          <w:b/>
          <w:sz w:val="28"/>
          <w:szCs w:val="28"/>
        </w:rPr>
        <w:t xml:space="preserve">1 </w:t>
      </w:r>
      <w:r w:rsidRPr="006605D3">
        <w:rPr>
          <w:rFonts w:ascii="Times New Roman" w:eastAsia="Times New Roman" w:hAnsi="Times New Roman"/>
          <w:sz w:val="28"/>
          <w:szCs w:val="28"/>
        </w:rPr>
        <w:t xml:space="preserve">брой. Решените дела са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броя. </w:t>
      </w:r>
      <w:r w:rsidRPr="006605D3">
        <w:rPr>
          <w:rFonts w:ascii="Times New Roman" w:eastAsia="Times New Roman" w:hAnsi="Times New Roman"/>
          <w:b/>
          <w:sz w:val="28"/>
          <w:szCs w:val="28"/>
        </w:rPr>
        <w:t>О</w:t>
      </w:r>
      <w:r w:rsidRPr="006605D3">
        <w:rPr>
          <w:rFonts w:ascii="Times New Roman" w:eastAsia="Times New Roman" w:hAnsi="Times New Roman"/>
          <w:sz w:val="28"/>
          <w:szCs w:val="28"/>
        </w:rPr>
        <w:t xml:space="preserve">съдени и санкционирани с влязъл в сила съдебен акт са </w:t>
      </w:r>
      <w:r w:rsidRPr="006605D3">
        <w:rPr>
          <w:rFonts w:ascii="Times New Roman" w:eastAsia="Times New Roman" w:hAnsi="Times New Roman"/>
          <w:b/>
          <w:sz w:val="28"/>
          <w:szCs w:val="28"/>
        </w:rPr>
        <w:t>четири лица</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а</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три лица</w:t>
      </w:r>
      <w:r w:rsidRPr="006605D3">
        <w:rPr>
          <w:rFonts w:ascii="Times New Roman" w:eastAsia="Times New Roman" w:hAnsi="Times New Roman"/>
          <w:sz w:val="28"/>
          <w:szCs w:val="28"/>
        </w:rPr>
        <w:t xml:space="preserve"> са оправдани с влязъл в сила съдебен акт.</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lang w:val="en-US"/>
        </w:rPr>
      </w:pP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През 2021 г. е спряно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досъдебно производство, свързани с този вид престъпления.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Прекратените дела за 2021г., също както и през 2020 г., са </w:t>
      </w:r>
      <w:r w:rsidRPr="006605D3">
        <w:rPr>
          <w:rFonts w:ascii="Times New Roman" w:eastAsia="Times New Roman" w:hAnsi="Times New Roman"/>
          <w:b/>
          <w:sz w:val="28"/>
          <w:szCs w:val="28"/>
        </w:rPr>
        <w:t xml:space="preserve">1 </w:t>
      </w:r>
      <w:r w:rsidRPr="006605D3">
        <w:rPr>
          <w:rFonts w:ascii="Times New Roman" w:eastAsia="Times New Roman" w:hAnsi="Times New Roman"/>
          <w:sz w:val="28"/>
          <w:szCs w:val="28"/>
        </w:rPr>
        <w:t>брой, като през 2019 г. са били 2 броя.</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p>
    <w:p w:rsidR="006605D3" w:rsidRPr="006605D3" w:rsidRDefault="006605D3" w:rsidP="004D24A1">
      <w:pPr>
        <w:overflowPunct w:val="0"/>
        <w:autoSpaceDE w:val="0"/>
        <w:autoSpaceDN w:val="0"/>
        <w:adjustRightInd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Устойчива е тенденцията на нарастване показателя, отчитащ броя решени спрямо общия брой наблюдавани производства. За 2021 г. </w:t>
      </w:r>
      <w:r w:rsidRPr="006605D3">
        <w:rPr>
          <w:rFonts w:ascii="Times New Roman" w:hAnsi="Times New Roman"/>
          <w:b/>
          <w:color w:val="000000"/>
          <w:sz w:val="28"/>
          <w:szCs w:val="28"/>
        </w:rPr>
        <w:t>са 60%,</w:t>
      </w:r>
      <w:r w:rsidRPr="006605D3">
        <w:rPr>
          <w:rFonts w:ascii="Times New Roman" w:hAnsi="Times New Roman"/>
          <w:color w:val="000000"/>
          <w:sz w:val="28"/>
          <w:szCs w:val="28"/>
        </w:rPr>
        <w:t xml:space="preserve"> като за 2020г. отново са 60 %, а през 2019 г. са били – 52,63 %,   от което може да се направи извод, че наблюдаваните от СГП дела от посочената категория се решават от наблюдаващите прокурори срочно, бързо и при изяснена фактическа обстановка, а разследванията се водят ритмично.</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b/>
          <w:spacing w:val="-8"/>
          <w:sz w:val="16"/>
          <w:szCs w:val="16"/>
        </w:rPr>
      </w:pP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b/>
          <w:spacing w:val="-8"/>
          <w:sz w:val="16"/>
          <w:szCs w:val="16"/>
        </w:rPr>
      </w:pPr>
    </w:p>
    <w:p w:rsidR="006605D3" w:rsidRPr="006605D3" w:rsidRDefault="006605D3" w:rsidP="004D24A1">
      <w:pPr>
        <w:overflowPunct w:val="0"/>
        <w:autoSpaceDE w:val="0"/>
        <w:autoSpaceDN w:val="0"/>
        <w:adjustRightInd w:val="0"/>
        <w:spacing w:after="120"/>
        <w:jc w:val="both"/>
        <w:rPr>
          <w:rFonts w:ascii="Times New Roman" w:eastAsia="Times New Roman" w:hAnsi="Times New Roman"/>
          <w:b/>
          <w:spacing w:val="-8"/>
          <w:sz w:val="28"/>
          <w:szCs w:val="28"/>
        </w:rPr>
      </w:pPr>
      <w:r w:rsidRPr="006605D3">
        <w:rPr>
          <w:rFonts w:ascii="Times New Roman" w:eastAsia="Times New Roman" w:hAnsi="Times New Roman"/>
          <w:b/>
          <w:spacing w:val="-8"/>
          <w:sz w:val="28"/>
          <w:szCs w:val="28"/>
        </w:rPr>
        <w:tab/>
        <w:t>Досъдебни производства за корупционни престъпления</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3"/>
        <w:gridCol w:w="1467"/>
        <w:gridCol w:w="1467"/>
        <w:gridCol w:w="1457"/>
      </w:tblGrid>
      <w:tr w:rsidR="006605D3" w:rsidRPr="006605D3" w:rsidTr="00E22699">
        <w:trPr>
          <w:trHeight w:val="345"/>
          <w:jc w:val="center"/>
        </w:trPr>
        <w:tc>
          <w:tcPr>
            <w:tcW w:w="2578"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09"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2019 г.</w:t>
            </w:r>
          </w:p>
        </w:tc>
        <w:tc>
          <w:tcPr>
            <w:tcW w:w="809"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2021 г.</w:t>
            </w:r>
          </w:p>
        </w:tc>
      </w:tr>
      <w:tr w:rsidR="006605D3" w:rsidRPr="006605D3" w:rsidTr="00E22699">
        <w:trPr>
          <w:trHeight w:val="304"/>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591</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570</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609</w:t>
            </w:r>
          </w:p>
        </w:tc>
      </w:tr>
      <w:tr w:rsidR="006605D3" w:rsidRPr="006605D3" w:rsidTr="00E22699">
        <w:trPr>
          <w:trHeight w:val="279"/>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132</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131</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140</w:t>
            </w:r>
          </w:p>
        </w:tc>
      </w:tr>
      <w:tr w:rsidR="006605D3" w:rsidRPr="006605D3" w:rsidTr="00E22699">
        <w:trPr>
          <w:trHeight w:val="270"/>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280</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219</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242</w:t>
            </w:r>
          </w:p>
        </w:tc>
      </w:tr>
      <w:tr w:rsidR="006605D3" w:rsidRPr="006605D3" w:rsidTr="00E22699">
        <w:trPr>
          <w:trHeight w:val="274"/>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67</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56</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45</w:t>
            </w:r>
          </w:p>
        </w:tc>
      </w:tr>
      <w:tr w:rsidR="006605D3" w:rsidRPr="006605D3" w:rsidTr="00E22699">
        <w:trPr>
          <w:trHeight w:val="278"/>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80</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77</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57</w:t>
            </w:r>
          </w:p>
        </w:tc>
      </w:tr>
      <w:tr w:rsidR="006605D3" w:rsidRPr="006605D3" w:rsidTr="00E22699">
        <w:trPr>
          <w:trHeight w:val="268"/>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48</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29</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35</w:t>
            </w:r>
          </w:p>
        </w:tc>
      </w:tr>
      <w:tr w:rsidR="006605D3" w:rsidRPr="006605D3" w:rsidTr="00E22699">
        <w:trPr>
          <w:trHeight w:val="272"/>
          <w:jc w:val="center"/>
        </w:trPr>
        <w:tc>
          <w:tcPr>
            <w:tcW w:w="2578"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lastRenderedPageBreak/>
              <w:t>Оправдани лица с влязъл в сила съдебен акт</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19</w:t>
            </w:r>
          </w:p>
        </w:tc>
        <w:tc>
          <w:tcPr>
            <w:tcW w:w="80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16</w:t>
            </w:r>
          </w:p>
        </w:tc>
        <w:tc>
          <w:tcPr>
            <w:tcW w:w="804"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11</w:t>
            </w:r>
          </w:p>
        </w:tc>
      </w:tr>
    </w:tbl>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През 2021 г. в Софийска градска прокуратура и Софийска районна прокуратура са наблюдавани общо </w:t>
      </w:r>
      <w:r w:rsidRPr="006605D3">
        <w:rPr>
          <w:rFonts w:ascii="Times New Roman" w:eastAsia="Times New Roman" w:hAnsi="Times New Roman"/>
          <w:b/>
          <w:sz w:val="28"/>
          <w:szCs w:val="28"/>
        </w:rPr>
        <w:t>609</w:t>
      </w:r>
      <w:r w:rsidRPr="006605D3">
        <w:rPr>
          <w:rFonts w:ascii="Times New Roman" w:eastAsia="Times New Roman" w:hAnsi="Times New Roman"/>
          <w:sz w:val="28"/>
          <w:szCs w:val="28"/>
        </w:rPr>
        <w:t xml:space="preserve"> досъдебни производства, свързани с корупционни престъпления /за 2020г. 570 броя, а за 2019г.- 591 броя/, от които </w:t>
      </w:r>
      <w:r w:rsidRPr="006605D3">
        <w:rPr>
          <w:rFonts w:ascii="Times New Roman" w:eastAsia="Times New Roman" w:hAnsi="Times New Roman"/>
          <w:b/>
          <w:sz w:val="28"/>
          <w:szCs w:val="28"/>
        </w:rPr>
        <w:t xml:space="preserve">140 </w:t>
      </w:r>
      <w:r w:rsidRPr="006605D3">
        <w:rPr>
          <w:rFonts w:ascii="Times New Roman" w:eastAsia="Times New Roman" w:hAnsi="Times New Roman"/>
          <w:sz w:val="28"/>
          <w:szCs w:val="28"/>
        </w:rPr>
        <w:t xml:space="preserve"> са новообразуваните / за 2020г. са били 131 броя, а</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за 2019 г. – 132 броя.</w:t>
      </w:r>
      <w:r w:rsidRPr="006605D3">
        <w:rPr>
          <w:rFonts w:ascii="Times New Roman" w:hAnsi="Times New Roman"/>
          <w:sz w:val="28"/>
          <w:szCs w:val="28"/>
        </w:rPr>
        <w:t xml:space="preserve"> </w:t>
      </w:r>
    </w:p>
    <w:p w:rsidR="006605D3" w:rsidRPr="006605D3" w:rsidRDefault="006605D3" w:rsidP="004D24A1">
      <w:pPr>
        <w:autoSpaceDN w:val="0"/>
        <w:spacing w:after="0"/>
        <w:ind w:firstLine="709"/>
        <w:jc w:val="both"/>
        <w:rPr>
          <w:rFonts w:ascii="Times New Roman" w:hAnsi="Times New Roman"/>
          <w:color w:val="000000"/>
          <w:sz w:val="28"/>
          <w:szCs w:val="28"/>
        </w:rPr>
      </w:pPr>
      <w:r w:rsidRPr="006605D3">
        <w:rPr>
          <w:rFonts w:ascii="Times New Roman" w:eastAsia="Times New Roman" w:hAnsi="Times New Roman"/>
          <w:color w:val="000000"/>
          <w:sz w:val="28"/>
          <w:szCs w:val="28"/>
        </w:rPr>
        <w:t>Съгласно Единния каталог на корупционните престъпления, същите се организират в три групи. Първата група включва същинските</w:t>
      </w:r>
      <w:r w:rsidRPr="006605D3">
        <w:rPr>
          <w:rFonts w:ascii="Times New Roman" w:hAnsi="Times New Roman"/>
          <w:color w:val="000000"/>
          <w:sz w:val="28"/>
          <w:szCs w:val="28"/>
        </w:rPr>
        <w:t xml:space="preserve"> корупционни престъпления. Във втора група са включени състави, свързани с по-широко понятие за корупция, които се отнасят до незаконни действия на длъжностни лица с вероятен корупционен мотив, корупционно въздействие от външни фактори и чужд интерес. Третата група включва състави, инкриминиращи поведение на длъжностни и други лица, неповлияни непременно от външни фактори или чужд интерес, но съставляващи по същество злоупотреба със служебно положение.</w:t>
      </w:r>
      <w:r w:rsidRPr="006605D3">
        <w:rPr>
          <w:rFonts w:ascii="Times New Roman" w:hAnsi="Times New Roman"/>
          <w:color w:val="000000"/>
        </w:rPr>
        <w:t xml:space="preserve">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u w:val="single"/>
        </w:rPr>
        <w:t>От първа група</w:t>
      </w:r>
      <w:r w:rsidRPr="006605D3">
        <w:rPr>
          <w:rFonts w:ascii="Times New Roman" w:eastAsia="Times New Roman" w:hAnsi="Times New Roman"/>
          <w:sz w:val="28"/>
          <w:szCs w:val="28"/>
        </w:rPr>
        <w:t xml:space="preserve"> „Същински корупционни престъпления“ в Софийска градска прокуратура и Софийска районна прокуратура са наблюдавани общо </w:t>
      </w:r>
      <w:r w:rsidRPr="006605D3">
        <w:rPr>
          <w:rFonts w:ascii="Times New Roman" w:eastAsia="Times New Roman" w:hAnsi="Times New Roman"/>
          <w:b/>
          <w:sz w:val="28"/>
          <w:szCs w:val="28"/>
        </w:rPr>
        <w:t>48</w:t>
      </w:r>
      <w:r w:rsidRPr="006605D3">
        <w:rPr>
          <w:rFonts w:ascii="Times New Roman" w:eastAsia="Times New Roman" w:hAnsi="Times New Roman"/>
          <w:sz w:val="28"/>
          <w:szCs w:val="28"/>
        </w:rPr>
        <w:t xml:space="preserve"> досъдебни производства /за 2020г. са били 49 броя, а за 2019 г. – 60 броя/, от които </w:t>
      </w:r>
      <w:r w:rsidRPr="006605D3">
        <w:rPr>
          <w:rFonts w:ascii="Times New Roman" w:eastAsia="Times New Roman" w:hAnsi="Times New Roman"/>
          <w:b/>
          <w:sz w:val="28"/>
          <w:szCs w:val="28"/>
        </w:rPr>
        <w:t>13</w:t>
      </w:r>
      <w:r w:rsidRPr="006605D3">
        <w:rPr>
          <w:rFonts w:ascii="Times New Roman" w:eastAsia="Times New Roman" w:hAnsi="Times New Roman"/>
          <w:sz w:val="28"/>
          <w:szCs w:val="28"/>
        </w:rPr>
        <w:t xml:space="preserve"> са новообразувани /за 2020г. са били 20 броя, както и за 2019г. – 20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b/>
          <w:spacing w:val="-9"/>
          <w:sz w:val="28"/>
          <w:szCs w:val="28"/>
        </w:rPr>
      </w:pPr>
      <w:r w:rsidRPr="006605D3">
        <w:rPr>
          <w:rFonts w:ascii="Times New Roman" w:eastAsia="Times New Roman" w:hAnsi="Times New Roman"/>
          <w:spacing w:val="-2"/>
          <w:sz w:val="28"/>
          <w:szCs w:val="28"/>
        </w:rPr>
        <w:t xml:space="preserve">В края на отчетния период са приключени </w:t>
      </w:r>
      <w:r w:rsidRPr="006605D3">
        <w:rPr>
          <w:rFonts w:ascii="Times New Roman" w:eastAsia="Times New Roman" w:hAnsi="Times New Roman"/>
          <w:b/>
          <w:spacing w:val="-2"/>
          <w:sz w:val="28"/>
          <w:szCs w:val="28"/>
        </w:rPr>
        <w:t>20</w:t>
      </w:r>
      <w:r w:rsidRPr="006605D3">
        <w:rPr>
          <w:rFonts w:ascii="Times New Roman" w:eastAsia="Times New Roman" w:hAnsi="Times New Roman"/>
          <w:spacing w:val="-2"/>
          <w:sz w:val="28"/>
          <w:szCs w:val="28"/>
        </w:rPr>
        <w:t xml:space="preserve"> досъдебни производства от този вид /за 2020г.-  17броя, а за 2019 г. </w:t>
      </w:r>
      <w:r w:rsidRPr="006605D3">
        <w:rPr>
          <w:rFonts w:ascii="Times New Roman" w:eastAsia="Times New Roman" w:hAnsi="Times New Roman"/>
          <w:sz w:val="28"/>
          <w:szCs w:val="28"/>
        </w:rPr>
        <w:t>– 36 броя</w:t>
      </w:r>
      <w:r w:rsidRPr="006605D3">
        <w:rPr>
          <w:rFonts w:ascii="Times New Roman" w:eastAsia="Times New Roman" w:hAnsi="Times New Roman"/>
          <w:spacing w:val="-2"/>
          <w:sz w:val="28"/>
          <w:szCs w:val="28"/>
        </w:rPr>
        <w:t xml:space="preserve">/. Решените досъдебни производства са общо </w:t>
      </w:r>
      <w:r w:rsidRPr="006605D3">
        <w:rPr>
          <w:rFonts w:ascii="Times New Roman" w:eastAsia="Times New Roman" w:hAnsi="Times New Roman"/>
          <w:b/>
          <w:spacing w:val="-2"/>
          <w:sz w:val="28"/>
          <w:szCs w:val="28"/>
        </w:rPr>
        <w:t>20</w:t>
      </w:r>
      <w:r w:rsidRPr="006605D3">
        <w:rPr>
          <w:rFonts w:ascii="Times New Roman" w:eastAsia="Times New Roman" w:hAnsi="Times New Roman"/>
          <w:spacing w:val="-2"/>
          <w:sz w:val="28"/>
          <w:szCs w:val="28"/>
        </w:rPr>
        <w:t xml:space="preserve"> броя </w:t>
      </w:r>
      <w:r w:rsidRPr="006605D3">
        <w:rPr>
          <w:rFonts w:ascii="Times New Roman" w:eastAsia="Times New Roman" w:hAnsi="Times New Roman"/>
          <w:spacing w:val="-9"/>
          <w:sz w:val="28"/>
          <w:szCs w:val="28"/>
        </w:rPr>
        <w:t xml:space="preserve">/за 2020г. -  19 броя, а  за 2019 г. – </w:t>
      </w:r>
      <w:r w:rsidRPr="006605D3">
        <w:rPr>
          <w:rFonts w:ascii="Times New Roman" w:eastAsia="Times New Roman" w:hAnsi="Times New Roman"/>
          <w:spacing w:val="-2"/>
          <w:sz w:val="28"/>
          <w:szCs w:val="28"/>
        </w:rPr>
        <w:t>37</w:t>
      </w:r>
      <w:r w:rsidRPr="006605D3">
        <w:rPr>
          <w:rFonts w:ascii="Times New Roman" w:eastAsia="Times New Roman" w:hAnsi="Times New Roman"/>
          <w:spacing w:val="-9"/>
          <w:sz w:val="28"/>
          <w:szCs w:val="28"/>
        </w:rPr>
        <w:t xml:space="preserve"> броя/, от тях спрените ДП са  </w:t>
      </w:r>
      <w:r w:rsidRPr="006605D3">
        <w:rPr>
          <w:rFonts w:ascii="Times New Roman" w:eastAsia="Times New Roman" w:hAnsi="Times New Roman"/>
          <w:b/>
          <w:spacing w:val="-9"/>
          <w:sz w:val="28"/>
          <w:szCs w:val="28"/>
        </w:rPr>
        <w:t>1</w:t>
      </w:r>
      <w:r w:rsidRPr="006605D3">
        <w:rPr>
          <w:rFonts w:ascii="Times New Roman" w:eastAsia="Times New Roman" w:hAnsi="Times New Roman"/>
          <w:spacing w:val="-9"/>
          <w:sz w:val="28"/>
          <w:szCs w:val="28"/>
        </w:rPr>
        <w:t xml:space="preserve"> брой /за 2020г. - 3 броя , а за 2019 г. – 1 брой/, прекратените са </w:t>
      </w:r>
      <w:r w:rsidRPr="006605D3">
        <w:rPr>
          <w:rFonts w:ascii="Times New Roman" w:eastAsia="Times New Roman" w:hAnsi="Times New Roman"/>
          <w:b/>
          <w:spacing w:val="-9"/>
          <w:sz w:val="28"/>
          <w:szCs w:val="28"/>
        </w:rPr>
        <w:t>11</w:t>
      </w:r>
      <w:r w:rsidRPr="006605D3">
        <w:rPr>
          <w:rFonts w:ascii="Times New Roman" w:eastAsia="Times New Roman" w:hAnsi="Times New Roman"/>
          <w:spacing w:val="-9"/>
          <w:sz w:val="28"/>
          <w:szCs w:val="28"/>
        </w:rPr>
        <w:t xml:space="preserve"> </w:t>
      </w:r>
      <w:r w:rsidRPr="006605D3">
        <w:rPr>
          <w:rFonts w:ascii="Times New Roman" w:eastAsia="Times New Roman" w:hAnsi="Times New Roman"/>
          <w:b/>
          <w:spacing w:val="-9"/>
          <w:sz w:val="28"/>
          <w:szCs w:val="28"/>
        </w:rPr>
        <w:t xml:space="preserve"> </w:t>
      </w:r>
      <w:r w:rsidRPr="006605D3">
        <w:rPr>
          <w:rFonts w:ascii="Times New Roman" w:eastAsia="Times New Roman" w:hAnsi="Times New Roman"/>
          <w:spacing w:val="-9"/>
          <w:sz w:val="28"/>
          <w:szCs w:val="28"/>
        </w:rPr>
        <w:t>броя /за 2020г. – 8 броя, а</w:t>
      </w:r>
      <w:r w:rsidRPr="006605D3">
        <w:rPr>
          <w:rFonts w:ascii="Times New Roman" w:eastAsia="Times New Roman" w:hAnsi="Times New Roman"/>
          <w:b/>
          <w:spacing w:val="-9"/>
          <w:sz w:val="28"/>
          <w:szCs w:val="28"/>
        </w:rPr>
        <w:t xml:space="preserve"> </w:t>
      </w:r>
      <w:r w:rsidRPr="006605D3">
        <w:rPr>
          <w:rFonts w:ascii="Times New Roman" w:eastAsia="Times New Roman" w:hAnsi="Times New Roman"/>
          <w:spacing w:val="-9"/>
          <w:sz w:val="28"/>
          <w:szCs w:val="28"/>
        </w:rPr>
        <w:t xml:space="preserve">за 2019 г. – 17 броя/, като </w:t>
      </w:r>
      <w:r w:rsidRPr="006605D3">
        <w:rPr>
          <w:rFonts w:ascii="Times New Roman" w:eastAsia="Times New Roman" w:hAnsi="Times New Roman"/>
          <w:b/>
          <w:spacing w:val="-9"/>
          <w:sz w:val="28"/>
          <w:szCs w:val="28"/>
        </w:rPr>
        <w:t>8 броя</w:t>
      </w:r>
      <w:r w:rsidRPr="006605D3">
        <w:rPr>
          <w:rFonts w:ascii="Times New Roman" w:eastAsia="Times New Roman" w:hAnsi="Times New Roman"/>
          <w:spacing w:val="-9"/>
          <w:sz w:val="28"/>
          <w:szCs w:val="28"/>
        </w:rPr>
        <w:t xml:space="preserve"> са внесените в съда /за 2020г. са били 7 броя, а за 2019 г. – 16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b/>
          <w:spacing w:val="-9"/>
          <w:sz w:val="28"/>
          <w:szCs w:val="28"/>
        </w:rPr>
      </w:pPr>
      <w:r w:rsidRPr="006605D3">
        <w:rPr>
          <w:rFonts w:ascii="Times New Roman" w:eastAsia="Times New Roman" w:hAnsi="Times New Roman"/>
          <w:color w:val="000000"/>
          <w:spacing w:val="-9"/>
          <w:sz w:val="28"/>
          <w:szCs w:val="28"/>
        </w:rPr>
        <w:t xml:space="preserve">Относителният дял на решените досъдебни производства спрямо общо наблюдаваните за отчетния период </w:t>
      </w:r>
      <w:r w:rsidRPr="006605D3">
        <w:rPr>
          <w:rFonts w:ascii="Times New Roman" w:eastAsia="Times New Roman" w:hAnsi="Times New Roman"/>
          <w:b/>
          <w:color w:val="000000"/>
          <w:spacing w:val="-9"/>
          <w:sz w:val="28"/>
          <w:szCs w:val="28"/>
        </w:rPr>
        <w:t xml:space="preserve">е 41,67%,  </w:t>
      </w:r>
      <w:r w:rsidRPr="006605D3">
        <w:rPr>
          <w:rFonts w:ascii="Times New Roman" w:eastAsia="Times New Roman" w:hAnsi="Times New Roman"/>
          <w:color w:val="000000"/>
          <w:spacing w:val="-9"/>
          <w:sz w:val="28"/>
          <w:szCs w:val="28"/>
        </w:rPr>
        <w:t>сравнено с 38,77% за 2020г. и</w:t>
      </w:r>
      <w:r w:rsidRPr="006605D3">
        <w:rPr>
          <w:rFonts w:ascii="Times New Roman" w:eastAsia="Times New Roman" w:hAnsi="Times New Roman"/>
          <w:b/>
          <w:color w:val="000000"/>
          <w:spacing w:val="-9"/>
          <w:sz w:val="28"/>
          <w:szCs w:val="28"/>
        </w:rPr>
        <w:t xml:space="preserve"> ,</w:t>
      </w:r>
      <w:r w:rsidRPr="006605D3">
        <w:rPr>
          <w:rFonts w:ascii="Times New Roman" w:eastAsia="Times New Roman" w:hAnsi="Times New Roman"/>
          <w:color w:val="000000"/>
          <w:spacing w:val="-9"/>
          <w:sz w:val="28"/>
          <w:szCs w:val="28"/>
        </w:rPr>
        <w:t xml:space="preserve">  61,67 % за 2019 г.  </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Предадени на съд с обвинителен акт са </w:t>
      </w:r>
      <w:r w:rsidRPr="006605D3">
        <w:rPr>
          <w:rFonts w:ascii="Times New Roman" w:hAnsi="Times New Roman"/>
          <w:b/>
          <w:sz w:val="28"/>
          <w:szCs w:val="28"/>
        </w:rPr>
        <w:t>9</w:t>
      </w:r>
      <w:r w:rsidRPr="006605D3">
        <w:rPr>
          <w:rFonts w:ascii="Times New Roman" w:hAnsi="Times New Roman"/>
          <w:sz w:val="28"/>
          <w:szCs w:val="28"/>
        </w:rPr>
        <w:t xml:space="preserve"> лица /по </w:t>
      </w:r>
      <w:r w:rsidRPr="006605D3">
        <w:rPr>
          <w:rFonts w:ascii="Times New Roman" w:hAnsi="Times New Roman"/>
          <w:b/>
          <w:sz w:val="28"/>
          <w:szCs w:val="28"/>
        </w:rPr>
        <w:t>8</w:t>
      </w:r>
      <w:r w:rsidRPr="006605D3">
        <w:rPr>
          <w:rFonts w:ascii="Times New Roman" w:hAnsi="Times New Roman"/>
          <w:sz w:val="28"/>
          <w:szCs w:val="28"/>
        </w:rPr>
        <w:t xml:space="preserve"> обвинителни акта/, от които:</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 осъдени и санкционирани с влязъл в сила съдебен акт - </w:t>
      </w:r>
      <w:r w:rsidRPr="006605D3">
        <w:rPr>
          <w:rFonts w:ascii="Times New Roman" w:hAnsi="Times New Roman"/>
          <w:b/>
          <w:sz w:val="28"/>
          <w:szCs w:val="28"/>
        </w:rPr>
        <w:t>7</w:t>
      </w:r>
      <w:r w:rsidRPr="006605D3">
        <w:rPr>
          <w:rFonts w:ascii="Times New Roman" w:hAnsi="Times New Roman"/>
          <w:sz w:val="28"/>
          <w:szCs w:val="28"/>
        </w:rPr>
        <w:t xml:space="preserve"> лица;</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 оправдани лица с влязъл в сила съдебен акт- </w:t>
      </w:r>
      <w:r w:rsidRPr="006605D3">
        <w:rPr>
          <w:rFonts w:ascii="Times New Roman" w:hAnsi="Times New Roman"/>
          <w:b/>
          <w:sz w:val="28"/>
          <w:szCs w:val="28"/>
        </w:rPr>
        <w:t>1</w:t>
      </w:r>
      <w:r w:rsidRPr="006605D3">
        <w:rPr>
          <w:rFonts w:ascii="Times New Roman" w:hAnsi="Times New Roman"/>
          <w:sz w:val="28"/>
          <w:szCs w:val="28"/>
        </w:rPr>
        <w:t xml:space="preserve"> лице;</w:t>
      </w:r>
    </w:p>
    <w:p w:rsidR="006605D3" w:rsidRPr="006605D3" w:rsidRDefault="006605D3" w:rsidP="004D24A1">
      <w:pPr>
        <w:autoSpaceDN w:val="0"/>
        <w:spacing w:after="0"/>
        <w:ind w:firstLine="709"/>
        <w:jc w:val="both"/>
        <w:rPr>
          <w:rFonts w:ascii="Times New Roman" w:hAnsi="Times New Roman"/>
          <w:color w:val="000000"/>
          <w:sz w:val="28"/>
          <w:szCs w:val="28"/>
          <w:lang w:val="en-US"/>
        </w:rPr>
      </w:pPr>
      <w:r w:rsidRPr="006605D3">
        <w:rPr>
          <w:rFonts w:ascii="Times New Roman" w:hAnsi="Times New Roman"/>
          <w:color w:val="000000"/>
          <w:sz w:val="28"/>
          <w:szCs w:val="28"/>
        </w:rPr>
        <w:t xml:space="preserve">В процентно съотношение внесените в съда дела спрямо общо наблюдаваните са </w:t>
      </w:r>
      <w:r w:rsidRPr="006605D3">
        <w:rPr>
          <w:rFonts w:ascii="Times New Roman" w:hAnsi="Times New Roman"/>
          <w:b/>
          <w:color w:val="000000"/>
          <w:sz w:val="28"/>
          <w:szCs w:val="28"/>
        </w:rPr>
        <w:t>16,67</w:t>
      </w:r>
      <w:r w:rsidRPr="006605D3">
        <w:rPr>
          <w:rFonts w:ascii="Times New Roman" w:hAnsi="Times New Roman"/>
          <w:color w:val="000000"/>
          <w:sz w:val="28"/>
          <w:szCs w:val="28"/>
        </w:rPr>
        <w:t xml:space="preserve"> </w:t>
      </w:r>
      <w:r w:rsidRPr="006605D3">
        <w:rPr>
          <w:rFonts w:ascii="Times New Roman" w:hAnsi="Times New Roman"/>
          <w:b/>
          <w:color w:val="000000"/>
          <w:sz w:val="28"/>
          <w:szCs w:val="28"/>
        </w:rPr>
        <w:t>%</w:t>
      </w:r>
      <w:r w:rsidRPr="006605D3">
        <w:rPr>
          <w:rFonts w:ascii="Times New Roman" w:hAnsi="Times New Roman"/>
          <w:color w:val="000000"/>
          <w:sz w:val="28"/>
          <w:szCs w:val="28"/>
        </w:rPr>
        <w:t xml:space="preserve">, а прекратените са </w:t>
      </w:r>
      <w:r w:rsidRPr="006605D3">
        <w:rPr>
          <w:rFonts w:ascii="Times New Roman" w:hAnsi="Times New Roman"/>
          <w:b/>
          <w:color w:val="000000"/>
          <w:sz w:val="28"/>
          <w:szCs w:val="28"/>
        </w:rPr>
        <w:t>22,91 %</w:t>
      </w:r>
      <w:r w:rsidRPr="006605D3">
        <w:rPr>
          <w:rFonts w:ascii="Times New Roman" w:hAnsi="Times New Roman"/>
          <w:color w:val="000000"/>
          <w:sz w:val="28"/>
          <w:szCs w:val="28"/>
        </w:rPr>
        <w:t>.</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u w:val="single"/>
        </w:rPr>
        <w:t>От втора група</w:t>
      </w:r>
      <w:r w:rsidRPr="006605D3">
        <w:rPr>
          <w:rFonts w:ascii="Times New Roman" w:eastAsia="Times New Roman" w:hAnsi="Times New Roman"/>
          <w:sz w:val="28"/>
          <w:szCs w:val="28"/>
        </w:rPr>
        <w:t xml:space="preserve"> „Престъпления на длъжностни лица с вероятен корупционен мотив“ са наблюдавани общо </w:t>
      </w:r>
      <w:r w:rsidRPr="006605D3">
        <w:rPr>
          <w:rFonts w:ascii="Times New Roman" w:eastAsia="Times New Roman" w:hAnsi="Times New Roman"/>
          <w:b/>
          <w:sz w:val="28"/>
          <w:szCs w:val="28"/>
        </w:rPr>
        <w:t>221</w:t>
      </w:r>
      <w:r w:rsidRPr="006605D3">
        <w:rPr>
          <w:rFonts w:ascii="Times New Roman" w:eastAsia="Times New Roman" w:hAnsi="Times New Roman"/>
          <w:sz w:val="28"/>
          <w:szCs w:val="28"/>
        </w:rPr>
        <w:t xml:space="preserve"> досъдебни производства /за </w:t>
      </w:r>
      <w:r w:rsidRPr="006605D3">
        <w:rPr>
          <w:rFonts w:ascii="Times New Roman" w:eastAsia="Times New Roman" w:hAnsi="Times New Roman"/>
          <w:sz w:val="28"/>
          <w:szCs w:val="28"/>
        </w:rPr>
        <w:lastRenderedPageBreak/>
        <w:t xml:space="preserve">2020г. – 231 броя, а за 2019 г. – 220 броя/, от които </w:t>
      </w:r>
      <w:r w:rsidRPr="006605D3">
        <w:rPr>
          <w:rFonts w:ascii="Times New Roman" w:eastAsia="Times New Roman" w:hAnsi="Times New Roman"/>
          <w:b/>
          <w:sz w:val="28"/>
          <w:szCs w:val="28"/>
        </w:rPr>
        <w:t>46</w:t>
      </w:r>
      <w:r w:rsidRPr="006605D3">
        <w:rPr>
          <w:rFonts w:ascii="Times New Roman" w:eastAsia="Times New Roman" w:hAnsi="Times New Roman"/>
          <w:sz w:val="28"/>
          <w:szCs w:val="28"/>
        </w:rPr>
        <w:t xml:space="preserve"> са новообразувани /за 2020г. 54 броя, а за 2019 г. – 55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spacing w:val="-2"/>
          <w:sz w:val="28"/>
          <w:szCs w:val="28"/>
        </w:rPr>
      </w:pPr>
      <w:r w:rsidRPr="006605D3">
        <w:rPr>
          <w:rFonts w:ascii="Times New Roman" w:eastAsia="Times New Roman" w:hAnsi="Times New Roman"/>
          <w:spacing w:val="-2"/>
          <w:sz w:val="28"/>
          <w:szCs w:val="28"/>
        </w:rPr>
        <w:t xml:space="preserve">В края на отчетния период са приключени  </w:t>
      </w:r>
      <w:r w:rsidRPr="006605D3">
        <w:rPr>
          <w:rFonts w:ascii="Times New Roman" w:eastAsia="Times New Roman" w:hAnsi="Times New Roman"/>
          <w:b/>
          <w:spacing w:val="-2"/>
          <w:sz w:val="28"/>
          <w:szCs w:val="28"/>
        </w:rPr>
        <w:t>88</w:t>
      </w:r>
      <w:r w:rsidRPr="006605D3">
        <w:rPr>
          <w:rFonts w:ascii="Times New Roman" w:eastAsia="Times New Roman" w:hAnsi="Times New Roman"/>
          <w:spacing w:val="-2"/>
          <w:sz w:val="28"/>
          <w:szCs w:val="28"/>
        </w:rPr>
        <w:t xml:space="preserve"> досъдебни производства от този вид / за 2020г. -  91 броя, а за 2019г. - 88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pacing w:val="-2"/>
          <w:sz w:val="28"/>
          <w:szCs w:val="28"/>
        </w:rPr>
        <w:t xml:space="preserve">Решените досъдебни производства са </w:t>
      </w:r>
      <w:r w:rsidRPr="006605D3">
        <w:rPr>
          <w:rFonts w:ascii="Times New Roman" w:eastAsia="Times New Roman" w:hAnsi="Times New Roman"/>
          <w:b/>
          <w:spacing w:val="-2"/>
          <w:sz w:val="28"/>
          <w:szCs w:val="28"/>
        </w:rPr>
        <w:t>88</w:t>
      </w:r>
      <w:r w:rsidRPr="006605D3">
        <w:rPr>
          <w:rFonts w:ascii="Times New Roman" w:eastAsia="Times New Roman" w:hAnsi="Times New Roman"/>
          <w:spacing w:val="-2"/>
          <w:sz w:val="28"/>
          <w:szCs w:val="28"/>
        </w:rPr>
        <w:t xml:space="preserve"> броя /за 2020г. - 93 броя, както и  за 2019 г. – 93 броя</w:t>
      </w:r>
      <w:r w:rsidRPr="006605D3">
        <w:rPr>
          <w:rFonts w:ascii="Times New Roman" w:eastAsia="Times New Roman" w:hAnsi="Times New Roman"/>
          <w:sz w:val="28"/>
          <w:szCs w:val="28"/>
        </w:rPr>
        <w:t xml:space="preserve">/. От тях спрените ДП са </w:t>
      </w:r>
      <w:r w:rsidRPr="006605D3">
        <w:rPr>
          <w:rFonts w:ascii="Times New Roman" w:eastAsia="Times New Roman" w:hAnsi="Times New Roman"/>
          <w:b/>
          <w:sz w:val="28"/>
          <w:szCs w:val="28"/>
        </w:rPr>
        <w:t xml:space="preserve">5  </w:t>
      </w:r>
      <w:r w:rsidRPr="006605D3">
        <w:rPr>
          <w:rFonts w:ascii="Times New Roman" w:eastAsia="Times New Roman" w:hAnsi="Times New Roman"/>
          <w:sz w:val="28"/>
          <w:szCs w:val="28"/>
        </w:rPr>
        <w:t>броя</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за 2020г. 12 броя, а за</w:t>
      </w:r>
      <w:r w:rsidRPr="006605D3">
        <w:rPr>
          <w:rFonts w:ascii="Times New Roman" w:eastAsia="Times New Roman" w:hAnsi="Times New Roman"/>
          <w:b/>
          <w:sz w:val="28"/>
          <w:szCs w:val="28"/>
        </w:rPr>
        <w:t xml:space="preserve"> </w:t>
      </w:r>
      <w:r w:rsidRPr="006605D3">
        <w:rPr>
          <w:rFonts w:ascii="Times New Roman" w:eastAsia="Times New Roman" w:hAnsi="Times New Roman"/>
          <w:spacing w:val="-2"/>
          <w:sz w:val="28"/>
          <w:szCs w:val="28"/>
        </w:rPr>
        <w:t>2019 г. – 13 броя</w:t>
      </w:r>
      <w:r w:rsidRPr="006605D3">
        <w:rPr>
          <w:rFonts w:ascii="Times New Roman" w:eastAsia="Times New Roman" w:hAnsi="Times New Roman"/>
          <w:sz w:val="28"/>
          <w:szCs w:val="28"/>
        </w:rPr>
        <w:t xml:space="preserve">/, прекратените – </w:t>
      </w:r>
      <w:r w:rsidRPr="006605D3">
        <w:rPr>
          <w:rFonts w:ascii="Times New Roman" w:eastAsia="Times New Roman" w:hAnsi="Times New Roman"/>
          <w:b/>
          <w:sz w:val="28"/>
          <w:szCs w:val="28"/>
        </w:rPr>
        <w:t>66</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броя </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за 2020г. 57 броя, а</w:t>
      </w:r>
      <w:r w:rsidRPr="006605D3">
        <w:rPr>
          <w:rFonts w:ascii="Times New Roman" w:eastAsia="Times New Roman" w:hAnsi="Times New Roman"/>
          <w:b/>
          <w:sz w:val="28"/>
          <w:szCs w:val="28"/>
        </w:rPr>
        <w:t xml:space="preserve"> </w:t>
      </w:r>
      <w:r w:rsidRPr="006605D3">
        <w:rPr>
          <w:rFonts w:ascii="Times New Roman" w:eastAsia="Times New Roman" w:hAnsi="Times New Roman"/>
          <w:spacing w:val="-2"/>
          <w:sz w:val="28"/>
          <w:szCs w:val="28"/>
        </w:rPr>
        <w:t>за 2019 г. – 55 броя</w:t>
      </w:r>
      <w:r w:rsidRPr="006605D3">
        <w:rPr>
          <w:rFonts w:ascii="Times New Roman" w:eastAsia="Times New Roman" w:hAnsi="Times New Roman"/>
          <w:sz w:val="28"/>
          <w:szCs w:val="28"/>
        </w:rPr>
        <w:t>/, а внесените в съда с прокурорски</w:t>
      </w:r>
      <w:r w:rsidRPr="006605D3">
        <w:rPr>
          <w:rFonts w:ascii="Times New Roman" w:eastAsia="Times New Roman" w:hAnsi="Times New Roman"/>
          <w:spacing w:val="-9"/>
          <w:sz w:val="28"/>
          <w:szCs w:val="28"/>
        </w:rPr>
        <w:t xml:space="preserve"> акт – </w:t>
      </w:r>
      <w:r w:rsidRPr="006605D3">
        <w:rPr>
          <w:rFonts w:ascii="Times New Roman" w:eastAsia="Times New Roman" w:hAnsi="Times New Roman"/>
          <w:b/>
          <w:spacing w:val="-9"/>
          <w:sz w:val="28"/>
          <w:szCs w:val="28"/>
        </w:rPr>
        <w:t xml:space="preserve">8 </w:t>
      </w:r>
      <w:r w:rsidRPr="006605D3">
        <w:rPr>
          <w:rFonts w:ascii="Times New Roman" w:eastAsia="Times New Roman" w:hAnsi="Times New Roman"/>
          <w:spacing w:val="-9"/>
          <w:sz w:val="28"/>
          <w:szCs w:val="28"/>
        </w:rPr>
        <w:t xml:space="preserve"> </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броя</w:t>
      </w:r>
      <w:r w:rsidRPr="006605D3">
        <w:rPr>
          <w:rFonts w:ascii="Times New Roman" w:eastAsia="Times New Roman" w:hAnsi="Times New Roman"/>
          <w:b/>
          <w:sz w:val="28"/>
          <w:szCs w:val="28"/>
        </w:rPr>
        <w:t xml:space="preserve"> </w:t>
      </w:r>
      <w:r w:rsidRPr="006605D3">
        <w:rPr>
          <w:rFonts w:ascii="Times New Roman" w:eastAsia="Times New Roman" w:hAnsi="Times New Roman"/>
          <w:spacing w:val="-9"/>
          <w:sz w:val="28"/>
          <w:szCs w:val="28"/>
        </w:rPr>
        <w:t xml:space="preserve">/ за 2020г. </w:t>
      </w:r>
      <w:r w:rsidRPr="006605D3">
        <w:rPr>
          <w:rFonts w:ascii="Times New Roman" w:eastAsia="Times New Roman" w:hAnsi="Times New Roman"/>
          <w:sz w:val="28"/>
          <w:szCs w:val="28"/>
        </w:rPr>
        <w:t xml:space="preserve">13 броя, а </w:t>
      </w:r>
      <w:r w:rsidRPr="006605D3">
        <w:rPr>
          <w:rFonts w:ascii="Times New Roman" w:eastAsia="Times New Roman" w:hAnsi="Times New Roman"/>
          <w:spacing w:val="-9"/>
          <w:sz w:val="28"/>
          <w:szCs w:val="28"/>
        </w:rPr>
        <w:t xml:space="preserve">за 2019 г. – 12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color w:val="000000"/>
          <w:spacing w:val="-9"/>
          <w:sz w:val="28"/>
          <w:szCs w:val="28"/>
        </w:rPr>
      </w:pPr>
      <w:r w:rsidRPr="006605D3">
        <w:rPr>
          <w:rFonts w:ascii="Times New Roman" w:eastAsia="Times New Roman" w:hAnsi="Times New Roman"/>
          <w:color w:val="000000"/>
          <w:sz w:val="28"/>
          <w:szCs w:val="28"/>
        </w:rPr>
        <w:t xml:space="preserve">Относителният дял на решените досъдебни производства спрямо общо наблюдаваните </w:t>
      </w:r>
      <w:r w:rsidRPr="006605D3">
        <w:rPr>
          <w:rFonts w:ascii="Times New Roman" w:eastAsia="Times New Roman" w:hAnsi="Times New Roman"/>
          <w:color w:val="000000"/>
          <w:spacing w:val="-9"/>
          <w:sz w:val="28"/>
          <w:szCs w:val="28"/>
        </w:rPr>
        <w:t xml:space="preserve">за отчетния период е </w:t>
      </w:r>
      <w:r w:rsidRPr="006605D3">
        <w:rPr>
          <w:rFonts w:ascii="Times New Roman" w:eastAsia="Times New Roman" w:hAnsi="Times New Roman"/>
          <w:b/>
          <w:color w:val="000000"/>
          <w:spacing w:val="-9"/>
          <w:sz w:val="28"/>
          <w:szCs w:val="28"/>
        </w:rPr>
        <w:t>39,81 %,</w:t>
      </w:r>
      <w:r w:rsidRPr="006605D3">
        <w:rPr>
          <w:rFonts w:ascii="Times New Roman" w:eastAsia="Times New Roman" w:hAnsi="Times New Roman"/>
          <w:color w:val="000000"/>
          <w:spacing w:val="-9"/>
          <w:sz w:val="28"/>
          <w:szCs w:val="28"/>
        </w:rPr>
        <w:t xml:space="preserve"> спрямо 40, 25 % за 2020г. и</w:t>
      </w:r>
      <w:r w:rsidRPr="006605D3">
        <w:rPr>
          <w:rFonts w:ascii="Times New Roman" w:eastAsia="Times New Roman" w:hAnsi="Times New Roman"/>
          <w:b/>
          <w:color w:val="000000"/>
          <w:spacing w:val="-9"/>
          <w:sz w:val="28"/>
          <w:szCs w:val="28"/>
        </w:rPr>
        <w:t xml:space="preserve"> </w:t>
      </w:r>
      <w:r w:rsidRPr="006605D3">
        <w:rPr>
          <w:rFonts w:ascii="Times New Roman" w:eastAsia="Times New Roman" w:hAnsi="Times New Roman"/>
          <w:color w:val="000000"/>
          <w:spacing w:val="-9"/>
          <w:sz w:val="28"/>
          <w:szCs w:val="28"/>
        </w:rPr>
        <w:t xml:space="preserve"> 42,27 %, спрямо 2019 г.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hAnsi="Times New Roman"/>
          <w:sz w:val="28"/>
          <w:szCs w:val="28"/>
        </w:rPr>
      </w:pPr>
      <w:r w:rsidRPr="006605D3">
        <w:rPr>
          <w:rFonts w:ascii="Times New Roman" w:hAnsi="Times New Roman"/>
          <w:sz w:val="28"/>
          <w:szCs w:val="28"/>
        </w:rPr>
        <w:t xml:space="preserve">Предадени на съд с обвинителен акт са </w:t>
      </w:r>
      <w:r w:rsidRPr="006605D3">
        <w:rPr>
          <w:rFonts w:ascii="Times New Roman" w:hAnsi="Times New Roman"/>
          <w:b/>
          <w:sz w:val="28"/>
          <w:szCs w:val="28"/>
        </w:rPr>
        <w:t xml:space="preserve">14 </w:t>
      </w:r>
      <w:r w:rsidRPr="006605D3">
        <w:rPr>
          <w:rFonts w:ascii="Times New Roman" w:hAnsi="Times New Roman"/>
          <w:sz w:val="28"/>
          <w:szCs w:val="28"/>
        </w:rPr>
        <w:t xml:space="preserve">лица /по </w:t>
      </w:r>
      <w:r w:rsidRPr="006605D3">
        <w:rPr>
          <w:rFonts w:ascii="Times New Roman" w:hAnsi="Times New Roman"/>
          <w:b/>
          <w:sz w:val="28"/>
          <w:szCs w:val="28"/>
        </w:rPr>
        <w:t>6</w:t>
      </w:r>
      <w:r w:rsidRPr="006605D3">
        <w:rPr>
          <w:rFonts w:ascii="Times New Roman" w:hAnsi="Times New Roman"/>
          <w:sz w:val="28"/>
          <w:szCs w:val="28"/>
        </w:rPr>
        <w:t xml:space="preserve"> обвинителни акта/, от които:</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 осъдени и санкционирани с влязъл в сила съдебен акт – </w:t>
      </w:r>
      <w:r w:rsidRPr="006605D3">
        <w:rPr>
          <w:rFonts w:ascii="Times New Roman" w:hAnsi="Times New Roman"/>
          <w:b/>
          <w:sz w:val="28"/>
          <w:szCs w:val="28"/>
        </w:rPr>
        <w:t>4</w:t>
      </w:r>
      <w:r w:rsidRPr="006605D3">
        <w:rPr>
          <w:rFonts w:ascii="Times New Roman" w:hAnsi="Times New Roman"/>
          <w:sz w:val="28"/>
          <w:szCs w:val="28"/>
        </w:rPr>
        <w:t xml:space="preserve"> лица;</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 оправдани лица с влязъл в сила съдебен акт – </w:t>
      </w:r>
      <w:r w:rsidRPr="006605D3">
        <w:rPr>
          <w:rFonts w:ascii="Times New Roman" w:hAnsi="Times New Roman"/>
          <w:b/>
          <w:sz w:val="28"/>
          <w:szCs w:val="28"/>
        </w:rPr>
        <w:t>3</w:t>
      </w:r>
      <w:r w:rsidRPr="006605D3">
        <w:rPr>
          <w:rFonts w:ascii="Times New Roman" w:hAnsi="Times New Roman"/>
          <w:sz w:val="28"/>
          <w:szCs w:val="28"/>
        </w:rPr>
        <w:t xml:space="preserve"> лица;</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В съда са внесени </w:t>
      </w:r>
      <w:r w:rsidRPr="006605D3">
        <w:rPr>
          <w:rFonts w:ascii="Times New Roman" w:hAnsi="Times New Roman"/>
          <w:b/>
          <w:sz w:val="28"/>
          <w:szCs w:val="28"/>
        </w:rPr>
        <w:t>2</w:t>
      </w:r>
      <w:r w:rsidRPr="006605D3">
        <w:rPr>
          <w:rFonts w:ascii="Times New Roman" w:hAnsi="Times New Roman"/>
          <w:sz w:val="28"/>
          <w:szCs w:val="28"/>
        </w:rPr>
        <w:t xml:space="preserve"> предложения за решаване на делото със споразумение за </w:t>
      </w:r>
      <w:r w:rsidRPr="006605D3">
        <w:rPr>
          <w:rFonts w:ascii="Times New Roman" w:hAnsi="Times New Roman"/>
          <w:b/>
          <w:sz w:val="28"/>
          <w:szCs w:val="28"/>
        </w:rPr>
        <w:t xml:space="preserve">2 </w:t>
      </w:r>
      <w:r w:rsidRPr="006605D3">
        <w:rPr>
          <w:rFonts w:ascii="Times New Roman" w:hAnsi="Times New Roman"/>
          <w:sz w:val="28"/>
          <w:szCs w:val="28"/>
        </w:rPr>
        <w:t xml:space="preserve">лица. </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В отчетния период </w:t>
      </w:r>
      <w:r w:rsidRPr="006605D3">
        <w:rPr>
          <w:rFonts w:ascii="Times New Roman" w:hAnsi="Times New Roman"/>
          <w:b/>
          <w:sz w:val="28"/>
          <w:szCs w:val="28"/>
        </w:rPr>
        <w:t>не са внасяни</w:t>
      </w:r>
      <w:r w:rsidRPr="006605D3">
        <w:rPr>
          <w:rFonts w:ascii="Times New Roman" w:hAnsi="Times New Roman"/>
          <w:sz w:val="28"/>
          <w:szCs w:val="28"/>
        </w:rPr>
        <w:t xml:space="preserve"> предложения по чл.78а от НК.</w:t>
      </w:r>
    </w:p>
    <w:p w:rsidR="006605D3" w:rsidRPr="006605D3" w:rsidRDefault="006605D3" w:rsidP="004D24A1">
      <w:pPr>
        <w:autoSpaceDN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В процентно съотношение внесените в съда дела спрямо общо наблюдаваните е </w:t>
      </w:r>
      <w:r w:rsidRPr="006605D3">
        <w:rPr>
          <w:rFonts w:ascii="Times New Roman" w:hAnsi="Times New Roman"/>
          <w:b/>
          <w:color w:val="000000"/>
          <w:sz w:val="28"/>
          <w:szCs w:val="28"/>
        </w:rPr>
        <w:t>3,61 %,</w:t>
      </w:r>
      <w:r w:rsidRPr="006605D3">
        <w:rPr>
          <w:rFonts w:ascii="Times New Roman" w:hAnsi="Times New Roman"/>
          <w:color w:val="000000"/>
          <w:sz w:val="28"/>
          <w:szCs w:val="28"/>
        </w:rPr>
        <w:t xml:space="preserve"> а прекратените са </w:t>
      </w:r>
      <w:r w:rsidRPr="006605D3">
        <w:rPr>
          <w:rFonts w:ascii="Times New Roman" w:hAnsi="Times New Roman"/>
          <w:b/>
          <w:color w:val="000000"/>
          <w:sz w:val="28"/>
          <w:szCs w:val="28"/>
        </w:rPr>
        <w:t>29,86 %.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u w:val="single"/>
        </w:rPr>
        <w:t>От трета група</w:t>
      </w:r>
      <w:r w:rsidRPr="006605D3">
        <w:rPr>
          <w:rFonts w:ascii="Times New Roman" w:eastAsia="Times New Roman" w:hAnsi="Times New Roman"/>
          <w:sz w:val="28"/>
          <w:szCs w:val="28"/>
        </w:rPr>
        <w:t xml:space="preserve"> „Злоупотреба със служебно положение на длъжностни лица и престъпления на недлъжностни лица с вероятен корупционен мотив“ са наблюдавани общо </w:t>
      </w:r>
      <w:r w:rsidRPr="006605D3">
        <w:rPr>
          <w:rFonts w:ascii="Times New Roman" w:eastAsia="Times New Roman" w:hAnsi="Times New Roman"/>
          <w:b/>
          <w:sz w:val="28"/>
          <w:szCs w:val="28"/>
        </w:rPr>
        <w:t>340</w:t>
      </w:r>
      <w:r w:rsidRPr="006605D3">
        <w:rPr>
          <w:rFonts w:ascii="Times New Roman" w:eastAsia="Times New Roman" w:hAnsi="Times New Roman"/>
          <w:sz w:val="28"/>
          <w:szCs w:val="28"/>
        </w:rPr>
        <w:t xml:space="preserve"> досъдебни производства /за 2020г. - 290 броя, а</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за 2019 г. – 311 броя/, от които </w:t>
      </w:r>
      <w:r w:rsidRPr="006605D3">
        <w:rPr>
          <w:rFonts w:ascii="Times New Roman" w:eastAsia="Times New Roman" w:hAnsi="Times New Roman"/>
          <w:b/>
          <w:sz w:val="28"/>
          <w:szCs w:val="28"/>
        </w:rPr>
        <w:t xml:space="preserve">81 </w:t>
      </w:r>
      <w:r w:rsidRPr="006605D3">
        <w:rPr>
          <w:rFonts w:ascii="Times New Roman" w:eastAsia="Times New Roman" w:hAnsi="Times New Roman"/>
          <w:sz w:val="28"/>
          <w:szCs w:val="28"/>
        </w:rPr>
        <w:t>броя са новообразувани /за 2020г. - 57 броя, а</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за 2019 г. – 57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spacing w:val="-2"/>
          <w:sz w:val="28"/>
          <w:szCs w:val="28"/>
        </w:rPr>
      </w:pPr>
      <w:r w:rsidRPr="006605D3">
        <w:rPr>
          <w:rFonts w:ascii="Times New Roman" w:eastAsia="Times New Roman" w:hAnsi="Times New Roman"/>
          <w:spacing w:val="-2"/>
          <w:sz w:val="28"/>
          <w:szCs w:val="28"/>
        </w:rPr>
        <w:t xml:space="preserve">В края на отчетния период са приключени </w:t>
      </w:r>
      <w:r w:rsidRPr="006605D3">
        <w:rPr>
          <w:rFonts w:ascii="Times New Roman" w:eastAsia="Times New Roman" w:hAnsi="Times New Roman"/>
          <w:b/>
          <w:spacing w:val="-2"/>
          <w:sz w:val="28"/>
          <w:szCs w:val="28"/>
        </w:rPr>
        <w:t>102</w:t>
      </w:r>
      <w:r w:rsidRPr="006605D3">
        <w:rPr>
          <w:rFonts w:ascii="Times New Roman" w:eastAsia="Times New Roman" w:hAnsi="Times New Roman"/>
          <w:spacing w:val="-2"/>
          <w:sz w:val="28"/>
          <w:szCs w:val="28"/>
        </w:rPr>
        <w:t xml:space="preserve"> досъдебни производства от този вид /за 2020г. - 10</w:t>
      </w:r>
      <w:r w:rsidRPr="006605D3">
        <w:rPr>
          <w:rFonts w:ascii="Times New Roman" w:eastAsia="Times New Roman" w:hAnsi="Times New Roman"/>
          <w:spacing w:val="-2"/>
          <w:sz w:val="28"/>
          <w:szCs w:val="28"/>
          <w:lang w:val="en-US"/>
        </w:rPr>
        <w:t>0</w:t>
      </w:r>
      <w:r w:rsidRPr="006605D3">
        <w:rPr>
          <w:rFonts w:ascii="Times New Roman" w:eastAsia="Times New Roman" w:hAnsi="Times New Roman"/>
          <w:spacing w:val="-2"/>
          <w:sz w:val="28"/>
          <w:szCs w:val="28"/>
        </w:rPr>
        <w:t xml:space="preserve"> броя, а за 2019 г. – 148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spacing w:val="-9"/>
          <w:sz w:val="28"/>
          <w:szCs w:val="28"/>
        </w:rPr>
      </w:pPr>
      <w:r w:rsidRPr="006605D3">
        <w:rPr>
          <w:rFonts w:ascii="Times New Roman" w:eastAsia="Times New Roman" w:hAnsi="Times New Roman"/>
          <w:spacing w:val="-9"/>
          <w:sz w:val="28"/>
          <w:szCs w:val="28"/>
        </w:rPr>
        <w:t xml:space="preserve">Общия брой на решените е </w:t>
      </w:r>
      <w:r w:rsidRPr="006605D3">
        <w:rPr>
          <w:rFonts w:ascii="Times New Roman" w:eastAsia="Times New Roman" w:hAnsi="Times New Roman"/>
          <w:b/>
          <w:spacing w:val="-9"/>
          <w:sz w:val="28"/>
          <w:szCs w:val="28"/>
        </w:rPr>
        <w:t>134</w:t>
      </w:r>
      <w:r w:rsidRPr="006605D3">
        <w:rPr>
          <w:rFonts w:ascii="Times New Roman" w:eastAsia="Times New Roman" w:hAnsi="Times New Roman"/>
          <w:spacing w:val="-9"/>
          <w:sz w:val="28"/>
          <w:szCs w:val="28"/>
        </w:rPr>
        <w:t xml:space="preserve"> броя, като за 2020г. са били 107 броя, а за</w:t>
      </w:r>
      <w:r w:rsidRPr="006605D3">
        <w:rPr>
          <w:rFonts w:ascii="Times New Roman" w:eastAsia="Times New Roman" w:hAnsi="Times New Roman"/>
          <w:b/>
          <w:spacing w:val="-9"/>
          <w:sz w:val="28"/>
          <w:szCs w:val="28"/>
        </w:rPr>
        <w:t xml:space="preserve"> </w:t>
      </w:r>
      <w:r w:rsidRPr="006605D3">
        <w:rPr>
          <w:rFonts w:ascii="Times New Roman" w:eastAsia="Times New Roman" w:hAnsi="Times New Roman"/>
          <w:spacing w:val="-9"/>
          <w:sz w:val="28"/>
          <w:szCs w:val="28"/>
        </w:rPr>
        <w:t>2019 г. са били</w:t>
      </w:r>
      <w:r w:rsidRPr="006605D3">
        <w:rPr>
          <w:rFonts w:ascii="Times New Roman" w:eastAsia="Times New Roman" w:hAnsi="Times New Roman"/>
          <w:sz w:val="28"/>
          <w:szCs w:val="28"/>
        </w:rPr>
        <w:t xml:space="preserve"> 150 </w:t>
      </w:r>
      <w:r w:rsidRPr="006605D3">
        <w:rPr>
          <w:rFonts w:ascii="Times New Roman" w:eastAsia="Times New Roman" w:hAnsi="Times New Roman"/>
          <w:spacing w:val="-9"/>
          <w:sz w:val="28"/>
          <w:szCs w:val="28"/>
        </w:rPr>
        <w:t>броя</w:t>
      </w:r>
      <w:r w:rsidRPr="006605D3">
        <w:rPr>
          <w:rFonts w:ascii="Times New Roman" w:eastAsia="Times New Roman" w:hAnsi="Times New Roman"/>
          <w:sz w:val="28"/>
          <w:szCs w:val="28"/>
        </w:rPr>
        <w:t xml:space="preserve">. От тях спрени са </w:t>
      </w:r>
      <w:r w:rsidRPr="006605D3">
        <w:rPr>
          <w:rFonts w:ascii="Times New Roman" w:eastAsia="Times New Roman" w:hAnsi="Times New Roman"/>
          <w:b/>
          <w:sz w:val="28"/>
          <w:szCs w:val="28"/>
        </w:rPr>
        <w:t>25</w:t>
      </w:r>
      <w:r w:rsidRPr="006605D3">
        <w:rPr>
          <w:rFonts w:ascii="Times New Roman" w:eastAsia="Times New Roman" w:hAnsi="Times New Roman"/>
          <w:sz w:val="28"/>
          <w:szCs w:val="28"/>
        </w:rPr>
        <w:t xml:space="preserve">  броя  /за 2020г. - 20 броя, а за</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2019 г. – 26 броя/, прекратени са </w:t>
      </w:r>
      <w:r w:rsidRPr="006605D3">
        <w:rPr>
          <w:rFonts w:ascii="Times New Roman" w:eastAsia="Times New Roman" w:hAnsi="Times New Roman"/>
          <w:b/>
          <w:sz w:val="28"/>
          <w:szCs w:val="28"/>
        </w:rPr>
        <w:t>71</w:t>
      </w:r>
      <w:r w:rsidRPr="006605D3">
        <w:rPr>
          <w:rFonts w:ascii="Times New Roman" w:eastAsia="Times New Roman" w:hAnsi="Times New Roman"/>
          <w:sz w:val="28"/>
          <w:szCs w:val="28"/>
        </w:rPr>
        <w:t xml:space="preserve"> броя /за 2020г. 46 броя, а за 2019 г. – 63 броя/, а </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внесените в съда с прокурорски акт са</w:t>
      </w:r>
      <w:r w:rsidRPr="006605D3">
        <w:rPr>
          <w:rFonts w:ascii="Times New Roman" w:eastAsia="Times New Roman" w:hAnsi="Times New Roman"/>
          <w:b/>
          <w:sz w:val="28"/>
          <w:szCs w:val="28"/>
        </w:rPr>
        <w:t xml:space="preserve"> 29  </w:t>
      </w:r>
      <w:r w:rsidRPr="006605D3">
        <w:rPr>
          <w:rFonts w:ascii="Times New Roman" w:eastAsia="Times New Roman" w:hAnsi="Times New Roman"/>
          <w:sz w:val="28"/>
          <w:szCs w:val="28"/>
        </w:rPr>
        <w:t>броя /за 2020г. -  36 броя, а</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за 2019 г. – 39 броя/. </w:t>
      </w:r>
    </w:p>
    <w:p w:rsidR="006605D3" w:rsidRPr="006605D3" w:rsidRDefault="006605D3" w:rsidP="004D24A1">
      <w:pPr>
        <w:shd w:val="clear" w:color="auto" w:fill="FFFFFF"/>
        <w:overflowPunct w:val="0"/>
        <w:autoSpaceDE w:val="0"/>
        <w:autoSpaceDN w:val="0"/>
        <w:adjustRightInd w:val="0"/>
        <w:spacing w:after="0"/>
        <w:ind w:firstLine="709"/>
        <w:jc w:val="both"/>
        <w:rPr>
          <w:rFonts w:ascii="Times New Roman" w:eastAsia="Times New Roman" w:hAnsi="Times New Roman"/>
          <w:color w:val="000000"/>
          <w:sz w:val="28"/>
          <w:szCs w:val="28"/>
        </w:rPr>
      </w:pPr>
      <w:r w:rsidRPr="006605D3">
        <w:rPr>
          <w:rFonts w:ascii="Times New Roman" w:eastAsia="Times New Roman" w:hAnsi="Times New Roman"/>
          <w:color w:val="000000"/>
          <w:sz w:val="28"/>
          <w:szCs w:val="28"/>
        </w:rPr>
        <w:t xml:space="preserve">За 2021 г. относителният дял на решените досъдебни производства спрямо общо наблюдаваните е </w:t>
      </w:r>
      <w:r w:rsidRPr="006605D3">
        <w:rPr>
          <w:rFonts w:ascii="Times New Roman" w:eastAsia="Times New Roman" w:hAnsi="Times New Roman"/>
          <w:b/>
          <w:color w:val="000000"/>
          <w:sz w:val="28"/>
          <w:szCs w:val="28"/>
        </w:rPr>
        <w:t>39,41 %,</w:t>
      </w:r>
      <w:r w:rsidRPr="006605D3">
        <w:rPr>
          <w:rFonts w:ascii="Times New Roman" w:eastAsia="Times New Roman" w:hAnsi="Times New Roman"/>
          <w:color w:val="000000"/>
          <w:sz w:val="28"/>
          <w:szCs w:val="28"/>
        </w:rPr>
        <w:t xml:space="preserve"> като за 2020г. е 36,89%, а за 2019г. е  48,23 %, .</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Предадени на съд с обвинителен акт са </w:t>
      </w:r>
      <w:r w:rsidRPr="006605D3">
        <w:rPr>
          <w:rFonts w:ascii="Times New Roman" w:hAnsi="Times New Roman"/>
          <w:b/>
          <w:sz w:val="28"/>
          <w:szCs w:val="28"/>
        </w:rPr>
        <w:t>30</w:t>
      </w:r>
      <w:r w:rsidRPr="006605D3">
        <w:rPr>
          <w:rFonts w:ascii="Times New Roman" w:hAnsi="Times New Roman"/>
          <w:sz w:val="28"/>
          <w:szCs w:val="28"/>
        </w:rPr>
        <w:t xml:space="preserve"> лица /по 27 обвинителни акта/, от които:</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 осъдени и санкционирани с влязъл в сила съдебен акт - </w:t>
      </w:r>
      <w:r w:rsidRPr="006605D3">
        <w:rPr>
          <w:rFonts w:ascii="Times New Roman" w:hAnsi="Times New Roman"/>
          <w:b/>
          <w:sz w:val="28"/>
          <w:szCs w:val="28"/>
        </w:rPr>
        <w:t>24</w:t>
      </w:r>
      <w:r w:rsidRPr="006605D3">
        <w:rPr>
          <w:rFonts w:ascii="Times New Roman" w:hAnsi="Times New Roman"/>
          <w:sz w:val="28"/>
          <w:szCs w:val="28"/>
        </w:rPr>
        <w:t xml:space="preserve"> лица;</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lastRenderedPageBreak/>
        <w:t xml:space="preserve">- оправдани лица с влязъл в сила съдебен акт - </w:t>
      </w:r>
      <w:r w:rsidRPr="006605D3">
        <w:rPr>
          <w:rFonts w:ascii="Times New Roman" w:hAnsi="Times New Roman"/>
          <w:b/>
          <w:sz w:val="28"/>
          <w:szCs w:val="28"/>
        </w:rPr>
        <w:t>7</w:t>
      </w:r>
      <w:r w:rsidRPr="006605D3">
        <w:rPr>
          <w:rFonts w:ascii="Times New Roman" w:hAnsi="Times New Roman"/>
          <w:sz w:val="28"/>
          <w:szCs w:val="28"/>
        </w:rPr>
        <w:t xml:space="preserve"> лица;</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Внесените в съда дела със споразумения са </w:t>
      </w:r>
      <w:r w:rsidRPr="006605D3">
        <w:rPr>
          <w:rFonts w:ascii="Times New Roman" w:hAnsi="Times New Roman"/>
          <w:b/>
          <w:sz w:val="28"/>
          <w:szCs w:val="28"/>
        </w:rPr>
        <w:t>2</w:t>
      </w:r>
      <w:r w:rsidRPr="006605D3">
        <w:rPr>
          <w:rFonts w:ascii="Times New Roman" w:hAnsi="Times New Roman"/>
          <w:sz w:val="28"/>
          <w:szCs w:val="28"/>
        </w:rPr>
        <w:t xml:space="preserve"> броя срещу </w:t>
      </w:r>
      <w:r w:rsidRPr="006605D3">
        <w:rPr>
          <w:rFonts w:ascii="Times New Roman" w:hAnsi="Times New Roman"/>
          <w:b/>
          <w:sz w:val="28"/>
          <w:szCs w:val="28"/>
        </w:rPr>
        <w:t>2</w:t>
      </w:r>
      <w:r w:rsidRPr="006605D3">
        <w:rPr>
          <w:rFonts w:ascii="Times New Roman" w:hAnsi="Times New Roman"/>
          <w:sz w:val="28"/>
          <w:szCs w:val="28"/>
        </w:rPr>
        <w:t xml:space="preserve"> лица.  </w:t>
      </w: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b/>
          <w:sz w:val="28"/>
          <w:szCs w:val="28"/>
        </w:rPr>
        <w:t>Няма</w:t>
      </w:r>
      <w:r w:rsidRPr="006605D3">
        <w:rPr>
          <w:rFonts w:ascii="Times New Roman" w:hAnsi="Times New Roman"/>
          <w:sz w:val="28"/>
          <w:szCs w:val="28"/>
        </w:rPr>
        <w:t xml:space="preserve"> внесени в съда предложения по чл.78а от НК.</w:t>
      </w:r>
    </w:p>
    <w:p w:rsidR="006605D3" w:rsidRPr="006605D3" w:rsidRDefault="006605D3" w:rsidP="004D24A1">
      <w:pPr>
        <w:autoSpaceDN w:val="0"/>
        <w:spacing w:after="0"/>
        <w:ind w:firstLine="709"/>
        <w:jc w:val="both"/>
        <w:rPr>
          <w:rFonts w:ascii="Times New Roman" w:hAnsi="Times New Roman"/>
          <w:b/>
          <w:color w:val="000000"/>
          <w:sz w:val="28"/>
          <w:szCs w:val="28"/>
          <w:lang w:val="en-US"/>
        </w:rPr>
      </w:pPr>
      <w:r w:rsidRPr="006605D3">
        <w:rPr>
          <w:rFonts w:ascii="Times New Roman" w:hAnsi="Times New Roman"/>
          <w:color w:val="000000"/>
          <w:sz w:val="28"/>
          <w:szCs w:val="28"/>
        </w:rPr>
        <w:t xml:space="preserve">В процентно съотношение внесените в съда дела спрямо общо наблюдаваните са </w:t>
      </w:r>
      <w:r w:rsidRPr="006605D3">
        <w:rPr>
          <w:rFonts w:ascii="Times New Roman" w:hAnsi="Times New Roman"/>
          <w:b/>
          <w:color w:val="000000"/>
          <w:sz w:val="28"/>
          <w:szCs w:val="28"/>
        </w:rPr>
        <w:t>8,53 %</w:t>
      </w:r>
      <w:r w:rsidRPr="006605D3">
        <w:rPr>
          <w:rFonts w:ascii="Times New Roman" w:hAnsi="Times New Roman"/>
          <w:color w:val="000000"/>
          <w:sz w:val="28"/>
          <w:szCs w:val="28"/>
        </w:rPr>
        <w:t xml:space="preserve">, а прекратените са </w:t>
      </w:r>
      <w:r w:rsidRPr="006605D3">
        <w:rPr>
          <w:rFonts w:ascii="Times New Roman" w:hAnsi="Times New Roman"/>
          <w:b/>
          <w:color w:val="000000"/>
          <w:sz w:val="28"/>
          <w:szCs w:val="28"/>
        </w:rPr>
        <w:t>20,88 %</w:t>
      </w:r>
      <w:r w:rsidRPr="006605D3">
        <w:rPr>
          <w:rFonts w:ascii="Times New Roman" w:hAnsi="Times New Roman"/>
          <w:color w:val="000000"/>
          <w:sz w:val="28"/>
          <w:szCs w:val="28"/>
        </w:rPr>
        <w:t>.</w:t>
      </w:r>
    </w:p>
    <w:p w:rsidR="006605D3" w:rsidRPr="006605D3" w:rsidRDefault="006605D3" w:rsidP="004D24A1">
      <w:pPr>
        <w:autoSpaceDN w:val="0"/>
        <w:spacing w:after="0"/>
        <w:ind w:firstLine="709"/>
        <w:jc w:val="both"/>
        <w:rPr>
          <w:rFonts w:ascii="Times New Roman" w:eastAsia="Times New Roman" w:hAnsi="Times New Roman"/>
          <w:color w:val="000000"/>
          <w:sz w:val="28"/>
          <w:szCs w:val="28"/>
          <w:lang w:eastAsia="bg-BG"/>
        </w:rPr>
      </w:pPr>
      <w:r w:rsidRPr="006605D3">
        <w:rPr>
          <w:rFonts w:ascii="Times New Roman" w:eastAsia="Times New Roman" w:hAnsi="Times New Roman"/>
          <w:color w:val="000000"/>
          <w:sz w:val="28"/>
          <w:szCs w:val="28"/>
          <w:lang w:eastAsia="bg-BG"/>
        </w:rPr>
        <w:t xml:space="preserve">За отчетния период се наблюдава увеличение в броя на водените и новообразувани досъдебни производства за корупционни престъпления. Тази тенденция е обусловена от усилията и фокуса на СГП относно преграждане възможността за злоупотреба с финанси и служебно положение.  Под надзора на СГП продължават да се водят дела за корупционни престъпления, извършени от субекти, които не притежават особените качества, визирани в чл. 411а, ал. 4 от НПК, както и неприключилите разследвания за престъпления, подсъдни на Специализиран наказателен съд. По своята същност тези дела са с фактическа и  правна сложност, което предопределя тяхната по-голяма продължителност при събирането на доказателства. Запазва се тенденцията за намаляване дела на същинските корупционни престъпления, като отново най-голям е делът на делата, свързани със злоупотреба    със    служебно    положение    на   длъжностни   лица и престъпления на недлъжностни лица с вероятен корупционен мотив. Положителен резултат на този отчетен период е, че </w:t>
      </w:r>
      <w:r w:rsidRPr="006605D3">
        <w:rPr>
          <w:rFonts w:ascii="Times New Roman" w:eastAsia="Times New Roman" w:hAnsi="Times New Roman"/>
          <w:b/>
          <w:color w:val="000000"/>
          <w:sz w:val="28"/>
          <w:szCs w:val="28"/>
          <w:lang w:eastAsia="bg-BG"/>
        </w:rPr>
        <w:t>39,7 %</w:t>
      </w:r>
      <w:r w:rsidRPr="006605D3">
        <w:rPr>
          <w:rFonts w:ascii="Times New Roman" w:eastAsia="Times New Roman" w:hAnsi="Times New Roman"/>
          <w:color w:val="000000"/>
          <w:sz w:val="28"/>
          <w:szCs w:val="28"/>
          <w:lang w:eastAsia="bg-BG"/>
        </w:rPr>
        <w:t xml:space="preserve"> от наблюдаваните дела са  решени, което е </w:t>
      </w:r>
      <w:r w:rsidRPr="006605D3">
        <w:rPr>
          <w:rFonts w:ascii="Times New Roman" w:eastAsia="Times New Roman" w:hAnsi="Times New Roman"/>
          <w:b/>
          <w:color w:val="000000"/>
          <w:sz w:val="28"/>
          <w:szCs w:val="28"/>
          <w:lang w:eastAsia="bg-BG"/>
        </w:rPr>
        <w:t>с 2 % повече</w:t>
      </w:r>
      <w:r w:rsidRPr="006605D3">
        <w:rPr>
          <w:rFonts w:ascii="Times New Roman" w:eastAsia="Times New Roman" w:hAnsi="Times New Roman"/>
          <w:color w:val="000000"/>
          <w:sz w:val="28"/>
          <w:szCs w:val="28"/>
          <w:lang w:eastAsia="bg-BG"/>
        </w:rPr>
        <w:t xml:space="preserve"> от предходния отчетен период. 22% от приключените дела са внесени в съда, което отново е показател за срочността, с която наблюдаващите прокурори се стремят да приключват производствата.</w:t>
      </w:r>
    </w:p>
    <w:p w:rsidR="006605D3" w:rsidRPr="006605D3" w:rsidRDefault="006605D3" w:rsidP="004D24A1">
      <w:pPr>
        <w:shd w:val="clear" w:color="auto" w:fill="FFFFFF"/>
        <w:overflowPunct w:val="0"/>
        <w:autoSpaceDE w:val="0"/>
        <w:autoSpaceDN w:val="0"/>
        <w:adjustRightInd w:val="0"/>
        <w:spacing w:after="0"/>
        <w:ind w:right="72"/>
        <w:jc w:val="center"/>
        <w:rPr>
          <w:rFonts w:ascii="Times New Roman" w:eastAsia="Times New Roman" w:hAnsi="Times New Roman"/>
          <w:b/>
          <w:spacing w:val="-7"/>
          <w:sz w:val="20"/>
          <w:szCs w:val="20"/>
        </w:rPr>
      </w:pPr>
    </w:p>
    <w:p w:rsidR="006605D3" w:rsidRPr="006605D3" w:rsidRDefault="006605D3" w:rsidP="004D24A1">
      <w:pPr>
        <w:shd w:val="clear" w:color="auto" w:fill="FFFFFF"/>
        <w:overflowPunct w:val="0"/>
        <w:autoSpaceDE w:val="0"/>
        <w:autoSpaceDN w:val="0"/>
        <w:adjustRightInd w:val="0"/>
        <w:spacing w:after="0"/>
        <w:ind w:right="72"/>
        <w:jc w:val="center"/>
        <w:rPr>
          <w:rFonts w:ascii="Times New Roman" w:eastAsia="Times New Roman" w:hAnsi="Times New Roman"/>
          <w:b/>
          <w:spacing w:val="-7"/>
          <w:sz w:val="24"/>
          <w:szCs w:val="24"/>
        </w:rPr>
      </w:pPr>
      <w:r w:rsidRPr="006605D3">
        <w:rPr>
          <w:rFonts w:ascii="Times New Roman" w:eastAsia="Times New Roman" w:hAnsi="Times New Roman"/>
          <w:b/>
          <w:spacing w:val="-7"/>
          <w:sz w:val="24"/>
          <w:szCs w:val="24"/>
        </w:rPr>
        <w:t>Относителен дял на наблюдаваните ДП, съгласно критериите на Единния каталог на корупционните престъпления, спрямо общия брой наблюдавани ДП за корупционни престъпления</w:t>
      </w:r>
    </w:p>
    <w:p w:rsidR="006605D3" w:rsidRPr="006605D3" w:rsidRDefault="003515B0" w:rsidP="004D24A1">
      <w:pPr>
        <w:shd w:val="clear" w:color="auto" w:fill="FFFFFF"/>
        <w:overflowPunct w:val="0"/>
        <w:autoSpaceDE w:val="0"/>
        <w:autoSpaceDN w:val="0"/>
        <w:adjustRightInd w:val="0"/>
        <w:spacing w:after="0"/>
        <w:ind w:right="72"/>
        <w:jc w:val="center"/>
        <w:rPr>
          <w:rFonts w:ascii="Times New Roman" w:eastAsia="Times New Roman" w:hAnsi="Times New Roman"/>
          <w:b/>
          <w:spacing w:val="-7"/>
          <w:sz w:val="20"/>
          <w:szCs w:val="20"/>
        </w:rPr>
      </w:pPr>
      <w:r w:rsidRPr="00BF58F4">
        <w:rPr>
          <w:noProof/>
          <w:lang w:eastAsia="bg-BG"/>
        </w:rPr>
        <w:drawing>
          <wp:inline distT="0" distB="0" distL="0" distR="0" wp14:anchorId="6A1A8DFE" wp14:editId="5F1727C4">
            <wp:extent cx="5247640" cy="2305685"/>
            <wp:effectExtent l="0" t="0" r="0" b="0"/>
            <wp:docPr id="30"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605D3" w:rsidRPr="006605D3" w:rsidRDefault="006605D3" w:rsidP="004D24A1">
      <w:pPr>
        <w:shd w:val="clear" w:color="auto" w:fill="FFFFFF"/>
        <w:overflowPunct w:val="0"/>
        <w:autoSpaceDE w:val="0"/>
        <w:autoSpaceDN w:val="0"/>
        <w:adjustRightInd w:val="0"/>
        <w:spacing w:after="0"/>
        <w:ind w:right="72"/>
        <w:rPr>
          <w:rFonts w:ascii="Times New Roman" w:eastAsia="Times New Roman" w:hAnsi="Times New Roman"/>
          <w:b/>
          <w:spacing w:val="-7"/>
          <w:sz w:val="20"/>
          <w:szCs w:val="20"/>
        </w:rPr>
      </w:pPr>
    </w:p>
    <w:p w:rsidR="006605D3" w:rsidRPr="006605D3" w:rsidRDefault="006605D3" w:rsidP="004D24A1">
      <w:pPr>
        <w:shd w:val="clear" w:color="auto" w:fill="FFFFFF"/>
        <w:overflowPunct w:val="0"/>
        <w:autoSpaceDE w:val="0"/>
        <w:autoSpaceDN w:val="0"/>
        <w:adjustRightInd w:val="0"/>
        <w:spacing w:after="0"/>
        <w:ind w:right="72"/>
        <w:jc w:val="center"/>
        <w:rPr>
          <w:rFonts w:ascii="Times New Roman" w:eastAsia="Times New Roman" w:hAnsi="Times New Roman"/>
          <w:b/>
          <w:spacing w:val="-7"/>
          <w:sz w:val="20"/>
          <w:szCs w:val="20"/>
        </w:rPr>
      </w:pPr>
    </w:p>
    <w:p w:rsidR="006605D3" w:rsidRPr="006605D3" w:rsidRDefault="006605D3" w:rsidP="004D24A1">
      <w:pPr>
        <w:shd w:val="clear" w:color="auto" w:fill="FFFFFF"/>
        <w:overflowPunct w:val="0"/>
        <w:autoSpaceDE w:val="0"/>
        <w:autoSpaceDN w:val="0"/>
        <w:adjustRightInd w:val="0"/>
        <w:spacing w:after="120"/>
        <w:ind w:firstLine="708"/>
        <w:jc w:val="both"/>
        <w:rPr>
          <w:rFonts w:ascii="Times New Roman" w:eastAsia="Times New Roman" w:hAnsi="Times New Roman"/>
          <w:b/>
          <w:spacing w:val="-8"/>
          <w:sz w:val="28"/>
          <w:szCs w:val="28"/>
        </w:rPr>
      </w:pPr>
      <w:r w:rsidRPr="006605D3">
        <w:rPr>
          <w:rFonts w:ascii="Times New Roman" w:eastAsia="Times New Roman" w:hAnsi="Times New Roman"/>
          <w:b/>
          <w:spacing w:val="-8"/>
          <w:sz w:val="28"/>
          <w:szCs w:val="28"/>
        </w:rPr>
        <w:lastRenderedPageBreak/>
        <w:t xml:space="preserve">Досъдебни производства, образувани за престъпления, свързани с изпиране на пари.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8"/>
        <w:gridCol w:w="1466"/>
        <w:gridCol w:w="1466"/>
        <w:gridCol w:w="1460"/>
      </w:tblGrid>
      <w:tr w:rsidR="006605D3" w:rsidRPr="006605D3" w:rsidTr="00E22699">
        <w:trPr>
          <w:trHeight w:val="64"/>
          <w:jc w:val="center"/>
        </w:trPr>
        <w:tc>
          <w:tcPr>
            <w:tcW w:w="2576" w:type="pct"/>
            <w:tcBorders>
              <w:top w:val="single" w:sz="4" w:space="0" w:color="auto"/>
              <w:left w:val="single" w:sz="4" w:space="0" w:color="auto"/>
              <w:bottom w:val="single" w:sz="4" w:space="0" w:color="auto"/>
              <w:right w:val="single" w:sz="4" w:space="0" w:color="auto"/>
            </w:tcBorders>
            <w:shd w:val="clear" w:color="auto" w:fill="C4BC96"/>
            <w:noWrap/>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09"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sz w:val="28"/>
                <w:szCs w:val="28"/>
                <w:lang w:eastAsia="bg-BG"/>
              </w:rPr>
              <w:t>2019 г.</w:t>
            </w:r>
          </w:p>
        </w:tc>
        <w:tc>
          <w:tcPr>
            <w:tcW w:w="809"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2021 г.</w:t>
            </w:r>
          </w:p>
        </w:tc>
      </w:tr>
      <w:tr w:rsidR="006605D3" w:rsidRPr="006605D3" w:rsidTr="00E22699">
        <w:trPr>
          <w:trHeight w:val="304"/>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191</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217</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232</w:t>
            </w:r>
          </w:p>
        </w:tc>
      </w:tr>
      <w:tr w:rsidR="006605D3" w:rsidRPr="006605D3" w:rsidTr="00E22699">
        <w:trPr>
          <w:trHeight w:val="279"/>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43</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74</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65</w:t>
            </w:r>
          </w:p>
        </w:tc>
      </w:tr>
      <w:tr w:rsidR="006605D3" w:rsidRPr="006605D3" w:rsidTr="00E22699">
        <w:trPr>
          <w:trHeight w:val="270"/>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67</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55</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71</w:t>
            </w:r>
          </w:p>
        </w:tc>
      </w:tr>
      <w:tr w:rsidR="006605D3" w:rsidRPr="006605D3" w:rsidTr="00E22699">
        <w:trPr>
          <w:trHeight w:val="274"/>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3</w:t>
            </w:r>
          </w:p>
        </w:tc>
      </w:tr>
      <w:tr w:rsidR="006605D3" w:rsidRPr="006605D3" w:rsidTr="00E22699">
        <w:trPr>
          <w:trHeight w:val="278"/>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w:t>
            </w:r>
          </w:p>
        </w:tc>
      </w:tr>
      <w:tr w:rsidR="006605D3" w:rsidRPr="006605D3" w:rsidTr="00E22699">
        <w:trPr>
          <w:trHeight w:val="268"/>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3</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3</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1</w:t>
            </w:r>
          </w:p>
        </w:tc>
      </w:tr>
      <w:tr w:rsidR="006605D3" w:rsidRPr="006605D3" w:rsidTr="00E22699">
        <w:trPr>
          <w:trHeight w:val="272"/>
          <w:jc w:val="center"/>
        </w:trPr>
        <w:tc>
          <w:tcPr>
            <w:tcW w:w="2576"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0</w:t>
            </w:r>
          </w:p>
        </w:tc>
        <w:tc>
          <w:tcPr>
            <w:tcW w:w="809"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c>
          <w:tcPr>
            <w:tcW w:w="80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0</w:t>
            </w:r>
          </w:p>
        </w:tc>
      </w:tr>
    </w:tbl>
    <w:p w:rsidR="006605D3" w:rsidRPr="006605D3" w:rsidRDefault="006605D3" w:rsidP="004D24A1">
      <w:pPr>
        <w:shd w:val="clear" w:color="auto" w:fill="FFFFFF"/>
        <w:overflowPunct w:val="0"/>
        <w:autoSpaceDE w:val="0"/>
        <w:autoSpaceDN w:val="0"/>
        <w:adjustRightInd w:val="0"/>
        <w:spacing w:after="120"/>
        <w:jc w:val="both"/>
        <w:rPr>
          <w:rFonts w:ascii="Times New Roman" w:eastAsia="Times New Roman" w:hAnsi="Times New Roman"/>
          <w:b/>
          <w:spacing w:val="-9"/>
          <w:sz w:val="28"/>
          <w:szCs w:val="28"/>
        </w:rPr>
      </w:pPr>
    </w:p>
    <w:p w:rsidR="006605D3" w:rsidRPr="006605D3" w:rsidRDefault="006605D3" w:rsidP="004D24A1">
      <w:pPr>
        <w:autoSpaceDN w:val="0"/>
        <w:spacing w:after="0"/>
        <w:ind w:firstLine="709"/>
        <w:jc w:val="both"/>
        <w:rPr>
          <w:rFonts w:ascii="Times New Roman" w:hAnsi="Times New Roman"/>
          <w:sz w:val="28"/>
          <w:szCs w:val="28"/>
        </w:rPr>
      </w:pPr>
      <w:r w:rsidRPr="006605D3">
        <w:rPr>
          <w:rFonts w:ascii="Times New Roman" w:hAnsi="Times New Roman"/>
          <w:sz w:val="28"/>
          <w:szCs w:val="28"/>
        </w:rPr>
        <w:t xml:space="preserve">Новообразувани за отчетния период в Софийска градска прокуратура са </w:t>
      </w:r>
      <w:r w:rsidRPr="006605D3">
        <w:rPr>
          <w:rFonts w:ascii="Times New Roman" w:hAnsi="Times New Roman"/>
          <w:b/>
          <w:sz w:val="28"/>
          <w:szCs w:val="28"/>
        </w:rPr>
        <w:t>65</w:t>
      </w:r>
      <w:r w:rsidRPr="006605D3">
        <w:rPr>
          <w:rFonts w:ascii="Times New Roman" w:hAnsi="Times New Roman"/>
          <w:sz w:val="28"/>
          <w:szCs w:val="28"/>
        </w:rPr>
        <w:t xml:space="preserve"> досъдебни производства. Приключените досъдебни производства са </w:t>
      </w:r>
      <w:r w:rsidRPr="006605D3">
        <w:rPr>
          <w:rFonts w:ascii="Times New Roman" w:hAnsi="Times New Roman"/>
          <w:b/>
          <w:sz w:val="28"/>
          <w:szCs w:val="28"/>
        </w:rPr>
        <w:t>66</w:t>
      </w:r>
      <w:r w:rsidRPr="006605D3">
        <w:rPr>
          <w:rFonts w:ascii="Times New Roman" w:hAnsi="Times New Roman"/>
          <w:sz w:val="28"/>
          <w:szCs w:val="28"/>
        </w:rPr>
        <w:t xml:space="preserve"> броя. Решените дела от прокурорите при СГП са общо </w:t>
      </w:r>
      <w:r w:rsidRPr="006605D3">
        <w:rPr>
          <w:rFonts w:ascii="Times New Roman" w:hAnsi="Times New Roman"/>
          <w:b/>
          <w:sz w:val="28"/>
          <w:szCs w:val="28"/>
        </w:rPr>
        <w:t>71</w:t>
      </w:r>
      <w:r w:rsidRPr="006605D3">
        <w:rPr>
          <w:rFonts w:ascii="Times New Roman" w:hAnsi="Times New Roman"/>
          <w:sz w:val="28"/>
          <w:szCs w:val="28"/>
        </w:rPr>
        <w:t xml:space="preserve"> броя. Спрените производства са </w:t>
      </w:r>
      <w:r w:rsidRPr="006605D3">
        <w:rPr>
          <w:rFonts w:ascii="Times New Roman" w:hAnsi="Times New Roman"/>
          <w:b/>
          <w:sz w:val="28"/>
          <w:szCs w:val="28"/>
        </w:rPr>
        <w:t>42</w:t>
      </w:r>
      <w:r w:rsidRPr="006605D3">
        <w:rPr>
          <w:rFonts w:ascii="Times New Roman" w:hAnsi="Times New Roman"/>
          <w:sz w:val="28"/>
          <w:szCs w:val="28"/>
        </w:rPr>
        <w:t xml:space="preserve"> броя, прекратените са </w:t>
      </w:r>
      <w:r w:rsidRPr="006605D3">
        <w:rPr>
          <w:rFonts w:ascii="Times New Roman" w:hAnsi="Times New Roman"/>
          <w:b/>
          <w:sz w:val="28"/>
          <w:szCs w:val="28"/>
        </w:rPr>
        <w:t>23</w:t>
      </w:r>
      <w:r w:rsidRPr="006605D3">
        <w:rPr>
          <w:rFonts w:ascii="Times New Roman" w:hAnsi="Times New Roman"/>
          <w:sz w:val="28"/>
          <w:szCs w:val="28"/>
        </w:rPr>
        <w:t xml:space="preserve">, а внесените в съда с обвинителен акт са </w:t>
      </w:r>
      <w:r w:rsidRPr="006605D3">
        <w:rPr>
          <w:rFonts w:ascii="Times New Roman" w:hAnsi="Times New Roman"/>
          <w:b/>
          <w:sz w:val="28"/>
          <w:szCs w:val="28"/>
        </w:rPr>
        <w:t>3</w:t>
      </w:r>
      <w:r w:rsidRPr="006605D3">
        <w:rPr>
          <w:rFonts w:ascii="Times New Roman" w:hAnsi="Times New Roman"/>
          <w:sz w:val="28"/>
          <w:szCs w:val="28"/>
        </w:rPr>
        <w:t xml:space="preserve"> броя по отношение на </w:t>
      </w:r>
      <w:r w:rsidRPr="006605D3">
        <w:rPr>
          <w:rFonts w:ascii="Times New Roman" w:hAnsi="Times New Roman"/>
          <w:b/>
          <w:sz w:val="28"/>
          <w:szCs w:val="28"/>
        </w:rPr>
        <w:t xml:space="preserve">4 </w:t>
      </w:r>
      <w:r w:rsidRPr="006605D3">
        <w:rPr>
          <w:rFonts w:ascii="Times New Roman" w:hAnsi="Times New Roman"/>
          <w:sz w:val="28"/>
          <w:szCs w:val="28"/>
        </w:rPr>
        <w:t xml:space="preserve">обвиняеми лица. Осъдени и санкционирани лица с влязъл в сила съдебен акт е </w:t>
      </w:r>
      <w:r w:rsidRPr="006605D3">
        <w:rPr>
          <w:rFonts w:ascii="Times New Roman" w:hAnsi="Times New Roman"/>
          <w:b/>
          <w:sz w:val="28"/>
          <w:szCs w:val="28"/>
        </w:rPr>
        <w:t>1</w:t>
      </w:r>
      <w:r w:rsidRPr="006605D3">
        <w:rPr>
          <w:rFonts w:ascii="Times New Roman" w:hAnsi="Times New Roman"/>
          <w:sz w:val="28"/>
          <w:szCs w:val="28"/>
        </w:rPr>
        <w:t xml:space="preserve"> лице. </w:t>
      </w:r>
      <w:r w:rsidRPr="006605D3">
        <w:rPr>
          <w:rFonts w:ascii="Times New Roman" w:hAnsi="Times New Roman"/>
          <w:b/>
          <w:sz w:val="28"/>
          <w:szCs w:val="28"/>
        </w:rPr>
        <w:t>Няма</w:t>
      </w:r>
      <w:r w:rsidRPr="006605D3">
        <w:rPr>
          <w:rFonts w:ascii="Times New Roman" w:hAnsi="Times New Roman"/>
          <w:sz w:val="28"/>
          <w:szCs w:val="28"/>
        </w:rPr>
        <w:t xml:space="preserve">  оправдани лица с влязъл в сила съдебен акт.</w:t>
      </w:r>
    </w:p>
    <w:p w:rsidR="006605D3" w:rsidRPr="006605D3" w:rsidRDefault="006605D3" w:rsidP="004D24A1">
      <w:pPr>
        <w:autoSpaceDN w:val="0"/>
        <w:spacing w:after="0"/>
        <w:ind w:firstLine="709"/>
        <w:jc w:val="both"/>
        <w:rPr>
          <w:rFonts w:ascii="Times New Roman" w:hAnsi="Times New Roman"/>
          <w:sz w:val="28"/>
          <w:szCs w:val="28"/>
        </w:rPr>
      </w:pPr>
    </w:p>
    <w:p w:rsidR="006605D3" w:rsidRPr="006605D3" w:rsidRDefault="006605D3" w:rsidP="004D24A1">
      <w:pPr>
        <w:autoSpaceDN w:val="0"/>
        <w:spacing w:after="0"/>
        <w:ind w:firstLine="709"/>
        <w:jc w:val="both"/>
        <w:rPr>
          <w:rFonts w:ascii="Times New Roman" w:hAnsi="Times New Roman"/>
          <w:b/>
          <w:color w:val="000000"/>
          <w:sz w:val="28"/>
          <w:szCs w:val="28"/>
        </w:rPr>
      </w:pPr>
      <w:r w:rsidRPr="006605D3">
        <w:rPr>
          <w:rFonts w:ascii="Times New Roman" w:hAnsi="Times New Roman"/>
          <w:color w:val="000000"/>
          <w:sz w:val="28"/>
          <w:szCs w:val="28"/>
        </w:rPr>
        <w:t xml:space="preserve">За 2021 г. относителният дял на решените спрямо наблюдаваните досъдебни производства е </w:t>
      </w:r>
      <w:r w:rsidRPr="006605D3">
        <w:rPr>
          <w:rFonts w:ascii="Times New Roman" w:hAnsi="Times New Roman"/>
          <w:b/>
          <w:color w:val="000000"/>
          <w:sz w:val="28"/>
          <w:szCs w:val="28"/>
        </w:rPr>
        <w:t>30,60</w:t>
      </w:r>
      <w:r w:rsidRPr="006605D3">
        <w:rPr>
          <w:rFonts w:ascii="Times New Roman" w:hAnsi="Times New Roman"/>
          <w:color w:val="000000"/>
          <w:sz w:val="28"/>
          <w:szCs w:val="28"/>
          <w:lang w:val="en-US"/>
        </w:rPr>
        <w:t xml:space="preserve"> </w:t>
      </w:r>
      <w:r w:rsidRPr="006605D3">
        <w:rPr>
          <w:rFonts w:ascii="Times New Roman" w:hAnsi="Times New Roman"/>
          <w:b/>
          <w:color w:val="000000"/>
          <w:sz w:val="28"/>
          <w:szCs w:val="28"/>
        </w:rPr>
        <w:t>%</w:t>
      </w:r>
      <w:r w:rsidRPr="006605D3">
        <w:rPr>
          <w:rFonts w:ascii="Times New Roman" w:hAnsi="Times New Roman"/>
          <w:color w:val="000000"/>
          <w:sz w:val="28"/>
          <w:szCs w:val="28"/>
        </w:rPr>
        <w:t xml:space="preserve">, а делът на внесените в съда спрямо решените дела е </w:t>
      </w:r>
      <w:r w:rsidRPr="006605D3">
        <w:rPr>
          <w:rFonts w:ascii="Times New Roman" w:hAnsi="Times New Roman"/>
          <w:b/>
          <w:color w:val="000000"/>
          <w:sz w:val="28"/>
          <w:szCs w:val="28"/>
        </w:rPr>
        <w:t>4,22 %</w:t>
      </w:r>
      <w:r w:rsidRPr="006605D3">
        <w:rPr>
          <w:rFonts w:ascii="Times New Roman" w:hAnsi="Times New Roman"/>
          <w:color w:val="000000"/>
          <w:sz w:val="28"/>
          <w:szCs w:val="28"/>
        </w:rPr>
        <w:t xml:space="preserve">. Относителният дял на прекратените спрямо наблюдаваните производства за отчетния период е </w:t>
      </w:r>
      <w:r w:rsidRPr="006605D3">
        <w:rPr>
          <w:rFonts w:ascii="Times New Roman" w:hAnsi="Times New Roman"/>
          <w:b/>
          <w:color w:val="000000"/>
          <w:sz w:val="28"/>
          <w:szCs w:val="28"/>
        </w:rPr>
        <w:t>9,91 %.</w:t>
      </w:r>
    </w:p>
    <w:p w:rsidR="006605D3" w:rsidRPr="006605D3" w:rsidRDefault="006605D3" w:rsidP="004D24A1">
      <w:pPr>
        <w:autoSpaceDN w:val="0"/>
        <w:spacing w:after="0"/>
        <w:ind w:firstLine="709"/>
        <w:jc w:val="both"/>
        <w:rPr>
          <w:rFonts w:ascii="Times New Roman" w:hAnsi="Times New Roman"/>
          <w:b/>
          <w:color w:val="000000"/>
          <w:sz w:val="28"/>
          <w:szCs w:val="28"/>
        </w:rPr>
      </w:pPr>
    </w:p>
    <w:p w:rsidR="006605D3" w:rsidRPr="006605D3" w:rsidRDefault="006605D3" w:rsidP="004D24A1">
      <w:pPr>
        <w:shd w:val="clear" w:color="auto" w:fill="FFFFFF"/>
        <w:tabs>
          <w:tab w:val="left" w:pos="826"/>
        </w:tabs>
        <w:autoSpaceDE w:val="0"/>
        <w:autoSpaceDN w:val="0"/>
        <w:adjustRightInd w:val="0"/>
        <w:spacing w:after="0"/>
        <w:ind w:firstLine="709"/>
        <w:jc w:val="both"/>
        <w:rPr>
          <w:rFonts w:ascii="Times New Roman" w:hAnsi="Times New Roman"/>
          <w:color w:val="000000"/>
          <w:sz w:val="28"/>
          <w:szCs w:val="28"/>
          <w:lang w:eastAsia="bg-BG"/>
        </w:rPr>
      </w:pPr>
      <w:r w:rsidRPr="006605D3">
        <w:rPr>
          <w:rFonts w:ascii="Times New Roman" w:hAnsi="Times New Roman"/>
          <w:color w:val="000000"/>
          <w:sz w:val="28"/>
          <w:szCs w:val="28"/>
          <w:lang w:eastAsia="bg-BG"/>
        </w:rPr>
        <w:t>Следва да се отбележи, че през отчетната 2021 г. се</w:t>
      </w:r>
      <w:r w:rsidRPr="006605D3">
        <w:rPr>
          <w:rFonts w:ascii="Times New Roman" w:hAnsi="Times New Roman"/>
          <w:color w:val="000000"/>
          <w:sz w:val="28"/>
          <w:szCs w:val="28"/>
          <w:lang w:val="en-US" w:eastAsia="bg-BG"/>
        </w:rPr>
        <w:t xml:space="preserve"> </w:t>
      </w:r>
      <w:r w:rsidRPr="006605D3">
        <w:rPr>
          <w:rFonts w:ascii="Times New Roman" w:hAnsi="Times New Roman"/>
          <w:color w:val="000000"/>
          <w:sz w:val="28"/>
          <w:szCs w:val="28"/>
          <w:lang w:eastAsia="bg-BG"/>
        </w:rPr>
        <w:t xml:space="preserve">запазва тенденцията в последните години на ежегоден ръст на наблюдаваните досъдебни производства за изпиране на пари. Запазва се и  положителният резултат от работата на наблюдаващите прокурори да няма оправдани лица с влязъл в сила съдебен акт. И през 2021 г.  няма дела,  върнати от съда спрямо внесените прокурорски актове за тези престъпления. Повишен е броят на решени производства, както и на прокурорските актове, внесени в съда, сравнение с предходните два отчетни периода. Запазва се тенденцията от предходната година, налаганите наказания да бъдат „Лишаване от свобода – условно“ и „Глоба“, като за отчетния период наложената санкция бележи спад – </w:t>
      </w:r>
      <w:r w:rsidRPr="006605D3">
        <w:rPr>
          <w:rFonts w:ascii="Times New Roman" w:hAnsi="Times New Roman"/>
          <w:b/>
          <w:color w:val="000000"/>
          <w:sz w:val="28"/>
          <w:szCs w:val="28"/>
          <w:lang w:eastAsia="bg-BG"/>
        </w:rPr>
        <w:t>5000 лв.</w:t>
      </w:r>
      <w:r w:rsidRPr="006605D3">
        <w:rPr>
          <w:rFonts w:ascii="Times New Roman" w:hAnsi="Times New Roman"/>
          <w:color w:val="000000"/>
          <w:sz w:val="28"/>
          <w:szCs w:val="28"/>
          <w:lang w:eastAsia="bg-BG"/>
        </w:rPr>
        <w:t xml:space="preserve">, сравнение с 2020г. – 43 000 лв. и 2019 г. – 20 000лв. </w:t>
      </w:r>
      <w:r w:rsidRPr="006605D3">
        <w:rPr>
          <w:rFonts w:ascii="Times New Roman" w:hAnsi="Times New Roman"/>
          <w:color w:val="000000"/>
          <w:sz w:val="28"/>
          <w:szCs w:val="28"/>
          <w:lang w:eastAsia="bg-BG"/>
        </w:rPr>
        <w:lastRenderedPageBreak/>
        <w:t>Ръстът на този вид престъпления е обусловен от динамиката в икономическите отношения в страната и в рамките на ЕС, както и многообразието на стопанските субекти, опериращи на международни пазари.  Ключов момент при разследването на този вид престъпления е, че се характеризират със сложни връзки както между извършителите /често  в съучастие или ОПГ/, така и в усложнените стопански операции, в които се влага престъпния доход. От това следва разследването на този вид престъпления да се характеризира с дълготрайност и сложност поради това, че е необходимо да се разкрият не само участниците в престъплението, а и предикатните извършени престъпления, от които е генериран престъпния доход, който бива трансформиран.</w:t>
      </w:r>
    </w:p>
    <w:p w:rsidR="006605D3" w:rsidRPr="006605D3" w:rsidRDefault="006605D3" w:rsidP="004D24A1">
      <w:pPr>
        <w:autoSpaceDN w:val="0"/>
        <w:spacing w:after="0"/>
        <w:ind w:firstLine="709"/>
        <w:jc w:val="both"/>
        <w:rPr>
          <w:rFonts w:ascii="Times New Roman" w:eastAsia="Times New Roman" w:hAnsi="Times New Roman"/>
          <w:color w:val="000000"/>
          <w:sz w:val="28"/>
          <w:szCs w:val="28"/>
          <w:lang w:eastAsia="bg-BG"/>
        </w:rPr>
      </w:pPr>
      <w:r w:rsidRPr="006605D3">
        <w:rPr>
          <w:rFonts w:ascii="Times New Roman" w:eastAsia="Times New Roman" w:hAnsi="Times New Roman"/>
          <w:color w:val="000000"/>
          <w:sz w:val="28"/>
          <w:szCs w:val="28"/>
          <w:lang w:eastAsia="bg-BG"/>
        </w:rPr>
        <w:t xml:space="preserve">В по-голямата си част, действията по разследване включват  съдействие от чуждестранни разследващи органи чрез издаване на ЕЗР или изготвяне на предложения за МПП.  </w:t>
      </w:r>
    </w:p>
    <w:p w:rsidR="006605D3" w:rsidRPr="006605D3" w:rsidRDefault="006605D3" w:rsidP="004D24A1">
      <w:pPr>
        <w:autoSpaceDN w:val="0"/>
        <w:spacing w:after="0"/>
        <w:rPr>
          <w:rFonts w:ascii="Times New Roman" w:eastAsia="Times New Roman" w:hAnsi="Times New Roman"/>
          <w:b/>
          <w:color w:val="00B050"/>
          <w:sz w:val="28"/>
          <w:szCs w:val="28"/>
          <w:lang w:eastAsia="bg-BG"/>
        </w:rPr>
      </w:pPr>
      <w:r w:rsidRPr="006605D3">
        <w:rPr>
          <w:rFonts w:ascii="Times New Roman" w:eastAsia="Times New Roman" w:hAnsi="Times New Roman"/>
          <w:b/>
          <w:color w:val="00B050"/>
          <w:sz w:val="28"/>
          <w:szCs w:val="28"/>
          <w:lang w:eastAsia="bg-BG"/>
        </w:rPr>
        <w:t xml:space="preserve">         </w:t>
      </w:r>
    </w:p>
    <w:p w:rsidR="006605D3" w:rsidRPr="006605D3" w:rsidRDefault="006605D3" w:rsidP="004D24A1">
      <w:pPr>
        <w:autoSpaceDN w:val="0"/>
        <w:spacing w:after="0"/>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Злоупотреба със средства на ЕС</w:t>
      </w:r>
    </w:p>
    <w:p w:rsidR="006605D3" w:rsidRPr="006605D3" w:rsidRDefault="006605D3" w:rsidP="004D24A1">
      <w:pPr>
        <w:autoSpaceDN w:val="0"/>
        <w:spacing w:after="0"/>
        <w:rPr>
          <w:rFonts w:ascii="Times New Roman" w:eastAsia="Times New Roman" w:hAnsi="Times New Roman"/>
          <w:b/>
          <w:sz w:val="18"/>
          <w:szCs w:val="18"/>
          <w:lang w:eastAsia="bg-BG"/>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69"/>
        <w:gridCol w:w="1509"/>
        <w:gridCol w:w="1509"/>
        <w:gridCol w:w="1508"/>
      </w:tblGrid>
      <w:tr w:rsidR="006605D3" w:rsidRPr="006605D3" w:rsidTr="00E22699">
        <w:trPr>
          <w:trHeight w:val="301"/>
          <w:jc w:val="center"/>
        </w:trPr>
        <w:tc>
          <w:tcPr>
            <w:tcW w:w="2484"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2019 г.</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2021 г.</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85</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95</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96</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35</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30</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20</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26</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23</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42</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6</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3</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5</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6</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4</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5</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5</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1</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4</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1</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2</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0</w:t>
            </w:r>
          </w:p>
        </w:tc>
      </w:tr>
    </w:tbl>
    <w:p w:rsidR="006605D3" w:rsidRPr="006605D3" w:rsidRDefault="006605D3" w:rsidP="004D24A1">
      <w:pPr>
        <w:autoSpaceDN w:val="0"/>
        <w:spacing w:after="0"/>
        <w:jc w:val="both"/>
        <w:rPr>
          <w:rFonts w:ascii="Times New Roman" w:eastAsia="Times New Roman" w:hAnsi="Times New Roman"/>
          <w:sz w:val="28"/>
          <w:szCs w:val="28"/>
          <w:lang w:eastAsia="bg-BG"/>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6605D3">
        <w:rPr>
          <w:rFonts w:ascii="Times New Roman" w:hAnsi="Times New Roman"/>
          <w:sz w:val="28"/>
          <w:szCs w:val="28"/>
        </w:rPr>
        <w:t xml:space="preserve">Новообразувани за отчетния период в Софийска градска прокуратура и Софийска районна прокуратура са </w:t>
      </w:r>
      <w:r w:rsidRPr="006605D3">
        <w:rPr>
          <w:rFonts w:ascii="Times New Roman" w:hAnsi="Times New Roman"/>
          <w:b/>
          <w:sz w:val="28"/>
          <w:szCs w:val="28"/>
        </w:rPr>
        <w:t>20</w:t>
      </w:r>
      <w:r w:rsidRPr="006605D3">
        <w:rPr>
          <w:rFonts w:ascii="Times New Roman" w:hAnsi="Times New Roman"/>
          <w:sz w:val="28"/>
          <w:szCs w:val="28"/>
        </w:rPr>
        <w:t xml:space="preserve"> досъдебни производства. Приключени от разследващ орган са </w:t>
      </w:r>
      <w:r w:rsidRPr="006605D3">
        <w:rPr>
          <w:rFonts w:ascii="Times New Roman" w:hAnsi="Times New Roman"/>
          <w:b/>
          <w:sz w:val="28"/>
          <w:szCs w:val="28"/>
        </w:rPr>
        <w:t>31</w:t>
      </w:r>
      <w:r w:rsidRPr="006605D3">
        <w:rPr>
          <w:rFonts w:ascii="Times New Roman" w:hAnsi="Times New Roman"/>
          <w:sz w:val="28"/>
          <w:szCs w:val="28"/>
        </w:rPr>
        <w:t xml:space="preserve"> дела. Решените дела от прокурорите са </w:t>
      </w:r>
      <w:r w:rsidRPr="006605D3">
        <w:rPr>
          <w:rFonts w:ascii="Times New Roman" w:hAnsi="Times New Roman"/>
          <w:b/>
          <w:sz w:val="28"/>
          <w:szCs w:val="28"/>
        </w:rPr>
        <w:t>42</w:t>
      </w:r>
      <w:r w:rsidRPr="006605D3">
        <w:rPr>
          <w:rFonts w:ascii="Times New Roman" w:hAnsi="Times New Roman"/>
          <w:sz w:val="28"/>
          <w:szCs w:val="28"/>
        </w:rPr>
        <w:t xml:space="preserve"> броя. Спрените производства са </w:t>
      </w:r>
      <w:r w:rsidRPr="006605D3">
        <w:rPr>
          <w:rFonts w:ascii="Times New Roman" w:hAnsi="Times New Roman"/>
          <w:b/>
          <w:sz w:val="28"/>
          <w:szCs w:val="28"/>
        </w:rPr>
        <w:t>1</w:t>
      </w:r>
      <w:r w:rsidRPr="006605D3">
        <w:rPr>
          <w:rFonts w:ascii="Times New Roman" w:hAnsi="Times New Roman"/>
          <w:sz w:val="28"/>
          <w:szCs w:val="28"/>
        </w:rPr>
        <w:t xml:space="preserve"> брой, прекратените са </w:t>
      </w:r>
      <w:r w:rsidRPr="006605D3">
        <w:rPr>
          <w:rFonts w:ascii="Times New Roman" w:hAnsi="Times New Roman"/>
          <w:b/>
          <w:sz w:val="28"/>
          <w:szCs w:val="28"/>
        </w:rPr>
        <w:t>26</w:t>
      </w:r>
      <w:r w:rsidRPr="006605D3">
        <w:rPr>
          <w:rFonts w:ascii="Times New Roman" w:hAnsi="Times New Roman"/>
          <w:sz w:val="28"/>
          <w:szCs w:val="28"/>
        </w:rPr>
        <w:t xml:space="preserve">, а  внесените в съда с обвинителен акт са </w:t>
      </w:r>
      <w:r w:rsidRPr="006605D3">
        <w:rPr>
          <w:rFonts w:ascii="Times New Roman" w:hAnsi="Times New Roman"/>
          <w:b/>
          <w:sz w:val="28"/>
          <w:szCs w:val="28"/>
        </w:rPr>
        <w:t>3</w:t>
      </w:r>
      <w:r w:rsidRPr="006605D3">
        <w:rPr>
          <w:rFonts w:ascii="Times New Roman" w:hAnsi="Times New Roman"/>
          <w:sz w:val="28"/>
          <w:szCs w:val="28"/>
        </w:rPr>
        <w:t xml:space="preserve"> дела по отношение на </w:t>
      </w:r>
      <w:r w:rsidRPr="006605D3">
        <w:rPr>
          <w:rFonts w:ascii="Times New Roman" w:hAnsi="Times New Roman"/>
          <w:b/>
          <w:sz w:val="28"/>
          <w:szCs w:val="28"/>
        </w:rPr>
        <w:t>3</w:t>
      </w:r>
      <w:r w:rsidRPr="006605D3">
        <w:rPr>
          <w:rFonts w:ascii="Times New Roman" w:hAnsi="Times New Roman"/>
          <w:b/>
          <w:sz w:val="28"/>
          <w:szCs w:val="28"/>
          <w:lang w:val="en-US"/>
        </w:rPr>
        <w:t xml:space="preserve"> </w:t>
      </w:r>
      <w:r w:rsidRPr="006605D3">
        <w:rPr>
          <w:rFonts w:ascii="Times New Roman" w:hAnsi="Times New Roman"/>
          <w:sz w:val="28"/>
          <w:szCs w:val="28"/>
        </w:rPr>
        <w:t xml:space="preserve">лица. Внесените в съда споразумения са </w:t>
      </w:r>
      <w:r w:rsidRPr="006605D3">
        <w:rPr>
          <w:rFonts w:ascii="Times New Roman" w:hAnsi="Times New Roman"/>
          <w:b/>
          <w:sz w:val="28"/>
          <w:szCs w:val="28"/>
        </w:rPr>
        <w:t>1</w:t>
      </w:r>
      <w:r w:rsidRPr="006605D3">
        <w:rPr>
          <w:rFonts w:ascii="Times New Roman" w:hAnsi="Times New Roman"/>
          <w:b/>
          <w:sz w:val="28"/>
          <w:szCs w:val="28"/>
          <w:lang w:val="en-US"/>
        </w:rPr>
        <w:t xml:space="preserve"> </w:t>
      </w:r>
      <w:r w:rsidRPr="006605D3">
        <w:rPr>
          <w:rFonts w:ascii="Times New Roman" w:hAnsi="Times New Roman"/>
          <w:sz w:val="28"/>
          <w:szCs w:val="28"/>
        </w:rPr>
        <w:t xml:space="preserve">брой срещу </w:t>
      </w:r>
      <w:r w:rsidRPr="006605D3">
        <w:rPr>
          <w:rFonts w:ascii="Times New Roman" w:hAnsi="Times New Roman"/>
          <w:b/>
          <w:sz w:val="28"/>
          <w:szCs w:val="28"/>
        </w:rPr>
        <w:t>1</w:t>
      </w:r>
      <w:r w:rsidRPr="006605D3">
        <w:rPr>
          <w:rFonts w:ascii="Times New Roman" w:hAnsi="Times New Roman"/>
          <w:b/>
          <w:sz w:val="28"/>
          <w:szCs w:val="28"/>
          <w:lang w:val="en-US"/>
        </w:rPr>
        <w:t xml:space="preserve"> </w:t>
      </w:r>
      <w:r w:rsidRPr="006605D3">
        <w:rPr>
          <w:rFonts w:ascii="Times New Roman" w:hAnsi="Times New Roman"/>
          <w:sz w:val="28"/>
          <w:szCs w:val="28"/>
        </w:rPr>
        <w:t xml:space="preserve">лице. Внесени в съда предложения по чл.78а от НК за 2021г. са </w:t>
      </w:r>
      <w:r w:rsidRPr="006605D3">
        <w:rPr>
          <w:rFonts w:ascii="Times New Roman" w:hAnsi="Times New Roman"/>
          <w:b/>
          <w:sz w:val="28"/>
          <w:szCs w:val="28"/>
        </w:rPr>
        <w:t>1</w:t>
      </w:r>
      <w:r w:rsidRPr="006605D3">
        <w:rPr>
          <w:rFonts w:ascii="Times New Roman" w:hAnsi="Times New Roman"/>
          <w:sz w:val="28"/>
          <w:szCs w:val="28"/>
        </w:rPr>
        <w:t xml:space="preserve"> брой, спрямо </w:t>
      </w:r>
      <w:r w:rsidRPr="006605D3">
        <w:rPr>
          <w:rFonts w:ascii="Times New Roman" w:hAnsi="Times New Roman"/>
          <w:b/>
          <w:sz w:val="28"/>
          <w:szCs w:val="28"/>
        </w:rPr>
        <w:t>1</w:t>
      </w:r>
      <w:r w:rsidRPr="006605D3">
        <w:rPr>
          <w:rFonts w:ascii="Times New Roman" w:hAnsi="Times New Roman"/>
          <w:sz w:val="28"/>
          <w:szCs w:val="28"/>
        </w:rPr>
        <w:t xml:space="preserve"> лице. </w:t>
      </w:r>
      <w:r w:rsidRPr="006605D3">
        <w:rPr>
          <w:rFonts w:ascii="Times New Roman" w:eastAsia="Times New Roman" w:hAnsi="Times New Roman"/>
          <w:sz w:val="28"/>
          <w:szCs w:val="28"/>
        </w:rPr>
        <w:t xml:space="preserve">Спрямо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лица има постановен влязъл в сила осъдителен съдебен акт.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оправдани лица</w:t>
      </w:r>
      <w:r w:rsidRPr="006605D3">
        <w:rPr>
          <w:rFonts w:ascii="Times New Roman" w:eastAsia="Times New Roman" w:hAnsi="Times New Roman"/>
          <w:sz w:val="28"/>
          <w:szCs w:val="28"/>
          <w:lang w:val="en-US"/>
        </w:rPr>
        <w:t xml:space="preserve"> </w:t>
      </w:r>
      <w:r w:rsidRPr="006605D3">
        <w:rPr>
          <w:rFonts w:ascii="Times New Roman" w:eastAsia="Times New Roman" w:hAnsi="Times New Roman"/>
          <w:sz w:val="28"/>
          <w:szCs w:val="28"/>
        </w:rPr>
        <w:t xml:space="preserve">с влязъл в сила съдебен акт за отчетния период.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6605D3" w:rsidRPr="006605D3" w:rsidRDefault="006605D3" w:rsidP="004D24A1">
      <w:pPr>
        <w:autoSpaceDN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Сравнението на делата за престъпления, свързани с фондове на ЕС за отчетния период на 2021 г. с аналогичните периоди на предходните две години налага извод за  плавно повишение на дела за този вид престъпления, съотнесен към цялостния обем дела, под надзора на СГП. Същевременно е налице нарастване на броя на решените по същество дела в сравнение с предходните две години. Наблюдаваните  ДП  отчитат  минимално  повишение.  Новообразуваните  дела бележат минимален спад. Основната причина за това са необходимостта от изследване на значителен обем обстоятелства, свързани с усложнени форми на изпълнителните деяния на престъпленията; времевата продължителност, свързана с набавянето на доказателствен материал, подкрепящ обвинителната теза относно извършените деяния, накърняващи законосъобразното разходване на средствата от фондовете на ЕС. Положителен резултат от периода е повишението на внесените в съда актове, както и броя на лицата, осъдени с влязъл в сила съдебен акт.</w:t>
      </w:r>
    </w:p>
    <w:p w:rsidR="006605D3" w:rsidRPr="006605D3" w:rsidRDefault="006605D3" w:rsidP="004D24A1">
      <w:pPr>
        <w:autoSpaceDN w:val="0"/>
        <w:spacing w:after="0"/>
        <w:ind w:firstLine="709"/>
        <w:jc w:val="both"/>
        <w:rPr>
          <w:rFonts w:ascii="Times New Roman" w:hAnsi="Times New Roman"/>
          <w:color w:val="000000"/>
          <w:sz w:val="28"/>
          <w:szCs w:val="28"/>
        </w:rPr>
      </w:pPr>
    </w:p>
    <w:p w:rsidR="006605D3" w:rsidRPr="006605D3" w:rsidRDefault="006605D3" w:rsidP="004D24A1">
      <w:pPr>
        <w:autoSpaceDN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Относителния дял на решените спрямо наблюдаваните досъдебни производства за 2021г. е </w:t>
      </w:r>
      <w:r w:rsidRPr="006605D3">
        <w:rPr>
          <w:rFonts w:ascii="Times New Roman" w:hAnsi="Times New Roman"/>
          <w:b/>
          <w:color w:val="000000"/>
          <w:sz w:val="28"/>
          <w:szCs w:val="28"/>
        </w:rPr>
        <w:t>43,75 %,</w:t>
      </w:r>
      <w:r w:rsidRPr="006605D3">
        <w:rPr>
          <w:rFonts w:ascii="Times New Roman" w:hAnsi="Times New Roman"/>
          <w:color w:val="000000"/>
          <w:sz w:val="28"/>
          <w:szCs w:val="28"/>
        </w:rPr>
        <w:t xml:space="preserve"> за  </w:t>
      </w:r>
      <w:r w:rsidRPr="006605D3">
        <w:rPr>
          <w:rFonts w:ascii="Times New Roman" w:hAnsi="Times New Roman"/>
          <w:color w:val="000000"/>
          <w:sz w:val="28"/>
          <w:szCs w:val="28"/>
          <w:lang w:val="en-US"/>
        </w:rPr>
        <w:t>20</w:t>
      </w:r>
      <w:r w:rsidRPr="006605D3">
        <w:rPr>
          <w:rFonts w:ascii="Times New Roman" w:hAnsi="Times New Roman"/>
          <w:color w:val="000000"/>
          <w:sz w:val="28"/>
          <w:szCs w:val="28"/>
        </w:rPr>
        <w:t>20</w:t>
      </w:r>
      <w:r w:rsidRPr="006605D3">
        <w:rPr>
          <w:rFonts w:ascii="Times New Roman" w:hAnsi="Times New Roman"/>
          <w:color w:val="000000"/>
          <w:sz w:val="28"/>
          <w:szCs w:val="28"/>
          <w:lang w:val="en-US"/>
        </w:rPr>
        <w:t xml:space="preserve"> </w:t>
      </w:r>
      <w:r w:rsidRPr="006605D3">
        <w:rPr>
          <w:rFonts w:ascii="Times New Roman" w:hAnsi="Times New Roman"/>
          <w:color w:val="000000"/>
          <w:sz w:val="28"/>
          <w:szCs w:val="28"/>
        </w:rPr>
        <w:t>г. е 24, 21 %, спрямо 30,59 %</w:t>
      </w:r>
      <w:r w:rsidRPr="006605D3">
        <w:rPr>
          <w:rFonts w:ascii="Times New Roman" w:hAnsi="Times New Roman"/>
          <w:b/>
          <w:color w:val="000000"/>
          <w:sz w:val="28"/>
          <w:szCs w:val="28"/>
        </w:rPr>
        <w:t xml:space="preserve"> </w:t>
      </w:r>
      <w:r w:rsidRPr="006605D3">
        <w:rPr>
          <w:rFonts w:ascii="Times New Roman" w:hAnsi="Times New Roman"/>
          <w:color w:val="000000"/>
          <w:sz w:val="28"/>
          <w:szCs w:val="28"/>
        </w:rPr>
        <w:t>за 2019г.</w:t>
      </w:r>
    </w:p>
    <w:p w:rsidR="006605D3" w:rsidRPr="006605D3" w:rsidRDefault="006605D3" w:rsidP="004D24A1">
      <w:pPr>
        <w:autoSpaceDN w:val="0"/>
        <w:spacing w:after="0"/>
        <w:rPr>
          <w:rFonts w:ascii="Times New Roman" w:eastAsia="Times New Roman" w:hAnsi="Times New Roman"/>
          <w:color w:val="FF0000"/>
          <w:sz w:val="20"/>
          <w:szCs w:val="20"/>
          <w:lang w:eastAsia="bg-BG"/>
        </w:rPr>
      </w:pPr>
    </w:p>
    <w:p w:rsidR="006605D3" w:rsidRPr="006605D3" w:rsidRDefault="006605D3" w:rsidP="004D24A1">
      <w:pPr>
        <w:autoSpaceDN w:val="0"/>
        <w:spacing w:after="0"/>
        <w:rPr>
          <w:rFonts w:ascii="Times New Roman" w:eastAsia="Times New Roman" w:hAnsi="Times New Roman"/>
          <w:color w:val="FF0000"/>
          <w:sz w:val="20"/>
          <w:szCs w:val="20"/>
          <w:lang w:eastAsia="bg-BG"/>
        </w:rPr>
      </w:pPr>
    </w:p>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Относителен дял на наблюдаваните ДП, съобразно систематиката на НК от общо наблюдаваните ДП, свързани с престъпления с фондове на ЕС</w:t>
      </w:r>
    </w:p>
    <w:p w:rsidR="006605D3" w:rsidRPr="006605D3" w:rsidRDefault="006605D3" w:rsidP="004D24A1">
      <w:pPr>
        <w:autoSpaceDN w:val="0"/>
        <w:spacing w:after="0"/>
        <w:jc w:val="center"/>
        <w:rPr>
          <w:rFonts w:ascii="Times New Roman" w:eastAsia="Times New Roman" w:hAnsi="Times New Roman"/>
          <w:sz w:val="20"/>
          <w:szCs w:val="20"/>
          <w:lang w:eastAsia="bg-BG"/>
        </w:rPr>
      </w:pPr>
    </w:p>
    <w:p w:rsidR="006605D3" w:rsidRPr="006605D3" w:rsidRDefault="003515B0" w:rsidP="004D24A1">
      <w:pPr>
        <w:autoSpaceDN w:val="0"/>
        <w:spacing w:after="0"/>
        <w:jc w:val="both"/>
        <w:rPr>
          <w:rFonts w:ascii="Times New Roman" w:eastAsia="Times New Roman" w:hAnsi="Times New Roman"/>
          <w:sz w:val="28"/>
          <w:szCs w:val="28"/>
          <w:lang w:eastAsia="bg-BG"/>
        </w:rPr>
      </w:pPr>
      <w:r w:rsidRPr="006605D3">
        <w:rPr>
          <w:rFonts w:ascii="Times New Roman" w:hAnsi="Times New Roman"/>
          <w:noProof/>
          <w:lang w:eastAsia="bg-BG"/>
        </w:rPr>
        <w:drawing>
          <wp:inline distT="0" distB="0" distL="0" distR="0" wp14:anchorId="17C63DCA" wp14:editId="59251264">
            <wp:extent cx="5152390" cy="2703195"/>
            <wp:effectExtent l="0" t="0" r="0" b="0"/>
            <wp:docPr id="31" name="Диагра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605D3" w:rsidRDefault="006605D3" w:rsidP="004D24A1">
      <w:pPr>
        <w:shd w:val="clear" w:color="auto" w:fill="FFFFFF"/>
        <w:overflowPunct w:val="0"/>
        <w:autoSpaceDE w:val="0"/>
        <w:autoSpaceDN w:val="0"/>
        <w:adjustRightInd w:val="0"/>
        <w:spacing w:after="120"/>
        <w:jc w:val="both"/>
        <w:rPr>
          <w:rFonts w:ascii="Times New Roman" w:eastAsia="Times New Roman" w:hAnsi="Times New Roman"/>
          <w:b/>
          <w:spacing w:val="-8"/>
          <w:sz w:val="28"/>
          <w:szCs w:val="28"/>
        </w:rPr>
      </w:pPr>
    </w:p>
    <w:p w:rsidR="001C1882" w:rsidRPr="006605D3" w:rsidRDefault="001C1882" w:rsidP="004D24A1">
      <w:pPr>
        <w:shd w:val="clear" w:color="auto" w:fill="FFFFFF"/>
        <w:overflowPunct w:val="0"/>
        <w:autoSpaceDE w:val="0"/>
        <w:autoSpaceDN w:val="0"/>
        <w:adjustRightInd w:val="0"/>
        <w:spacing w:after="120"/>
        <w:jc w:val="both"/>
        <w:rPr>
          <w:rFonts w:ascii="Times New Roman" w:eastAsia="Times New Roman" w:hAnsi="Times New Roman"/>
          <w:b/>
          <w:spacing w:val="-8"/>
          <w:sz w:val="28"/>
          <w:szCs w:val="28"/>
        </w:rPr>
      </w:pPr>
    </w:p>
    <w:p w:rsidR="006605D3" w:rsidRPr="006605D3" w:rsidRDefault="006605D3" w:rsidP="004D24A1">
      <w:pPr>
        <w:shd w:val="clear" w:color="auto" w:fill="FFFFFF"/>
        <w:overflowPunct w:val="0"/>
        <w:autoSpaceDE w:val="0"/>
        <w:autoSpaceDN w:val="0"/>
        <w:adjustRightInd w:val="0"/>
        <w:spacing w:after="120"/>
        <w:ind w:firstLine="708"/>
        <w:jc w:val="both"/>
        <w:rPr>
          <w:rFonts w:ascii="Times New Roman" w:eastAsia="Times New Roman" w:hAnsi="Times New Roman"/>
          <w:b/>
          <w:spacing w:val="-8"/>
          <w:sz w:val="28"/>
          <w:szCs w:val="28"/>
        </w:rPr>
      </w:pPr>
      <w:r w:rsidRPr="006605D3">
        <w:rPr>
          <w:rFonts w:ascii="Times New Roman" w:eastAsia="Times New Roman" w:hAnsi="Times New Roman"/>
          <w:b/>
          <w:spacing w:val="-8"/>
          <w:sz w:val="28"/>
          <w:szCs w:val="28"/>
        </w:rPr>
        <w:lastRenderedPageBreak/>
        <w:t>Досъдебни производства образувани за данъчни престъпления.</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69"/>
        <w:gridCol w:w="1509"/>
        <w:gridCol w:w="1509"/>
        <w:gridCol w:w="1508"/>
      </w:tblGrid>
      <w:tr w:rsidR="006605D3" w:rsidRPr="006605D3" w:rsidTr="00E22699">
        <w:trPr>
          <w:trHeight w:val="450"/>
          <w:jc w:val="center"/>
        </w:trPr>
        <w:tc>
          <w:tcPr>
            <w:tcW w:w="2484"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2019 г.</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2021 г.</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1468</w:t>
            </w:r>
          </w:p>
        </w:tc>
        <w:tc>
          <w:tcPr>
            <w:tcW w:w="83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val="en-US" w:eastAsia="bg-BG"/>
              </w:rPr>
              <w:t>1</w:t>
            </w:r>
            <w:r w:rsidRPr="006605D3">
              <w:rPr>
                <w:rFonts w:ascii="Times New Roman" w:eastAsia="Times New Roman" w:hAnsi="Times New Roman"/>
                <w:b/>
                <w:sz w:val="28"/>
                <w:szCs w:val="28"/>
                <w:lang w:eastAsia="bg-BG"/>
              </w:rPr>
              <w:t>564</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1551</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392</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color w:val="0D0D0D"/>
                <w:sz w:val="28"/>
                <w:szCs w:val="28"/>
                <w:lang w:eastAsia="bg-BG"/>
              </w:rPr>
            </w:pPr>
            <w:r w:rsidRPr="006605D3">
              <w:rPr>
                <w:rFonts w:ascii="Times New Roman" w:eastAsia="Times New Roman" w:hAnsi="Times New Roman"/>
                <w:b/>
                <w:color w:val="0D0D0D"/>
                <w:sz w:val="28"/>
                <w:szCs w:val="28"/>
                <w:lang w:eastAsia="bg-BG"/>
              </w:rPr>
              <w:t>311</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b/>
                <w:color w:val="0D0D0D"/>
                <w:sz w:val="28"/>
                <w:szCs w:val="28"/>
                <w:lang w:eastAsia="bg-BG"/>
              </w:rPr>
            </w:pPr>
            <w:r w:rsidRPr="006605D3">
              <w:rPr>
                <w:rFonts w:ascii="Times New Roman" w:eastAsia="Times New Roman" w:hAnsi="Times New Roman"/>
                <w:b/>
                <w:color w:val="0D0D0D"/>
                <w:sz w:val="28"/>
                <w:szCs w:val="28"/>
                <w:lang w:eastAsia="bg-BG"/>
              </w:rPr>
              <w:t>293</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411</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357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401</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59</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57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65</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71</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67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72</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49</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41</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51</w:t>
            </w:r>
          </w:p>
        </w:tc>
      </w:tr>
      <w:tr w:rsidR="006605D3" w:rsidRPr="006605D3" w:rsidTr="00E22699">
        <w:trPr>
          <w:trHeight w:val="330"/>
          <w:jc w:val="center"/>
        </w:trPr>
        <w:tc>
          <w:tcPr>
            <w:tcW w:w="2484"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11</w:t>
            </w:r>
          </w:p>
        </w:tc>
        <w:tc>
          <w:tcPr>
            <w:tcW w:w="839"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8</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6605D3" w:rsidRPr="006605D3" w:rsidRDefault="006605D3" w:rsidP="004D24A1">
            <w:pPr>
              <w:autoSpaceDN w:val="0"/>
              <w:spacing w:after="0"/>
              <w:jc w:val="center"/>
              <w:rPr>
                <w:rFonts w:ascii="Times New Roman" w:eastAsia="Times New Roman" w:hAnsi="Times New Roman"/>
                <w:b/>
                <w:color w:val="0D0D0D"/>
                <w:sz w:val="28"/>
                <w:szCs w:val="28"/>
                <w:lang w:val="en-US" w:eastAsia="bg-BG"/>
              </w:rPr>
            </w:pPr>
            <w:r w:rsidRPr="006605D3">
              <w:rPr>
                <w:rFonts w:ascii="Times New Roman" w:eastAsia="Times New Roman" w:hAnsi="Times New Roman"/>
                <w:b/>
                <w:color w:val="0D0D0D"/>
                <w:sz w:val="28"/>
                <w:szCs w:val="28"/>
                <w:lang w:eastAsia="bg-BG"/>
              </w:rPr>
              <w:t>4</w:t>
            </w:r>
          </w:p>
        </w:tc>
      </w:tr>
    </w:tbl>
    <w:p w:rsidR="006605D3" w:rsidRPr="006605D3" w:rsidRDefault="006605D3" w:rsidP="004D24A1">
      <w:pPr>
        <w:autoSpaceDN w:val="0"/>
        <w:spacing w:after="0"/>
        <w:jc w:val="both"/>
        <w:rPr>
          <w:rFonts w:ascii="Times New Roman" w:hAnsi="Times New Roman"/>
          <w:sz w:val="16"/>
          <w:szCs w:val="16"/>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6605D3">
        <w:rPr>
          <w:rFonts w:ascii="Times New Roman" w:hAnsi="Times New Roman"/>
          <w:sz w:val="28"/>
          <w:szCs w:val="28"/>
        </w:rPr>
        <w:t xml:space="preserve">Новообразувани за отчетния период в Софийска градска прокуратура и Софийска районна прокуратура са </w:t>
      </w:r>
      <w:r w:rsidRPr="006605D3">
        <w:rPr>
          <w:rFonts w:ascii="Times New Roman" w:hAnsi="Times New Roman"/>
          <w:b/>
          <w:sz w:val="28"/>
          <w:szCs w:val="28"/>
        </w:rPr>
        <w:t>293</w:t>
      </w:r>
      <w:r w:rsidRPr="006605D3">
        <w:rPr>
          <w:rFonts w:ascii="Times New Roman" w:hAnsi="Times New Roman"/>
          <w:sz w:val="28"/>
          <w:szCs w:val="28"/>
        </w:rPr>
        <w:t xml:space="preserve"> досъдебни производства. Приключени от разследващ орган са </w:t>
      </w:r>
      <w:r w:rsidRPr="006605D3">
        <w:rPr>
          <w:rFonts w:ascii="Times New Roman" w:hAnsi="Times New Roman"/>
          <w:b/>
          <w:sz w:val="28"/>
          <w:szCs w:val="28"/>
        </w:rPr>
        <w:t>219</w:t>
      </w:r>
      <w:r w:rsidRPr="006605D3">
        <w:rPr>
          <w:rFonts w:ascii="Times New Roman" w:hAnsi="Times New Roman"/>
          <w:sz w:val="28"/>
          <w:szCs w:val="28"/>
        </w:rPr>
        <w:t xml:space="preserve"> дела. Решените дела от прокурорите са общо </w:t>
      </w:r>
      <w:r w:rsidRPr="006605D3">
        <w:rPr>
          <w:rFonts w:ascii="Times New Roman" w:hAnsi="Times New Roman"/>
          <w:b/>
          <w:sz w:val="28"/>
          <w:szCs w:val="28"/>
        </w:rPr>
        <w:t xml:space="preserve">401 </w:t>
      </w:r>
      <w:r w:rsidRPr="006605D3">
        <w:rPr>
          <w:rFonts w:ascii="Times New Roman" w:hAnsi="Times New Roman"/>
          <w:sz w:val="28"/>
          <w:szCs w:val="28"/>
        </w:rPr>
        <w:t xml:space="preserve">броя. Спрените производства са </w:t>
      </w:r>
      <w:r w:rsidRPr="006605D3">
        <w:rPr>
          <w:rFonts w:ascii="Times New Roman" w:hAnsi="Times New Roman"/>
          <w:b/>
          <w:sz w:val="28"/>
          <w:szCs w:val="28"/>
        </w:rPr>
        <w:t>81</w:t>
      </w:r>
      <w:r w:rsidRPr="006605D3">
        <w:rPr>
          <w:rFonts w:ascii="Times New Roman" w:hAnsi="Times New Roman"/>
          <w:sz w:val="28"/>
          <w:szCs w:val="28"/>
        </w:rPr>
        <w:t xml:space="preserve">, прекратените дела са </w:t>
      </w:r>
      <w:r w:rsidRPr="006605D3">
        <w:rPr>
          <w:rFonts w:ascii="Times New Roman" w:hAnsi="Times New Roman"/>
          <w:b/>
          <w:sz w:val="28"/>
          <w:szCs w:val="28"/>
        </w:rPr>
        <w:t xml:space="preserve">123 </w:t>
      </w:r>
      <w:r w:rsidRPr="006605D3">
        <w:rPr>
          <w:rFonts w:ascii="Times New Roman" w:hAnsi="Times New Roman"/>
          <w:sz w:val="28"/>
          <w:szCs w:val="28"/>
        </w:rPr>
        <w:t xml:space="preserve">броя. Внесените в съда с обвинителен акт са </w:t>
      </w:r>
      <w:r w:rsidRPr="006605D3">
        <w:rPr>
          <w:rFonts w:ascii="Times New Roman" w:hAnsi="Times New Roman"/>
          <w:b/>
          <w:sz w:val="28"/>
          <w:szCs w:val="28"/>
        </w:rPr>
        <w:t>55</w:t>
      </w:r>
      <w:r w:rsidRPr="006605D3">
        <w:rPr>
          <w:rFonts w:ascii="Times New Roman" w:hAnsi="Times New Roman"/>
          <w:b/>
          <w:sz w:val="28"/>
          <w:szCs w:val="28"/>
          <w:lang w:val="en-US"/>
        </w:rPr>
        <w:t xml:space="preserve"> </w:t>
      </w:r>
      <w:r w:rsidRPr="006605D3">
        <w:rPr>
          <w:rFonts w:ascii="Times New Roman" w:hAnsi="Times New Roman"/>
          <w:sz w:val="28"/>
          <w:szCs w:val="28"/>
        </w:rPr>
        <w:t xml:space="preserve">дела по отношение на </w:t>
      </w:r>
      <w:r w:rsidRPr="006605D3">
        <w:rPr>
          <w:rFonts w:ascii="Times New Roman" w:hAnsi="Times New Roman"/>
          <w:b/>
          <w:sz w:val="28"/>
          <w:szCs w:val="28"/>
        </w:rPr>
        <w:t>62</w:t>
      </w:r>
      <w:r w:rsidRPr="006605D3">
        <w:rPr>
          <w:rFonts w:ascii="Times New Roman" w:hAnsi="Times New Roman"/>
          <w:sz w:val="28"/>
          <w:szCs w:val="28"/>
        </w:rPr>
        <w:t xml:space="preserve"> обвиняеми лица, а внесените в съда дела със споразумения – </w:t>
      </w:r>
      <w:r w:rsidRPr="006605D3">
        <w:rPr>
          <w:rFonts w:ascii="Times New Roman" w:hAnsi="Times New Roman"/>
          <w:b/>
          <w:sz w:val="28"/>
          <w:szCs w:val="28"/>
        </w:rPr>
        <w:t>7</w:t>
      </w:r>
      <w:r w:rsidRPr="006605D3">
        <w:rPr>
          <w:rFonts w:ascii="Times New Roman" w:hAnsi="Times New Roman"/>
          <w:sz w:val="28"/>
          <w:szCs w:val="28"/>
        </w:rPr>
        <w:t xml:space="preserve"> броя срещу </w:t>
      </w:r>
      <w:r w:rsidRPr="006605D3">
        <w:rPr>
          <w:rFonts w:ascii="Times New Roman" w:hAnsi="Times New Roman"/>
          <w:b/>
          <w:sz w:val="28"/>
          <w:szCs w:val="28"/>
        </w:rPr>
        <w:t>7</w:t>
      </w:r>
      <w:r w:rsidRPr="006605D3">
        <w:rPr>
          <w:rFonts w:ascii="Times New Roman" w:hAnsi="Times New Roman"/>
          <w:sz w:val="28"/>
          <w:szCs w:val="28"/>
        </w:rPr>
        <w:t xml:space="preserve"> лица. Внесените в съда предложения по чл.78а от НК са </w:t>
      </w:r>
      <w:r w:rsidRPr="006605D3">
        <w:rPr>
          <w:rFonts w:ascii="Times New Roman" w:hAnsi="Times New Roman"/>
          <w:b/>
          <w:sz w:val="28"/>
          <w:szCs w:val="28"/>
        </w:rPr>
        <w:t>3</w:t>
      </w:r>
      <w:r w:rsidRPr="006605D3">
        <w:rPr>
          <w:rFonts w:ascii="Times New Roman" w:hAnsi="Times New Roman"/>
          <w:sz w:val="28"/>
          <w:szCs w:val="28"/>
        </w:rPr>
        <w:t xml:space="preserve"> на брой, спрямо </w:t>
      </w:r>
      <w:r w:rsidRPr="006605D3">
        <w:rPr>
          <w:rFonts w:ascii="Times New Roman" w:hAnsi="Times New Roman"/>
          <w:b/>
          <w:sz w:val="28"/>
          <w:szCs w:val="28"/>
        </w:rPr>
        <w:t>3</w:t>
      </w:r>
      <w:r w:rsidRPr="006605D3">
        <w:rPr>
          <w:rFonts w:ascii="Times New Roman" w:hAnsi="Times New Roman"/>
          <w:sz w:val="28"/>
          <w:szCs w:val="28"/>
        </w:rPr>
        <w:t xml:space="preserve"> лица. </w:t>
      </w:r>
      <w:r w:rsidRPr="006605D3">
        <w:rPr>
          <w:rFonts w:ascii="Times New Roman" w:eastAsia="Times New Roman" w:hAnsi="Times New Roman"/>
          <w:sz w:val="28"/>
          <w:szCs w:val="28"/>
        </w:rPr>
        <w:t xml:space="preserve">Спрямо </w:t>
      </w:r>
      <w:r w:rsidRPr="006605D3">
        <w:rPr>
          <w:rFonts w:ascii="Times New Roman" w:eastAsia="Times New Roman" w:hAnsi="Times New Roman"/>
          <w:b/>
          <w:sz w:val="28"/>
          <w:szCs w:val="28"/>
        </w:rPr>
        <w:t>51</w:t>
      </w:r>
      <w:r w:rsidRPr="006605D3">
        <w:rPr>
          <w:rFonts w:ascii="Times New Roman" w:eastAsia="Times New Roman" w:hAnsi="Times New Roman"/>
          <w:sz w:val="28"/>
          <w:szCs w:val="28"/>
        </w:rPr>
        <w:t xml:space="preserve"> лица има постановен влязъл в сила осъдителен съдебен акт, като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лица са оправдани с влязъл в сила съдебен акт. </w:t>
      </w:r>
    </w:p>
    <w:p w:rsidR="006605D3" w:rsidRPr="006605D3" w:rsidRDefault="006605D3" w:rsidP="004D24A1">
      <w:pPr>
        <w:autoSpaceDN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Решените спрямо наблюдаваните досъдебни производства за 2021г. са </w:t>
      </w:r>
      <w:r w:rsidRPr="006605D3">
        <w:rPr>
          <w:rFonts w:ascii="Times New Roman" w:hAnsi="Times New Roman"/>
          <w:b/>
          <w:color w:val="000000"/>
          <w:sz w:val="28"/>
          <w:szCs w:val="28"/>
        </w:rPr>
        <w:t>25,85 %,</w:t>
      </w:r>
      <w:r w:rsidRPr="006605D3">
        <w:rPr>
          <w:rFonts w:ascii="Times New Roman" w:hAnsi="Times New Roman"/>
          <w:color w:val="000000"/>
          <w:sz w:val="28"/>
          <w:szCs w:val="28"/>
        </w:rPr>
        <w:t xml:space="preserve"> за 2020г. - 22,82 %, а за 2019 г. – 28 %.</w:t>
      </w:r>
    </w:p>
    <w:p w:rsidR="006605D3" w:rsidRPr="006605D3" w:rsidRDefault="006605D3" w:rsidP="004D24A1">
      <w:pPr>
        <w:autoSpaceDN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Процентното съотношение на внесените в съда спрямо решените дела от прокурор за  2021 г. са </w:t>
      </w:r>
      <w:r w:rsidRPr="006605D3">
        <w:rPr>
          <w:rFonts w:ascii="Times New Roman" w:hAnsi="Times New Roman"/>
          <w:b/>
          <w:color w:val="000000"/>
          <w:sz w:val="28"/>
          <w:szCs w:val="28"/>
        </w:rPr>
        <w:t>16,21 %,</w:t>
      </w:r>
      <w:r w:rsidRPr="006605D3">
        <w:rPr>
          <w:rFonts w:ascii="Times New Roman" w:hAnsi="Times New Roman"/>
          <w:color w:val="000000"/>
          <w:sz w:val="28"/>
          <w:szCs w:val="28"/>
        </w:rPr>
        <w:t xml:space="preserve"> аз 2020г. - 15,96 %;</w:t>
      </w:r>
      <w:r w:rsidRPr="006605D3">
        <w:rPr>
          <w:rFonts w:ascii="Times New Roman" w:hAnsi="Times New Roman"/>
          <w:b/>
          <w:color w:val="000000"/>
          <w:sz w:val="28"/>
          <w:szCs w:val="28"/>
        </w:rPr>
        <w:t xml:space="preserve"> </w:t>
      </w:r>
      <w:r w:rsidRPr="006605D3">
        <w:rPr>
          <w:rFonts w:ascii="Times New Roman" w:hAnsi="Times New Roman"/>
          <w:color w:val="000000"/>
          <w:sz w:val="28"/>
          <w:szCs w:val="28"/>
        </w:rPr>
        <w:t>за 2019 г. е 14,36 %.</w:t>
      </w:r>
    </w:p>
    <w:p w:rsidR="006605D3" w:rsidRPr="006605D3" w:rsidRDefault="006605D3" w:rsidP="004D24A1">
      <w:pPr>
        <w:autoSpaceDN w:val="0"/>
        <w:spacing w:after="0"/>
        <w:ind w:firstLine="709"/>
        <w:jc w:val="both"/>
        <w:rPr>
          <w:rFonts w:ascii="Times New Roman" w:eastAsia="Times New Roman" w:hAnsi="Times New Roman"/>
          <w:color w:val="000000"/>
          <w:sz w:val="28"/>
          <w:szCs w:val="28"/>
        </w:rPr>
      </w:pPr>
      <w:r w:rsidRPr="006605D3">
        <w:rPr>
          <w:rFonts w:ascii="Times New Roman" w:hAnsi="Times New Roman"/>
          <w:color w:val="000000"/>
          <w:sz w:val="28"/>
          <w:szCs w:val="28"/>
        </w:rPr>
        <w:t xml:space="preserve">Сравнението на делата, водени за данъчни престъпления през 2021 г. с предходните две години, налага извода за относително запазване на относителния дял на наблюдаваните досъдебни производства. </w:t>
      </w:r>
      <w:r w:rsidRPr="006605D3">
        <w:rPr>
          <w:rFonts w:ascii="Times New Roman" w:eastAsia="Times New Roman" w:hAnsi="Times New Roman"/>
          <w:color w:val="000000"/>
          <w:sz w:val="28"/>
          <w:szCs w:val="28"/>
          <w:lang w:eastAsia="bg-BG"/>
        </w:rPr>
        <w:t xml:space="preserve">Лекият спад на наблюдаваните и новообразувани досъдебни производства за данъчни престъпления е в резултат на </w:t>
      </w:r>
      <w:r w:rsidRPr="006605D3">
        <w:rPr>
          <w:rFonts w:ascii="Times New Roman" w:eastAsia="Times New Roman" w:hAnsi="Times New Roman"/>
          <w:color w:val="000000"/>
          <w:sz w:val="28"/>
          <w:szCs w:val="28"/>
        </w:rPr>
        <w:t>промените във взаимодействието между органите на МВР, НАП и прокуратурата. Същевременно броят на решените по същество дела е по-голям, сравнение с предходния период, което се дължи на професионалната квалификация на наблюдаващите прокурори.</w:t>
      </w:r>
      <w:r w:rsidRPr="006605D3">
        <w:rPr>
          <w:color w:val="000000"/>
        </w:rPr>
        <w:t xml:space="preserve"> </w:t>
      </w:r>
      <w:r w:rsidRPr="006605D3">
        <w:rPr>
          <w:rFonts w:ascii="Times New Roman" w:eastAsia="Times New Roman" w:hAnsi="Times New Roman"/>
          <w:color w:val="000000"/>
          <w:sz w:val="28"/>
          <w:szCs w:val="28"/>
        </w:rPr>
        <w:t xml:space="preserve">Това е нагледно и по отношение на осъдените лица с влязла в сила присъда, където отново се отчита нарастване с почти 10 %, спрямо предходната година. Ръст, сравнение с предходните две години, бележат делата, свързани </w:t>
      </w:r>
      <w:r w:rsidRPr="006605D3">
        <w:rPr>
          <w:rFonts w:ascii="Times New Roman" w:eastAsia="Times New Roman" w:hAnsi="Times New Roman"/>
          <w:color w:val="000000"/>
          <w:sz w:val="28"/>
          <w:szCs w:val="28"/>
        </w:rPr>
        <w:lastRenderedPageBreak/>
        <w:t xml:space="preserve">с престъпления по чл. 255 от НК- за 2020г. в съда са внесени 26 обвинителни акта срещу 33 лица, а през 2019г. са били 21 обвинителни акта срещу 27 лица. През 2021г. са внесени </w:t>
      </w:r>
      <w:r w:rsidRPr="006605D3">
        <w:rPr>
          <w:rFonts w:ascii="Times New Roman" w:eastAsia="Times New Roman" w:hAnsi="Times New Roman"/>
          <w:b/>
          <w:color w:val="000000"/>
          <w:sz w:val="28"/>
          <w:szCs w:val="28"/>
        </w:rPr>
        <w:t>27</w:t>
      </w:r>
      <w:r w:rsidRPr="006605D3">
        <w:rPr>
          <w:rFonts w:ascii="Times New Roman" w:eastAsia="Times New Roman" w:hAnsi="Times New Roman"/>
          <w:color w:val="000000"/>
          <w:sz w:val="28"/>
          <w:szCs w:val="28"/>
        </w:rPr>
        <w:t xml:space="preserve"> обвинителни акт срещу </w:t>
      </w:r>
      <w:r w:rsidRPr="006605D3">
        <w:rPr>
          <w:rFonts w:ascii="Times New Roman" w:eastAsia="Times New Roman" w:hAnsi="Times New Roman"/>
          <w:b/>
          <w:color w:val="000000"/>
          <w:sz w:val="28"/>
          <w:szCs w:val="28"/>
        </w:rPr>
        <w:t>34</w:t>
      </w:r>
      <w:r w:rsidRPr="006605D3">
        <w:rPr>
          <w:rFonts w:ascii="Times New Roman" w:eastAsia="Times New Roman" w:hAnsi="Times New Roman"/>
          <w:color w:val="000000"/>
          <w:sz w:val="28"/>
          <w:szCs w:val="28"/>
        </w:rPr>
        <w:t xml:space="preserve"> лица. Осъдените за 2020г. са 10 лица, а през предходните 2019г. и 2018г. са били 7. За сравнение, през този отчетен период са осъдени </w:t>
      </w:r>
      <w:r w:rsidRPr="006605D3">
        <w:rPr>
          <w:rFonts w:ascii="Times New Roman" w:eastAsia="Times New Roman" w:hAnsi="Times New Roman"/>
          <w:b/>
          <w:color w:val="000000"/>
          <w:sz w:val="28"/>
          <w:szCs w:val="28"/>
        </w:rPr>
        <w:t>15</w:t>
      </w:r>
      <w:r w:rsidRPr="006605D3">
        <w:rPr>
          <w:rFonts w:ascii="Times New Roman" w:eastAsia="Times New Roman" w:hAnsi="Times New Roman"/>
          <w:color w:val="000000"/>
          <w:sz w:val="28"/>
          <w:szCs w:val="28"/>
        </w:rPr>
        <w:t xml:space="preserve"> лица. Характерно за този престъпен състав е установяването и проучването на множество счетоводни документи, и извършването на задълбочени счетоводни експертизи. Устойчива е тенденцията за  спад в  дела  на  оправданите  лица,  което  говори  за  завишено  качество  на прокурорската работа – през 2019г. са били 11 лица, през 2020г. – 8, а през 2021г. – 4 лица. И през този отчетен период може да се направи заключение, че през следващия отчетен период може да се очаква нарастване в броя на решените с окончателен прокурорски акт дела. </w:t>
      </w:r>
    </w:p>
    <w:p w:rsidR="006605D3" w:rsidRPr="006605D3" w:rsidRDefault="006605D3" w:rsidP="004D24A1">
      <w:pPr>
        <w:autoSpaceDN w:val="0"/>
        <w:spacing w:after="0"/>
        <w:ind w:firstLine="709"/>
        <w:jc w:val="both"/>
        <w:rPr>
          <w:rFonts w:ascii="Times New Roman" w:eastAsia="Times New Roman" w:hAnsi="Times New Roman"/>
          <w:color w:val="0D0D0D"/>
          <w:sz w:val="28"/>
          <w:szCs w:val="28"/>
        </w:rPr>
      </w:pPr>
    </w:p>
    <w:p w:rsidR="006605D3" w:rsidRPr="006605D3" w:rsidRDefault="006605D3" w:rsidP="004D24A1">
      <w:pPr>
        <w:overflowPunct w:val="0"/>
        <w:autoSpaceDE w:val="0"/>
        <w:autoSpaceDN w:val="0"/>
        <w:adjustRightInd w:val="0"/>
        <w:spacing w:after="0"/>
        <w:jc w:val="both"/>
        <w:textAlignment w:val="baseline"/>
        <w:rPr>
          <w:rFonts w:ascii="Times New Roman" w:eastAsia="Times New Roman" w:hAnsi="Times New Roman"/>
          <w:b/>
          <w:spacing w:val="-9"/>
          <w:sz w:val="28"/>
          <w:szCs w:val="28"/>
        </w:rPr>
      </w:pPr>
      <w:r w:rsidRPr="006605D3">
        <w:rPr>
          <w:rFonts w:ascii="Times New Roman" w:eastAsia="Times New Roman" w:hAnsi="Times New Roman"/>
          <w:b/>
          <w:spacing w:val="-8"/>
          <w:sz w:val="28"/>
          <w:szCs w:val="28"/>
        </w:rPr>
        <w:tab/>
        <w:t>Досъдебни производства, образувани за п</w:t>
      </w:r>
      <w:r w:rsidRPr="006605D3">
        <w:rPr>
          <w:rFonts w:ascii="Times New Roman" w:eastAsia="Times New Roman" w:hAnsi="Times New Roman"/>
          <w:b/>
          <w:spacing w:val="-9"/>
          <w:sz w:val="28"/>
          <w:szCs w:val="28"/>
        </w:rPr>
        <w:t>рестъпления свързани с изготвяне, прокарване в обръщение и използване на неистински и преправени истински парични знаци и кредитни карти.</w:t>
      </w:r>
    </w:p>
    <w:p w:rsidR="006605D3" w:rsidRPr="006605D3" w:rsidRDefault="006605D3" w:rsidP="004D24A1">
      <w:pPr>
        <w:overflowPunct w:val="0"/>
        <w:autoSpaceDE w:val="0"/>
        <w:autoSpaceDN w:val="0"/>
        <w:adjustRightInd w:val="0"/>
        <w:spacing w:after="0"/>
        <w:jc w:val="both"/>
        <w:textAlignment w:val="baseline"/>
        <w:rPr>
          <w:rFonts w:ascii="Times New Roman" w:eastAsia="Times New Roman" w:hAnsi="Times New Roman"/>
          <w:b/>
          <w:spacing w:val="-9"/>
          <w:sz w:val="20"/>
          <w:szCs w:val="20"/>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70"/>
        <w:gridCol w:w="1509"/>
        <w:gridCol w:w="1508"/>
        <w:gridCol w:w="1508"/>
      </w:tblGrid>
      <w:tr w:rsidR="006605D3" w:rsidRPr="006605D3" w:rsidTr="00E22699">
        <w:trPr>
          <w:trHeight w:val="450"/>
          <w:jc w:val="center"/>
        </w:trPr>
        <w:tc>
          <w:tcPr>
            <w:tcW w:w="2485"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39"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 xml:space="preserve">2019 г. </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2020 г.</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1258</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1216</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1296</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599</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517</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529</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938</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869</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907</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31</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32</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44</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32</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39</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55</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37</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25</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37</w:t>
            </w:r>
          </w:p>
        </w:tc>
      </w:tr>
      <w:tr w:rsidR="006605D3" w:rsidRPr="006605D3" w:rsidTr="00E22699">
        <w:trPr>
          <w:trHeight w:val="330"/>
          <w:jc w:val="center"/>
        </w:trPr>
        <w:tc>
          <w:tcPr>
            <w:tcW w:w="248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39"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2</w:t>
            </w:r>
          </w:p>
        </w:tc>
        <w:tc>
          <w:tcPr>
            <w:tcW w:w="838" w:type="pct"/>
            <w:tcBorders>
              <w:top w:val="single" w:sz="4" w:space="0" w:color="auto"/>
              <w:left w:val="single" w:sz="4" w:space="0" w:color="auto"/>
              <w:bottom w:val="single" w:sz="4" w:space="0" w:color="auto"/>
              <w:right w:val="single" w:sz="4" w:space="0" w:color="auto"/>
            </w:tcBorders>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0</w:t>
            </w:r>
          </w:p>
        </w:tc>
        <w:tc>
          <w:tcPr>
            <w:tcW w:w="83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spacing w:after="0"/>
              <w:jc w:val="center"/>
              <w:rPr>
                <w:rFonts w:ascii="Times New Roman" w:eastAsia="Times New Roman" w:hAnsi="Times New Roman"/>
                <w:b/>
                <w:sz w:val="28"/>
                <w:szCs w:val="28"/>
                <w:lang w:val="en-US" w:eastAsia="bg-BG"/>
              </w:rPr>
            </w:pPr>
            <w:r w:rsidRPr="006605D3">
              <w:rPr>
                <w:rFonts w:ascii="Times New Roman" w:eastAsia="Times New Roman" w:hAnsi="Times New Roman"/>
                <w:b/>
                <w:sz w:val="28"/>
                <w:szCs w:val="28"/>
                <w:lang w:eastAsia="bg-BG"/>
              </w:rPr>
              <w:t>2</w:t>
            </w:r>
          </w:p>
        </w:tc>
      </w:tr>
    </w:tbl>
    <w:p w:rsidR="006605D3" w:rsidRPr="006605D3" w:rsidRDefault="006605D3" w:rsidP="004D24A1">
      <w:pPr>
        <w:overflowPunct w:val="0"/>
        <w:autoSpaceDE w:val="0"/>
        <w:autoSpaceDN w:val="0"/>
        <w:adjustRightInd w:val="0"/>
        <w:spacing w:after="0"/>
        <w:jc w:val="both"/>
        <w:textAlignment w:val="baseline"/>
        <w:rPr>
          <w:rFonts w:ascii="Times New Roman" w:hAnsi="Times New Roman"/>
          <w:sz w:val="28"/>
          <w:szCs w:val="28"/>
        </w:rPr>
      </w:pPr>
      <w:r w:rsidRPr="006605D3">
        <w:rPr>
          <w:rFonts w:ascii="Times New Roman" w:hAnsi="Times New Roman"/>
          <w:sz w:val="28"/>
          <w:szCs w:val="28"/>
        </w:rPr>
        <w:tab/>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6605D3">
        <w:rPr>
          <w:rFonts w:ascii="Times New Roman" w:hAnsi="Times New Roman"/>
          <w:sz w:val="28"/>
          <w:szCs w:val="28"/>
        </w:rPr>
        <w:t xml:space="preserve">През 2021 г. новообразуваните досъдебни производства в Софийска градска прокуратура и Софийска районна прокуратура са </w:t>
      </w:r>
      <w:r w:rsidRPr="006605D3">
        <w:rPr>
          <w:rFonts w:ascii="Times New Roman" w:hAnsi="Times New Roman"/>
          <w:b/>
          <w:sz w:val="28"/>
          <w:szCs w:val="28"/>
        </w:rPr>
        <w:t>529</w:t>
      </w:r>
      <w:r w:rsidRPr="006605D3">
        <w:rPr>
          <w:rFonts w:ascii="Times New Roman" w:hAnsi="Times New Roman"/>
          <w:sz w:val="28"/>
          <w:szCs w:val="28"/>
          <w:lang w:val="en-US"/>
        </w:rPr>
        <w:t xml:space="preserve"> </w:t>
      </w:r>
      <w:r w:rsidRPr="006605D3">
        <w:rPr>
          <w:rFonts w:ascii="Times New Roman" w:hAnsi="Times New Roman"/>
          <w:b/>
          <w:sz w:val="28"/>
          <w:szCs w:val="28"/>
        </w:rPr>
        <w:t>/</w:t>
      </w:r>
      <w:r w:rsidRPr="006605D3">
        <w:rPr>
          <w:rFonts w:ascii="Times New Roman" w:hAnsi="Times New Roman"/>
          <w:sz w:val="28"/>
          <w:szCs w:val="28"/>
        </w:rPr>
        <w:t>СГП – 5</w:t>
      </w:r>
      <w:r w:rsidRPr="006605D3">
        <w:rPr>
          <w:rFonts w:ascii="Times New Roman" w:hAnsi="Times New Roman"/>
          <w:sz w:val="28"/>
          <w:szCs w:val="28"/>
          <w:lang w:val="en-US"/>
        </w:rPr>
        <w:t>48</w:t>
      </w:r>
      <w:r w:rsidRPr="006605D3">
        <w:rPr>
          <w:rFonts w:ascii="Times New Roman" w:hAnsi="Times New Roman"/>
          <w:sz w:val="28"/>
          <w:szCs w:val="28"/>
        </w:rPr>
        <w:t xml:space="preserve"> броя, СРП – </w:t>
      </w:r>
      <w:r w:rsidRPr="006605D3">
        <w:rPr>
          <w:rFonts w:ascii="Times New Roman" w:hAnsi="Times New Roman"/>
          <w:sz w:val="28"/>
          <w:szCs w:val="28"/>
          <w:lang w:val="en-US"/>
        </w:rPr>
        <w:t>0</w:t>
      </w:r>
      <w:r w:rsidRPr="006605D3">
        <w:rPr>
          <w:rFonts w:ascii="Times New Roman" w:hAnsi="Times New Roman"/>
          <w:sz w:val="28"/>
          <w:szCs w:val="28"/>
        </w:rPr>
        <w:t xml:space="preserve"> броя</w:t>
      </w:r>
      <w:r w:rsidRPr="006605D3">
        <w:rPr>
          <w:rFonts w:ascii="Times New Roman" w:hAnsi="Times New Roman"/>
          <w:b/>
          <w:sz w:val="28"/>
          <w:szCs w:val="28"/>
        </w:rPr>
        <w:t>/</w:t>
      </w:r>
      <w:r w:rsidRPr="006605D3">
        <w:rPr>
          <w:rFonts w:ascii="Times New Roman" w:hAnsi="Times New Roman"/>
          <w:sz w:val="28"/>
          <w:szCs w:val="28"/>
        </w:rPr>
        <w:t xml:space="preserve">. Приключените от разследващ орган досъдебни производства са </w:t>
      </w:r>
      <w:r w:rsidRPr="006605D3">
        <w:rPr>
          <w:rFonts w:ascii="Times New Roman" w:hAnsi="Times New Roman"/>
          <w:b/>
          <w:sz w:val="28"/>
          <w:szCs w:val="28"/>
          <w:lang w:val="en-US"/>
        </w:rPr>
        <w:t>548</w:t>
      </w:r>
      <w:r w:rsidRPr="006605D3">
        <w:rPr>
          <w:rFonts w:ascii="Times New Roman" w:hAnsi="Times New Roman"/>
          <w:sz w:val="28"/>
          <w:szCs w:val="28"/>
        </w:rPr>
        <w:t>.</w:t>
      </w:r>
      <w:r w:rsidRPr="006605D3">
        <w:rPr>
          <w:rFonts w:ascii="Times New Roman" w:eastAsia="Times New Roman" w:hAnsi="Times New Roman"/>
          <w:sz w:val="28"/>
          <w:szCs w:val="28"/>
        </w:rPr>
        <w:t xml:space="preserve"> От тях най-голям брой –  </w:t>
      </w:r>
      <w:r w:rsidRPr="006605D3">
        <w:rPr>
          <w:rFonts w:ascii="Times New Roman" w:eastAsia="Times New Roman" w:hAnsi="Times New Roman"/>
          <w:b/>
          <w:sz w:val="28"/>
          <w:szCs w:val="28"/>
        </w:rPr>
        <w:t>52</w:t>
      </w:r>
      <w:r w:rsidRPr="006605D3">
        <w:rPr>
          <w:rFonts w:ascii="Times New Roman" w:eastAsia="Times New Roman" w:hAnsi="Times New Roman"/>
          <w:b/>
          <w:sz w:val="28"/>
          <w:szCs w:val="28"/>
          <w:lang w:val="en-US"/>
        </w:rPr>
        <w:t xml:space="preserve">4 </w:t>
      </w:r>
      <w:r w:rsidRPr="006605D3">
        <w:rPr>
          <w:rFonts w:ascii="Times New Roman" w:eastAsia="Times New Roman" w:hAnsi="Times New Roman"/>
          <w:sz w:val="28"/>
          <w:szCs w:val="28"/>
        </w:rPr>
        <w:t>са за престъпление по чл.</w:t>
      </w:r>
      <w:r w:rsidRPr="006605D3">
        <w:rPr>
          <w:rFonts w:ascii="Times New Roman" w:eastAsia="Times New Roman" w:hAnsi="Times New Roman"/>
          <w:sz w:val="28"/>
          <w:szCs w:val="28"/>
          <w:lang w:val="en-US"/>
        </w:rPr>
        <w:t xml:space="preserve"> </w:t>
      </w:r>
      <w:r w:rsidRPr="006605D3">
        <w:rPr>
          <w:rFonts w:ascii="Times New Roman" w:eastAsia="Times New Roman" w:hAnsi="Times New Roman"/>
          <w:sz w:val="28"/>
          <w:szCs w:val="28"/>
        </w:rPr>
        <w:t xml:space="preserve">249 от НК /при 849 за 2020г. и 745 броя за 2019 г. /, следвани от тези по чл. 244 от НК – </w:t>
      </w:r>
      <w:r w:rsidRPr="006605D3">
        <w:rPr>
          <w:rFonts w:ascii="Times New Roman" w:eastAsia="Times New Roman" w:hAnsi="Times New Roman"/>
          <w:b/>
          <w:sz w:val="28"/>
          <w:szCs w:val="28"/>
        </w:rPr>
        <w:t>20</w:t>
      </w:r>
      <w:r w:rsidRPr="006605D3">
        <w:rPr>
          <w:rFonts w:ascii="Times New Roman" w:eastAsia="Times New Roman" w:hAnsi="Times New Roman"/>
          <w:sz w:val="28"/>
          <w:szCs w:val="28"/>
        </w:rPr>
        <w:t xml:space="preserve"> /при 152 за 2020г. и 175 броя за 2019 г. /, по чл. 243 от НК – </w:t>
      </w:r>
      <w:r w:rsidRPr="006605D3">
        <w:rPr>
          <w:rFonts w:ascii="Times New Roman" w:eastAsia="Times New Roman" w:hAnsi="Times New Roman"/>
          <w:b/>
          <w:sz w:val="28"/>
          <w:szCs w:val="28"/>
        </w:rPr>
        <w:t xml:space="preserve">3 </w:t>
      </w:r>
      <w:r w:rsidRPr="006605D3">
        <w:rPr>
          <w:rFonts w:ascii="Times New Roman" w:eastAsia="Times New Roman" w:hAnsi="Times New Roman"/>
          <w:sz w:val="28"/>
          <w:szCs w:val="28"/>
        </w:rPr>
        <w:t>броя</w:t>
      </w:r>
      <w:r w:rsidRPr="006605D3">
        <w:rPr>
          <w:rFonts w:ascii="Times New Roman" w:eastAsia="Times New Roman" w:hAnsi="Times New Roman"/>
          <w:b/>
          <w:sz w:val="28"/>
          <w:szCs w:val="28"/>
        </w:rPr>
        <w:t xml:space="preserve"> /</w:t>
      </w:r>
      <w:r w:rsidRPr="006605D3">
        <w:rPr>
          <w:rFonts w:ascii="Times New Roman" w:hAnsi="Times New Roman"/>
        </w:rPr>
        <w:t xml:space="preserve"> </w:t>
      </w:r>
      <w:r w:rsidRPr="006605D3">
        <w:rPr>
          <w:rFonts w:ascii="Times New Roman" w:eastAsia="Times New Roman" w:hAnsi="Times New Roman"/>
          <w:sz w:val="28"/>
          <w:szCs w:val="28"/>
        </w:rPr>
        <w:t xml:space="preserve">при 11 броя за 2020г. и 2019 г./, по чл. 246 от НК – </w:t>
      </w:r>
      <w:r w:rsidRPr="006605D3">
        <w:rPr>
          <w:rFonts w:ascii="Times New Roman" w:eastAsia="Times New Roman" w:hAnsi="Times New Roman"/>
          <w:b/>
          <w:sz w:val="28"/>
          <w:szCs w:val="28"/>
        </w:rPr>
        <w:t xml:space="preserve">1 </w:t>
      </w:r>
      <w:r w:rsidRPr="006605D3">
        <w:rPr>
          <w:rFonts w:ascii="Times New Roman" w:eastAsia="Times New Roman" w:hAnsi="Times New Roman"/>
          <w:sz w:val="28"/>
          <w:szCs w:val="28"/>
        </w:rPr>
        <w:t>брой /при 4 броя за 2020г. и 1 брой за 2019г./.</w:t>
      </w:r>
      <w:r w:rsidRPr="006605D3">
        <w:rPr>
          <w:rFonts w:ascii="Times New Roman" w:hAnsi="Times New Roman"/>
        </w:rPr>
        <w:t xml:space="preserve">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6605D3">
        <w:rPr>
          <w:rFonts w:ascii="Times New Roman" w:eastAsia="Times New Roman" w:hAnsi="Times New Roman"/>
          <w:sz w:val="28"/>
          <w:szCs w:val="28"/>
        </w:rPr>
        <w:lastRenderedPageBreak/>
        <w:t xml:space="preserve">Решените от прокурорите дела са общо </w:t>
      </w:r>
      <w:r w:rsidRPr="006605D3">
        <w:rPr>
          <w:rFonts w:ascii="Times New Roman" w:eastAsia="Times New Roman" w:hAnsi="Times New Roman"/>
          <w:b/>
          <w:sz w:val="28"/>
          <w:szCs w:val="28"/>
        </w:rPr>
        <w:t>907</w:t>
      </w:r>
      <w:r w:rsidRPr="006605D3">
        <w:rPr>
          <w:rFonts w:ascii="Times New Roman" w:eastAsia="Times New Roman" w:hAnsi="Times New Roman"/>
          <w:sz w:val="28"/>
          <w:szCs w:val="28"/>
        </w:rPr>
        <w:t xml:space="preserve"> броя. Спрените производства са </w:t>
      </w:r>
      <w:r w:rsidRPr="006605D3">
        <w:rPr>
          <w:rFonts w:ascii="Times New Roman" w:eastAsia="Times New Roman" w:hAnsi="Times New Roman"/>
          <w:b/>
          <w:sz w:val="28"/>
          <w:szCs w:val="28"/>
        </w:rPr>
        <w:t>468</w:t>
      </w:r>
      <w:r w:rsidRPr="006605D3">
        <w:rPr>
          <w:rFonts w:ascii="Times New Roman" w:eastAsia="Times New Roman" w:hAnsi="Times New Roman"/>
          <w:sz w:val="28"/>
          <w:szCs w:val="28"/>
        </w:rPr>
        <w:t xml:space="preserve">, </w:t>
      </w:r>
      <w:r w:rsidRPr="006605D3">
        <w:rPr>
          <w:rFonts w:ascii="Times New Roman" w:eastAsia="Times New Roman" w:hAnsi="Times New Roman"/>
          <w:color w:val="000000"/>
          <w:sz w:val="28"/>
          <w:szCs w:val="28"/>
        </w:rPr>
        <w:t xml:space="preserve">което съставлява </w:t>
      </w:r>
      <w:r w:rsidRPr="006605D3">
        <w:rPr>
          <w:rFonts w:ascii="Times New Roman" w:eastAsia="Times New Roman" w:hAnsi="Times New Roman"/>
          <w:b/>
          <w:color w:val="000000"/>
          <w:sz w:val="28"/>
          <w:szCs w:val="28"/>
        </w:rPr>
        <w:t>51,59 %</w:t>
      </w:r>
      <w:r w:rsidRPr="006605D3">
        <w:rPr>
          <w:rFonts w:ascii="Times New Roman" w:eastAsia="Times New Roman" w:hAnsi="Times New Roman"/>
          <w:color w:val="000000"/>
          <w:sz w:val="28"/>
          <w:szCs w:val="28"/>
        </w:rPr>
        <w:t xml:space="preserve"> от решените</w:t>
      </w:r>
      <w:r w:rsidRPr="006605D3">
        <w:rPr>
          <w:rFonts w:ascii="Times New Roman" w:eastAsia="Times New Roman" w:hAnsi="Times New Roman"/>
          <w:sz w:val="28"/>
          <w:szCs w:val="28"/>
        </w:rPr>
        <w:t xml:space="preserve">. Прекратени са </w:t>
      </w:r>
      <w:r w:rsidRPr="006605D3">
        <w:rPr>
          <w:rFonts w:ascii="Times New Roman" w:eastAsia="Times New Roman" w:hAnsi="Times New Roman"/>
          <w:b/>
          <w:sz w:val="28"/>
          <w:szCs w:val="28"/>
        </w:rPr>
        <w:t>365</w:t>
      </w:r>
      <w:r w:rsidRPr="006605D3">
        <w:rPr>
          <w:rFonts w:ascii="Times New Roman" w:eastAsia="Times New Roman" w:hAnsi="Times New Roman"/>
          <w:sz w:val="28"/>
          <w:szCs w:val="28"/>
        </w:rPr>
        <w:t xml:space="preserve"> дела. Внесените в съда досъдебни производства са общо </w:t>
      </w:r>
      <w:r w:rsidRPr="006605D3">
        <w:rPr>
          <w:rFonts w:ascii="Times New Roman" w:eastAsia="Times New Roman" w:hAnsi="Times New Roman"/>
          <w:b/>
          <w:sz w:val="28"/>
          <w:szCs w:val="28"/>
        </w:rPr>
        <w:t>44</w:t>
      </w:r>
      <w:r w:rsidRPr="006605D3">
        <w:rPr>
          <w:rFonts w:ascii="Times New Roman" w:eastAsia="Times New Roman" w:hAnsi="Times New Roman"/>
          <w:sz w:val="28"/>
          <w:szCs w:val="28"/>
        </w:rPr>
        <w:t xml:space="preserve">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6605D3">
        <w:rPr>
          <w:rFonts w:ascii="Times New Roman" w:eastAsia="Times New Roman" w:hAnsi="Times New Roman"/>
          <w:sz w:val="28"/>
          <w:szCs w:val="28"/>
        </w:rPr>
        <w:t xml:space="preserve">В съда с обвинителен акт са внесени </w:t>
      </w:r>
      <w:r w:rsidRPr="006605D3">
        <w:rPr>
          <w:rFonts w:ascii="Times New Roman" w:eastAsia="Times New Roman" w:hAnsi="Times New Roman"/>
          <w:b/>
          <w:sz w:val="28"/>
          <w:szCs w:val="28"/>
        </w:rPr>
        <w:t>32</w:t>
      </w:r>
      <w:r w:rsidRPr="006605D3">
        <w:rPr>
          <w:rFonts w:ascii="Times New Roman" w:eastAsia="Times New Roman" w:hAnsi="Times New Roman"/>
          <w:sz w:val="28"/>
          <w:szCs w:val="28"/>
        </w:rPr>
        <w:t xml:space="preserve"> дела по отношение на </w:t>
      </w:r>
      <w:r w:rsidRPr="006605D3">
        <w:rPr>
          <w:rFonts w:ascii="Times New Roman" w:eastAsia="Times New Roman" w:hAnsi="Times New Roman"/>
          <w:b/>
          <w:sz w:val="28"/>
          <w:szCs w:val="28"/>
        </w:rPr>
        <w:t>43</w:t>
      </w:r>
      <w:r w:rsidRPr="006605D3">
        <w:rPr>
          <w:rFonts w:ascii="Times New Roman" w:eastAsia="Times New Roman" w:hAnsi="Times New Roman"/>
          <w:sz w:val="28"/>
          <w:szCs w:val="28"/>
        </w:rPr>
        <w:t xml:space="preserve"> обвиняеми лица и  </w:t>
      </w:r>
      <w:r w:rsidRPr="006605D3">
        <w:rPr>
          <w:rFonts w:ascii="Times New Roman" w:eastAsia="Times New Roman" w:hAnsi="Times New Roman"/>
          <w:b/>
          <w:sz w:val="28"/>
          <w:szCs w:val="28"/>
        </w:rPr>
        <w:t xml:space="preserve">12 </w:t>
      </w:r>
      <w:r w:rsidRPr="006605D3">
        <w:rPr>
          <w:rFonts w:ascii="Times New Roman" w:eastAsia="Times New Roman" w:hAnsi="Times New Roman"/>
          <w:sz w:val="28"/>
          <w:szCs w:val="28"/>
        </w:rPr>
        <w:t xml:space="preserve">дела със споразумение за </w:t>
      </w:r>
      <w:r w:rsidRPr="006605D3">
        <w:rPr>
          <w:rFonts w:ascii="Times New Roman" w:eastAsia="Times New Roman" w:hAnsi="Times New Roman"/>
          <w:b/>
          <w:sz w:val="28"/>
          <w:szCs w:val="28"/>
        </w:rPr>
        <w:t>12</w:t>
      </w:r>
      <w:r w:rsidRPr="006605D3">
        <w:rPr>
          <w:rFonts w:ascii="Times New Roman" w:eastAsia="Times New Roman" w:hAnsi="Times New Roman"/>
          <w:sz w:val="28"/>
          <w:szCs w:val="28"/>
        </w:rPr>
        <w:t xml:space="preserve"> лица. Спрямо </w:t>
      </w:r>
      <w:r w:rsidRPr="006605D3">
        <w:rPr>
          <w:rFonts w:ascii="Times New Roman" w:eastAsia="Times New Roman" w:hAnsi="Times New Roman"/>
          <w:b/>
          <w:sz w:val="28"/>
          <w:szCs w:val="28"/>
        </w:rPr>
        <w:t xml:space="preserve">37 </w:t>
      </w:r>
      <w:r w:rsidRPr="006605D3">
        <w:rPr>
          <w:rFonts w:ascii="Times New Roman" w:eastAsia="Times New Roman" w:hAnsi="Times New Roman"/>
          <w:sz w:val="28"/>
          <w:szCs w:val="28"/>
        </w:rPr>
        <w:t xml:space="preserve">лица има постановен влязъл в сила осъдителен съдебен акт, като </w:t>
      </w:r>
      <w:r w:rsidRPr="006605D3">
        <w:rPr>
          <w:rFonts w:ascii="Times New Roman" w:eastAsia="Times New Roman" w:hAnsi="Times New Roman"/>
          <w:b/>
          <w:sz w:val="28"/>
          <w:szCs w:val="28"/>
        </w:rPr>
        <w:t>две лица са  оправдани</w:t>
      </w:r>
      <w:r w:rsidRPr="006605D3">
        <w:rPr>
          <w:rFonts w:ascii="Times New Roman" w:eastAsia="Times New Roman" w:hAnsi="Times New Roman"/>
          <w:sz w:val="28"/>
          <w:szCs w:val="28"/>
        </w:rPr>
        <w:t xml:space="preserve"> с влязъл в сила съдебен акт лица.</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Сравнението на делата, водени за</w:t>
      </w:r>
      <w:r w:rsidRPr="006605D3">
        <w:rPr>
          <w:rFonts w:ascii="Times New Roman" w:eastAsia="Times New Roman" w:hAnsi="Times New Roman"/>
          <w:b/>
          <w:color w:val="000000"/>
          <w:sz w:val="28"/>
          <w:szCs w:val="28"/>
        </w:rPr>
        <w:t xml:space="preserve"> </w:t>
      </w:r>
      <w:r w:rsidRPr="006605D3">
        <w:rPr>
          <w:rFonts w:ascii="Times New Roman" w:eastAsia="Times New Roman" w:hAnsi="Times New Roman"/>
          <w:color w:val="000000"/>
          <w:sz w:val="28"/>
          <w:szCs w:val="28"/>
        </w:rPr>
        <w:t>престъпления свързани с изготвяне, прокарване в обръщение и използване на неистински и преправени парични знаци и кредитни карти,</w:t>
      </w:r>
      <w:r w:rsidRPr="006605D3">
        <w:rPr>
          <w:rFonts w:ascii="Times New Roman" w:hAnsi="Times New Roman"/>
          <w:color w:val="000000"/>
          <w:sz w:val="28"/>
          <w:szCs w:val="28"/>
        </w:rPr>
        <w:t xml:space="preserve"> за отчетния период на 2021 г. с аналогичния период на 2020 г. и 2019г., разкрива тенденция към увеличаване броя на прокурорските актове, внесени в съда спрямо общия брой на решени досъдебни производства. За разглеждания период </w:t>
      </w:r>
      <w:r w:rsidRPr="006605D3">
        <w:rPr>
          <w:rFonts w:ascii="Times New Roman" w:hAnsi="Times New Roman"/>
          <w:b/>
          <w:color w:val="000000"/>
          <w:sz w:val="28"/>
          <w:szCs w:val="28"/>
        </w:rPr>
        <w:t>4,85%</w:t>
      </w:r>
      <w:r w:rsidRPr="006605D3">
        <w:rPr>
          <w:rFonts w:ascii="Times New Roman" w:hAnsi="Times New Roman"/>
          <w:color w:val="000000"/>
          <w:sz w:val="28"/>
          <w:szCs w:val="28"/>
        </w:rPr>
        <w:t xml:space="preserve">  са делата, внесени в съда, спрямо 3,68 % за 2020г. и 3,30% внесени дела през 2019г. Същевременно е увеличен и броя на внесените производства спрямо наблюдаваните такива. За 2021 г. са внесени </w:t>
      </w:r>
      <w:r w:rsidRPr="006605D3">
        <w:rPr>
          <w:rFonts w:ascii="Times New Roman" w:hAnsi="Times New Roman"/>
          <w:b/>
          <w:color w:val="000000"/>
          <w:sz w:val="28"/>
          <w:szCs w:val="28"/>
        </w:rPr>
        <w:t xml:space="preserve">3,39% </w:t>
      </w:r>
      <w:r w:rsidRPr="006605D3">
        <w:rPr>
          <w:rFonts w:ascii="Times New Roman" w:hAnsi="Times New Roman"/>
          <w:color w:val="000000"/>
          <w:sz w:val="28"/>
          <w:szCs w:val="28"/>
        </w:rPr>
        <w:t xml:space="preserve">от делата, от района на СГП, като през 2020г. е 2,63 %, а за 2019г. внесените спрямо наблюдавани дела са били 2,46 %. Тази тенденция съответства  на все по-разпространеното картово разплащане по отношение на престъпленията по чл. 249 от НК, както и на повишеното взаимодействие между наблюдаващите прокурори и разследващите органи. В сравнение с 2020г. и 2019 г. е налице нарастване на броя на предадените на съд лица за този вид престъпления. Основното затруднение, свързано с доказването на този вид престъпления е разкриването самоличността на извършителите, особено касаещите онлайн разплащането чрез неправомерно използване на данни от платежни инструменти. </w:t>
      </w:r>
    </w:p>
    <w:p w:rsidR="006605D3" w:rsidRPr="006605D3" w:rsidRDefault="006605D3" w:rsidP="004D24A1">
      <w:pPr>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Относителния дял на решените спрямо наблюдаваните досъдебни производства за 2021г. е </w:t>
      </w:r>
      <w:r w:rsidRPr="006605D3">
        <w:rPr>
          <w:rFonts w:ascii="Times New Roman" w:hAnsi="Times New Roman"/>
          <w:b/>
          <w:color w:val="000000"/>
          <w:sz w:val="28"/>
          <w:szCs w:val="28"/>
        </w:rPr>
        <w:t>69,98 %,</w:t>
      </w:r>
      <w:r w:rsidRPr="006605D3">
        <w:rPr>
          <w:rFonts w:ascii="Times New Roman" w:hAnsi="Times New Roman"/>
          <w:color w:val="000000"/>
          <w:sz w:val="28"/>
          <w:szCs w:val="28"/>
        </w:rPr>
        <w:t xml:space="preserve"> а за 2020г. -  71,46 % , за 2019 г. - 74,56%, което се дължи на нарастването на броя наблюдавани производства.  Внесените в съда дела спрямо решените дела от прокурор за  2021г. са повече в сравнение с предходния период-  </w:t>
      </w:r>
      <w:r w:rsidRPr="006605D3">
        <w:rPr>
          <w:rFonts w:ascii="Times New Roman" w:hAnsi="Times New Roman"/>
          <w:b/>
          <w:color w:val="000000"/>
          <w:sz w:val="28"/>
          <w:szCs w:val="28"/>
        </w:rPr>
        <w:t>4,85 %,</w:t>
      </w:r>
      <w:r w:rsidRPr="006605D3">
        <w:rPr>
          <w:rFonts w:ascii="Times New Roman" w:hAnsi="Times New Roman"/>
          <w:color w:val="000000"/>
          <w:sz w:val="28"/>
          <w:szCs w:val="28"/>
        </w:rPr>
        <w:t xml:space="preserve"> при 3,68 % за а 2020г. и 3% за 2019 г. </w:t>
      </w:r>
    </w:p>
    <w:p w:rsidR="006605D3" w:rsidRPr="006605D3" w:rsidRDefault="006605D3" w:rsidP="004D24A1">
      <w:pPr>
        <w:overflowPunct w:val="0"/>
        <w:autoSpaceDE w:val="0"/>
        <w:autoSpaceDN w:val="0"/>
        <w:adjustRightInd w:val="0"/>
        <w:spacing w:after="0"/>
        <w:jc w:val="both"/>
        <w:textAlignment w:val="baseline"/>
        <w:rPr>
          <w:rFonts w:ascii="Times New Roman" w:eastAsia="Times New Roman" w:hAnsi="Times New Roman"/>
          <w:b/>
          <w:color w:val="000000"/>
          <w:sz w:val="28"/>
          <w:szCs w:val="28"/>
        </w:rPr>
      </w:pPr>
      <w:r w:rsidRPr="006605D3">
        <w:rPr>
          <w:rFonts w:ascii="Times New Roman" w:hAnsi="Times New Roman"/>
          <w:color w:val="000000"/>
          <w:sz w:val="28"/>
          <w:szCs w:val="28"/>
        </w:rPr>
        <w:tab/>
      </w:r>
    </w:p>
    <w:p w:rsidR="006605D3" w:rsidRPr="006605D3" w:rsidRDefault="006605D3" w:rsidP="004D24A1">
      <w:pPr>
        <w:overflowPunct w:val="0"/>
        <w:autoSpaceDE w:val="0"/>
        <w:autoSpaceDN w:val="0"/>
        <w:adjustRightInd w:val="0"/>
        <w:spacing w:after="120"/>
        <w:jc w:val="both"/>
        <w:textAlignment w:val="baseline"/>
        <w:rPr>
          <w:rFonts w:ascii="Times New Roman" w:eastAsia="Times New Roman" w:hAnsi="Times New Roman"/>
          <w:b/>
          <w:bCs/>
          <w:sz w:val="28"/>
          <w:szCs w:val="20"/>
        </w:rPr>
      </w:pPr>
      <w:r w:rsidRPr="006605D3">
        <w:rPr>
          <w:rFonts w:ascii="Times New Roman" w:eastAsia="Times New Roman" w:hAnsi="Times New Roman"/>
          <w:b/>
          <w:bCs/>
          <w:sz w:val="28"/>
          <w:szCs w:val="20"/>
        </w:rPr>
        <w:tab/>
        <w:t>Досъдебни производства, образувани за незаконен трафик на наркотични вещества и контрабанда.</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650"/>
        <w:gridCol w:w="1497"/>
        <w:gridCol w:w="1496"/>
        <w:gridCol w:w="1421"/>
      </w:tblGrid>
      <w:tr w:rsidR="006605D3" w:rsidRPr="006605D3" w:rsidTr="00E22699">
        <w:trPr>
          <w:trHeight w:val="450"/>
          <w:jc w:val="center"/>
        </w:trPr>
        <w:tc>
          <w:tcPr>
            <w:tcW w:w="2565"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26"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jc w:val="center"/>
              <w:rPr>
                <w:rFonts w:ascii="Times New Roman" w:hAnsi="Times New Roman"/>
                <w:sz w:val="28"/>
                <w:szCs w:val="28"/>
              </w:rPr>
            </w:pPr>
            <w:r w:rsidRPr="006605D3">
              <w:rPr>
                <w:rFonts w:ascii="Times New Roman" w:eastAsia="Times New Roman" w:hAnsi="Times New Roman"/>
                <w:sz w:val="28"/>
                <w:szCs w:val="28"/>
                <w:lang w:eastAsia="bg-BG"/>
              </w:rPr>
              <w:t>2019 г.</w:t>
            </w:r>
          </w:p>
        </w:tc>
        <w:tc>
          <w:tcPr>
            <w:tcW w:w="825"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hAnsi="Times New Roman"/>
                <w:b/>
                <w:sz w:val="28"/>
                <w:szCs w:val="28"/>
              </w:rPr>
              <w:t>2021 г.</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4256</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hAnsi="Times New Roman"/>
                <w:b/>
                <w:sz w:val="28"/>
                <w:szCs w:val="28"/>
              </w:rPr>
              <w:t>3562</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hAnsi="Times New Roman"/>
                <w:b/>
                <w:sz w:val="28"/>
                <w:szCs w:val="28"/>
              </w:rPr>
              <w:t>3251</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3305</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2494</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2239</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lastRenderedPageBreak/>
              <w:t>Решени ДП</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3283</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2693</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2600</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434</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485</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580</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464</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506</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604</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390</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366</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500</w:t>
            </w:r>
          </w:p>
        </w:tc>
      </w:tr>
      <w:tr w:rsidR="006605D3" w:rsidRPr="006605D3" w:rsidTr="00E22699">
        <w:trPr>
          <w:trHeight w:val="330"/>
          <w:jc w:val="center"/>
        </w:trPr>
        <w:tc>
          <w:tcPr>
            <w:tcW w:w="2565"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26"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9</w:t>
            </w:r>
          </w:p>
        </w:tc>
        <w:tc>
          <w:tcPr>
            <w:tcW w:w="825" w:type="pct"/>
            <w:tcBorders>
              <w:top w:val="single" w:sz="4" w:space="0" w:color="auto"/>
              <w:left w:val="single" w:sz="4" w:space="0" w:color="auto"/>
              <w:bottom w:val="single" w:sz="4" w:space="0" w:color="auto"/>
              <w:right w:val="single" w:sz="4" w:space="0" w:color="auto"/>
            </w:tcBorders>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5</w:t>
            </w:r>
          </w:p>
        </w:tc>
        <w:tc>
          <w:tcPr>
            <w:tcW w:w="784"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16</w:t>
            </w:r>
          </w:p>
        </w:tc>
      </w:tr>
    </w:tbl>
    <w:p w:rsidR="006605D3" w:rsidRPr="006605D3" w:rsidRDefault="006605D3" w:rsidP="004D24A1">
      <w:pPr>
        <w:overflowPunct w:val="0"/>
        <w:autoSpaceDE w:val="0"/>
        <w:autoSpaceDN w:val="0"/>
        <w:adjustRightInd w:val="0"/>
        <w:spacing w:after="0"/>
        <w:jc w:val="both"/>
        <w:textAlignment w:val="baseline"/>
        <w:rPr>
          <w:rFonts w:ascii="Times New Roman" w:hAnsi="Times New Roman"/>
          <w:sz w:val="28"/>
          <w:szCs w:val="28"/>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6605D3">
        <w:rPr>
          <w:rFonts w:ascii="Times New Roman" w:hAnsi="Times New Roman"/>
          <w:sz w:val="28"/>
          <w:szCs w:val="28"/>
        </w:rPr>
        <w:t xml:space="preserve">През 2021 г. новообразувани в Софийска градска прокуратура и Софийска районна прокуратура са </w:t>
      </w:r>
      <w:r w:rsidRPr="006605D3">
        <w:rPr>
          <w:rFonts w:ascii="Times New Roman" w:eastAsia="Times New Roman" w:hAnsi="Times New Roman"/>
          <w:b/>
          <w:sz w:val="28"/>
          <w:szCs w:val="28"/>
          <w:lang w:val="en-US" w:eastAsia="bg-BG"/>
        </w:rPr>
        <w:t>2239</w:t>
      </w:r>
      <w:r w:rsidRPr="006605D3">
        <w:rPr>
          <w:rFonts w:ascii="Times New Roman" w:hAnsi="Times New Roman"/>
          <w:sz w:val="28"/>
          <w:szCs w:val="28"/>
        </w:rPr>
        <w:t xml:space="preserve"> досъдебни производства. Приключени от разследващ орган са </w:t>
      </w:r>
      <w:r w:rsidRPr="006605D3">
        <w:rPr>
          <w:rFonts w:ascii="Times New Roman" w:hAnsi="Times New Roman"/>
          <w:b/>
          <w:sz w:val="28"/>
          <w:szCs w:val="28"/>
          <w:lang w:val="en-US"/>
        </w:rPr>
        <w:t>247</w:t>
      </w:r>
      <w:r w:rsidRPr="006605D3">
        <w:rPr>
          <w:rFonts w:ascii="Times New Roman" w:hAnsi="Times New Roman"/>
          <w:b/>
          <w:sz w:val="28"/>
          <w:szCs w:val="28"/>
        </w:rPr>
        <w:t>7</w:t>
      </w:r>
      <w:r w:rsidRPr="006605D3">
        <w:rPr>
          <w:rFonts w:ascii="Times New Roman" w:hAnsi="Times New Roman"/>
          <w:sz w:val="28"/>
          <w:szCs w:val="28"/>
        </w:rPr>
        <w:t xml:space="preserve"> дела.</w:t>
      </w:r>
      <w:r w:rsidRPr="006605D3">
        <w:rPr>
          <w:rFonts w:ascii="Times New Roman" w:eastAsia="Times New Roman" w:hAnsi="Times New Roman"/>
          <w:spacing w:val="-7"/>
          <w:sz w:val="28"/>
          <w:szCs w:val="28"/>
        </w:rPr>
        <w:t xml:space="preserve"> </w:t>
      </w:r>
      <w:r w:rsidRPr="006605D3">
        <w:rPr>
          <w:rFonts w:ascii="Times New Roman" w:hAnsi="Times New Roman"/>
          <w:sz w:val="28"/>
          <w:szCs w:val="28"/>
        </w:rPr>
        <w:t xml:space="preserve">Решените дела от прокурорите са общо </w:t>
      </w:r>
      <w:r w:rsidRPr="006605D3">
        <w:rPr>
          <w:rFonts w:ascii="Times New Roman" w:hAnsi="Times New Roman"/>
          <w:b/>
          <w:sz w:val="28"/>
          <w:szCs w:val="28"/>
        </w:rPr>
        <w:t>26</w:t>
      </w:r>
      <w:r w:rsidRPr="006605D3">
        <w:rPr>
          <w:rFonts w:ascii="Times New Roman" w:hAnsi="Times New Roman"/>
          <w:b/>
          <w:sz w:val="28"/>
          <w:szCs w:val="28"/>
          <w:lang w:val="en-US"/>
        </w:rPr>
        <w:t>00</w:t>
      </w:r>
      <w:r w:rsidRPr="006605D3">
        <w:rPr>
          <w:rFonts w:ascii="Times New Roman" w:hAnsi="Times New Roman"/>
          <w:sz w:val="28"/>
          <w:szCs w:val="28"/>
        </w:rPr>
        <w:t xml:space="preserve"> броя. Спрените производства са </w:t>
      </w:r>
      <w:r w:rsidRPr="006605D3">
        <w:rPr>
          <w:rFonts w:ascii="Times New Roman" w:hAnsi="Times New Roman"/>
          <w:b/>
          <w:sz w:val="28"/>
          <w:szCs w:val="28"/>
          <w:lang w:val="en-US"/>
        </w:rPr>
        <w:t>120</w:t>
      </w:r>
      <w:r w:rsidRPr="006605D3">
        <w:rPr>
          <w:rFonts w:ascii="Times New Roman" w:hAnsi="Times New Roman"/>
          <w:sz w:val="28"/>
          <w:szCs w:val="28"/>
        </w:rPr>
        <w:t xml:space="preserve">, а прекратените – </w:t>
      </w:r>
      <w:r w:rsidRPr="006605D3">
        <w:rPr>
          <w:rFonts w:ascii="Times New Roman" w:hAnsi="Times New Roman"/>
          <w:b/>
          <w:sz w:val="28"/>
          <w:szCs w:val="28"/>
          <w:lang w:val="en-US"/>
        </w:rPr>
        <w:t xml:space="preserve">1826 </w:t>
      </w:r>
      <w:r w:rsidRPr="006605D3">
        <w:rPr>
          <w:rFonts w:ascii="Times New Roman" w:hAnsi="Times New Roman"/>
          <w:b/>
          <w:sz w:val="28"/>
          <w:szCs w:val="28"/>
        </w:rPr>
        <w:t>броя</w:t>
      </w:r>
      <w:r w:rsidRPr="006605D3">
        <w:rPr>
          <w:rFonts w:ascii="Times New Roman" w:hAnsi="Times New Roman"/>
          <w:sz w:val="28"/>
          <w:szCs w:val="28"/>
        </w:rPr>
        <w:t xml:space="preserve">. Внесените в съда с обвинителен акт са </w:t>
      </w:r>
      <w:r w:rsidRPr="006605D3">
        <w:rPr>
          <w:rFonts w:ascii="Times New Roman" w:hAnsi="Times New Roman"/>
          <w:b/>
          <w:sz w:val="28"/>
          <w:szCs w:val="28"/>
          <w:lang w:val="en-US"/>
        </w:rPr>
        <w:t>6</w:t>
      </w:r>
      <w:r w:rsidRPr="006605D3">
        <w:rPr>
          <w:rFonts w:ascii="Times New Roman" w:hAnsi="Times New Roman"/>
          <w:b/>
          <w:sz w:val="28"/>
          <w:szCs w:val="28"/>
        </w:rPr>
        <w:t>1</w:t>
      </w:r>
      <w:r w:rsidRPr="006605D3">
        <w:rPr>
          <w:rFonts w:ascii="Times New Roman" w:hAnsi="Times New Roman"/>
          <w:b/>
          <w:sz w:val="28"/>
          <w:szCs w:val="28"/>
          <w:lang w:val="en-US"/>
        </w:rPr>
        <w:t>,0</w:t>
      </w:r>
      <w:r w:rsidRPr="006605D3">
        <w:rPr>
          <w:rFonts w:ascii="Times New Roman" w:hAnsi="Times New Roman"/>
          <w:b/>
          <w:sz w:val="28"/>
          <w:szCs w:val="28"/>
        </w:rPr>
        <w:t>3</w:t>
      </w:r>
      <w:r w:rsidRPr="006605D3">
        <w:rPr>
          <w:rFonts w:ascii="Times New Roman" w:hAnsi="Times New Roman"/>
          <w:b/>
          <w:sz w:val="28"/>
          <w:szCs w:val="28"/>
          <w:lang w:val="en-US"/>
        </w:rPr>
        <w:t xml:space="preserve"> %</w:t>
      </w:r>
      <w:r w:rsidRPr="006605D3">
        <w:rPr>
          <w:rFonts w:ascii="Times New Roman" w:hAnsi="Times New Roman"/>
          <w:sz w:val="28"/>
          <w:szCs w:val="28"/>
          <w:lang w:val="en-US"/>
        </w:rPr>
        <w:t xml:space="preserve"> </w:t>
      </w:r>
      <w:r w:rsidRPr="006605D3">
        <w:rPr>
          <w:rFonts w:ascii="Times New Roman" w:hAnsi="Times New Roman"/>
          <w:sz w:val="28"/>
          <w:szCs w:val="28"/>
        </w:rPr>
        <w:t xml:space="preserve"> от прокурорските актове, внесени в съда -</w:t>
      </w:r>
      <w:r w:rsidRPr="006605D3">
        <w:rPr>
          <w:rFonts w:ascii="Times New Roman" w:hAnsi="Times New Roman"/>
          <w:b/>
          <w:sz w:val="28"/>
          <w:szCs w:val="28"/>
        </w:rPr>
        <w:t>354 броя</w:t>
      </w:r>
      <w:r w:rsidRPr="006605D3">
        <w:rPr>
          <w:rFonts w:ascii="Times New Roman" w:hAnsi="Times New Roman"/>
          <w:sz w:val="28"/>
          <w:szCs w:val="28"/>
        </w:rPr>
        <w:t xml:space="preserve">, по отношение на </w:t>
      </w:r>
      <w:r w:rsidRPr="006605D3">
        <w:rPr>
          <w:rFonts w:ascii="Times New Roman" w:hAnsi="Times New Roman"/>
          <w:b/>
          <w:sz w:val="28"/>
          <w:szCs w:val="28"/>
        </w:rPr>
        <w:t>378</w:t>
      </w:r>
      <w:r w:rsidRPr="006605D3">
        <w:rPr>
          <w:rFonts w:ascii="Times New Roman" w:hAnsi="Times New Roman"/>
          <w:sz w:val="28"/>
          <w:szCs w:val="28"/>
        </w:rPr>
        <w:t xml:space="preserve"> обвиняеми лица, а внесените със споразумение дела са </w:t>
      </w:r>
      <w:r w:rsidRPr="006605D3">
        <w:rPr>
          <w:rFonts w:ascii="Times New Roman" w:hAnsi="Times New Roman"/>
          <w:b/>
          <w:sz w:val="28"/>
          <w:szCs w:val="28"/>
        </w:rPr>
        <w:t xml:space="preserve">146 </w:t>
      </w:r>
      <w:r w:rsidRPr="006605D3">
        <w:rPr>
          <w:rFonts w:ascii="Times New Roman" w:hAnsi="Times New Roman"/>
          <w:sz w:val="28"/>
          <w:szCs w:val="28"/>
        </w:rPr>
        <w:t xml:space="preserve">дела срещу </w:t>
      </w:r>
      <w:r w:rsidRPr="006605D3">
        <w:rPr>
          <w:rFonts w:ascii="Times New Roman" w:hAnsi="Times New Roman"/>
          <w:b/>
          <w:sz w:val="28"/>
          <w:szCs w:val="28"/>
        </w:rPr>
        <w:t>146</w:t>
      </w:r>
      <w:r w:rsidRPr="006605D3">
        <w:rPr>
          <w:rFonts w:ascii="Times New Roman" w:hAnsi="Times New Roman"/>
          <w:sz w:val="28"/>
          <w:szCs w:val="28"/>
        </w:rPr>
        <w:t xml:space="preserve"> лица. Внесените предложения по чл.78а от НК са </w:t>
      </w:r>
      <w:r w:rsidRPr="006605D3">
        <w:rPr>
          <w:rFonts w:ascii="Times New Roman" w:hAnsi="Times New Roman"/>
          <w:b/>
          <w:sz w:val="28"/>
          <w:szCs w:val="28"/>
        </w:rPr>
        <w:t>80</w:t>
      </w:r>
      <w:r w:rsidRPr="006605D3">
        <w:rPr>
          <w:rFonts w:ascii="Times New Roman" w:hAnsi="Times New Roman"/>
          <w:sz w:val="28"/>
          <w:szCs w:val="28"/>
        </w:rPr>
        <w:t xml:space="preserve"> броя по отношение </w:t>
      </w:r>
      <w:r w:rsidRPr="006605D3">
        <w:rPr>
          <w:rFonts w:ascii="Times New Roman" w:hAnsi="Times New Roman"/>
          <w:b/>
          <w:sz w:val="28"/>
          <w:szCs w:val="28"/>
        </w:rPr>
        <w:t>80</w:t>
      </w:r>
      <w:r w:rsidRPr="006605D3">
        <w:rPr>
          <w:rFonts w:ascii="Times New Roman" w:hAnsi="Times New Roman"/>
          <w:sz w:val="28"/>
          <w:szCs w:val="28"/>
        </w:rPr>
        <w:t xml:space="preserve"> лица. </w:t>
      </w:r>
      <w:r w:rsidRPr="006605D3">
        <w:rPr>
          <w:rFonts w:ascii="Times New Roman" w:eastAsia="Times New Roman" w:hAnsi="Times New Roman"/>
          <w:sz w:val="28"/>
          <w:szCs w:val="28"/>
        </w:rPr>
        <w:t xml:space="preserve">Спрямо </w:t>
      </w:r>
      <w:r w:rsidRPr="006605D3">
        <w:rPr>
          <w:rFonts w:ascii="Times New Roman" w:eastAsia="Times New Roman" w:hAnsi="Times New Roman"/>
          <w:b/>
          <w:sz w:val="28"/>
          <w:szCs w:val="28"/>
        </w:rPr>
        <w:t>500</w:t>
      </w:r>
      <w:r w:rsidRPr="006605D3">
        <w:rPr>
          <w:rFonts w:ascii="Times New Roman" w:eastAsia="Times New Roman" w:hAnsi="Times New Roman"/>
          <w:sz w:val="28"/>
          <w:szCs w:val="28"/>
        </w:rPr>
        <w:t xml:space="preserve"> лица има постановен влязъл в сила осъдителен съдебен акт, а </w:t>
      </w:r>
      <w:r w:rsidRPr="006605D3">
        <w:rPr>
          <w:rFonts w:ascii="Times New Roman" w:eastAsia="Times New Roman" w:hAnsi="Times New Roman"/>
          <w:b/>
          <w:sz w:val="28"/>
          <w:szCs w:val="28"/>
        </w:rPr>
        <w:t>16</w:t>
      </w:r>
      <w:r w:rsidRPr="006605D3">
        <w:rPr>
          <w:rFonts w:ascii="Times New Roman" w:eastAsia="Times New Roman" w:hAnsi="Times New Roman"/>
          <w:sz w:val="28"/>
          <w:szCs w:val="28"/>
        </w:rPr>
        <w:t xml:space="preserve"> лица са оправдани с влязъл в сила съдебен акт.</w:t>
      </w:r>
      <w:r w:rsidRPr="006605D3">
        <w:rPr>
          <w:rFonts w:ascii="Times New Roman" w:hAnsi="Times New Roman"/>
        </w:rPr>
        <w:t xml:space="preserve">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hAnsi="Times New Roman"/>
          <w:color w:val="000000"/>
          <w:sz w:val="28"/>
          <w:szCs w:val="28"/>
        </w:rPr>
      </w:pPr>
      <w:r w:rsidRPr="006605D3">
        <w:rPr>
          <w:rFonts w:ascii="Times New Roman" w:hAnsi="Times New Roman"/>
          <w:color w:val="000000"/>
          <w:sz w:val="28"/>
          <w:szCs w:val="28"/>
        </w:rPr>
        <w:t>Сравнението на делата, водени за</w:t>
      </w:r>
      <w:r w:rsidRPr="006605D3">
        <w:rPr>
          <w:rFonts w:ascii="Times New Roman" w:hAnsi="Times New Roman"/>
          <w:b/>
          <w:color w:val="000000"/>
          <w:sz w:val="28"/>
          <w:szCs w:val="28"/>
        </w:rPr>
        <w:t xml:space="preserve"> </w:t>
      </w:r>
      <w:r w:rsidRPr="006605D3">
        <w:rPr>
          <w:rFonts w:ascii="Times New Roman" w:hAnsi="Times New Roman"/>
          <w:color w:val="000000"/>
          <w:sz w:val="28"/>
          <w:szCs w:val="28"/>
        </w:rPr>
        <w:t xml:space="preserve">престъпления  </w:t>
      </w:r>
      <w:r w:rsidRPr="006605D3">
        <w:rPr>
          <w:rFonts w:ascii="Times New Roman" w:hAnsi="Times New Roman"/>
          <w:bCs/>
          <w:color w:val="000000"/>
          <w:sz w:val="28"/>
          <w:szCs w:val="28"/>
        </w:rPr>
        <w:t xml:space="preserve">за незаконен трафик на наркотични вещества и контрабанда </w:t>
      </w:r>
      <w:r w:rsidRPr="006605D3">
        <w:rPr>
          <w:rFonts w:ascii="Times New Roman" w:hAnsi="Times New Roman"/>
          <w:color w:val="000000"/>
          <w:sz w:val="28"/>
          <w:szCs w:val="28"/>
        </w:rPr>
        <w:t xml:space="preserve">за отчетния период на 2021 г. с аналогичните периоди на предходните две години, </w:t>
      </w:r>
      <w:r w:rsidRPr="006605D3">
        <w:rPr>
          <w:rFonts w:ascii="Times New Roman" w:hAnsi="Times New Roman"/>
          <w:b/>
          <w:color w:val="000000"/>
          <w:sz w:val="28"/>
          <w:szCs w:val="28"/>
        </w:rPr>
        <w:t>показва ръст</w:t>
      </w:r>
      <w:r w:rsidRPr="006605D3">
        <w:rPr>
          <w:rFonts w:ascii="Times New Roman" w:hAnsi="Times New Roman"/>
          <w:color w:val="000000"/>
          <w:sz w:val="28"/>
          <w:szCs w:val="28"/>
        </w:rPr>
        <w:t xml:space="preserve"> на прокурорските актове, внесени в съда, броя обвинителни актове и лица по тях, а през отчетния период се наблюдава спад по отношение на новообразуваните дала и решените по същество. Въпреки колебанията в този показател е видно, че внесените дела в съда бележат устойчива тенденция на нарастване, което е индикация за задълбочаване на сътрудничеството между прокуратурата и разследващите органи по отношение на престъпленията, свързани с разпространението и ползването на наркотични вещества. Продължава да е налице ръст в броя на предадените на съд лица за този вид престъпления. През 2021г. са осъдени 500 лица, което е с над 10% повече от предходния отчетен период /83% осъдени с влязъл в сила съдебен акт, сравнение с 2020г., когато стойността на този показател е била 72%/. През 2021г. са внесени 22% от решените дела, като за 2020г. са били 18%, а през 2019г. – 13 %.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hAnsi="Times New Roman"/>
          <w:sz w:val="28"/>
          <w:szCs w:val="28"/>
        </w:rPr>
      </w:pPr>
      <w:r w:rsidRPr="006605D3">
        <w:rPr>
          <w:rFonts w:ascii="Times New Roman" w:hAnsi="Times New Roman"/>
          <w:color w:val="000000"/>
          <w:sz w:val="28"/>
          <w:szCs w:val="28"/>
        </w:rPr>
        <w:t xml:space="preserve">Решените досъдебни производства за 2021г. са </w:t>
      </w:r>
      <w:r w:rsidRPr="006605D3">
        <w:rPr>
          <w:rFonts w:ascii="Times New Roman" w:hAnsi="Times New Roman"/>
          <w:b/>
          <w:color w:val="000000"/>
          <w:sz w:val="28"/>
          <w:szCs w:val="28"/>
        </w:rPr>
        <w:t xml:space="preserve">2600 </w:t>
      </w:r>
      <w:r w:rsidRPr="006605D3">
        <w:rPr>
          <w:rFonts w:ascii="Times New Roman" w:hAnsi="Times New Roman"/>
          <w:b/>
          <w:sz w:val="28"/>
          <w:szCs w:val="28"/>
        </w:rPr>
        <w:t>броя</w:t>
      </w:r>
      <w:r w:rsidRPr="006605D3">
        <w:rPr>
          <w:rFonts w:ascii="Times New Roman" w:hAnsi="Times New Roman"/>
          <w:sz w:val="28"/>
          <w:szCs w:val="28"/>
        </w:rPr>
        <w:t>, за 2020 г. са 2693 броя, за 2019 г. са 3283 броя.</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hAnsi="Times New Roman"/>
          <w:color w:val="000000"/>
          <w:sz w:val="28"/>
          <w:szCs w:val="28"/>
        </w:rPr>
      </w:pPr>
      <w:r w:rsidRPr="006605D3">
        <w:rPr>
          <w:rFonts w:ascii="Times New Roman" w:hAnsi="Times New Roman"/>
          <w:color w:val="000000"/>
          <w:sz w:val="28"/>
          <w:szCs w:val="28"/>
        </w:rPr>
        <w:t xml:space="preserve">Процентно съотношение на решените спрямо наблюдаваните дела за за 2021г. е </w:t>
      </w:r>
      <w:r w:rsidRPr="006605D3">
        <w:rPr>
          <w:rFonts w:ascii="Times New Roman" w:hAnsi="Times New Roman"/>
          <w:b/>
          <w:color w:val="000000"/>
          <w:sz w:val="28"/>
          <w:szCs w:val="28"/>
        </w:rPr>
        <w:t>79,97 %,</w:t>
      </w:r>
      <w:r w:rsidRPr="006605D3">
        <w:rPr>
          <w:rFonts w:ascii="Times New Roman" w:hAnsi="Times New Roman"/>
          <w:color w:val="000000"/>
          <w:sz w:val="28"/>
          <w:szCs w:val="28"/>
        </w:rPr>
        <w:t xml:space="preserve"> като за 2020 г. е 75,60 %,а</w:t>
      </w:r>
      <w:r w:rsidRPr="006605D3">
        <w:rPr>
          <w:rFonts w:ascii="Times New Roman" w:hAnsi="Times New Roman"/>
          <w:b/>
          <w:color w:val="000000"/>
          <w:sz w:val="28"/>
          <w:szCs w:val="28"/>
        </w:rPr>
        <w:t xml:space="preserve"> </w:t>
      </w:r>
      <w:r w:rsidRPr="006605D3">
        <w:rPr>
          <w:rFonts w:ascii="Times New Roman" w:hAnsi="Times New Roman"/>
          <w:color w:val="000000"/>
          <w:sz w:val="28"/>
          <w:szCs w:val="28"/>
        </w:rPr>
        <w:t xml:space="preserve"> за </w:t>
      </w:r>
      <w:r w:rsidRPr="006605D3">
        <w:rPr>
          <w:rFonts w:ascii="Times New Roman" w:hAnsi="Times New Roman"/>
          <w:color w:val="000000"/>
          <w:sz w:val="28"/>
          <w:szCs w:val="28"/>
          <w:lang w:val="en-US"/>
        </w:rPr>
        <w:t xml:space="preserve">2019 </w:t>
      </w:r>
      <w:r w:rsidRPr="006605D3">
        <w:rPr>
          <w:rFonts w:ascii="Times New Roman" w:hAnsi="Times New Roman"/>
          <w:color w:val="000000"/>
          <w:sz w:val="28"/>
          <w:szCs w:val="28"/>
        </w:rPr>
        <w:t>г. е 77,14 %.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hAnsi="Times New Roman"/>
          <w:color w:val="000000"/>
          <w:sz w:val="28"/>
          <w:szCs w:val="28"/>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hAnsi="Times New Roman"/>
          <w:sz w:val="28"/>
          <w:szCs w:val="28"/>
        </w:rPr>
      </w:pPr>
      <w:r w:rsidRPr="006605D3">
        <w:rPr>
          <w:rFonts w:ascii="Times New Roman" w:hAnsi="Times New Roman"/>
          <w:color w:val="000000"/>
          <w:sz w:val="28"/>
          <w:szCs w:val="28"/>
        </w:rPr>
        <w:t xml:space="preserve">През този отчетен период се запазва почти идентичен броя на </w:t>
      </w:r>
      <w:r w:rsidRPr="006605D3">
        <w:rPr>
          <w:rFonts w:ascii="Times New Roman" w:eastAsia="Times New Roman" w:hAnsi="Times New Roman"/>
          <w:color w:val="000000"/>
          <w:sz w:val="28"/>
          <w:szCs w:val="20"/>
        </w:rPr>
        <w:t xml:space="preserve">наблюдаваните дела, имащи за предмет престъпления по </w:t>
      </w:r>
      <w:r w:rsidRPr="006605D3">
        <w:rPr>
          <w:rFonts w:ascii="Times New Roman" w:eastAsia="Times New Roman" w:hAnsi="Times New Roman"/>
          <w:b/>
          <w:sz w:val="28"/>
          <w:szCs w:val="20"/>
        </w:rPr>
        <w:t>Глава VІ, Раздел ІІІ от НК „Престъпления против митническия режим“.</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отчетния период прокурорите от Софийска градска прокуратура са наблюдавали </w:t>
      </w:r>
      <w:r w:rsidRPr="006605D3">
        <w:rPr>
          <w:rFonts w:ascii="Times New Roman" w:eastAsia="Times New Roman" w:hAnsi="Times New Roman"/>
          <w:b/>
          <w:sz w:val="28"/>
          <w:szCs w:val="20"/>
        </w:rPr>
        <w:t>65</w:t>
      </w:r>
      <w:r w:rsidRPr="006605D3">
        <w:rPr>
          <w:rFonts w:ascii="Times New Roman" w:eastAsia="Times New Roman" w:hAnsi="Times New Roman"/>
          <w:sz w:val="28"/>
          <w:szCs w:val="20"/>
        </w:rPr>
        <w:t xml:space="preserve">  досъдебни производства.  За сравнение с предходните две години - за 2020г. – 66 броя, а за</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201</w:t>
      </w:r>
      <w:r w:rsidRPr="006605D3">
        <w:rPr>
          <w:rFonts w:ascii="Times New Roman" w:eastAsia="Times New Roman" w:hAnsi="Times New Roman"/>
          <w:sz w:val="28"/>
          <w:szCs w:val="20"/>
          <w:lang w:val="en-US"/>
        </w:rPr>
        <w:t>9</w:t>
      </w:r>
      <w:r w:rsidRPr="006605D3">
        <w:rPr>
          <w:rFonts w:ascii="Times New Roman" w:eastAsia="Times New Roman" w:hAnsi="Times New Roman"/>
          <w:sz w:val="28"/>
          <w:szCs w:val="20"/>
        </w:rPr>
        <w:t xml:space="preserve"> г. наблюдаваните са били </w:t>
      </w:r>
      <w:r w:rsidRPr="006605D3">
        <w:rPr>
          <w:rFonts w:ascii="Times New Roman" w:eastAsia="Times New Roman" w:hAnsi="Times New Roman"/>
          <w:sz w:val="28"/>
          <w:szCs w:val="20"/>
          <w:lang w:val="en-US"/>
        </w:rPr>
        <w:t>73</w:t>
      </w:r>
      <w:r w:rsidRPr="006605D3">
        <w:rPr>
          <w:rFonts w:ascii="Times New Roman" w:eastAsia="Times New Roman" w:hAnsi="Times New Roman"/>
          <w:sz w:val="28"/>
          <w:szCs w:val="20"/>
        </w:rPr>
        <w:t xml:space="preserve">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Новообразуваните дела за 2021г. са </w:t>
      </w:r>
      <w:r w:rsidRPr="006605D3">
        <w:rPr>
          <w:rFonts w:ascii="Times New Roman" w:eastAsia="Times New Roman" w:hAnsi="Times New Roman"/>
          <w:b/>
          <w:sz w:val="28"/>
          <w:szCs w:val="20"/>
        </w:rPr>
        <w:t>27</w:t>
      </w:r>
      <w:r w:rsidRPr="006605D3">
        <w:rPr>
          <w:rFonts w:ascii="Times New Roman" w:eastAsia="Times New Roman" w:hAnsi="Times New Roman"/>
          <w:sz w:val="28"/>
          <w:szCs w:val="20"/>
        </w:rPr>
        <w:t xml:space="preserve"> броя, като през 2020 г. са били 32 броя; а за  2019 г. са били 28 броя.</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От общия брой наблюдавани дела, приключени са </w:t>
      </w:r>
      <w:r w:rsidRPr="006605D3">
        <w:rPr>
          <w:rFonts w:ascii="Times New Roman" w:eastAsia="Times New Roman" w:hAnsi="Times New Roman"/>
          <w:b/>
          <w:sz w:val="28"/>
          <w:szCs w:val="20"/>
        </w:rPr>
        <w:t>29</w:t>
      </w:r>
      <w:r w:rsidRPr="006605D3">
        <w:rPr>
          <w:rFonts w:ascii="Times New Roman" w:eastAsia="Times New Roman" w:hAnsi="Times New Roman"/>
          <w:sz w:val="28"/>
          <w:szCs w:val="20"/>
        </w:rPr>
        <w:t xml:space="preserve"> броя, решени от прокурор са </w:t>
      </w:r>
      <w:r w:rsidRPr="006605D3">
        <w:rPr>
          <w:rFonts w:ascii="Times New Roman" w:eastAsia="Times New Roman" w:hAnsi="Times New Roman"/>
          <w:b/>
          <w:sz w:val="28"/>
          <w:szCs w:val="20"/>
        </w:rPr>
        <w:t>35</w:t>
      </w:r>
      <w:r w:rsidRPr="006605D3">
        <w:rPr>
          <w:rFonts w:ascii="Times New Roman" w:eastAsia="Times New Roman" w:hAnsi="Times New Roman"/>
          <w:sz w:val="28"/>
          <w:szCs w:val="20"/>
        </w:rPr>
        <w:t>.</w:t>
      </w:r>
      <w:r w:rsidRPr="006605D3">
        <w:rPr>
          <w:rFonts w:ascii="Times New Roman" w:eastAsia="Times New Roman" w:hAnsi="Times New Roman"/>
          <w:sz w:val="28"/>
          <w:szCs w:val="28"/>
        </w:rPr>
        <w:t xml:space="preserve">Спрямо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лица има постановен влязъл в сила осъдителен съдебен акт. Общо наложените наказания са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от които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са </w:t>
      </w:r>
      <w:r w:rsidRPr="006605D3">
        <w:rPr>
          <w:rFonts w:ascii="Times New Roman" w:eastAsia="Times New Roman" w:hAnsi="Times New Roman"/>
          <w:sz w:val="28"/>
          <w:szCs w:val="20"/>
        </w:rPr>
        <w:t>„лишаване от свобода“ - ефективно</w:t>
      </w:r>
      <w:r w:rsidRPr="006605D3">
        <w:rPr>
          <w:rFonts w:ascii="Times New Roman" w:eastAsia="Times New Roman" w:hAnsi="Times New Roman"/>
          <w:sz w:val="28"/>
          <w:szCs w:val="28"/>
        </w:rPr>
        <w:t xml:space="preserve">. На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лице е наложено наказание „Глоба“ в размер на </w:t>
      </w:r>
      <w:r w:rsidRPr="006605D3">
        <w:rPr>
          <w:rFonts w:ascii="Times New Roman" w:eastAsia="Times New Roman" w:hAnsi="Times New Roman"/>
          <w:b/>
          <w:sz w:val="28"/>
          <w:szCs w:val="28"/>
        </w:rPr>
        <w:t>100 000 лв</w:t>
      </w:r>
      <w:r w:rsidRPr="006605D3">
        <w:rPr>
          <w:rFonts w:ascii="Times New Roman" w:eastAsia="Times New Roman" w:hAnsi="Times New Roman"/>
          <w:sz w:val="28"/>
          <w:szCs w:val="28"/>
        </w:rPr>
        <w:t xml:space="preserve">. Оправдани лица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Основно наблюдаваните досъдебни производства през 2021 г. са за престъпления по </w:t>
      </w:r>
      <w:r w:rsidRPr="006605D3">
        <w:rPr>
          <w:rFonts w:ascii="Times New Roman" w:eastAsia="Times New Roman" w:hAnsi="Times New Roman"/>
          <w:b/>
          <w:sz w:val="28"/>
          <w:szCs w:val="20"/>
        </w:rPr>
        <w:t>чл.242, ал.2 от НК</w:t>
      </w:r>
      <w:r w:rsidRPr="006605D3">
        <w:rPr>
          <w:rFonts w:ascii="Times New Roman" w:eastAsia="Times New Roman" w:hAnsi="Times New Roman"/>
          <w:sz w:val="28"/>
          <w:szCs w:val="20"/>
        </w:rPr>
        <w:t xml:space="preserve"> – общо </w:t>
      </w:r>
      <w:r w:rsidRPr="006605D3">
        <w:rPr>
          <w:rFonts w:ascii="Times New Roman" w:eastAsia="Times New Roman" w:hAnsi="Times New Roman"/>
          <w:b/>
          <w:sz w:val="28"/>
          <w:szCs w:val="20"/>
        </w:rPr>
        <w:t>61</w:t>
      </w:r>
      <w:r w:rsidRPr="006605D3">
        <w:rPr>
          <w:rFonts w:ascii="Times New Roman" w:eastAsia="Times New Roman" w:hAnsi="Times New Roman"/>
          <w:sz w:val="28"/>
          <w:szCs w:val="20"/>
        </w:rPr>
        <w:t xml:space="preserve"> броя. За сравнение през 2020г. също са били 61 броя, а през 2019 г. те са били </w:t>
      </w:r>
      <w:r w:rsidRPr="006605D3">
        <w:rPr>
          <w:rFonts w:ascii="Times New Roman" w:eastAsia="Times New Roman" w:hAnsi="Times New Roman"/>
          <w:bCs/>
          <w:sz w:val="28"/>
          <w:szCs w:val="20"/>
        </w:rPr>
        <w:t xml:space="preserve">66 </w:t>
      </w:r>
      <w:r w:rsidRPr="006605D3">
        <w:rPr>
          <w:rFonts w:ascii="Times New Roman" w:eastAsia="Times New Roman" w:hAnsi="Times New Roman"/>
          <w:sz w:val="28"/>
          <w:szCs w:val="20"/>
        </w:rPr>
        <w:t xml:space="preserve">броя. Новообразуваните досъдебни производства за отчетния период са </w:t>
      </w:r>
      <w:r w:rsidRPr="006605D3">
        <w:rPr>
          <w:rFonts w:ascii="Times New Roman" w:eastAsia="Times New Roman" w:hAnsi="Times New Roman"/>
          <w:b/>
          <w:sz w:val="28"/>
          <w:szCs w:val="20"/>
        </w:rPr>
        <w:t>26</w:t>
      </w:r>
      <w:r w:rsidRPr="006605D3">
        <w:rPr>
          <w:rFonts w:ascii="Times New Roman" w:eastAsia="Times New Roman" w:hAnsi="Times New Roman"/>
          <w:sz w:val="28"/>
          <w:szCs w:val="20"/>
        </w:rPr>
        <w:t xml:space="preserve"> броя, като през 2020г. са били 31 броя, а за 2019 г. - 26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От наблюдаваните </w:t>
      </w:r>
      <w:r w:rsidRPr="006605D3">
        <w:rPr>
          <w:rFonts w:ascii="Times New Roman" w:eastAsia="Times New Roman" w:hAnsi="Times New Roman"/>
          <w:b/>
          <w:sz w:val="28"/>
          <w:szCs w:val="20"/>
        </w:rPr>
        <w:t>61</w:t>
      </w:r>
      <w:r w:rsidRPr="006605D3">
        <w:rPr>
          <w:rFonts w:ascii="Times New Roman" w:eastAsia="Times New Roman" w:hAnsi="Times New Roman"/>
          <w:sz w:val="28"/>
          <w:szCs w:val="20"/>
        </w:rPr>
        <w:t xml:space="preserve"> досъдебни производства за престъпления по </w:t>
      </w:r>
      <w:r w:rsidRPr="006605D3">
        <w:rPr>
          <w:rFonts w:ascii="Times New Roman" w:eastAsia="Times New Roman" w:hAnsi="Times New Roman"/>
          <w:b/>
          <w:sz w:val="28"/>
          <w:szCs w:val="20"/>
        </w:rPr>
        <w:t>чл.242, ал.2 от НК, 28</w:t>
      </w:r>
      <w:r w:rsidRPr="006605D3">
        <w:rPr>
          <w:rFonts w:ascii="Times New Roman" w:eastAsia="Times New Roman" w:hAnsi="Times New Roman"/>
          <w:sz w:val="28"/>
          <w:szCs w:val="20"/>
        </w:rPr>
        <w:t xml:space="preserve"> са приключени; решени от прокурор са </w:t>
      </w:r>
      <w:r w:rsidRPr="006605D3">
        <w:rPr>
          <w:rFonts w:ascii="Times New Roman" w:eastAsia="Times New Roman" w:hAnsi="Times New Roman"/>
          <w:b/>
          <w:sz w:val="28"/>
          <w:szCs w:val="20"/>
        </w:rPr>
        <w:t>34</w:t>
      </w:r>
      <w:r w:rsidRPr="006605D3">
        <w:rPr>
          <w:rFonts w:ascii="Times New Roman" w:eastAsia="Times New Roman" w:hAnsi="Times New Roman"/>
          <w:sz w:val="28"/>
          <w:szCs w:val="20"/>
        </w:rPr>
        <w:t xml:space="preserve">, като </w:t>
      </w:r>
      <w:r w:rsidRPr="006605D3">
        <w:rPr>
          <w:rFonts w:ascii="Times New Roman" w:eastAsia="Times New Roman" w:hAnsi="Times New Roman"/>
          <w:b/>
          <w:sz w:val="28"/>
          <w:szCs w:val="20"/>
        </w:rPr>
        <w:t>23</w:t>
      </w:r>
      <w:r w:rsidRPr="006605D3">
        <w:rPr>
          <w:rFonts w:ascii="Times New Roman" w:eastAsia="Times New Roman" w:hAnsi="Times New Roman"/>
          <w:sz w:val="28"/>
          <w:szCs w:val="20"/>
        </w:rPr>
        <w:t xml:space="preserve"> са спрени, а </w:t>
      </w:r>
      <w:r w:rsidRPr="006605D3">
        <w:rPr>
          <w:rFonts w:ascii="Times New Roman" w:eastAsia="Times New Roman" w:hAnsi="Times New Roman"/>
          <w:b/>
          <w:sz w:val="28"/>
          <w:szCs w:val="20"/>
        </w:rPr>
        <w:t>9</w:t>
      </w:r>
      <w:r w:rsidRPr="006605D3">
        <w:rPr>
          <w:rFonts w:ascii="Times New Roman" w:eastAsia="Times New Roman" w:hAnsi="Times New Roman"/>
          <w:sz w:val="28"/>
          <w:szCs w:val="20"/>
        </w:rPr>
        <w:t xml:space="preserve"> са прекратени. </w:t>
      </w:r>
      <w:r w:rsidRPr="006605D3">
        <w:rPr>
          <w:rFonts w:ascii="Times New Roman" w:eastAsia="Times New Roman" w:hAnsi="Times New Roman"/>
          <w:b/>
          <w:sz w:val="28"/>
          <w:szCs w:val="20"/>
        </w:rPr>
        <w:t>Няма</w:t>
      </w:r>
      <w:r w:rsidRPr="006605D3">
        <w:rPr>
          <w:rFonts w:ascii="Times New Roman" w:eastAsia="Times New Roman" w:hAnsi="Times New Roman"/>
          <w:sz w:val="28"/>
          <w:szCs w:val="20"/>
        </w:rPr>
        <w:t xml:space="preserve"> дело, върнато от съда за доразследване. За този отчетен период е наложено </w:t>
      </w:r>
      <w:r w:rsidRPr="006605D3">
        <w:rPr>
          <w:rFonts w:ascii="Times New Roman" w:eastAsia="Times New Roman" w:hAnsi="Times New Roman"/>
          <w:b/>
          <w:sz w:val="28"/>
          <w:szCs w:val="20"/>
        </w:rPr>
        <w:t>едно</w:t>
      </w:r>
      <w:r w:rsidRPr="006605D3">
        <w:rPr>
          <w:rFonts w:ascii="Times New Roman" w:eastAsia="Times New Roman" w:hAnsi="Times New Roman"/>
          <w:sz w:val="28"/>
          <w:szCs w:val="20"/>
        </w:rPr>
        <w:t xml:space="preserve"> наказание – „Глоба“ в размер на 100 000 лв. и </w:t>
      </w:r>
      <w:r w:rsidRPr="006605D3">
        <w:rPr>
          <w:rFonts w:ascii="Times New Roman" w:eastAsia="Times New Roman" w:hAnsi="Times New Roman"/>
          <w:b/>
          <w:sz w:val="28"/>
          <w:szCs w:val="20"/>
        </w:rPr>
        <w:t>3</w:t>
      </w:r>
      <w:r w:rsidRPr="006605D3">
        <w:rPr>
          <w:rFonts w:ascii="Times New Roman" w:eastAsia="Times New Roman" w:hAnsi="Times New Roman"/>
          <w:sz w:val="28"/>
          <w:szCs w:val="20"/>
        </w:rPr>
        <w:t xml:space="preserve"> броя „лишаване от свобода“- ефективно.</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отчетния период са наблюдавани </w:t>
      </w:r>
      <w:r w:rsidRPr="006605D3">
        <w:rPr>
          <w:rFonts w:ascii="Times New Roman" w:eastAsia="Times New Roman" w:hAnsi="Times New Roman"/>
          <w:b/>
          <w:sz w:val="28"/>
          <w:szCs w:val="20"/>
        </w:rPr>
        <w:t>3</w:t>
      </w:r>
      <w:r w:rsidRPr="006605D3">
        <w:rPr>
          <w:rFonts w:ascii="Times New Roman" w:eastAsia="Times New Roman" w:hAnsi="Times New Roman"/>
          <w:sz w:val="28"/>
          <w:szCs w:val="20"/>
        </w:rPr>
        <w:t xml:space="preserve"> досъдебни производства, образувани за престъпление по </w:t>
      </w:r>
      <w:r w:rsidRPr="006605D3">
        <w:rPr>
          <w:rFonts w:ascii="Times New Roman" w:eastAsia="Times New Roman" w:hAnsi="Times New Roman"/>
          <w:b/>
          <w:sz w:val="28"/>
          <w:szCs w:val="20"/>
        </w:rPr>
        <w:t>чл.242, ал.3 от НК</w:t>
      </w:r>
      <w:r w:rsidRPr="006605D3">
        <w:rPr>
          <w:rFonts w:ascii="Times New Roman" w:eastAsia="Times New Roman" w:hAnsi="Times New Roman"/>
          <w:sz w:val="28"/>
          <w:szCs w:val="20"/>
        </w:rPr>
        <w:t xml:space="preserve">, като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е новообразувано.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дело е приключило, като е постановено спиране, а по отношение на </w:t>
      </w:r>
      <w:r w:rsidRPr="006605D3">
        <w:rPr>
          <w:rFonts w:ascii="Times New Roman" w:eastAsia="Times New Roman" w:hAnsi="Times New Roman"/>
          <w:b/>
          <w:sz w:val="28"/>
          <w:szCs w:val="20"/>
        </w:rPr>
        <w:t>2</w:t>
      </w:r>
      <w:r w:rsidRPr="006605D3">
        <w:rPr>
          <w:rFonts w:ascii="Times New Roman" w:eastAsia="Times New Roman" w:hAnsi="Times New Roman"/>
          <w:sz w:val="28"/>
          <w:szCs w:val="20"/>
        </w:rPr>
        <w:t xml:space="preserve"> производства, същите са неприключили.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дело е решено от прокурор за отчетния период.</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За престъпление по </w:t>
      </w:r>
      <w:r w:rsidRPr="006605D3">
        <w:rPr>
          <w:rFonts w:ascii="Times New Roman" w:eastAsia="Times New Roman" w:hAnsi="Times New Roman"/>
          <w:b/>
          <w:sz w:val="28"/>
          <w:szCs w:val="20"/>
        </w:rPr>
        <w:t>чл.242, ал.4 от НК</w:t>
      </w:r>
      <w:r w:rsidRPr="006605D3">
        <w:rPr>
          <w:rFonts w:ascii="Times New Roman" w:eastAsia="Times New Roman" w:hAnsi="Times New Roman"/>
          <w:sz w:val="28"/>
          <w:szCs w:val="20"/>
        </w:rPr>
        <w:t xml:space="preserve"> е наблюдавано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досъдебно производство, като същото е неприключило.</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За престъпление по чл.242, ал.9 от НК през 2021г., също както и при предходния отчетен период, няма наблюдавани или  новообразувани дела.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lang w:val="en-US"/>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Анализът на статистическите данни сочи намаляване на общия брой на наблюдаваните дела, имащи за предмет </w:t>
      </w:r>
      <w:r w:rsidRPr="006605D3">
        <w:rPr>
          <w:rFonts w:ascii="Times New Roman" w:eastAsia="Times New Roman" w:hAnsi="Times New Roman"/>
          <w:b/>
          <w:sz w:val="28"/>
          <w:szCs w:val="20"/>
        </w:rPr>
        <w:t>престъпления свързани с наркотични вещества и прекурсори по Глава ХІ, Раздел ІІІ от НК.</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отчетния период в Софийска градска прокуратура и Софийска районна прокуратура са наблюдавани общо </w:t>
      </w:r>
      <w:r w:rsidRPr="006605D3">
        <w:rPr>
          <w:rFonts w:ascii="Times New Roman" w:eastAsia="Times New Roman" w:hAnsi="Times New Roman"/>
          <w:b/>
          <w:sz w:val="28"/>
          <w:szCs w:val="20"/>
        </w:rPr>
        <w:t>3186</w:t>
      </w:r>
      <w:r w:rsidRPr="006605D3">
        <w:rPr>
          <w:rFonts w:ascii="Times New Roman" w:eastAsia="Times New Roman" w:hAnsi="Times New Roman"/>
          <w:sz w:val="28"/>
          <w:szCs w:val="20"/>
        </w:rPr>
        <w:t xml:space="preserve"> досъдебни производства, </w:t>
      </w:r>
      <w:r w:rsidRPr="006605D3">
        <w:rPr>
          <w:rFonts w:ascii="Times New Roman" w:eastAsia="Times New Roman" w:hAnsi="Times New Roman"/>
          <w:sz w:val="28"/>
          <w:szCs w:val="20"/>
        </w:rPr>
        <w:lastRenderedPageBreak/>
        <w:t xml:space="preserve">от които </w:t>
      </w:r>
      <w:r w:rsidRPr="006605D3">
        <w:rPr>
          <w:rFonts w:ascii="Times New Roman" w:eastAsia="Times New Roman" w:hAnsi="Times New Roman"/>
          <w:b/>
          <w:bCs/>
          <w:sz w:val="28"/>
          <w:szCs w:val="20"/>
        </w:rPr>
        <w:t>2212</w:t>
      </w:r>
      <w:r w:rsidRPr="006605D3">
        <w:rPr>
          <w:rFonts w:ascii="Times New Roman" w:eastAsia="Times New Roman" w:hAnsi="Times New Roman"/>
          <w:sz w:val="28"/>
          <w:szCs w:val="20"/>
        </w:rPr>
        <w:t xml:space="preserve"> са новообразувани. За сравнение с предходни години - за 2020г. са били на 3496 досъдебни производства, от които 2462 броя са били новообразувани, а през 2019 г. наблюдаваните са били 4183</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 xml:space="preserve">броя, от които новообразувани са 3247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r w:rsidRPr="006605D3">
        <w:rPr>
          <w:rFonts w:ascii="Times New Roman" w:eastAsia="Times New Roman" w:hAnsi="Times New Roman"/>
          <w:color w:val="000000"/>
          <w:sz w:val="28"/>
          <w:szCs w:val="20"/>
        </w:rPr>
        <w:t>В сравнение с 2020г. и 2019 г.  се наблюдава спад в наблюдаваните досъдебни производства по глава ХІ, Раздел ІІІ от НК от  311 броя, а спрямо 2019 г.- 687</w:t>
      </w:r>
      <w:r w:rsidRPr="006605D3">
        <w:rPr>
          <w:rFonts w:ascii="Times New Roman" w:eastAsia="Times New Roman" w:hAnsi="Times New Roman"/>
          <w:b/>
          <w:color w:val="000000"/>
          <w:sz w:val="28"/>
          <w:szCs w:val="20"/>
        </w:rPr>
        <w:t xml:space="preserve"> </w:t>
      </w:r>
      <w:r w:rsidRPr="006605D3">
        <w:rPr>
          <w:rFonts w:ascii="Times New Roman" w:eastAsia="Times New Roman" w:hAnsi="Times New Roman"/>
          <w:color w:val="000000"/>
          <w:sz w:val="28"/>
          <w:szCs w:val="20"/>
        </w:rPr>
        <w:t>броя. Налице е и тенденция към спад на общия брой новообразувани дела по този показател, като за 2020г. 2462 броя, а за 2019г. са образувани 3277 броя дела, или съответно с 250 броя и  815 броя по-малко новообразувани дела, в сравнение с предходните години.</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0"/>
        </w:rPr>
      </w:pPr>
      <w:r w:rsidRPr="006605D3">
        <w:rPr>
          <w:rFonts w:ascii="Times New Roman" w:eastAsia="Times New Roman" w:hAnsi="Times New Roman"/>
          <w:color w:val="000000"/>
          <w:sz w:val="28"/>
          <w:szCs w:val="20"/>
        </w:rPr>
        <w:t xml:space="preserve">Основно наблюдаваните досъдебни производства през 2021 г. са </w:t>
      </w:r>
      <w:r w:rsidRPr="006605D3">
        <w:rPr>
          <w:rFonts w:ascii="Times New Roman" w:eastAsia="Times New Roman" w:hAnsi="Times New Roman"/>
          <w:sz w:val="28"/>
          <w:szCs w:val="20"/>
        </w:rPr>
        <w:t xml:space="preserve">за престъпления по </w:t>
      </w:r>
      <w:r w:rsidRPr="006605D3">
        <w:rPr>
          <w:rFonts w:ascii="Times New Roman" w:eastAsia="Times New Roman" w:hAnsi="Times New Roman"/>
          <w:b/>
          <w:sz w:val="28"/>
          <w:szCs w:val="20"/>
        </w:rPr>
        <w:t>чл.354а от НК</w:t>
      </w:r>
      <w:r w:rsidRPr="006605D3">
        <w:rPr>
          <w:rFonts w:ascii="Times New Roman" w:eastAsia="Times New Roman" w:hAnsi="Times New Roman"/>
          <w:sz w:val="28"/>
          <w:szCs w:val="20"/>
        </w:rPr>
        <w:t xml:space="preserve"> – общо </w:t>
      </w:r>
      <w:r w:rsidRPr="006605D3">
        <w:rPr>
          <w:rFonts w:ascii="Times New Roman" w:eastAsia="Times New Roman" w:hAnsi="Times New Roman"/>
          <w:b/>
          <w:sz w:val="28"/>
          <w:szCs w:val="20"/>
        </w:rPr>
        <w:t>3164 броя</w:t>
      </w:r>
      <w:r w:rsidRPr="006605D3">
        <w:rPr>
          <w:rFonts w:ascii="Times New Roman" w:eastAsia="Times New Roman" w:hAnsi="Times New Roman"/>
          <w:sz w:val="28"/>
          <w:szCs w:val="20"/>
        </w:rPr>
        <w:t>, през 2020г. - 3484 броя, а през 2019 г. са били 4168 броя.</w:t>
      </w:r>
      <w:r w:rsidRPr="006605D3">
        <w:rPr>
          <w:rFonts w:ascii="Times New Roman" w:eastAsia="Times New Roman" w:hAnsi="Times New Roman"/>
          <w:b/>
          <w:sz w:val="28"/>
          <w:szCs w:val="20"/>
        </w:rPr>
        <w:t xml:space="preserve">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bCs/>
          <w:sz w:val="28"/>
          <w:szCs w:val="20"/>
          <w:lang w:val="en-US"/>
        </w:rPr>
      </w:pPr>
      <w:r w:rsidRPr="006605D3">
        <w:rPr>
          <w:rFonts w:ascii="Times New Roman" w:eastAsia="Times New Roman" w:hAnsi="Times New Roman"/>
          <w:sz w:val="28"/>
          <w:szCs w:val="20"/>
        </w:rPr>
        <w:t xml:space="preserve">Новообразуваните дела за отчетния период са </w:t>
      </w:r>
      <w:r w:rsidRPr="006605D3">
        <w:rPr>
          <w:rFonts w:ascii="Times New Roman" w:eastAsia="Times New Roman" w:hAnsi="Times New Roman"/>
          <w:b/>
          <w:sz w:val="28"/>
          <w:szCs w:val="20"/>
        </w:rPr>
        <w:t>2199</w:t>
      </w:r>
      <w:r w:rsidRPr="006605D3">
        <w:rPr>
          <w:rFonts w:ascii="Times New Roman" w:eastAsia="Times New Roman" w:hAnsi="Times New Roman"/>
          <w:sz w:val="28"/>
          <w:szCs w:val="20"/>
        </w:rPr>
        <w:t xml:space="preserve"> броя, като са предходния отчетен период са били  2452 броя, а през 2019 г. са били 3267 броя.</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Cs/>
          <w:sz w:val="28"/>
          <w:szCs w:val="20"/>
        </w:rPr>
        <w:t xml:space="preserve">През 2021 г. са приключени </w:t>
      </w:r>
      <w:r w:rsidRPr="006605D3">
        <w:rPr>
          <w:rFonts w:ascii="Times New Roman" w:eastAsia="Times New Roman" w:hAnsi="Times New Roman"/>
          <w:b/>
          <w:bCs/>
          <w:sz w:val="28"/>
          <w:szCs w:val="20"/>
        </w:rPr>
        <w:t xml:space="preserve">2438 </w:t>
      </w:r>
      <w:r w:rsidRPr="006605D3">
        <w:rPr>
          <w:rFonts w:ascii="Times New Roman" w:eastAsia="Times New Roman" w:hAnsi="Times New Roman"/>
          <w:bCs/>
          <w:sz w:val="28"/>
          <w:szCs w:val="20"/>
        </w:rPr>
        <w:t xml:space="preserve">броя дела за престъпление по               чл. 354а  от НК, а неприключените за 2020 г. са </w:t>
      </w:r>
      <w:r w:rsidRPr="006605D3">
        <w:rPr>
          <w:rFonts w:ascii="Times New Roman" w:eastAsia="Times New Roman" w:hAnsi="Times New Roman"/>
          <w:b/>
          <w:bCs/>
          <w:sz w:val="28"/>
          <w:szCs w:val="20"/>
        </w:rPr>
        <w:t>540 броя</w:t>
      </w:r>
      <w:r w:rsidRPr="006605D3">
        <w:rPr>
          <w:rFonts w:ascii="Times New Roman" w:eastAsia="Times New Roman" w:hAnsi="Times New Roman"/>
          <w:bCs/>
          <w:sz w:val="28"/>
          <w:szCs w:val="20"/>
        </w:rPr>
        <w:t xml:space="preserve">. Решени от прокурор са </w:t>
      </w:r>
      <w:r w:rsidRPr="006605D3">
        <w:rPr>
          <w:rFonts w:ascii="Times New Roman" w:eastAsia="Times New Roman" w:hAnsi="Times New Roman"/>
          <w:b/>
          <w:bCs/>
          <w:sz w:val="28"/>
          <w:szCs w:val="20"/>
        </w:rPr>
        <w:t>2553</w:t>
      </w:r>
      <w:r w:rsidRPr="006605D3">
        <w:rPr>
          <w:rFonts w:ascii="Times New Roman" w:eastAsia="Times New Roman" w:hAnsi="Times New Roman"/>
          <w:bCs/>
          <w:sz w:val="28"/>
          <w:szCs w:val="20"/>
        </w:rPr>
        <w:t xml:space="preserve"> броя, като </w:t>
      </w:r>
      <w:r w:rsidRPr="006605D3">
        <w:rPr>
          <w:rFonts w:ascii="Times New Roman" w:eastAsia="Times New Roman" w:hAnsi="Times New Roman"/>
          <w:b/>
          <w:bCs/>
          <w:sz w:val="28"/>
          <w:szCs w:val="20"/>
        </w:rPr>
        <w:t>93</w:t>
      </w:r>
      <w:r w:rsidRPr="006605D3">
        <w:rPr>
          <w:rFonts w:ascii="Times New Roman" w:eastAsia="Times New Roman" w:hAnsi="Times New Roman"/>
          <w:bCs/>
          <w:sz w:val="28"/>
          <w:szCs w:val="20"/>
        </w:rPr>
        <w:t xml:space="preserve"> са спрени, а </w:t>
      </w:r>
      <w:r w:rsidRPr="006605D3">
        <w:rPr>
          <w:rFonts w:ascii="Times New Roman" w:eastAsia="Times New Roman" w:hAnsi="Times New Roman"/>
          <w:b/>
          <w:bCs/>
          <w:sz w:val="28"/>
          <w:szCs w:val="20"/>
        </w:rPr>
        <w:t>1815</w:t>
      </w:r>
      <w:r w:rsidRPr="006605D3">
        <w:rPr>
          <w:rFonts w:ascii="Times New Roman" w:eastAsia="Times New Roman" w:hAnsi="Times New Roman"/>
          <w:bCs/>
          <w:sz w:val="28"/>
          <w:szCs w:val="20"/>
        </w:rPr>
        <w:t xml:space="preserve"> са прекратени. В съда са внесени </w:t>
      </w:r>
      <w:r w:rsidRPr="006605D3">
        <w:rPr>
          <w:rFonts w:ascii="Times New Roman" w:eastAsia="Times New Roman" w:hAnsi="Times New Roman"/>
          <w:b/>
          <w:bCs/>
          <w:sz w:val="28"/>
          <w:szCs w:val="20"/>
        </w:rPr>
        <w:t>562</w:t>
      </w:r>
      <w:r w:rsidRPr="006605D3">
        <w:rPr>
          <w:rFonts w:ascii="Times New Roman" w:eastAsia="Times New Roman" w:hAnsi="Times New Roman"/>
          <w:bCs/>
          <w:sz w:val="28"/>
          <w:szCs w:val="20"/>
        </w:rPr>
        <w:t xml:space="preserve"> прокурорски акта, от които </w:t>
      </w:r>
      <w:r w:rsidRPr="006605D3">
        <w:rPr>
          <w:rFonts w:ascii="Times New Roman" w:eastAsia="Times New Roman" w:hAnsi="Times New Roman"/>
          <w:b/>
          <w:bCs/>
          <w:sz w:val="28"/>
          <w:szCs w:val="20"/>
        </w:rPr>
        <w:t>348</w:t>
      </w:r>
      <w:r w:rsidRPr="006605D3">
        <w:rPr>
          <w:rFonts w:ascii="Times New Roman" w:eastAsia="Times New Roman" w:hAnsi="Times New Roman"/>
          <w:bCs/>
          <w:sz w:val="28"/>
          <w:szCs w:val="20"/>
        </w:rPr>
        <w:t xml:space="preserve"> обвинителни акта  /срещу </w:t>
      </w:r>
      <w:r w:rsidRPr="006605D3">
        <w:rPr>
          <w:rFonts w:ascii="Times New Roman" w:eastAsia="Times New Roman" w:hAnsi="Times New Roman"/>
          <w:b/>
          <w:bCs/>
          <w:sz w:val="28"/>
          <w:szCs w:val="20"/>
        </w:rPr>
        <w:t>372</w:t>
      </w:r>
      <w:r w:rsidRPr="006605D3">
        <w:rPr>
          <w:rFonts w:ascii="Times New Roman" w:eastAsia="Times New Roman" w:hAnsi="Times New Roman"/>
          <w:bCs/>
          <w:sz w:val="28"/>
          <w:szCs w:val="20"/>
        </w:rPr>
        <w:t xml:space="preserve"> лица/, </w:t>
      </w:r>
      <w:r w:rsidRPr="006605D3">
        <w:rPr>
          <w:rFonts w:ascii="Times New Roman" w:eastAsia="Times New Roman" w:hAnsi="Times New Roman"/>
          <w:b/>
          <w:bCs/>
          <w:sz w:val="28"/>
          <w:szCs w:val="20"/>
        </w:rPr>
        <w:t xml:space="preserve">145 </w:t>
      </w:r>
      <w:r w:rsidRPr="006605D3">
        <w:rPr>
          <w:rFonts w:ascii="Times New Roman" w:eastAsia="Times New Roman" w:hAnsi="Times New Roman"/>
          <w:bCs/>
          <w:sz w:val="28"/>
          <w:szCs w:val="20"/>
        </w:rPr>
        <w:t xml:space="preserve">споразумения /за </w:t>
      </w:r>
      <w:r w:rsidRPr="006605D3">
        <w:rPr>
          <w:rFonts w:ascii="Times New Roman" w:eastAsia="Times New Roman" w:hAnsi="Times New Roman"/>
          <w:b/>
          <w:bCs/>
          <w:sz w:val="28"/>
          <w:szCs w:val="20"/>
        </w:rPr>
        <w:t>145</w:t>
      </w:r>
      <w:r w:rsidRPr="006605D3">
        <w:rPr>
          <w:rFonts w:ascii="Times New Roman" w:eastAsia="Times New Roman" w:hAnsi="Times New Roman"/>
          <w:bCs/>
          <w:sz w:val="28"/>
          <w:szCs w:val="20"/>
        </w:rPr>
        <w:t xml:space="preserve"> лица/ и по чл. 78а НК- </w:t>
      </w:r>
      <w:r w:rsidRPr="006605D3">
        <w:rPr>
          <w:rFonts w:ascii="Times New Roman" w:eastAsia="Times New Roman" w:hAnsi="Times New Roman"/>
          <w:b/>
          <w:bCs/>
          <w:sz w:val="28"/>
          <w:szCs w:val="20"/>
        </w:rPr>
        <w:t>80</w:t>
      </w:r>
      <w:r w:rsidRPr="006605D3">
        <w:rPr>
          <w:rFonts w:ascii="Times New Roman" w:eastAsia="Times New Roman" w:hAnsi="Times New Roman"/>
          <w:bCs/>
          <w:sz w:val="28"/>
          <w:szCs w:val="20"/>
        </w:rPr>
        <w:t xml:space="preserve"> акта за </w:t>
      </w:r>
      <w:r w:rsidRPr="006605D3">
        <w:rPr>
          <w:rFonts w:ascii="Times New Roman" w:eastAsia="Times New Roman" w:hAnsi="Times New Roman"/>
          <w:b/>
          <w:bCs/>
          <w:sz w:val="28"/>
          <w:szCs w:val="20"/>
        </w:rPr>
        <w:t>80</w:t>
      </w:r>
      <w:r w:rsidRPr="006605D3">
        <w:rPr>
          <w:rFonts w:ascii="Times New Roman" w:eastAsia="Times New Roman" w:hAnsi="Times New Roman"/>
          <w:bCs/>
          <w:sz w:val="28"/>
          <w:szCs w:val="20"/>
        </w:rPr>
        <w:t xml:space="preserve"> лица. Делата върнати от съда за доразследване са </w:t>
      </w:r>
      <w:r w:rsidRPr="006605D3">
        <w:rPr>
          <w:rFonts w:ascii="Times New Roman" w:eastAsia="Times New Roman" w:hAnsi="Times New Roman"/>
          <w:b/>
          <w:bCs/>
          <w:sz w:val="28"/>
          <w:szCs w:val="20"/>
        </w:rPr>
        <w:t>30</w:t>
      </w:r>
      <w:r w:rsidRPr="006605D3">
        <w:rPr>
          <w:rFonts w:ascii="Times New Roman" w:eastAsia="Times New Roman" w:hAnsi="Times New Roman"/>
          <w:bCs/>
          <w:sz w:val="28"/>
          <w:szCs w:val="20"/>
        </w:rPr>
        <w:t xml:space="preserve">. Осъдени и санкционирани са </w:t>
      </w:r>
      <w:r w:rsidRPr="006605D3">
        <w:rPr>
          <w:rFonts w:ascii="Times New Roman" w:eastAsia="Times New Roman" w:hAnsi="Times New Roman"/>
          <w:b/>
          <w:bCs/>
          <w:sz w:val="28"/>
          <w:szCs w:val="20"/>
        </w:rPr>
        <w:t xml:space="preserve">494 </w:t>
      </w:r>
      <w:r w:rsidRPr="006605D3">
        <w:rPr>
          <w:rFonts w:ascii="Times New Roman" w:eastAsia="Times New Roman" w:hAnsi="Times New Roman"/>
          <w:bCs/>
          <w:sz w:val="28"/>
          <w:szCs w:val="20"/>
        </w:rPr>
        <w:t xml:space="preserve">лица. Наложени са </w:t>
      </w:r>
      <w:r w:rsidRPr="006605D3">
        <w:rPr>
          <w:rFonts w:ascii="Times New Roman" w:eastAsia="Times New Roman" w:hAnsi="Times New Roman"/>
          <w:b/>
          <w:bCs/>
          <w:sz w:val="28"/>
          <w:szCs w:val="20"/>
        </w:rPr>
        <w:t xml:space="preserve">111 </w:t>
      </w:r>
      <w:r w:rsidRPr="006605D3">
        <w:rPr>
          <w:rFonts w:ascii="Times New Roman" w:eastAsia="Times New Roman" w:hAnsi="Times New Roman"/>
          <w:bCs/>
          <w:sz w:val="28"/>
          <w:szCs w:val="20"/>
        </w:rPr>
        <w:t xml:space="preserve">наказания </w:t>
      </w:r>
      <w:r w:rsidRPr="006605D3">
        <w:rPr>
          <w:rFonts w:ascii="Times New Roman" w:eastAsia="Times New Roman" w:hAnsi="Times New Roman"/>
          <w:sz w:val="28"/>
          <w:szCs w:val="20"/>
        </w:rPr>
        <w:t>„ефективно лишаване от свобода“</w:t>
      </w:r>
      <w:r w:rsidRPr="006605D3">
        <w:rPr>
          <w:rFonts w:ascii="Times New Roman" w:eastAsia="Times New Roman" w:hAnsi="Times New Roman"/>
          <w:bCs/>
          <w:sz w:val="28"/>
          <w:szCs w:val="20"/>
        </w:rPr>
        <w:t xml:space="preserve">, </w:t>
      </w:r>
      <w:r w:rsidRPr="006605D3">
        <w:rPr>
          <w:rFonts w:ascii="Times New Roman" w:eastAsia="Times New Roman" w:hAnsi="Times New Roman"/>
          <w:b/>
          <w:bCs/>
          <w:sz w:val="28"/>
          <w:szCs w:val="20"/>
        </w:rPr>
        <w:t>264</w:t>
      </w:r>
      <w:r w:rsidRPr="006605D3">
        <w:rPr>
          <w:rFonts w:ascii="Times New Roman" w:eastAsia="Times New Roman" w:hAnsi="Times New Roman"/>
          <w:bCs/>
          <w:sz w:val="28"/>
          <w:szCs w:val="20"/>
        </w:rPr>
        <w:t xml:space="preserve"> „лишаване от свобода“ условно, </w:t>
      </w:r>
      <w:r w:rsidRPr="006605D3">
        <w:rPr>
          <w:rFonts w:ascii="Times New Roman" w:eastAsia="Times New Roman" w:hAnsi="Times New Roman"/>
          <w:b/>
          <w:bCs/>
          <w:sz w:val="28"/>
          <w:szCs w:val="20"/>
        </w:rPr>
        <w:t xml:space="preserve">8 </w:t>
      </w:r>
      <w:r w:rsidRPr="006605D3">
        <w:rPr>
          <w:rFonts w:ascii="Times New Roman" w:eastAsia="Times New Roman" w:hAnsi="Times New Roman"/>
          <w:bCs/>
          <w:sz w:val="28"/>
          <w:szCs w:val="20"/>
        </w:rPr>
        <w:t xml:space="preserve">„пробация“ и </w:t>
      </w:r>
      <w:r w:rsidRPr="006605D3">
        <w:rPr>
          <w:rFonts w:ascii="Times New Roman" w:eastAsia="Times New Roman" w:hAnsi="Times New Roman"/>
          <w:b/>
          <w:bCs/>
          <w:sz w:val="28"/>
          <w:szCs w:val="20"/>
        </w:rPr>
        <w:t>203</w:t>
      </w:r>
      <w:r w:rsidRPr="006605D3">
        <w:rPr>
          <w:rFonts w:ascii="Times New Roman" w:eastAsia="Times New Roman" w:hAnsi="Times New Roman"/>
          <w:bCs/>
          <w:sz w:val="28"/>
          <w:szCs w:val="20"/>
        </w:rPr>
        <w:t xml:space="preserve"> „глоба“. Размерът на сумата от наложените глоби е </w:t>
      </w:r>
      <w:r w:rsidRPr="006605D3">
        <w:rPr>
          <w:rFonts w:ascii="Times New Roman" w:eastAsia="Times New Roman" w:hAnsi="Times New Roman"/>
          <w:b/>
          <w:bCs/>
          <w:sz w:val="28"/>
          <w:szCs w:val="20"/>
        </w:rPr>
        <w:t>536 100</w:t>
      </w:r>
      <w:r w:rsidRPr="006605D3">
        <w:rPr>
          <w:rFonts w:ascii="Times New Roman" w:eastAsia="Times New Roman" w:hAnsi="Times New Roman"/>
          <w:bCs/>
          <w:sz w:val="28"/>
          <w:szCs w:val="20"/>
        </w:rPr>
        <w:t xml:space="preserve"> лв., 1</w:t>
      </w:r>
      <w:r w:rsidRPr="006605D3">
        <w:rPr>
          <w:rFonts w:ascii="Times New Roman" w:eastAsia="Times New Roman" w:hAnsi="Times New Roman"/>
          <w:b/>
          <w:bCs/>
          <w:sz w:val="28"/>
          <w:szCs w:val="20"/>
        </w:rPr>
        <w:t>5</w:t>
      </w:r>
      <w:r w:rsidRPr="006605D3">
        <w:rPr>
          <w:rFonts w:ascii="Times New Roman" w:eastAsia="Times New Roman" w:hAnsi="Times New Roman"/>
          <w:bCs/>
          <w:sz w:val="28"/>
          <w:szCs w:val="20"/>
        </w:rPr>
        <w:t xml:space="preserve"> са наложените „други“ наказания. </w:t>
      </w:r>
      <w:r w:rsidRPr="006605D3">
        <w:rPr>
          <w:rFonts w:ascii="Times New Roman" w:eastAsia="Times New Roman" w:hAnsi="Times New Roman"/>
          <w:sz w:val="28"/>
          <w:szCs w:val="20"/>
        </w:rPr>
        <w:t xml:space="preserve">Оправдани са </w:t>
      </w:r>
      <w:r w:rsidRPr="006605D3">
        <w:rPr>
          <w:rFonts w:ascii="Times New Roman" w:eastAsia="Times New Roman" w:hAnsi="Times New Roman"/>
          <w:b/>
          <w:sz w:val="28"/>
          <w:szCs w:val="20"/>
        </w:rPr>
        <w:t>16</w:t>
      </w:r>
      <w:r w:rsidRPr="006605D3">
        <w:rPr>
          <w:rFonts w:ascii="Times New Roman" w:eastAsia="Times New Roman" w:hAnsi="Times New Roman"/>
          <w:sz w:val="28"/>
          <w:szCs w:val="20"/>
        </w:rPr>
        <w:t xml:space="preserve">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От посочените досъдебни производства най – голям е броят на наблюдавани дела за престъпление по </w:t>
      </w:r>
      <w:r w:rsidRPr="006605D3">
        <w:rPr>
          <w:rFonts w:ascii="Times New Roman" w:eastAsia="Times New Roman" w:hAnsi="Times New Roman"/>
          <w:b/>
          <w:sz w:val="28"/>
          <w:szCs w:val="20"/>
        </w:rPr>
        <w:t>чл.354а, ал.5 от НК</w:t>
      </w:r>
      <w:r w:rsidRPr="006605D3">
        <w:rPr>
          <w:rFonts w:ascii="Times New Roman" w:eastAsia="Times New Roman" w:hAnsi="Times New Roman"/>
          <w:sz w:val="28"/>
          <w:szCs w:val="20"/>
        </w:rPr>
        <w:t xml:space="preserve"> /маловажен случай/ - </w:t>
      </w:r>
      <w:r w:rsidRPr="006605D3">
        <w:rPr>
          <w:rFonts w:ascii="Times New Roman" w:eastAsia="Times New Roman" w:hAnsi="Times New Roman"/>
          <w:b/>
          <w:sz w:val="28"/>
          <w:szCs w:val="20"/>
        </w:rPr>
        <w:t>1679</w:t>
      </w:r>
      <w:r w:rsidRPr="006605D3">
        <w:rPr>
          <w:rFonts w:ascii="Times New Roman" w:eastAsia="Times New Roman" w:hAnsi="Times New Roman"/>
          <w:sz w:val="28"/>
          <w:szCs w:val="20"/>
        </w:rPr>
        <w:t xml:space="preserve">, от които </w:t>
      </w:r>
      <w:r w:rsidRPr="006605D3">
        <w:rPr>
          <w:rFonts w:ascii="Times New Roman" w:eastAsia="Times New Roman" w:hAnsi="Times New Roman"/>
          <w:b/>
          <w:sz w:val="28"/>
          <w:szCs w:val="20"/>
        </w:rPr>
        <w:t>1284</w:t>
      </w:r>
      <w:r w:rsidRPr="006605D3">
        <w:rPr>
          <w:rFonts w:ascii="Times New Roman" w:eastAsia="Times New Roman" w:hAnsi="Times New Roman"/>
          <w:bCs/>
          <w:sz w:val="28"/>
          <w:szCs w:val="20"/>
        </w:rPr>
        <w:t xml:space="preserve"> броя</w:t>
      </w:r>
      <w:r w:rsidRPr="006605D3">
        <w:rPr>
          <w:rFonts w:ascii="Times New Roman" w:eastAsia="Times New Roman" w:hAnsi="Times New Roman"/>
          <w:sz w:val="28"/>
          <w:szCs w:val="20"/>
        </w:rPr>
        <w:t xml:space="preserve"> са новообразувани,  следвани от престъпленията по чл.354а, ал.3 от НК /придобиване и държане на наркотични вещества/ - </w:t>
      </w:r>
      <w:r w:rsidRPr="006605D3">
        <w:rPr>
          <w:rFonts w:ascii="Times New Roman" w:eastAsia="Times New Roman" w:hAnsi="Times New Roman"/>
          <w:b/>
          <w:bCs/>
          <w:sz w:val="28"/>
          <w:szCs w:val="20"/>
        </w:rPr>
        <w:t xml:space="preserve">973 </w:t>
      </w:r>
      <w:r w:rsidRPr="006605D3">
        <w:rPr>
          <w:rFonts w:ascii="Times New Roman" w:eastAsia="Times New Roman" w:hAnsi="Times New Roman"/>
          <w:sz w:val="28"/>
          <w:szCs w:val="20"/>
        </w:rPr>
        <w:t xml:space="preserve">броя, от които </w:t>
      </w:r>
      <w:r w:rsidRPr="006605D3">
        <w:rPr>
          <w:rFonts w:ascii="Times New Roman" w:eastAsia="Times New Roman" w:hAnsi="Times New Roman"/>
          <w:b/>
          <w:sz w:val="28"/>
          <w:szCs w:val="20"/>
        </w:rPr>
        <w:t>707</w:t>
      </w:r>
      <w:r w:rsidRPr="006605D3">
        <w:rPr>
          <w:rFonts w:ascii="Times New Roman" w:eastAsia="Times New Roman" w:hAnsi="Times New Roman"/>
          <w:sz w:val="28"/>
          <w:szCs w:val="20"/>
        </w:rPr>
        <w:t xml:space="preserve"> броя новообразувани. На следващо място се подреждат делата за престъпления по чл.354а, ал.1 от НК /производство, преработка, придобиване, държане, вкл. съхранение до изм. ДВ 75/06 и разпространение/ - </w:t>
      </w:r>
      <w:r w:rsidRPr="006605D3">
        <w:rPr>
          <w:rFonts w:ascii="Times New Roman" w:eastAsia="Times New Roman" w:hAnsi="Times New Roman"/>
          <w:b/>
          <w:sz w:val="28"/>
          <w:szCs w:val="20"/>
        </w:rPr>
        <w:t xml:space="preserve">461 </w:t>
      </w:r>
      <w:r w:rsidRPr="006605D3">
        <w:rPr>
          <w:rFonts w:ascii="Times New Roman" w:eastAsia="Times New Roman" w:hAnsi="Times New Roman"/>
          <w:sz w:val="28"/>
          <w:szCs w:val="20"/>
        </w:rPr>
        <w:t xml:space="preserve">броя, от които </w:t>
      </w:r>
      <w:r w:rsidRPr="006605D3">
        <w:rPr>
          <w:rFonts w:ascii="Times New Roman" w:eastAsia="Times New Roman" w:hAnsi="Times New Roman"/>
          <w:b/>
          <w:bCs/>
          <w:sz w:val="28"/>
          <w:szCs w:val="20"/>
        </w:rPr>
        <w:t>207</w:t>
      </w:r>
      <w:r w:rsidRPr="006605D3">
        <w:rPr>
          <w:rFonts w:ascii="Times New Roman" w:eastAsia="Times New Roman" w:hAnsi="Times New Roman"/>
          <w:sz w:val="28"/>
          <w:szCs w:val="20"/>
        </w:rPr>
        <w:t xml:space="preserve"> броя са новообразувани. Следват делата за престъпления по чл.354а, ал.2 от НК - общо наблюдавани са </w:t>
      </w:r>
      <w:r w:rsidRPr="006605D3">
        <w:rPr>
          <w:rFonts w:ascii="Times New Roman" w:eastAsia="Times New Roman" w:hAnsi="Times New Roman"/>
          <w:b/>
          <w:sz w:val="28"/>
          <w:szCs w:val="20"/>
        </w:rPr>
        <w:t>51</w:t>
      </w:r>
      <w:r w:rsidRPr="006605D3">
        <w:rPr>
          <w:rFonts w:ascii="Times New Roman" w:eastAsia="Times New Roman" w:hAnsi="Times New Roman"/>
          <w:sz w:val="28"/>
          <w:szCs w:val="20"/>
        </w:rPr>
        <w:t xml:space="preserve"> досъдебни производства, от които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брой са новообразувани. </w:t>
      </w:r>
    </w:p>
    <w:p w:rsidR="006605D3" w:rsidRPr="006605D3" w:rsidRDefault="006605D3" w:rsidP="004D24A1">
      <w:pPr>
        <w:overflowPunct w:val="0"/>
        <w:autoSpaceDE w:val="0"/>
        <w:autoSpaceDN w:val="0"/>
        <w:adjustRightInd w:val="0"/>
        <w:spacing w:after="0"/>
        <w:ind w:left="708"/>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Делата по чл.354в от НК са общо </w:t>
      </w:r>
      <w:r w:rsidRPr="006605D3">
        <w:rPr>
          <w:rFonts w:ascii="Times New Roman" w:eastAsia="Times New Roman" w:hAnsi="Times New Roman"/>
          <w:b/>
          <w:sz w:val="28"/>
          <w:szCs w:val="20"/>
        </w:rPr>
        <w:t xml:space="preserve">21 </w:t>
      </w:r>
      <w:r w:rsidRPr="006605D3">
        <w:rPr>
          <w:rFonts w:ascii="Times New Roman" w:eastAsia="Times New Roman" w:hAnsi="Times New Roman"/>
          <w:sz w:val="28"/>
          <w:szCs w:val="20"/>
        </w:rPr>
        <w:t xml:space="preserve">броя. Новообразувани са </w:t>
      </w:r>
      <w:r w:rsidRPr="006605D3">
        <w:rPr>
          <w:rFonts w:ascii="Times New Roman" w:eastAsia="Times New Roman" w:hAnsi="Times New Roman"/>
          <w:b/>
          <w:bCs/>
          <w:sz w:val="28"/>
          <w:szCs w:val="20"/>
        </w:rPr>
        <w:t>12</w:t>
      </w:r>
      <w:r w:rsidRPr="006605D3">
        <w:rPr>
          <w:rFonts w:ascii="Times New Roman" w:eastAsia="Times New Roman" w:hAnsi="Times New Roman"/>
          <w:sz w:val="28"/>
          <w:szCs w:val="20"/>
        </w:rPr>
        <w:t xml:space="preserve">. </w:t>
      </w:r>
    </w:p>
    <w:p w:rsidR="006605D3" w:rsidRPr="006605D3" w:rsidRDefault="006605D3"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lastRenderedPageBreak/>
        <w:t xml:space="preserve">За престъпления по чл.354б от НК през отчетния период е имало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новообразувано и  наблюдавано производство, като същото е решено от прокурор като е постановен акт за спиране на производството.</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За сравнение през 2020г. и 2019 година, разпределението на наблюдаваните досъдебни производства по брой дела, по посочените състави от НК е било в следният ред:</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u w:val="single"/>
        </w:rPr>
        <w:t>За 2020 година</w:t>
      </w:r>
      <w:r w:rsidRPr="006605D3">
        <w:rPr>
          <w:rFonts w:ascii="Times New Roman" w:eastAsia="Times New Roman" w:hAnsi="Times New Roman"/>
          <w:b/>
          <w:sz w:val="28"/>
          <w:szCs w:val="20"/>
        </w:rPr>
        <w:t>:</w:t>
      </w:r>
      <w:r w:rsidRPr="006605D3">
        <w:rPr>
          <w:rFonts w:ascii="Times New Roman" w:eastAsia="Times New Roman" w:hAnsi="Times New Roman"/>
          <w:sz w:val="28"/>
          <w:szCs w:val="20"/>
        </w:rPr>
        <w:t xml:space="preserve"> наблюдаваните дела за престъпления по чл.354а, ал.5 от НК /маловажен случай/ са </w:t>
      </w:r>
      <w:r w:rsidRPr="006605D3">
        <w:rPr>
          <w:rFonts w:ascii="Times New Roman" w:eastAsia="Times New Roman" w:hAnsi="Times New Roman"/>
          <w:b/>
          <w:sz w:val="28"/>
          <w:szCs w:val="20"/>
        </w:rPr>
        <w:t>1817</w:t>
      </w:r>
      <w:r w:rsidRPr="006605D3">
        <w:rPr>
          <w:rFonts w:ascii="Times New Roman" w:eastAsia="Times New Roman" w:hAnsi="Times New Roman"/>
          <w:sz w:val="28"/>
          <w:szCs w:val="20"/>
        </w:rPr>
        <w:t xml:space="preserve"> броя, от които </w:t>
      </w:r>
      <w:r w:rsidRPr="006605D3">
        <w:rPr>
          <w:rFonts w:ascii="Times New Roman" w:eastAsia="Times New Roman" w:hAnsi="Times New Roman"/>
          <w:b/>
          <w:bCs/>
          <w:sz w:val="28"/>
          <w:szCs w:val="20"/>
        </w:rPr>
        <w:t>1442</w:t>
      </w:r>
      <w:r w:rsidRPr="006605D3">
        <w:rPr>
          <w:rFonts w:ascii="Times New Roman" w:eastAsia="Times New Roman" w:hAnsi="Times New Roman"/>
          <w:bCs/>
          <w:sz w:val="28"/>
          <w:szCs w:val="20"/>
        </w:rPr>
        <w:t xml:space="preserve"> броя</w:t>
      </w:r>
      <w:r w:rsidRPr="006605D3">
        <w:rPr>
          <w:rFonts w:ascii="Times New Roman" w:eastAsia="Times New Roman" w:hAnsi="Times New Roman"/>
          <w:sz w:val="28"/>
          <w:szCs w:val="20"/>
        </w:rPr>
        <w:t xml:space="preserve"> са новообразувани; следвани от престъпленията по чл.354а ал.3 от НК/придобиване и държане на наркотични вещества за лична употреба/ - </w:t>
      </w:r>
      <w:r w:rsidRPr="006605D3">
        <w:rPr>
          <w:rFonts w:ascii="Times New Roman" w:eastAsia="Times New Roman" w:hAnsi="Times New Roman"/>
          <w:b/>
          <w:bCs/>
          <w:sz w:val="28"/>
          <w:szCs w:val="20"/>
        </w:rPr>
        <w:t>1116</w:t>
      </w:r>
      <w:r w:rsidRPr="006605D3">
        <w:rPr>
          <w:rFonts w:ascii="Times New Roman" w:eastAsia="Times New Roman" w:hAnsi="Times New Roman"/>
          <w:sz w:val="28"/>
          <w:szCs w:val="20"/>
        </w:rPr>
        <w:t xml:space="preserve"> броя, от които </w:t>
      </w:r>
      <w:r w:rsidRPr="006605D3">
        <w:rPr>
          <w:rFonts w:ascii="Times New Roman" w:eastAsia="Times New Roman" w:hAnsi="Times New Roman"/>
          <w:b/>
          <w:bCs/>
          <w:sz w:val="28"/>
          <w:szCs w:val="20"/>
        </w:rPr>
        <w:t>807</w:t>
      </w:r>
      <w:r w:rsidRPr="006605D3">
        <w:rPr>
          <w:rFonts w:ascii="Times New Roman" w:eastAsia="Times New Roman" w:hAnsi="Times New Roman"/>
          <w:sz w:val="28"/>
          <w:szCs w:val="20"/>
        </w:rPr>
        <w:t xml:space="preserve"> броя новообразувани. На следващо място се подреждат делата за престъпления по чл.354а ал.1 от НК /производство, преработка, придобиване, държане, вкл. съхранение до изм. ДВ 75/06 и разпространение/ - </w:t>
      </w:r>
      <w:r w:rsidRPr="006605D3">
        <w:rPr>
          <w:rFonts w:ascii="Times New Roman" w:eastAsia="Times New Roman" w:hAnsi="Times New Roman"/>
          <w:b/>
          <w:bCs/>
          <w:sz w:val="28"/>
          <w:szCs w:val="20"/>
        </w:rPr>
        <w:t>498</w:t>
      </w:r>
      <w:r w:rsidRPr="006605D3">
        <w:rPr>
          <w:rFonts w:ascii="Times New Roman" w:eastAsia="Times New Roman" w:hAnsi="Times New Roman"/>
          <w:sz w:val="28"/>
          <w:szCs w:val="20"/>
        </w:rPr>
        <w:t xml:space="preserve"> броя, от които </w:t>
      </w:r>
      <w:r w:rsidRPr="006605D3">
        <w:rPr>
          <w:rFonts w:ascii="Times New Roman" w:eastAsia="Times New Roman" w:hAnsi="Times New Roman"/>
          <w:b/>
          <w:bCs/>
          <w:sz w:val="28"/>
          <w:szCs w:val="20"/>
        </w:rPr>
        <w:t>201</w:t>
      </w:r>
      <w:r w:rsidRPr="006605D3">
        <w:rPr>
          <w:rFonts w:ascii="Times New Roman" w:eastAsia="Times New Roman" w:hAnsi="Times New Roman"/>
          <w:sz w:val="28"/>
          <w:szCs w:val="20"/>
        </w:rPr>
        <w:t xml:space="preserve"> броя са новообразувани. Следват делата за престъпления по чл.354а, ал.2 от НК - общо наблюдавани са </w:t>
      </w:r>
      <w:r w:rsidRPr="006605D3">
        <w:rPr>
          <w:rFonts w:ascii="Times New Roman" w:eastAsia="Times New Roman" w:hAnsi="Times New Roman"/>
          <w:b/>
          <w:sz w:val="28"/>
          <w:szCs w:val="20"/>
        </w:rPr>
        <w:t>53</w:t>
      </w:r>
      <w:r w:rsidRPr="006605D3">
        <w:rPr>
          <w:rFonts w:ascii="Times New Roman" w:eastAsia="Times New Roman" w:hAnsi="Times New Roman"/>
          <w:sz w:val="28"/>
          <w:szCs w:val="20"/>
        </w:rPr>
        <w:t xml:space="preserve"> досъдебни производства, а новообразувани са били 2 дела.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На следващо място са делата по чл.354в ал.1 от НК/засяване, отглеждане на растения/, които са </w:t>
      </w:r>
      <w:r w:rsidRPr="006605D3">
        <w:rPr>
          <w:rFonts w:ascii="Times New Roman" w:eastAsia="Times New Roman" w:hAnsi="Times New Roman"/>
          <w:b/>
          <w:bCs/>
          <w:sz w:val="28"/>
          <w:szCs w:val="20"/>
        </w:rPr>
        <w:t xml:space="preserve">14 </w:t>
      </w:r>
      <w:r w:rsidRPr="006605D3">
        <w:rPr>
          <w:rFonts w:ascii="Times New Roman" w:eastAsia="Times New Roman" w:hAnsi="Times New Roman"/>
          <w:sz w:val="28"/>
          <w:szCs w:val="20"/>
        </w:rPr>
        <w:t xml:space="preserve">броя, от който новообразувани са </w:t>
      </w:r>
      <w:r w:rsidRPr="006605D3">
        <w:rPr>
          <w:rFonts w:ascii="Times New Roman" w:eastAsia="Times New Roman" w:hAnsi="Times New Roman"/>
          <w:b/>
          <w:bCs/>
          <w:sz w:val="28"/>
          <w:szCs w:val="20"/>
        </w:rPr>
        <w:t>10</w:t>
      </w:r>
      <w:r w:rsidRPr="006605D3">
        <w:rPr>
          <w:rFonts w:ascii="Times New Roman" w:eastAsia="Times New Roman" w:hAnsi="Times New Roman"/>
          <w:sz w:val="28"/>
          <w:szCs w:val="20"/>
        </w:rPr>
        <w:t xml:space="preserve"> броя. За престъпление по чл.354б от НК  няма наблюдавани дела.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u w:val="single"/>
        </w:rPr>
        <w:t>За 2019 година</w:t>
      </w:r>
      <w:r w:rsidRPr="006605D3">
        <w:rPr>
          <w:rFonts w:ascii="Times New Roman" w:eastAsia="Times New Roman" w:hAnsi="Times New Roman"/>
          <w:b/>
          <w:sz w:val="28"/>
          <w:szCs w:val="20"/>
        </w:rPr>
        <w:t>:</w:t>
      </w:r>
      <w:r w:rsidRPr="006605D3">
        <w:rPr>
          <w:rFonts w:ascii="Times New Roman" w:eastAsia="Times New Roman" w:hAnsi="Times New Roman"/>
          <w:sz w:val="28"/>
          <w:szCs w:val="20"/>
        </w:rPr>
        <w:t xml:space="preserve"> наблюдаваните дела за престъпления по чл.354а, ал.5 от НК /маловажен случай/ са </w:t>
      </w:r>
      <w:r w:rsidRPr="006605D3">
        <w:rPr>
          <w:rFonts w:ascii="Times New Roman" w:eastAsia="Times New Roman" w:hAnsi="Times New Roman"/>
          <w:b/>
          <w:sz w:val="28"/>
          <w:szCs w:val="20"/>
        </w:rPr>
        <w:t>2340</w:t>
      </w:r>
      <w:r w:rsidRPr="006605D3">
        <w:rPr>
          <w:rFonts w:ascii="Times New Roman" w:eastAsia="Times New Roman" w:hAnsi="Times New Roman"/>
          <w:sz w:val="28"/>
          <w:szCs w:val="20"/>
        </w:rPr>
        <w:t xml:space="preserve"> броя, от които </w:t>
      </w:r>
      <w:r w:rsidRPr="006605D3">
        <w:rPr>
          <w:rFonts w:ascii="Times New Roman" w:eastAsia="Times New Roman" w:hAnsi="Times New Roman"/>
          <w:b/>
          <w:bCs/>
          <w:sz w:val="28"/>
          <w:szCs w:val="20"/>
        </w:rPr>
        <w:t>2019</w:t>
      </w:r>
      <w:r w:rsidRPr="006605D3">
        <w:rPr>
          <w:rFonts w:ascii="Times New Roman" w:eastAsia="Times New Roman" w:hAnsi="Times New Roman"/>
          <w:bCs/>
          <w:sz w:val="28"/>
          <w:szCs w:val="20"/>
        </w:rPr>
        <w:t xml:space="preserve"> броя</w:t>
      </w:r>
      <w:r w:rsidRPr="006605D3">
        <w:rPr>
          <w:rFonts w:ascii="Times New Roman" w:eastAsia="Times New Roman" w:hAnsi="Times New Roman"/>
          <w:sz w:val="28"/>
          <w:szCs w:val="20"/>
        </w:rPr>
        <w:t xml:space="preserve"> са новообразувани; следвани от престъпленията по чл.354а ал.3 от НК/придобиване и държане на наркотични вещества за лична употреба/ - </w:t>
      </w:r>
      <w:r w:rsidRPr="006605D3">
        <w:rPr>
          <w:rFonts w:ascii="Times New Roman" w:eastAsia="Times New Roman" w:hAnsi="Times New Roman"/>
          <w:b/>
          <w:bCs/>
          <w:sz w:val="28"/>
          <w:szCs w:val="20"/>
        </w:rPr>
        <w:t>1260</w:t>
      </w:r>
      <w:r w:rsidRPr="006605D3">
        <w:rPr>
          <w:rFonts w:ascii="Times New Roman" w:eastAsia="Times New Roman" w:hAnsi="Times New Roman"/>
          <w:sz w:val="28"/>
          <w:szCs w:val="20"/>
        </w:rPr>
        <w:t xml:space="preserve"> броя, от които </w:t>
      </w:r>
      <w:r w:rsidRPr="006605D3">
        <w:rPr>
          <w:rFonts w:ascii="Times New Roman" w:eastAsia="Times New Roman" w:hAnsi="Times New Roman"/>
          <w:b/>
          <w:bCs/>
          <w:sz w:val="28"/>
          <w:szCs w:val="20"/>
        </w:rPr>
        <w:t>981</w:t>
      </w:r>
      <w:r w:rsidRPr="006605D3">
        <w:rPr>
          <w:rFonts w:ascii="Times New Roman" w:eastAsia="Times New Roman" w:hAnsi="Times New Roman"/>
          <w:sz w:val="28"/>
          <w:szCs w:val="20"/>
        </w:rPr>
        <w:t xml:space="preserve"> броя новообразувани. На следващо място се подреждат делата за престъпления по чл.354а ал.1 от НК /производство, преработка, придобиване, държане, вкл. съхранение до изм. ДВ 75/06 и разпространение/ - </w:t>
      </w:r>
      <w:r w:rsidRPr="006605D3">
        <w:rPr>
          <w:rFonts w:ascii="Times New Roman" w:eastAsia="Times New Roman" w:hAnsi="Times New Roman"/>
          <w:b/>
          <w:bCs/>
          <w:sz w:val="28"/>
          <w:szCs w:val="20"/>
        </w:rPr>
        <w:t>512</w:t>
      </w:r>
      <w:r w:rsidRPr="006605D3">
        <w:rPr>
          <w:rFonts w:ascii="Times New Roman" w:eastAsia="Times New Roman" w:hAnsi="Times New Roman"/>
          <w:sz w:val="28"/>
          <w:szCs w:val="20"/>
        </w:rPr>
        <w:t xml:space="preserve"> броя, от които </w:t>
      </w:r>
      <w:r w:rsidRPr="006605D3">
        <w:rPr>
          <w:rFonts w:ascii="Times New Roman" w:eastAsia="Times New Roman" w:hAnsi="Times New Roman"/>
          <w:b/>
          <w:bCs/>
          <w:sz w:val="28"/>
          <w:szCs w:val="20"/>
        </w:rPr>
        <w:t>264</w:t>
      </w:r>
      <w:r w:rsidRPr="006605D3">
        <w:rPr>
          <w:rFonts w:ascii="Times New Roman" w:eastAsia="Times New Roman" w:hAnsi="Times New Roman"/>
          <w:sz w:val="28"/>
          <w:szCs w:val="20"/>
        </w:rPr>
        <w:t xml:space="preserve"> броя са новообразувани. Следват делата за престъпления по чл.354а, ал.2 от НК - общо наблюдавани са </w:t>
      </w:r>
      <w:r w:rsidRPr="006605D3">
        <w:rPr>
          <w:rFonts w:ascii="Times New Roman" w:eastAsia="Times New Roman" w:hAnsi="Times New Roman"/>
          <w:b/>
          <w:sz w:val="28"/>
          <w:szCs w:val="20"/>
        </w:rPr>
        <w:t>56</w:t>
      </w:r>
      <w:r w:rsidRPr="006605D3">
        <w:rPr>
          <w:rFonts w:ascii="Times New Roman" w:eastAsia="Times New Roman" w:hAnsi="Times New Roman"/>
          <w:sz w:val="28"/>
          <w:szCs w:val="20"/>
        </w:rPr>
        <w:t xml:space="preserve"> досъдебни производства, а новообразувани са били 3 дела.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На следващо място са делата по чл.354в ал.1 от НК/засяване, отглеждане на растения/, които са </w:t>
      </w:r>
      <w:r w:rsidRPr="006605D3">
        <w:rPr>
          <w:rFonts w:ascii="Times New Roman" w:eastAsia="Times New Roman" w:hAnsi="Times New Roman"/>
          <w:b/>
          <w:bCs/>
          <w:sz w:val="28"/>
          <w:szCs w:val="20"/>
        </w:rPr>
        <w:t xml:space="preserve">11 </w:t>
      </w:r>
      <w:r w:rsidRPr="006605D3">
        <w:rPr>
          <w:rFonts w:ascii="Times New Roman" w:eastAsia="Times New Roman" w:hAnsi="Times New Roman"/>
          <w:sz w:val="28"/>
          <w:szCs w:val="20"/>
        </w:rPr>
        <w:t xml:space="preserve">броя, от който новообразувани са </w:t>
      </w:r>
      <w:r w:rsidRPr="006605D3">
        <w:rPr>
          <w:rFonts w:ascii="Times New Roman" w:eastAsia="Times New Roman" w:hAnsi="Times New Roman"/>
          <w:b/>
          <w:bCs/>
          <w:sz w:val="28"/>
          <w:szCs w:val="20"/>
        </w:rPr>
        <w:t>8</w:t>
      </w:r>
      <w:r w:rsidRPr="006605D3">
        <w:rPr>
          <w:rFonts w:ascii="Times New Roman" w:eastAsia="Times New Roman" w:hAnsi="Times New Roman"/>
          <w:sz w:val="28"/>
          <w:szCs w:val="20"/>
        </w:rPr>
        <w:t xml:space="preserve"> броя. През отчетния период няма наблюдавани дела за престъпление по чл.354б от НК.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През 2021 г.</w:t>
      </w:r>
      <w:r w:rsidRPr="006605D3">
        <w:rPr>
          <w:rFonts w:ascii="Times New Roman" w:eastAsia="Times New Roman" w:hAnsi="Times New Roman"/>
          <w:sz w:val="28"/>
          <w:szCs w:val="20"/>
        </w:rPr>
        <w:t xml:space="preserve"> решените досъдебни производства, свързани с наркотични вещества и прекурсори по глава ХІ, Раздел ІІІ от НК са </w:t>
      </w:r>
      <w:r w:rsidRPr="006605D3">
        <w:rPr>
          <w:rFonts w:ascii="Times New Roman" w:eastAsia="Times New Roman" w:hAnsi="Times New Roman"/>
          <w:b/>
          <w:sz w:val="28"/>
          <w:szCs w:val="20"/>
        </w:rPr>
        <w:t xml:space="preserve">2565 </w:t>
      </w:r>
      <w:r w:rsidRPr="006605D3">
        <w:rPr>
          <w:rFonts w:ascii="Times New Roman" w:eastAsia="Times New Roman" w:hAnsi="Times New Roman"/>
          <w:sz w:val="28"/>
          <w:szCs w:val="20"/>
        </w:rPr>
        <w:t>броя. За сравнение, през 2020г. те са били 2665</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 xml:space="preserve">броя, а през 2019 г.  са били 3238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r w:rsidRPr="006605D3">
        <w:rPr>
          <w:rFonts w:ascii="Times New Roman" w:eastAsia="Times New Roman" w:hAnsi="Times New Roman"/>
          <w:color w:val="000000"/>
          <w:sz w:val="28"/>
          <w:szCs w:val="20"/>
        </w:rPr>
        <w:lastRenderedPageBreak/>
        <w:t xml:space="preserve">За 2021 г. има увеличение в относителния дял на решените спрямо наблюдаваните досъдебни производства в сравнение с предходните отчетни периоди: </w:t>
      </w:r>
      <w:r w:rsidRPr="006605D3">
        <w:rPr>
          <w:rFonts w:ascii="Times New Roman" w:eastAsia="Times New Roman" w:hAnsi="Times New Roman"/>
          <w:b/>
          <w:color w:val="000000"/>
          <w:sz w:val="28"/>
          <w:szCs w:val="20"/>
        </w:rPr>
        <w:t>79,97 %,</w:t>
      </w:r>
      <w:r w:rsidRPr="006605D3">
        <w:rPr>
          <w:rFonts w:ascii="Times New Roman" w:eastAsia="Times New Roman" w:hAnsi="Times New Roman"/>
          <w:color w:val="000000"/>
          <w:sz w:val="28"/>
          <w:szCs w:val="20"/>
        </w:rPr>
        <w:t xml:space="preserve"> като за 2020г. е било </w:t>
      </w:r>
      <w:r w:rsidRPr="006605D3">
        <w:rPr>
          <w:rFonts w:ascii="Times New Roman" w:eastAsia="Times New Roman" w:hAnsi="Times New Roman"/>
          <w:bCs/>
          <w:color w:val="000000"/>
          <w:sz w:val="28"/>
          <w:szCs w:val="20"/>
        </w:rPr>
        <w:t>76,22 %</w:t>
      </w:r>
      <w:r w:rsidRPr="006605D3">
        <w:rPr>
          <w:rFonts w:ascii="Times New Roman" w:eastAsia="Times New Roman" w:hAnsi="Times New Roman"/>
          <w:color w:val="000000"/>
          <w:sz w:val="28"/>
          <w:szCs w:val="20"/>
        </w:rPr>
        <w:t>, а за 2019 г. са 77,41%.</w:t>
      </w:r>
      <w:r w:rsidRPr="006605D3">
        <w:rPr>
          <w:rFonts w:ascii="Times New Roman" w:eastAsia="Times New Roman" w:hAnsi="Times New Roman"/>
          <w:b/>
          <w:color w:val="000000"/>
          <w:sz w:val="28"/>
          <w:szCs w:val="20"/>
        </w:rPr>
        <w:t xml:space="preserve">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p>
    <w:p w:rsidR="006605D3" w:rsidRPr="006605D3" w:rsidRDefault="003515B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1C1882">
        <w:rPr>
          <w:rFonts w:ascii="Times New Roman" w:hAnsi="Times New Roman"/>
          <w:noProof/>
          <w:lang w:eastAsia="bg-BG"/>
        </w:rPr>
        <w:drawing>
          <wp:inline distT="0" distB="0" distL="0" distR="0" wp14:anchorId="2B3D332B" wp14:editId="3EFC0D9A">
            <wp:extent cx="5224145" cy="2377440"/>
            <wp:effectExtent l="0" t="0" r="0" b="0"/>
            <wp:docPr id="32"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2021 г. от решените </w:t>
      </w:r>
      <w:r w:rsidRPr="006605D3">
        <w:rPr>
          <w:rFonts w:ascii="Times New Roman" w:eastAsia="Times New Roman" w:hAnsi="Times New Roman"/>
          <w:b/>
          <w:sz w:val="28"/>
          <w:szCs w:val="20"/>
        </w:rPr>
        <w:t>2565</w:t>
      </w:r>
      <w:r w:rsidRPr="006605D3">
        <w:rPr>
          <w:rFonts w:ascii="Times New Roman" w:eastAsia="Times New Roman" w:hAnsi="Times New Roman"/>
          <w:sz w:val="28"/>
          <w:szCs w:val="20"/>
        </w:rPr>
        <w:t xml:space="preserve"> досъдебни производства, внесени в съда с обвинителен акт са </w:t>
      </w:r>
      <w:r w:rsidRPr="006605D3">
        <w:rPr>
          <w:rFonts w:ascii="Times New Roman" w:eastAsia="Times New Roman" w:hAnsi="Times New Roman"/>
          <w:b/>
          <w:sz w:val="28"/>
          <w:szCs w:val="20"/>
        </w:rPr>
        <w:t>352</w:t>
      </w:r>
      <w:r w:rsidRPr="006605D3">
        <w:rPr>
          <w:rFonts w:ascii="Times New Roman" w:eastAsia="Times New Roman" w:hAnsi="Times New Roman"/>
          <w:sz w:val="28"/>
          <w:szCs w:val="20"/>
        </w:rPr>
        <w:t xml:space="preserve"> броя, като </w:t>
      </w:r>
      <w:r w:rsidRPr="006605D3">
        <w:rPr>
          <w:rFonts w:ascii="Times New Roman" w:eastAsia="Times New Roman" w:hAnsi="Times New Roman"/>
          <w:b/>
          <w:sz w:val="28"/>
          <w:szCs w:val="20"/>
        </w:rPr>
        <w:t>123</w:t>
      </w:r>
      <w:r w:rsidRPr="006605D3">
        <w:rPr>
          <w:rFonts w:ascii="Times New Roman" w:eastAsia="Times New Roman" w:hAnsi="Times New Roman"/>
          <w:sz w:val="28"/>
          <w:szCs w:val="20"/>
        </w:rPr>
        <w:t xml:space="preserve"> от тях са по чл.354а, ал.1 от НК, </w:t>
      </w:r>
      <w:r w:rsidRPr="006605D3">
        <w:rPr>
          <w:rFonts w:ascii="Times New Roman" w:eastAsia="Times New Roman" w:hAnsi="Times New Roman"/>
          <w:b/>
          <w:sz w:val="28"/>
          <w:szCs w:val="20"/>
        </w:rPr>
        <w:t>27</w:t>
      </w:r>
      <w:r w:rsidRPr="006605D3">
        <w:rPr>
          <w:rFonts w:ascii="Times New Roman" w:eastAsia="Times New Roman" w:hAnsi="Times New Roman"/>
          <w:sz w:val="28"/>
          <w:szCs w:val="20"/>
        </w:rPr>
        <w:t xml:space="preserve"> броя са по чл.354а, ал.2 НК, </w:t>
      </w:r>
      <w:r w:rsidRPr="006605D3">
        <w:rPr>
          <w:rFonts w:ascii="Times New Roman" w:eastAsia="Times New Roman" w:hAnsi="Times New Roman"/>
          <w:b/>
          <w:sz w:val="28"/>
          <w:szCs w:val="20"/>
        </w:rPr>
        <w:t>139</w:t>
      </w:r>
      <w:r w:rsidRPr="006605D3">
        <w:rPr>
          <w:rFonts w:ascii="Times New Roman" w:eastAsia="Times New Roman" w:hAnsi="Times New Roman"/>
          <w:sz w:val="28"/>
          <w:szCs w:val="20"/>
        </w:rPr>
        <w:t xml:space="preserve"> броя са по чл.354а, ал.3 НК, </w:t>
      </w:r>
      <w:r w:rsidRPr="006605D3">
        <w:rPr>
          <w:rFonts w:ascii="Times New Roman" w:eastAsia="Times New Roman" w:hAnsi="Times New Roman"/>
          <w:b/>
          <w:sz w:val="28"/>
          <w:szCs w:val="20"/>
        </w:rPr>
        <w:t>59</w:t>
      </w:r>
      <w:r w:rsidRPr="006605D3">
        <w:rPr>
          <w:rFonts w:ascii="Times New Roman" w:eastAsia="Times New Roman" w:hAnsi="Times New Roman"/>
          <w:sz w:val="28"/>
          <w:szCs w:val="20"/>
        </w:rPr>
        <w:t xml:space="preserve"> броя по чл.354а, ал.5 от НК.</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През 2020 г. от решените 2665 досъдебни производства, внесени в съда с обвинителен акт са 306 броя, като 105 от тях са по чл.354а, ал.1 от НК, 22 броя са по чл.354а, ал.2 НК, 126 броя са по чл.354а, ал.3 НК, 53 броя по чл.354а, ал.5 от НК.</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През 2019 г. от решените 3238 досъдебни производства, внесени в съда с обвинителен акт са 247 броя, като от тях 70 броя са по чл.354а, ал.1 от НК, 16 броя са по чл.354а, ал.2 НК, 104 броя са по чл.354а, ал.3 НК, 54 броя по чл.354а, ал.5 от НК, 3 броя - по чл.354в, ал.1 от НК.</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color w:val="000000"/>
          <w:sz w:val="28"/>
          <w:szCs w:val="20"/>
        </w:rPr>
        <w:t xml:space="preserve">От изложените данни е видно по-големият брой на внесени обвинителни </w:t>
      </w:r>
      <w:r w:rsidRPr="006605D3">
        <w:rPr>
          <w:rFonts w:ascii="Times New Roman" w:eastAsia="Times New Roman" w:hAnsi="Times New Roman"/>
          <w:sz w:val="28"/>
          <w:szCs w:val="20"/>
        </w:rPr>
        <w:t>актове през 2021 г.</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2021 г. в съда са внесени </w:t>
      </w:r>
      <w:r w:rsidRPr="006605D3">
        <w:rPr>
          <w:rFonts w:ascii="Times New Roman" w:eastAsia="Times New Roman" w:hAnsi="Times New Roman"/>
          <w:b/>
          <w:sz w:val="28"/>
          <w:szCs w:val="20"/>
        </w:rPr>
        <w:t xml:space="preserve">146 </w:t>
      </w:r>
      <w:r w:rsidRPr="006605D3">
        <w:rPr>
          <w:rFonts w:ascii="Times New Roman" w:eastAsia="Times New Roman" w:hAnsi="Times New Roman"/>
          <w:sz w:val="28"/>
          <w:szCs w:val="20"/>
        </w:rPr>
        <w:t xml:space="preserve">споразумения за </w:t>
      </w:r>
      <w:r w:rsidRPr="006605D3">
        <w:rPr>
          <w:rFonts w:ascii="Times New Roman" w:eastAsia="Times New Roman" w:hAnsi="Times New Roman"/>
          <w:b/>
          <w:sz w:val="28"/>
          <w:szCs w:val="20"/>
        </w:rPr>
        <w:t xml:space="preserve">146 </w:t>
      </w:r>
      <w:r w:rsidRPr="006605D3">
        <w:rPr>
          <w:rFonts w:ascii="Times New Roman" w:eastAsia="Times New Roman" w:hAnsi="Times New Roman"/>
          <w:sz w:val="28"/>
          <w:szCs w:val="20"/>
        </w:rPr>
        <w:t xml:space="preserve">лица.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От тях  </w:t>
      </w:r>
      <w:r w:rsidRPr="006605D3">
        <w:rPr>
          <w:rFonts w:ascii="Times New Roman" w:eastAsia="Times New Roman" w:hAnsi="Times New Roman"/>
          <w:b/>
          <w:sz w:val="28"/>
          <w:szCs w:val="20"/>
        </w:rPr>
        <w:t xml:space="preserve">93 </w:t>
      </w:r>
      <w:r w:rsidRPr="006605D3">
        <w:rPr>
          <w:rFonts w:ascii="Times New Roman" w:eastAsia="Times New Roman" w:hAnsi="Times New Roman"/>
          <w:sz w:val="28"/>
          <w:szCs w:val="20"/>
        </w:rPr>
        <w:t xml:space="preserve">броя са по чл.354а, ал.1 НК, </w:t>
      </w:r>
      <w:r w:rsidRPr="006605D3">
        <w:rPr>
          <w:rFonts w:ascii="Times New Roman" w:eastAsia="Times New Roman" w:hAnsi="Times New Roman"/>
          <w:b/>
          <w:sz w:val="28"/>
          <w:szCs w:val="20"/>
        </w:rPr>
        <w:t>15</w:t>
      </w:r>
      <w:r w:rsidRPr="006605D3">
        <w:rPr>
          <w:rFonts w:ascii="Times New Roman" w:eastAsia="Times New Roman" w:hAnsi="Times New Roman"/>
          <w:sz w:val="28"/>
          <w:szCs w:val="20"/>
        </w:rPr>
        <w:t xml:space="preserve"> са по чл.354а, ал.2 от НК, </w:t>
      </w:r>
      <w:r w:rsidRPr="006605D3">
        <w:rPr>
          <w:rFonts w:ascii="Times New Roman" w:eastAsia="Times New Roman" w:hAnsi="Times New Roman"/>
          <w:b/>
          <w:sz w:val="28"/>
          <w:szCs w:val="20"/>
        </w:rPr>
        <w:t>15 броя-</w:t>
      </w:r>
      <w:r w:rsidRPr="006605D3">
        <w:rPr>
          <w:rFonts w:ascii="Times New Roman" w:eastAsia="Times New Roman" w:hAnsi="Times New Roman"/>
          <w:sz w:val="28"/>
          <w:szCs w:val="20"/>
        </w:rPr>
        <w:t xml:space="preserve"> по чл. 354а, ал.3 НК, </w:t>
      </w:r>
      <w:r w:rsidRPr="006605D3">
        <w:rPr>
          <w:rFonts w:ascii="Times New Roman" w:eastAsia="Times New Roman" w:hAnsi="Times New Roman"/>
          <w:b/>
          <w:sz w:val="28"/>
          <w:szCs w:val="20"/>
        </w:rPr>
        <w:t>30 броя</w:t>
      </w:r>
      <w:r w:rsidRPr="006605D3">
        <w:rPr>
          <w:rFonts w:ascii="Times New Roman" w:eastAsia="Times New Roman" w:hAnsi="Times New Roman"/>
          <w:sz w:val="28"/>
          <w:szCs w:val="20"/>
        </w:rPr>
        <w:t xml:space="preserve"> – като по чл.354а, ал.5 от НК са 7 на брой. За 2021г. по чл.354в, ал.1 от НК има внесено </w:t>
      </w:r>
      <w:r w:rsidRPr="006605D3">
        <w:rPr>
          <w:rFonts w:ascii="Times New Roman" w:eastAsia="Times New Roman" w:hAnsi="Times New Roman"/>
          <w:b/>
          <w:sz w:val="28"/>
          <w:szCs w:val="20"/>
        </w:rPr>
        <w:t>едно</w:t>
      </w:r>
      <w:r w:rsidRPr="006605D3">
        <w:rPr>
          <w:rFonts w:ascii="Times New Roman" w:eastAsia="Times New Roman" w:hAnsi="Times New Roman"/>
          <w:sz w:val="28"/>
          <w:szCs w:val="20"/>
        </w:rPr>
        <w:t xml:space="preserve"> споразумение.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2020 г. в съда са внесени 123 споразумения за 127 лица.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От тях  81 броя са по чл.354а, ал.1 НК, 9 са по чл.354а, ал.2 от НК, 30 броя- по чл. 354а, ал.3 НК, 7 – като по чл.354а, ал.5 от НК и чл.354в, ал.1 от НК няма внесени споразумения.</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2019 г. в съда са внесени 133 споразумения за 140 лица, а през 2018 г. са внесени 122 споразумения за 131 лица.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D0D0D"/>
          <w:sz w:val="28"/>
          <w:szCs w:val="20"/>
        </w:rPr>
      </w:pPr>
      <w:r w:rsidRPr="006605D3">
        <w:rPr>
          <w:rFonts w:ascii="Times New Roman" w:eastAsia="Times New Roman" w:hAnsi="Times New Roman"/>
          <w:color w:val="0D0D0D"/>
          <w:sz w:val="28"/>
          <w:szCs w:val="20"/>
        </w:rPr>
        <w:lastRenderedPageBreak/>
        <w:t xml:space="preserve">Видно от изнесените данни, през отчетния период се наблюдава лек ръст на броя на споразуменията спрямо общия брой решени досъдебни производства – </w:t>
      </w:r>
      <w:r w:rsidRPr="006605D3">
        <w:rPr>
          <w:rFonts w:ascii="Times New Roman" w:eastAsia="Times New Roman" w:hAnsi="Times New Roman"/>
          <w:b/>
          <w:color w:val="0D0D0D"/>
          <w:sz w:val="28"/>
          <w:szCs w:val="20"/>
        </w:rPr>
        <w:t>5,61% ,</w:t>
      </w:r>
      <w:r w:rsidRPr="006605D3">
        <w:rPr>
          <w:rFonts w:ascii="Times New Roman" w:eastAsia="Times New Roman" w:hAnsi="Times New Roman"/>
          <w:color w:val="0D0D0D"/>
          <w:sz w:val="28"/>
          <w:szCs w:val="20"/>
        </w:rPr>
        <w:t xml:space="preserve"> като през 2020г. е било </w:t>
      </w:r>
      <w:r w:rsidRPr="006605D3">
        <w:rPr>
          <w:rFonts w:ascii="Times New Roman" w:eastAsia="Times New Roman" w:hAnsi="Times New Roman"/>
          <w:b/>
          <w:color w:val="0D0D0D"/>
          <w:sz w:val="28"/>
          <w:szCs w:val="20"/>
        </w:rPr>
        <w:t>4,61%,</w:t>
      </w:r>
      <w:r w:rsidRPr="006605D3">
        <w:rPr>
          <w:rFonts w:ascii="Times New Roman" w:eastAsia="Times New Roman" w:hAnsi="Times New Roman"/>
          <w:color w:val="0D0D0D"/>
          <w:sz w:val="28"/>
          <w:szCs w:val="20"/>
        </w:rPr>
        <w:t xml:space="preserve"> а за 2019г. -  </w:t>
      </w:r>
      <w:r w:rsidRPr="006605D3">
        <w:rPr>
          <w:rFonts w:ascii="Times New Roman" w:eastAsia="Times New Roman" w:hAnsi="Times New Roman"/>
          <w:b/>
          <w:color w:val="0D0D0D"/>
          <w:sz w:val="28"/>
          <w:szCs w:val="20"/>
        </w:rPr>
        <w:t>4,11%.</w:t>
      </w:r>
      <w:r w:rsidRPr="006605D3">
        <w:rPr>
          <w:rFonts w:ascii="Times New Roman" w:eastAsia="Times New Roman" w:hAnsi="Times New Roman"/>
          <w:color w:val="0D0D0D"/>
          <w:sz w:val="28"/>
          <w:szCs w:val="20"/>
        </w:rPr>
        <w:t xml:space="preserve">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r w:rsidRPr="006605D3">
        <w:rPr>
          <w:rFonts w:ascii="Times New Roman" w:eastAsia="Times New Roman" w:hAnsi="Times New Roman"/>
          <w:sz w:val="28"/>
          <w:szCs w:val="20"/>
        </w:rPr>
        <w:t xml:space="preserve">Внесените в съда досъдебни производства са </w:t>
      </w:r>
      <w:r w:rsidRPr="006605D3">
        <w:rPr>
          <w:rFonts w:ascii="Times New Roman" w:eastAsia="Times New Roman" w:hAnsi="Times New Roman"/>
          <w:b/>
          <w:sz w:val="28"/>
          <w:szCs w:val="20"/>
        </w:rPr>
        <w:t>567</w:t>
      </w:r>
      <w:r w:rsidRPr="006605D3">
        <w:rPr>
          <w:rFonts w:ascii="Times New Roman" w:eastAsia="Times New Roman" w:hAnsi="Times New Roman"/>
          <w:sz w:val="28"/>
          <w:szCs w:val="20"/>
        </w:rPr>
        <w:t xml:space="preserve"> броя. </w:t>
      </w:r>
      <w:r w:rsidRPr="006605D3">
        <w:rPr>
          <w:rFonts w:ascii="Times New Roman" w:eastAsia="Times New Roman" w:hAnsi="Times New Roman"/>
          <w:color w:val="000000"/>
          <w:sz w:val="28"/>
          <w:szCs w:val="20"/>
        </w:rPr>
        <w:t xml:space="preserve">В процентно съотношение внесените в съда споразумения спрямо общия брой прокурорски актове, внесени в съда е </w:t>
      </w:r>
      <w:r w:rsidRPr="006605D3">
        <w:rPr>
          <w:rFonts w:ascii="Times New Roman" w:eastAsia="Times New Roman" w:hAnsi="Times New Roman"/>
          <w:b/>
          <w:color w:val="000000"/>
          <w:sz w:val="28"/>
          <w:szCs w:val="20"/>
        </w:rPr>
        <w:t>25, 25</w:t>
      </w:r>
      <w:r w:rsidRPr="006605D3">
        <w:rPr>
          <w:rFonts w:ascii="Times New Roman" w:eastAsia="Times New Roman" w:hAnsi="Times New Roman"/>
          <w:color w:val="000000"/>
          <w:sz w:val="28"/>
          <w:szCs w:val="20"/>
        </w:rPr>
        <w:t xml:space="preserve"> %, като за 2020г. е бил 25,36%, а  за 2019 г-30,93%.</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lang w:val="ru-RU"/>
        </w:rPr>
        <w:t>През 2021г.</w:t>
      </w:r>
      <w:r w:rsidRPr="006605D3">
        <w:rPr>
          <w:rFonts w:ascii="Times New Roman" w:eastAsia="Times New Roman" w:hAnsi="Times New Roman"/>
          <w:sz w:val="28"/>
          <w:szCs w:val="20"/>
          <w:lang w:val="ru-RU"/>
        </w:rPr>
        <w:t xml:space="preserve"> в съда са внесени </w:t>
      </w:r>
      <w:r w:rsidRPr="006605D3">
        <w:rPr>
          <w:rFonts w:ascii="Times New Roman" w:eastAsia="Times New Roman" w:hAnsi="Times New Roman"/>
          <w:b/>
          <w:sz w:val="28"/>
          <w:szCs w:val="20"/>
          <w:lang w:val="ru-RU"/>
        </w:rPr>
        <w:t xml:space="preserve">80 </w:t>
      </w:r>
      <w:r w:rsidRPr="006605D3">
        <w:rPr>
          <w:rFonts w:ascii="Times New Roman" w:eastAsia="Times New Roman" w:hAnsi="Times New Roman"/>
          <w:sz w:val="28"/>
          <w:szCs w:val="20"/>
          <w:lang w:val="ru-RU"/>
        </w:rPr>
        <w:t>броя предложения по чл.78а</w:t>
      </w:r>
      <w:r w:rsidRPr="006605D3">
        <w:rPr>
          <w:rFonts w:ascii="Times New Roman" w:eastAsia="Times New Roman" w:hAnsi="Times New Roman"/>
          <w:sz w:val="28"/>
          <w:szCs w:val="20"/>
        </w:rPr>
        <w:t xml:space="preserve"> от НК за освобождаване от наказателна отговорност с налагане на административно наказание на </w:t>
      </w:r>
      <w:r w:rsidRPr="006605D3">
        <w:rPr>
          <w:rFonts w:ascii="Times New Roman" w:eastAsia="Times New Roman" w:hAnsi="Times New Roman"/>
          <w:b/>
          <w:sz w:val="28"/>
          <w:szCs w:val="20"/>
        </w:rPr>
        <w:t>80</w:t>
      </w:r>
      <w:r w:rsidRPr="006605D3">
        <w:rPr>
          <w:rFonts w:ascii="Times New Roman" w:eastAsia="Times New Roman" w:hAnsi="Times New Roman"/>
          <w:sz w:val="28"/>
          <w:szCs w:val="20"/>
        </w:rPr>
        <w:t xml:space="preserve">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lang w:val="ru-RU"/>
        </w:rPr>
        <w:t>През 2020 г.</w:t>
      </w:r>
      <w:r w:rsidRPr="006605D3">
        <w:rPr>
          <w:rFonts w:ascii="Times New Roman" w:eastAsia="Times New Roman" w:hAnsi="Times New Roman"/>
          <w:sz w:val="28"/>
          <w:szCs w:val="20"/>
          <w:lang w:val="ru-RU"/>
        </w:rPr>
        <w:t xml:space="preserve"> в съда са внесени </w:t>
      </w:r>
      <w:r w:rsidRPr="006605D3">
        <w:rPr>
          <w:rFonts w:ascii="Times New Roman" w:eastAsia="Times New Roman" w:hAnsi="Times New Roman"/>
          <w:b/>
          <w:sz w:val="28"/>
          <w:szCs w:val="20"/>
          <w:lang w:val="ru-RU"/>
        </w:rPr>
        <w:t xml:space="preserve">56 </w:t>
      </w:r>
      <w:r w:rsidRPr="006605D3">
        <w:rPr>
          <w:rFonts w:ascii="Times New Roman" w:eastAsia="Times New Roman" w:hAnsi="Times New Roman"/>
          <w:sz w:val="28"/>
          <w:szCs w:val="20"/>
          <w:lang w:val="ru-RU"/>
        </w:rPr>
        <w:t>броя предложения по чл.78а</w:t>
      </w:r>
      <w:r w:rsidRPr="006605D3">
        <w:rPr>
          <w:rFonts w:ascii="Times New Roman" w:eastAsia="Times New Roman" w:hAnsi="Times New Roman"/>
          <w:sz w:val="28"/>
          <w:szCs w:val="20"/>
        </w:rPr>
        <w:t xml:space="preserve"> от НК за освобождаване от наказателна отговорност с налагане на административно наказание на </w:t>
      </w:r>
      <w:r w:rsidRPr="006605D3">
        <w:rPr>
          <w:rFonts w:ascii="Times New Roman" w:eastAsia="Times New Roman" w:hAnsi="Times New Roman"/>
          <w:b/>
          <w:sz w:val="28"/>
          <w:szCs w:val="20"/>
        </w:rPr>
        <w:t>56</w:t>
      </w:r>
      <w:r w:rsidRPr="006605D3">
        <w:rPr>
          <w:rFonts w:ascii="Times New Roman" w:eastAsia="Times New Roman" w:hAnsi="Times New Roman"/>
          <w:sz w:val="28"/>
          <w:szCs w:val="20"/>
        </w:rPr>
        <w:t xml:space="preserve">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lang w:val="ru-RU"/>
        </w:rPr>
        <w:t>През 2019 г.</w:t>
      </w:r>
      <w:r w:rsidRPr="006605D3">
        <w:rPr>
          <w:rFonts w:ascii="Times New Roman" w:eastAsia="Times New Roman" w:hAnsi="Times New Roman"/>
          <w:sz w:val="28"/>
          <w:szCs w:val="20"/>
          <w:lang w:val="ru-RU"/>
        </w:rPr>
        <w:t xml:space="preserve"> в съда са внесени 50</w:t>
      </w:r>
      <w:r w:rsidRPr="006605D3">
        <w:rPr>
          <w:rFonts w:ascii="Times New Roman" w:eastAsia="Times New Roman" w:hAnsi="Times New Roman"/>
          <w:b/>
          <w:sz w:val="28"/>
          <w:szCs w:val="20"/>
          <w:lang w:val="ru-RU"/>
        </w:rPr>
        <w:t xml:space="preserve"> </w:t>
      </w:r>
      <w:r w:rsidRPr="006605D3">
        <w:rPr>
          <w:rFonts w:ascii="Times New Roman" w:eastAsia="Times New Roman" w:hAnsi="Times New Roman"/>
          <w:sz w:val="28"/>
          <w:szCs w:val="20"/>
          <w:lang w:val="ru-RU"/>
        </w:rPr>
        <w:t>броя предложения по чл.78а</w:t>
      </w:r>
      <w:r w:rsidRPr="006605D3">
        <w:rPr>
          <w:rFonts w:ascii="Times New Roman" w:eastAsia="Times New Roman" w:hAnsi="Times New Roman"/>
          <w:sz w:val="28"/>
          <w:szCs w:val="20"/>
        </w:rPr>
        <w:t xml:space="preserve"> от НК за освобождаване от наказателна отговорност с налагане на административно наказание на 50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За 2021 г.</w:t>
      </w:r>
      <w:r w:rsidRPr="006605D3">
        <w:rPr>
          <w:rFonts w:ascii="Times New Roman" w:eastAsia="Times New Roman" w:hAnsi="Times New Roman"/>
          <w:sz w:val="28"/>
          <w:szCs w:val="20"/>
        </w:rPr>
        <w:t xml:space="preserve"> са внесени </w:t>
      </w:r>
      <w:r w:rsidRPr="006605D3">
        <w:rPr>
          <w:rFonts w:ascii="Times New Roman" w:eastAsia="Times New Roman" w:hAnsi="Times New Roman"/>
          <w:b/>
          <w:sz w:val="28"/>
          <w:szCs w:val="20"/>
        </w:rPr>
        <w:t xml:space="preserve">80 </w:t>
      </w:r>
      <w:r w:rsidRPr="006605D3">
        <w:rPr>
          <w:rFonts w:ascii="Times New Roman" w:eastAsia="Times New Roman" w:hAnsi="Times New Roman"/>
          <w:sz w:val="28"/>
          <w:szCs w:val="20"/>
        </w:rPr>
        <w:t xml:space="preserve">предложения по отношение на </w:t>
      </w:r>
      <w:r w:rsidRPr="006605D3">
        <w:rPr>
          <w:rFonts w:ascii="Times New Roman" w:eastAsia="Times New Roman" w:hAnsi="Times New Roman"/>
          <w:b/>
          <w:sz w:val="28"/>
          <w:szCs w:val="20"/>
        </w:rPr>
        <w:t>80</w:t>
      </w:r>
      <w:r w:rsidRPr="006605D3">
        <w:rPr>
          <w:rFonts w:ascii="Times New Roman" w:eastAsia="Times New Roman" w:hAnsi="Times New Roman"/>
          <w:sz w:val="28"/>
          <w:szCs w:val="20"/>
        </w:rPr>
        <w:t xml:space="preserve"> лица за престъпление по 354а НК, като всички са за престъпление по 354а, ал.5 НК /маловажен случай</w:t>
      </w:r>
      <w:r w:rsidRPr="006605D3">
        <w:rPr>
          <w:rFonts w:ascii="Times New Roman" w:eastAsia="Times New Roman" w:hAnsi="Times New Roman"/>
          <w:b/>
          <w:sz w:val="28"/>
          <w:szCs w:val="20"/>
        </w:rPr>
        <w:t>/</w:t>
      </w:r>
      <w:r w:rsidRPr="006605D3">
        <w:rPr>
          <w:rFonts w:ascii="Times New Roman" w:eastAsia="Times New Roman" w:hAnsi="Times New Roman"/>
          <w:sz w:val="28"/>
          <w:szCs w:val="20"/>
        </w:rPr>
        <w:t>.</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За 2020 г.</w:t>
      </w:r>
      <w:r w:rsidRPr="006605D3">
        <w:rPr>
          <w:rFonts w:ascii="Times New Roman" w:eastAsia="Times New Roman" w:hAnsi="Times New Roman"/>
          <w:sz w:val="28"/>
          <w:szCs w:val="20"/>
        </w:rPr>
        <w:t xml:space="preserve"> са внесени </w:t>
      </w:r>
      <w:r w:rsidRPr="006605D3">
        <w:rPr>
          <w:rFonts w:ascii="Times New Roman" w:eastAsia="Times New Roman" w:hAnsi="Times New Roman"/>
          <w:b/>
          <w:sz w:val="28"/>
          <w:szCs w:val="20"/>
        </w:rPr>
        <w:t xml:space="preserve">56 </w:t>
      </w:r>
      <w:r w:rsidRPr="006605D3">
        <w:rPr>
          <w:rFonts w:ascii="Times New Roman" w:eastAsia="Times New Roman" w:hAnsi="Times New Roman"/>
          <w:sz w:val="28"/>
          <w:szCs w:val="20"/>
        </w:rPr>
        <w:t xml:space="preserve">предложения по отношение на </w:t>
      </w:r>
      <w:r w:rsidRPr="006605D3">
        <w:rPr>
          <w:rFonts w:ascii="Times New Roman" w:eastAsia="Times New Roman" w:hAnsi="Times New Roman"/>
          <w:b/>
          <w:sz w:val="28"/>
          <w:szCs w:val="20"/>
        </w:rPr>
        <w:t>56</w:t>
      </w:r>
      <w:r w:rsidRPr="006605D3">
        <w:rPr>
          <w:rFonts w:ascii="Times New Roman" w:eastAsia="Times New Roman" w:hAnsi="Times New Roman"/>
          <w:sz w:val="28"/>
          <w:szCs w:val="20"/>
        </w:rPr>
        <w:t xml:space="preserve"> лица за престъпление по 354а НК, като за престъпление по 354а, ал.3 НК има</w:t>
      </w:r>
      <w:r w:rsidRPr="006605D3">
        <w:rPr>
          <w:rFonts w:ascii="Times New Roman" w:eastAsia="Times New Roman" w:hAnsi="Times New Roman"/>
          <w:b/>
          <w:sz w:val="28"/>
          <w:szCs w:val="20"/>
        </w:rPr>
        <w:t xml:space="preserve"> 1</w:t>
      </w:r>
      <w:r w:rsidRPr="006605D3">
        <w:rPr>
          <w:rFonts w:ascii="Times New Roman" w:eastAsia="Times New Roman" w:hAnsi="Times New Roman"/>
          <w:sz w:val="28"/>
          <w:szCs w:val="20"/>
        </w:rPr>
        <w:t xml:space="preserve"> предложение /за </w:t>
      </w:r>
      <w:r w:rsidRPr="006605D3">
        <w:rPr>
          <w:rFonts w:ascii="Times New Roman" w:eastAsia="Times New Roman" w:hAnsi="Times New Roman"/>
          <w:b/>
          <w:sz w:val="28"/>
          <w:szCs w:val="20"/>
        </w:rPr>
        <w:t>1</w:t>
      </w:r>
      <w:r w:rsidRPr="006605D3">
        <w:rPr>
          <w:rFonts w:ascii="Times New Roman" w:eastAsia="Times New Roman" w:hAnsi="Times New Roman"/>
          <w:sz w:val="28"/>
          <w:szCs w:val="20"/>
        </w:rPr>
        <w:t xml:space="preserve"> лице/ по чл.78а от НК, а по чл. 354а, ал.5 НК</w:t>
      </w:r>
      <w:r w:rsidRPr="006605D3">
        <w:rPr>
          <w:rFonts w:ascii="Times New Roman" w:eastAsia="Times New Roman" w:hAnsi="Times New Roman"/>
          <w:sz w:val="28"/>
          <w:szCs w:val="20"/>
          <w:lang w:val="en-US"/>
        </w:rPr>
        <w:t xml:space="preserve"> </w:t>
      </w:r>
      <w:r w:rsidRPr="006605D3">
        <w:rPr>
          <w:rFonts w:ascii="Times New Roman" w:eastAsia="Times New Roman" w:hAnsi="Times New Roman"/>
          <w:b/>
          <w:sz w:val="28"/>
          <w:szCs w:val="20"/>
        </w:rPr>
        <w:t>55 /</w:t>
      </w:r>
      <w:r w:rsidRPr="006605D3">
        <w:rPr>
          <w:rFonts w:ascii="Times New Roman" w:eastAsia="Times New Roman" w:hAnsi="Times New Roman"/>
          <w:sz w:val="28"/>
          <w:szCs w:val="20"/>
        </w:rPr>
        <w:t>за</w:t>
      </w:r>
      <w:r w:rsidRPr="006605D3">
        <w:rPr>
          <w:rFonts w:ascii="Times New Roman" w:eastAsia="Times New Roman" w:hAnsi="Times New Roman"/>
          <w:b/>
          <w:sz w:val="28"/>
          <w:szCs w:val="20"/>
        </w:rPr>
        <w:t xml:space="preserve"> 55 </w:t>
      </w:r>
      <w:r w:rsidRPr="006605D3">
        <w:rPr>
          <w:rFonts w:ascii="Times New Roman" w:eastAsia="Times New Roman" w:hAnsi="Times New Roman"/>
          <w:sz w:val="28"/>
          <w:szCs w:val="20"/>
        </w:rPr>
        <w:t>лица</w:t>
      </w:r>
      <w:r w:rsidRPr="006605D3">
        <w:rPr>
          <w:rFonts w:ascii="Times New Roman" w:eastAsia="Times New Roman" w:hAnsi="Times New Roman"/>
          <w:b/>
          <w:sz w:val="28"/>
          <w:szCs w:val="20"/>
        </w:rPr>
        <w:t>/</w:t>
      </w:r>
      <w:r w:rsidRPr="006605D3">
        <w:rPr>
          <w:rFonts w:ascii="Times New Roman" w:eastAsia="Times New Roman" w:hAnsi="Times New Roman"/>
          <w:sz w:val="28"/>
          <w:szCs w:val="20"/>
        </w:rPr>
        <w:t>.</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За 2019 г. са внесени 49</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предложения по отношение на 49 лица за престъпление по 354а НК, като за престъпление по 354а, ал.3 НК има</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1 предложение /за 1 лице/ по чл.78а от НК, по чл. 354а, ал.5 НК</w:t>
      </w:r>
      <w:r w:rsidRPr="006605D3">
        <w:rPr>
          <w:rFonts w:ascii="Times New Roman" w:eastAsia="Times New Roman" w:hAnsi="Times New Roman"/>
          <w:sz w:val="28"/>
          <w:szCs w:val="20"/>
          <w:lang w:val="en-US"/>
        </w:rPr>
        <w:t xml:space="preserve"> 48</w:t>
      </w:r>
      <w:r w:rsidRPr="006605D3">
        <w:rPr>
          <w:rFonts w:ascii="Times New Roman" w:eastAsia="Times New Roman" w:hAnsi="Times New Roman"/>
          <w:sz w:val="28"/>
          <w:szCs w:val="20"/>
        </w:rPr>
        <w:t xml:space="preserve"> /за 48 лица/ и 1 брой по отношение на </w:t>
      </w:r>
      <w:r w:rsidRPr="006605D3">
        <w:rPr>
          <w:rFonts w:ascii="Times New Roman" w:eastAsia="Times New Roman" w:hAnsi="Times New Roman"/>
          <w:sz w:val="28"/>
          <w:szCs w:val="20"/>
          <w:lang w:val="en-US"/>
        </w:rPr>
        <w:t xml:space="preserve">1 </w:t>
      </w:r>
      <w:r w:rsidRPr="006605D3">
        <w:rPr>
          <w:rFonts w:ascii="Times New Roman" w:eastAsia="Times New Roman" w:hAnsi="Times New Roman"/>
          <w:sz w:val="28"/>
          <w:szCs w:val="20"/>
        </w:rPr>
        <w:t>лице за престъпление по чл.354в, ал.5 НК.</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През 2021 г.</w:t>
      </w:r>
      <w:r w:rsidRPr="006605D3">
        <w:rPr>
          <w:rFonts w:ascii="Times New Roman" w:eastAsia="Times New Roman" w:hAnsi="Times New Roman"/>
          <w:sz w:val="28"/>
          <w:szCs w:val="20"/>
        </w:rPr>
        <w:t xml:space="preserve"> внесените актове в съда са срещу </w:t>
      </w:r>
      <w:r w:rsidRPr="006605D3">
        <w:rPr>
          <w:rFonts w:ascii="Times New Roman" w:eastAsia="Times New Roman" w:hAnsi="Times New Roman"/>
          <w:b/>
          <w:sz w:val="28"/>
          <w:szCs w:val="20"/>
        </w:rPr>
        <w:t>602</w:t>
      </w:r>
      <w:r w:rsidRPr="006605D3">
        <w:rPr>
          <w:rFonts w:ascii="Times New Roman" w:eastAsia="Times New Roman" w:hAnsi="Times New Roman"/>
          <w:sz w:val="28"/>
          <w:szCs w:val="20"/>
        </w:rPr>
        <w:t xml:space="preserve">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През 2020 г. внесените актове в съда са срещу 506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През 2019 г. внесените актове в съда са срещу 460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За отчетния период най-голям е броят на внесените в съда дела за престъпление по чл.354а, ал.1 НК – </w:t>
      </w:r>
      <w:r w:rsidRPr="006605D3">
        <w:rPr>
          <w:rFonts w:ascii="Times New Roman" w:eastAsia="Times New Roman" w:hAnsi="Times New Roman"/>
          <w:b/>
          <w:sz w:val="28"/>
          <w:szCs w:val="20"/>
        </w:rPr>
        <w:t>216</w:t>
      </w:r>
      <w:r w:rsidRPr="006605D3">
        <w:rPr>
          <w:rFonts w:ascii="Times New Roman" w:eastAsia="Times New Roman" w:hAnsi="Times New Roman"/>
          <w:sz w:val="28"/>
          <w:szCs w:val="20"/>
        </w:rPr>
        <w:t xml:space="preserve"> броя. Следват тези по чл.354а, ал.3 НК – </w:t>
      </w:r>
      <w:r w:rsidRPr="006605D3">
        <w:rPr>
          <w:rFonts w:ascii="Times New Roman" w:eastAsia="Times New Roman" w:hAnsi="Times New Roman"/>
          <w:b/>
          <w:sz w:val="28"/>
          <w:szCs w:val="20"/>
        </w:rPr>
        <w:t>169</w:t>
      </w:r>
      <w:r w:rsidRPr="006605D3">
        <w:rPr>
          <w:rFonts w:ascii="Times New Roman" w:eastAsia="Times New Roman" w:hAnsi="Times New Roman"/>
          <w:sz w:val="28"/>
          <w:szCs w:val="20"/>
        </w:rPr>
        <w:t xml:space="preserve"> броя. За престъпление по чл.354а, ал.5 – </w:t>
      </w:r>
      <w:r w:rsidRPr="006605D3">
        <w:rPr>
          <w:rFonts w:ascii="Times New Roman" w:eastAsia="Times New Roman" w:hAnsi="Times New Roman"/>
          <w:b/>
          <w:sz w:val="28"/>
          <w:szCs w:val="20"/>
        </w:rPr>
        <w:t>146</w:t>
      </w:r>
      <w:r w:rsidRPr="006605D3">
        <w:rPr>
          <w:rFonts w:ascii="Times New Roman" w:eastAsia="Times New Roman" w:hAnsi="Times New Roman"/>
          <w:sz w:val="28"/>
          <w:szCs w:val="20"/>
        </w:rPr>
        <w:t xml:space="preserve"> броя, за престъпление по 354а, ал.2 НК – </w:t>
      </w:r>
      <w:r w:rsidRPr="006605D3">
        <w:rPr>
          <w:rFonts w:ascii="Times New Roman" w:eastAsia="Times New Roman" w:hAnsi="Times New Roman"/>
          <w:b/>
          <w:sz w:val="28"/>
          <w:szCs w:val="20"/>
        </w:rPr>
        <w:t>42</w:t>
      </w:r>
      <w:r w:rsidRPr="006605D3">
        <w:rPr>
          <w:rFonts w:ascii="Times New Roman" w:eastAsia="Times New Roman" w:hAnsi="Times New Roman"/>
          <w:sz w:val="28"/>
          <w:szCs w:val="20"/>
        </w:rPr>
        <w:t xml:space="preserve"> броя, за престъпление по чл.354в от НК </w:t>
      </w:r>
      <w:r w:rsidRPr="006605D3">
        <w:rPr>
          <w:rFonts w:ascii="Times New Roman" w:eastAsia="Times New Roman" w:hAnsi="Times New Roman"/>
          <w:b/>
          <w:sz w:val="28"/>
          <w:szCs w:val="20"/>
        </w:rPr>
        <w:t>– 5 броя</w:t>
      </w:r>
      <w:r w:rsidRPr="006605D3">
        <w:rPr>
          <w:rFonts w:ascii="Times New Roman" w:eastAsia="Times New Roman" w:hAnsi="Times New Roman"/>
          <w:sz w:val="28"/>
          <w:szCs w:val="20"/>
        </w:rPr>
        <w:t>.</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През 2020г. най-голям е бил броят на внесените в съда дела за престъпление по чл.354а, ал.1 НК – 186 броя. Следват тези по чл.354а, ал.3 НК – 152 броя. За престъпление по чл.354а, ал.5 – 115 броя, за престъпление по 354а, ал.2 НК – 31 броя, за престъпление по чл.354в от НК - няма.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lastRenderedPageBreak/>
        <w:t xml:space="preserve">За 2019 г. най-голям брой внесени в съда дела са били тези за престъпление по чл.354а, ал.1 НК – 162 броя. Следват тези по чл.354а, ал.3 НК – 128 броя. За престъпление по чл.354а, ал.5 – 111 броя, за престъпление по 354а, ал.2 НК – 22 броя, а за престъпление по чл.354в от НК - 7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отчетния период, както и за предходните две години няма внесени в съда дела за престъпление по чл.354а, ал.4 от НК и по чл.354б от НК.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2021 г. е образувано </w:t>
      </w:r>
      <w:r w:rsidRPr="006605D3">
        <w:rPr>
          <w:rFonts w:ascii="Times New Roman" w:eastAsia="Times New Roman" w:hAnsi="Times New Roman"/>
          <w:b/>
          <w:sz w:val="28"/>
          <w:szCs w:val="20"/>
        </w:rPr>
        <w:t>едно</w:t>
      </w:r>
      <w:r w:rsidRPr="006605D3">
        <w:rPr>
          <w:rFonts w:ascii="Times New Roman" w:eastAsia="Times New Roman" w:hAnsi="Times New Roman"/>
          <w:sz w:val="28"/>
          <w:szCs w:val="20"/>
        </w:rPr>
        <w:t xml:space="preserve"> дело за престъпления по чл. 354б от НК, като същото е приключило с постановен акт на прокурора за спиране на производството.</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r w:rsidRPr="006605D3">
        <w:rPr>
          <w:rFonts w:ascii="Times New Roman" w:eastAsia="Times New Roman" w:hAnsi="Times New Roman"/>
          <w:color w:val="000000"/>
          <w:sz w:val="28"/>
          <w:szCs w:val="20"/>
        </w:rPr>
        <w:t xml:space="preserve">Анализът на данните за 2021 г. сочи увеличение на престъпленията по чл.354а, ал.1 НК. И през трите години се запазва тенденцията най-малко дела да се внасят за престъпление по чл.354в от НК.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През 2021 г.</w:t>
      </w:r>
      <w:r w:rsidRPr="006605D3">
        <w:rPr>
          <w:rFonts w:ascii="Times New Roman" w:eastAsia="Times New Roman" w:hAnsi="Times New Roman"/>
          <w:sz w:val="28"/>
          <w:szCs w:val="20"/>
        </w:rPr>
        <w:t xml:space="preserve"> с влязъл в сила съдебен акт са осъдени и санкционирани </w:t>
      </w:r>
      <w:r w:rsidRPr="006605D3">
        <w:rPr>
          <w:rFonts w:ascii="Times New Roman" w:eastAsia="Times New Roman" w:hAnsi="Times New Roman"/>
          <w:b/>
          <w:sz w:val="28"/>
          <w:szCs w:val="20"/>
        </w:rPr>
        <w:t>497</w:t>
      </w:r>
      <w:r w:rsidRPr="006605D3">
        <w:rPr>
          <w:rFonts w:ascii="Times New Roman" w:eastAsia="Times New Roman" w:hAnsi="Times New Roman"/>
          <w:sz w:val="28"/>
          <w:szCs w:val="20"/>
        </w:rPr>
        <w:t xml:space="preserve"> лица /от тях превес имат тези по чл.354а от НК- </w:t>
      </w:r>
      <w:r w:rsidRPr="006605D3">
        <w:rPr>
          <w:rFonts w:ascii="Times New Roman" w:eastAsia="Times New Roman" w:hAnsi="Times New Roman"/>
          <w:b/>
          <w:sz w:val="28"/>
          <w:szCs w:val="20"/>
        </w:rPr>
        <w:t xml:space="preserve">494 </w:t>
      </w:r>
      <w:r w:rsidRPr="006605D3">
        <w:rPr>
          <w:rFonts w:ascii="Times New Roman" w:eastAsia="Times New Roman" w:hAnsi="Times New Roman"/>
          <w:sz w:val="28"/>
          <w:szCs w:val="20"/>
        </w:rPr>
        <w:t>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 xml:space="preserve">За сравнение,  </w:t>
      </w:r>
      <w:r w:rsidRPr="006605D3">
        <w:rPr>
          <w:rFonts w:ascii="Times New Roman" w:eastAsia="Times New Roman" w:hAnsi="Times New Roman"/>
          <w:sz w:val="28"/>
          <w:szCs w:val="20"/>
        </w:rPr>
        <w:t>през 2020 г. с влязъл в сила съдебен акт са осъдени и санкционирани 364 лица /от тях превес имат тези по чл.354а от НК- 362 лица/, а</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 xml:space="preserve">през 2019 г. с влязъл в сила съдебен акт са осъдени и санкционирани 381 лица /от тях превес имат тези по чл.354а от НК- 375 лица.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b/>
          <w:sz w:val="28"/>
          <w:szCs w:val="20"/>
        </w:rPr>
        <w:t>През 2021 г.</w:t>
      </w:r>
      <w:r w:rsidRPr="006605D3">
        <w:rPr>
          <w:rFonts w:ascii="Times New Roman" w:eastAsia="Times New Roman" w:hAnsi="Times New Roman"/>
          <w:sz w:val="28"/>
          <w:szCs w:val="20"/>
        </w:rPr>
        <w:t xml:space="preserve"> с влязъл в сила съдебен акт са оправдани</w:t>
      </w:r>
      <w:r w:rsidRPr="006605D3">
        <w:rPr>
          <w:rFonts w:ascii="Times New Roman" w:eastAsia="Times New Roman" w:hAnsi="Times New Roman"/>
          <w:b/>
          <w:sz w:val="28"/>
          <w:szCs w:val="20"/>
        </w:rPr>
        <w:t xml:space="preserve"> 16</w:t>
      </w:r>
      <w:r w:rsidRPr="006605D3">
        <w:rPr>
          <w:rFonts w:ascii="Times New Roman" w:eastAsia="Times New Roman" w:hAnsi="Times New Roman"/>
          <w:sz w:val="28"/>
          <w:szCs w:val="20"/>
        </w:rPr>
        <w:t xml:space="preserve"> лица. За 2020г. оправдани са били 5 лица, а през 2019г. оправданите лица са </w:t>
      </w:r>
      <w:r w:rsidRPr="006605D3">
        <w:rPr>
          <w:rFonts w:ascii="Times New Roman" w:eastAsia="Times New Roman" w:hAnsi="Times New Roman"/>
          <w:b/>
          <w:sz w:val="28"/>
          <w:szCs w:val="20"/>
        </w:rPr>
        <w:t>9</w:t>
      </w:r>
      <w:r w:rsidRPr="006605D3">
        <w:rPr>
          <w:rFonts w:ascii="Times New Roman" w:eastAsia="Times New Roman" w:hAnsi="Times New Roman"/>
          <w:sz w:val="28"/>
          <w:szCs w:val="20"/>
        </w:rPr>
        <w:t xml:space="preserve">.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За отчетния период най-голям е броят на осъдените лица с влязъл в сила съдебен акт за престъпление по чл.354а, ал.1 НК – </w:t>
      </w:r>
      <w:r w:rsidRPr="006605D3">
        <w:rPr>
          <w:rFonts w:ascii="Times New Roman" w:eastAsia="Times New Roman" w:hAnsi="Times New Roman"/>
          <w:b/>
          <w:bCs/>
          <w:sz w:val="28"/>
          <w:szCs w:val="20"/>
        </w:rPr>
        <w:t>226</w:t>
      </w:r>
      <w:r w:rsidRPr="006605D3">
        <w:rPr>
          <w:rFonts w:ascii="Times New Roman" w:eastAsia="Times New Roman" w:hAnsi="Times New Roman"/>
          <w:sz w:val="28"/>
          <w:szCs w:val="20"/>
        </w:rPr>
        <w:t xml:space="preserve"> лица. Следват осъдените лица по чл.354а, ал.3 – </w:t>
      </w:r>
      <w:r w:rsidRPr="006605D3">
        <w:rPr>
          <w:rFonts w:ascii="Times New Roman" w:eastAsia="Times New Roman" w:hAnsi="Times New Roman"/>
          <w:b/>
          <w:sz w:val="28"/>
          <w:szCs w:val="20"/>
        </w:rPr>
        <w:t xml:space="preserve">132 </w:t>
      </w:r>
      <w:r w:rsidRPr="006605D3">
        <w:rPr>
          <w:rFonts w:ascii="Times New Roman" w:eastAsia="Times New Roman" w:hAnsi="Times New Roman"/>
          <w:sz w:val="28"/>
          <w:szCs w:val="20"/>
        </w:rPr>
        <w:t xml:space="preserve">лица, по чл.354а, ал.5 – </w:t>
      </w:r>
      <w:r w:rsidRPr="006605D3">
        <w:rPr>
          <w:rFonts w:ascii="Times New Roman" w:eastAsia="Times New Roman" w:hAnsi="Times New Roman"/>
          <w:b/>
          <w:sz w:val="28"/>
          <w:szCs w:val="20"/>
        </w:rPr>
        <w:t>100</w:t>
      </w:r>
      <w:r w:rsidRPr="006605D3">
        <w:rPr>
          <w:rFonts w:ascii="Times New Roman" w:eastAsia="Times New Roman" w:hAnsi="Times New Roman"/>
          <w:sz w:val="28"/>
          <w:szCs w:val="20"/>
        </w:rPr>
        <w:t xml:space="preserve"> лица, по чл.354а, ал.2 от НК – </w:t>
      </w:r>
      <w:r w:rsidRPr="006605D3">
        <w:rPr>
          <w:rFonts w:ascii="Times New Roman" w:eastAsia="Times New Roman" w:hAnsi="Times New Roman"/>
          <w:b/>
          <w:sz w:val="28"/>
          <w:szCs w:val="20"/>
        </w:rPr>
        <w:t>36</w:t>
      </w:r>
      <w:r w:rsidRPr="006605D3">
        <w:rPr>
          <w:rFonts w:ascii="Times New Roman" w:eastAsia="Times New Roman" w:hAnsi="Times New Roman"/>
          <w:sz w:val="28"/>
          <w:szCs w:val="20"/>
        </w:rPr>
        <w:t xml:space="preserve"> лица.</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За сравнение</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през 2020г.  най-голям е броят на осъдените лица с влязъл в сила съдебен акт за престъпление по чл.354а, ал.1 НК – 166 лица. Следват осъдените лица по чл.354а, ал.3 – 106 лица, по чл.354а, ал.5 – 60 лица, по чл.354а, ал.2 от НК – 30</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броя, а</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 xml:space="preserve">през 2019 г. най-голям е броят на осъдените лица с влязъл в сила съдебен акт за престъпление по чл.354а, ал.1 НК – </w:t>
      </w:r>
      <w:r w:rsidRPr="006605D3">
        <w:rPr>
          <w:rFonts w:ascii="Times New Roman" w:eastAsia="Times New Roman" w:hAnsi="Times New Roman"/>
          <w:bCs/>
          <w:sz w:val="28"/>
          <w:szCs w:val="20"/>
        </w:rPr>
        <w:t>175</w:t>
      </w:r>
      <w:r w:rsidRPr="006605D3">
        <w:rPr>
          <w:rFonts w:ascii="Times New Roman" w:eastAsia="Times New Roman" w:hAnsi="Times New Roman"/>
          <w:sz w:val="28"/>
          <w:szCs w:val="20"/>
        </w:rPr>
        <w:t xml:space="preserve"> лица. Следват осъдените лица по чл.354а, ал.3 – 107 броя, по чл.354а, ал.5 – 67 броя, по чл.354а, ал.2 от НК – 26 броя, а по чл. 354в от НК – 6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lastRenderedPageBreak/>
        <w:t xml:space="preserve">Общо наложените наказания </w:t>
      </w:r>
      <w:r w:rsidRPr="006605D3">
        <w:rPr>
          <w:rFonts w:ascii="Times New Roman" w:eastAsia="Times New Roman" w:hAnsi="Times New Roman"/>
          <w:b/>
          <w:sz w:val="28"/>
          <w:szCs w:val="20"/>
        </w:rPr>
        <w:t>за 2021 г.</w:t>
      </w:r>
      <w:r w:rsidRPr="006605D3">
        <w:rPr>
          <w:rFonts w:ascii="Times New Roman" w:eastAsia="Times New Roman" w:hAnsi="Times New Roman"/>
          <w:sz w:val="28"/>
          <w:szCs w:val="20"/>
        </w:rPr>
        <w:t xml:space="preserve"> са </w:t>
      </w:r>
      <w:r w:rsidRPr="006605D3">
        <w:rPr>
          <w:rFonts w:ascii="Times New Roman" w:eastAsia="Times New Roman" w:hAnsi="Times New Roman"/>
          <w:b/>
          <w:sz w:val="28"/>
          <w:szCs w:val="20"/>
        </w:rPr>
        <w:t>605</w:t>
      </w:r>
      <w:r w:rsidRPr="006605D3">
        <w:rPr>
          <w:rFonts w:ascii="Times New Roman" w:eastAsia="Times New Roman" w:hAnsi="Times New Roman"/>
          <w:sz w:val="28"/>
          <w:szCs w:val="20"/>
        </w:rPr>
        <w:t xml:space="preserve"> броя. От тях „ефективно лишаване от свобода” са </w:t>
      </w:r>
      <w:r w:rsidRPr="006605D3">
        <w:rPr>
          <w:rFonts w:ascii="Times New Roman" w:eastAsia="Times New Roman" w:hAnsi="Times New Roman"/>
          <w:b/>
          <w:sz w:val="28"/>
          <w:szCs w:val="20"/>
        </w:rPr>
        <w:t>111</w:t>
      </w:r>
      <w:r w:rsidRPr="006605D3">
        <w:rPr>
          <w:rFonts w:ascii="Times New Roman" w:eastAsia="Times New Roman" w:hAnsi="Times New Roman"/>
          <w:sz w:val="28"/>
          <w:szCs w:val="20"/>
        </w:rPr>
        <w:t xml:space="preserve"> броя. Наказанията с отложено изпълнение на осн. чл.66, ал.1 от НК</w:t>
      </w:r>
      <w:r w:rsidRPr="006605D3">
        <w:rPr>
          <w:rFonts w:ascii="Times New Roman" w:eastAsia="Times New Roman" w:hAnsi="Times New Roman"/>
          <w:b/>
          <w:sz w:val="28"/>
          <w:szCs w:val="20"/>
        </w:rPr>
        <w:t xml:space="preserve"> </w:t>
      </w:r>
      <w:r w:rsidRPr="006605D3">
        <w:rPr>
          <w:rFonts w:ascii="Times New Roman" w:eastAsia="Times New Roman" w:hAnsi="Times New Roman"/>
          <w:sz w:val="28"/>
          <w:szCs w:val="20"/>
        </w:rPr>
        <w:t xml:space="preserve">са </w:t>
      </w:r>
      <w:r w:rsidRPr="006605D3">
        <w:rPr>
          <w:rFonts w:ascii="Times New Roman" w:eastAsia="Times New Roman" w:hAnsi="Times New Roman"/>
          <w:b/>
          <w:sz w:val="28"/>
          <w:szCs w:val="20"/>
        </w:rPr>
        <w:t>266</w:t>
      </w:r>
      <w:r w:rsidRPr="006605D3">
        <w:rPr>
          <w:rFonts w:ascii="Times New Roman" w:eastAsia="Times New Roman" w:hAnsi="Times New Roman"/>
          <w:sz w:val="28"/>
          <w:szCs w:val="20"/>
        </w:rPr>
        <w:t xml:space="preserve"> броя. „Пробация“ е наложена на </w:t>
      </w:r>
      <w:r w:rsidRPr="006605D3">
        <w:rPr>
          <w:rFonts w:ascii="Times New Roman" w:eastAsia="Times New Roman" w:hAnsi="Times New Roman"/>
          <w:b/>
          <w:sz w:val="28"/>
          <w:szCs w:val="20"/>
        </w:rPr>
        <w:t>9</w:t>
      </w:r>
      <w:r w:rsidRPr="006605D3">
        <w:rPr>
          <w:rFonts w:ascii="Times New Roman" w:eastAsia="Times New Roman" w:hAnsi="Times New Roman"/>
          <w:sz w:val="28"/>
          <w:szCs w:val="20"/>
        </w:rPr>
        <w:t xml:space="preserve"> лица, а „Глоба“ на </w:t>
      </w:r>
      <w:r w:rsidRPr="006605D3">
        <w:rPr>
          <w:rFonts w:ascii="Times New Roman" w:eastAsia="Times New Roman" w:hAnsi="Times New Roman"/>
          <w:b/>
          <w:sz w:val="28"/>
          <w:szCs w:val="20"/>
        </w:rPr>
        <w:t>204</w:t>
      </w:r>
      <w:r w:rsidRPr="006605D3">
        <w:rPr>
          <w:rFonts w:ascii="Times New Roman" w:eastAsia="Times New Roman" w:hAnsi="Times New Roman"/>
          <w:sz w:val="28"/>
          <w:szCs w:val="20"/>
        </w:rPr>
        <w:t xml:space="preserve"> лица, като размерът на средствата от глоби е </w:t>
      </w:r>
      <w:r w:rsidRPr="006605D3">
        <w:rPr>
          <w:rFonts w:ascii="Times New Roman" w:eastAsia="Times New Roman" w:hAnsi="Times New Roman"/>
          <w:b/>
          <w:sz w:val="28"/>
          <w:szCs w:val="20"/>
        </w:rPr>
        <w:t>538 600 лв. Пет</w:t>
      </w:r>
      <w:r w:rsidRPr="006605D3">
        <w:rPr>
          <w:rFonts w:ascii="Times New Roman" w:eastAsia="Times New Roman" w:hAnsi="Times New Roman"/>
          <w:sz w:val="28"/>
          <w:szCs w:val="20"/>
        </w:rPr>
        <w:t xml:space="preserve"> броя са наложените „други наказания“.</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За сравнение,  общо наложените наказания за 2020 г. са 459 броя. От тях „ефективно лишаване от свобода” са 100 броя. Наказанията с отложено изпълнение на осн. чл.66, ал.1 от НК са 195 броя. „Пробация“ е наложена на 3 лица, а „Глоба“ на 156 лица, като размерът на средствата от глоби е 505 450 лв. Пет броя са наложените „други наказания“.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2019 г. общо наложените наказания са 484 броя. От тях „ефективно лишаване от свобода” са 98 броя. Наказанията с отложено изпълнение на осн. чл.66, ал.1 от НК са 195 броя. „Пробация“ е наложена на 9 лица, а „глоба“ на 178 лица, като размерът на средствата от глоби е 568 150 лв. Четири броя са наложените „други наказания“.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r w:rsidRPr="006605D3">
        <w:rPr>
          <w:rFonts w:ascii="Times New Roman" w:eastAsia="Times New Roman" w:hAnsi="Times New Roman"/>
          <w:color w:val="000000"/>
          <w:sz w:val="28"/>
          <w:szCs w:val="20"/>
        </w:rPr>
        <w:t xml:space="preserve">Спрямо предходните години се наблюдава ръст в наложените наказания и ръст в показателя за наложени наказания „Пробация“, „Глоба“ и наказанията с отложено изпълнение на осн. чл.66, ал.1 от НК. За сметка на това се наблюдава спад по отношение на наказанията „ефективно лишаване от свобода“.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За отчетния период спрените дела са </w:t>
      </w:r>
      <w:r w:rsidRPr="006605D3">
        <w:rPr>
          <w:rFonts w:ascii="Times New Roman" w:eastAsia="Times New Roman" w:hAnsi="Times New Roman"/>
          <w:b/>
          <w:sz w:val="28"/>
          <w:szCs w:val="20"/>
        </w:rPr>
        <w:t>96</w:t>
      </w:r>
      <w:r w:rsidRPr="006605D3">
        <w:rPr>
          <w:rFonts w:ascii="Times New Roman" w:eastAsia="Times New Roman" w:hAnsi="Times New Roman"/>
          <w:sz w:val="28"/>
          <w:szCs w:val="20"/>
        </w:rPr>
        <w:t xml:space="preserve"> броя. За сравнение за 2020г. те са били 79 броя, а за 2019 г. те са 103 броя.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r w:rsidRPr="006605D3">
        <w:rPr>
          <w:rFonts w:ascii="Times New Roman" w:eastAsia="Times New Roman" w:hAnsi="Times New Roman"/>
          <w:sz w:val="28"/>
          <w:szCs w:val="20"/>
        </w:rPr>
        <w:t xml:space="preserve">През 2021 г. са прекратени </w:t>
      </w:r>
      <w:r w:rsidRPr="006605D3">
        <w:rPr>
          <w:rFonts w:ascii="Times New Roman" w:eastAsia="Times New Roman" w:hAnsi="Times New Roman"/>
          <w:b/>
          <w:sz w:val="28"/>
          <w:szCs w:val="20"/>
        </w:rPr>
        <w:t xml:space="preserve">1817 </w:t>
      </w:r>
      <w:r w:rsidRPr="006605D3">
        <w:rPr>
          <w:rFonts w:ascii="Times New Roman" w:eastAsia="Times New Roman" w:hAnsi="Times New Roman"/>
          <w:sz w:val="28"/>
          <w:szCs w:val="20"/>
        </w:rPr>
        <w:t xml:space="preserve">досъдебни производства. През 2020г. са прекратени 2080 броя, а през 2019г. техният брой е 2630. </w:t>
      </w: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0"/>
        </w:rPr>
      </w:pPr>
    </w:p>
    <w:p w:rsidR="006605D3" w:rsidRPr="006605D3" w:rsidRDefault="006605D3"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0"/>
        </w:rPr>
      </w:pPr>
      <w:r w:rsidRPr="006605D3">
        <w:rPr>
          <w:rFonts w:ascii="Times New Roman" w:eastAsia="Times New Roman" w:hAnsi="Times New Roman"/>
          <w:color w:val="000000"/>
          <w:sz w:val="28"/>
          <w:szCs w:val="20"/>
        </w:rPr>
        <w:t xml:space="preserve">През отчетния период се наблюдава ръст в дела на върнатите от съда дела спрямо внесените прокурорски актове за тези престъпления. Върнатите за доразследване през 2021 г. от съда дела са </w:t>
      </w:r>
      <w:r w:rsidRPr="006605D3">
        <w:rPr>
          <w:rFonts w:ascii="Times New Roman" w:eastAsia="Times New Roman" w:hAnsi="Times New Roman"/>
          <w:b/>
          <w:color w:val="000000"/>
          <w:sz w:val="28"/>
          <w:szCs w:val="20"/>
        </w:rPr>
        <w:t xml:space="preserve">30. </w:t>
      </w:r>
      <w:r w:rsidRPr="006605D3">
        <w:rPr>
          <w:rFonts w:ascii="Times New Roman" w:eastAsia="Times New Roman" w:hAnsi="Times New Roman"/>
          <w:color w:val="000000"/>
          <w:sz w:val="28"/>
          <w:szCs w:val="20"/>
        </w:rPr>
        <w:t>За 2020г. са били върнати 17 дела, а</w:t>
      </w:r>
      <w:r w:rsidRPr="006605D3">
        <w:rPr>
          <w:rFonts w:ascii="Times New Roman" w:eastAsia="Times New Roman" w:hAnsi="Times New Roman"/>
          <w:b/>
          <w:color w:val="000000"/>
          <w:sz w:val="28"/>
          <w:szCs w:val="20"/>
        </w:rPr>
        <w:t xml:space="preserve"> </w:t>
      </w:r>
      <w:r w:rsidRPr="006605D3">
        <w:rPr>
          <w:rFonts w:ascii="Times New Roman" w:eastAsia="Times New Roman" w:hAnsi="Times New Roman"/>
          <w:color w:val="000000"/>
          <w:sz w:val="28"/>
          <w:szCs w:val="20"/>
        </w:rPr>
        <w:t xml:space="preserve">За 2019 г. са върнати за доразследване 19 дела. В процентно отношение върнатите дела за 2021г. са </w:t>
      </w:r>
      <w:r w:rsidRPr="006605D3">
        <w:rPr>
          <w:rFonts w:ascii="Times New Roman" w:eastAsia="Times New Roman" w:hAnsi="Times New Roman"/>
          <w:b/>
          <w:color w:val="000000"/>
          <w:sz w:val="28"/>
          <w:szCs w:val="20"/>
        </w:rPr>
        <w:t>5,19%,</w:t>
      </w:r>
      <w:r w:rsidRPr="006605D3">
        <w:rPr>
          <w:rFonts w:ascii="Times New Roman" w:eastAsia="Times New Roman" w:hAnsi="Times New Roman"/>
          <w:color w:val="000000"/>
          <w:sz w:val="28"/>
          <w:szCs w:val="20"/>
        </w:rPr>
        <w:t xml:space="preserve"> което прави повишение с 1, 69 % спрямо предходния отчетен период. За 2020г. са върнати 3,5 % от делата, а за  2019г. - 4,41%. </w:t>
      </w:r>
    </w:p>
    <w:p w:rsidR="006605D3" w:rsidRDefault="006605D3" w:rsidP="004D24A1">
      <w:pPr>
        <w:overflowPunct w:val="0"/>
        <w:autoSpaceDE w:val="0"/>
        <w:autoSpaceDN w:val="0"/>
        <w:adjustRightInd w:val="0"/>
        <w:spacing w:after="120"/>
        <w:jc w:val="both"/>
        <w:rPr>
          <w:rFonts w:ascii="Times New Roman" w:eastAsia="Times New Roman" w:hAnsi="Times New Roman"/>
          <w:color w:val="FF0000"/>
          <w:sz w:val="28"/>
          <w:szCs w:val="20"/>
          <w:u w:val="single"/>
        </w:rPr>
      </w:pPr>
    </w:p>
    <w:p w:rsidR="001C1882" w:rsidRDefault="001C1882" w:rsidP="004D24A1">
      <w:pPr>
        <w:overflowPunct w:val="0"/>
        <w:autoSpaceDE w:val="0"/>
        <w:autoSpaceDN w:val="0"/>
        <w:adjustRightInd w:val="0"/>
        <w:spacing w:after="120"/>
        <w:jc w:val="both"/>
        <w:rPr>
          <w:rFonts w:ascii="Times New Roman" w:eastAsia="Times New Roman" w:hAnsi="Times New Roman"/>
          <w:color w:val="FF0000"/>
          <w:sz w:val="28"/>
          <w:szCs w:val="20"/>
          <w:u w:val="single"/>
        </w:rPr>
      </w:pPr>
    </w:p>
    <w:p w:rsidR="001C1882" w:rsidRDefault="001C1882" w:rsidP="004D24A1">
      <w:pPr>
        <w:overflowPunct w:val="0"/>
        <w:autoSpaceDE w:val="0"/>
        <w:autoSpaceDN w:val="0"/>
        <w:adjustRightInd w:val="0"/>
        <w:spacing w:after="120"/>
        <w:jc w:val="both"/>
        <w:rPr>
          <w:rFonts w:ascii="Times New Roman" w:eastAsia="Times New Roman" w:hAnsi="Times New Roman"/>
          <w:color w:val="FF0000"/>
          <w:sz w:val="28"/>
          <w:szCs w:val="20"/>
          <w:u w:val="single"/>
        </w:rPr>
      </w:pPr>
    </w:p>
    <w:p w:rsidR="001C1882" w:rsidRPr="006605D3" w:rsidRDefault="001C1882" w:rsidP="004D24A1">
      <w:pPr>
        <w:overflowPunct w:val="0"/>
        <w:autoSpaceDE w:val="0"/>
        <w:autoSpaceDN w:val="0"/>
        <w:adjustRightInd w:val="0"/>
        <w:spacing w:after="120"/>
        <w:jc w:val="both"/>
        <w:rPr>
          <w:rFonts w:ascii="Times New Roman" w:eastAsia="Times New Roman" w:hAnsi="Times New Roman"/>
          <w:color w:val="FF0000"/>
          <w:sz w:val="28"/>
          <w:szCs w:val="20"/>
          <w:u w:val="single"/>
        </w:rPr>
      </w:pPr>
    </w:p>
    <w:p w:rsidR="006605D3" w:rsidRPr="006605D3" w:rsidRDefault="006605D3" w:rsidP="004D24A1">
      <w:pPr>
        <w:overflowPunct w:val="0"/>
        <w:autoSpaceDE w:val="0"/>
        <w:autoSpaceDN w:val="0"/>
        <w:adjustRightInd w:val="0"/>
        <w:spacing w:after="120"/>
        <w:jc w:val="both"/>
        <w:rPr>
          <w:rFonts w:ascii="Times New Roman" w:eastAsia="Times New Roman" w:hAnsi="Times New Roman"/>
          <w:b/>
          <w:sz w:val="28"/>
          <w:szCs w:val="28"/>
        </w:rPr>
      </w:pPr>
      <w:r w:rsidRPr="006605D3">
        <w:rPr>
          <w:rFonts w:ascii="Times New Roman" w:eastAsia="Times New Roman" w:hAnsi="Times New Roman"/>
          <w:b/>
          <w:sz w:val="28"/>
          <w:szCs w:val="28"/>
        </w:rPr>
        <w:lastRenderedPageBreak/>
        <w:tab/>
        <w:t>Незаконен трафик на хора</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648"/>
        <w:gridCol w:w="1496"/>
        <w:gridCol w:w="1496"/>
        <w:gridCol w:w="1494"/>
      </w:tblGrid>
      <w:tr w:rsidR="006605D3" w:rsidRPr="006605D3" w:rsidTr="00E22699">
        <w:trPr>
          <w:trHeight w:val="450"/>
          <w:jc w:val="center"/>
        </w:trPr>
        <w:tc>
          <w:tcPr>
            <w:tcW w:w="2544" w:type="pct"/>
            <w:tcBorders>
              <w:top w:val="single" w:sz="4" w:space="0" w:color="auto"/>
              <w:left w:val="single" w:sz="4" w:space="0" w:color="auto"/>
              <w:bottom w:val="single" w:sz="4" w:space="0" w:color="auto"/>
              <w:right w:val="single" w:sz="4" w:space="0" w:color="auto"/>
            </w:tcBorders>
            <w:shd w:val="clear" w:color="auto" w:fill="C4BC96"/>
            <w:noWrap/>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19"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jc w:val="center"/>
              <w:rPr>
                <w:rFonts w:ascii="Times New Roman" w:hAnsi="Times New Roman"/>
                <w:sz w:val="28"/>
                <w:szCs w:val="28"/>
              </w:rPr>
            </w:pPr>
            <w:r w:rsidRPr="006605D3">
              <w:rPr>
                <w:rFonts w:ascii="Times New Roman" w:hAnsi="Times New Roman"/>
                <w:sz w:val="28"/>
                <w:szCs w:val="28"/>
              </w:rPr>
              <w:t>2019 г.</w:t>
            </w:r>
          </w:p>
        </w:tc>
        <w:tc>
          <w:tcPr>
            <w:tcW w:w="819" w:type="pct"/>
            <w:tcBorders>
              <w:top w:val="single" w:sz="4" w:space="0" w:color="auto"/>
              <w:left w:val="single" w:sz="4" w:space="0" w:color="auto"/>
              <w:bottom w:val="single" w:sz="4" w:space="0" w:color="auto"/>
              <w:right w:val="single" w:sz="4" w:space="0" w:color="auto"/>
            </w:tcBorders>
            <w:shd w:val="clear" w:color="auto" w:fill="C4BC96"/>
          </w:tcPr>
          <w:p w:rsidR="006605D3" w:rsidRPr="006605D3" w:rsidRDefault="006605D3" w:rsidP="004D24A1">
            <w:pPr>
              <w:autoSpaceDN w:val="0"/>
              <w:jc w:val="center"/>
              <w:rPr>
                <w:rFonts w:ascii="Times New Roman" w:hAnsi="Times New Roman"/>
                <w:sz w:val="28"/>
                <w:szCs w:val="28"/>
              </w:rPr>
            </w:pPr>
            <w:r w:rsidRPr="006605D3">
              <w:rPr>
                <w:rFonts w:ascii="Times New Roman" w:eastAsia="Times New Roman" w:hAnsi="Times New Roman"/>
                <w:sz w:val="28"/>
                <w:szCs w:val="28"/>
                <w:lang w:eastAsia="bg-BG"/>
              </w:rPr>
              <w:t>2020 г.</w:t>
            </w:r>
          </w:p>
        </w:tc>
        <w:tc>
          <w:tcPr>
            <w:tcW w:w="818" w:type="pct"/>
            <w:tcBorders>
              <w:top w:val="single" w:sz="4" w:space="0" w:color="auto"/>
              <w:left w:val="single" w:sz="4" w:space="0" w:color="auto"/>
              <w:bottom w:val="single" w:sz="4" w:space="0" w:color="auto"/>
              <w:right w:val="single" w:sz="4" w:space="0" w:color="auto"/>
            </w:tcBorders>
            <w:shd w:val="clear" w:color="auto" w:fill="C4BC96"/>
            <w:hideMark/>
          </w:tcPr>
          <w:p w:rsidR="006605D3" w:rsidRPr="006605D3" w:rsidRDefault="006605D3" w:rsidP="004D24A1">
            <w:pPr>
              <w:autoSpaceDN w:val="0"/>
              <w:jc w:val="center"/>
              <w:rPr>
                <w:rFonts w:ascii="Times New Roman" w:hAnsi="Times New Roman"/>
                <w:b/>
                <w:sz w:val="28"/>
                <w:szCs w:val="28"/>
              </w:rPr>
            </w:pPr>
            <w:r w:rsidRPr="006605D3">
              <w:rPr>
                <w:rFonts w:ascii="Times New Roman" w:hAnsi="Times New Roman"/>
                <w:b/>
                <w:sz w:val="28"/>
                <w:szCs w:val="28"/>
              </w:rPr>
              <w:t>20</w:t>
            </w:r>
            <w:r w:rsidRPr="006605D3">
              <w:rPr>
                <w:rFonts w:ascii="Times New Roman" w:hAnsi="Times New Roman"/>
                <w:b/>
                <w:sz w:val="28"/>
                <w:szCs w:val="28"/>
                <w:lang w:val="en-US"/>
              </w:rPr>
              <w:t>2</w:t>
            </w:r>
            <w:r w:rsidRPr="006605D3">
              <w:rPr>
                <w:rFonts w:ascii="Times New Roman" w:hAnsi="Times New Roman"/>
                <w:b/>
                <w:sz w:val="28"/>
                <w:szCs w:val="28"/>
              </w:rPr>
              <w:t>1 г.</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eastAsia="Times New Roman" w:hAnsi="Times New Roman"/>
                <w:sz w:val="28"/>
                <w:szCs w:val="28"/>
                <w:lang w:val="en-US" w:eastAsia="bg-BG"/>
              </w:rPr>
            </w:pPr>
            <w:r w:rsidRPr="006605D3">
              <w:rPr>
                <w:rFonts w:ascii="Times New Roman" w:eastAsia="Times New Roman" w:hAnsi="Times New Roman"/>
                <w:sz w:val="28"/>
                <w:szCs w:val="28"/>
                <w:lang w:eastAsia="bg-BG"/>
              </w:rPr>
              <w:t>27</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eastAsia="Times New Roman" w:hAnsi="Times New Roman"/>
                <w:sz w:val="28"/>
                <w:szCs w:val="28"/>
                <w:lang w:val="en-US" w:eastAsia="bg-BG"/>
              </w:rPr>
              <w:t>22</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autoSpaceDN w:val="0"/>
              <w:jc w:val="center"/>
              <w:rPr>
                <w:rFonts w:ascii="Times New Roman" w:hAnsi="Times New Roman"/>
                <w:b/>
                <w:sz w:val="28"/>
                <w:szCs w:val="28"/>
              </w:rPr>
            </w:pPr>
            <w:r w:rsidRPr="006605D3">
              <w:rPr>
                <w:rFonts w:ascii="Times New Roman" w:eastAsia="Times New Roman" w:hAnsi="Times New Roman"/>
                <w:b/>
                <w:sz w:val="28"/>
                <w:szCs w:val="28"/>
                <w:lang w:eastAsia="bg-BG"/>
              </w:rPr>
              <w:t>19</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eastAsia="Times New Roman" w:hAnsi="Times New Roman"/>
                <w:sz w:val="28"/>
                <w:szCs w:val="28"/>
                <w:lang w:val="en-US" w:eastAsia="bg-BG"/>
              </w:rPr>
            </w:pPr>
            <w:r w:rsidRPr="006605D3">
              <w:rPr>
                <w:rFonts w:ascii="Times New Roman" w:eastAsia="Times New Roman" w:hAnsi="Times New Roman"/>
                <w:sz w:val="28"/>
                <w:szCs w:val="28"/>
                <w:lang w:eastAsia="bg-BG"/>
              </w:rPr>
              <w:t>7</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eastAsia="Times New Roman" w:hAnsi="Times New Roman"/>
                <w:sz w:val="28"/>
                <w:szCs w:val="28"/>
                <w:lang w:val="en-US" w:eastAsia="bg-BG"/>
              </w:rPr>
              <w:t>5</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autoSpaceDN w:val="0"/>
              <w:jc w:val="center"/>
              <w:rPr>
                <w:rFonts w:ascii="Times New Roman" w:hAnsi="Times New Roman"/>
                <w:b/>
                <w:sz w:val="28"/>
                <w:szCs w:val="28"/>
              </w:rPr>
            </w:pPr>
            <w:r w:rsidRPr="006605D3">
              <w:rPr>
                <w:rFonts w:ascii="Times New Roman" w:eastAsia="Times New Roman" w:hAnsi="Times New Roman"/>
                <w:b/>
                <w:sz w:val="28"/>
                <w:szCs w:val="28"/>
                <w:lang w:eastAsia="bg-BG"/>
              </w:rPr>
              <w:t>4</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eastAsia="Times New Roman" w:hAnsi="Times New Roman"/>
                <w:sz w:val="28"/>
                <w:szCs w:val="28"/>
                <w:lang w:val="en-US" w:eastAsia="bg-BG"/>
              </w:rPr>
            </w:pPr>
            <w:r w:rsidRPr="006605D3">
              <w:rPr>
                <w:rFonts w:ascii="Times New Roman" w:eastAsia="Times New Roman" w:hAnsi="Times New Roman"/>
                <w:sz w:val="28"/>
                <w:szCs w:val="28"/>
                <w:lang w:eastAsia="bg-BG"/>
              </w:rPr>
              <w:t>15</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eastAsia="Times New Roman" w:hAnsi="Times New Roman"/>
                <w:sz w:val="28"/>
                <w:szCs w:val="28"/>
                <w:lang w:val="en-US" w:eastAsia="bg-BG"/>
              </w:rPr>
              <w:t>12</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autoSpaceDN w:val="0"/>
              <w:jc w:val="center"/>
              <w:rPr>
                <w:rFonts w:ascii="Times New Roman" w:hAnsi="Times New Roman"/>
                <w:b/>
                <w:sz w:val="28"/>
                <w:szCs w:val="28"/>
              </w:rPr>
            </w:pPr>
            <w:r w:rsidRPr="006605D3">
              <w:rPr>
                <w:rFonts w:ascii="Times New Roman" w:eastAsia="Times New Roman" w:hAnsi="Times New Roman"/>
                <w:b/>
                <w:sz w:val="28"/>
                <w:szCs w:val="28"/>
                <w:lang w:eastAsia="bg-BG"/>
              </w:rPr>
              <w:t>5</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tabs>
                <w:tab w:val="left" w:pos="601"/>
                <w:tab w:val="center" w:pos="690"/>
              </w:tabs>
              <w:autoSpaceDN w:val="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4</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tabs>
                <w:tab w:val="left" w:pos="601"/>
                <w:tab w:val="center" w:pos="690"/>
              </w:tabs>
              <w:autoSpaceDN w:val="0"/>
              <w:rPr>
                <w:rFonts w:ascii="Times New Roman" w:hAnsi="Times New Roman"/>
                <w:sz w:val="28"/>
                <w:szCs w:val="28"/>
                <w:lang w:val="en-US"/>
              </w:rPr>
            </w:pPr>
            <w:r w:rsidRPr="006605D3">
              <w:rPr>
                <w:rFonts w:ascii="Times New Roman" w:eastAsia="Times New Roman" w:hAnsi="Times New Roman"/>
                <w:sz w:val="28"/>
                <w:szCs w:val="28"/>
                <w:lang w:eastAsia="bg-BG"/>
              </w:rPr>
              <w:tab/>
            </w:r>
            <w:r w:rsidRPr="006605D3">
              <w:rPr>
                <w:rFonts w:ascii="Times New Roman" w:eastAsia="Times New Roman" w:hAnsi="Times New Roman"/>
                <w:sz w:val="28"/>
                <w:szCs w:val="28"/>
                <w:lang w:val="en-US" w:eastAsia="bg-BG"/>
              </w:rPr>
              <w:t>3</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tabs>
                <w:tab w:val="left" w:pos="601"/>
                <w:tab w:val="center" w:pos="690"/>
              </w:tabs>
              <w:autoSpaceDN w:val="0"/>
              <w:rPr>
                <w:rFonts w:ascii="Times New Roman" w:hAnsi="Times New Roman"/>
                <w:b/>
                <w:sz w:val="28"/>
                <w:szCs w:val="28"/>
              </w:rPr>
            </w:pPr>
            <w:r w:rsidRPr="006605D3">
              <w:rPr>
                <w:rFonts w:ascii="Times New Roman" w:eastAsia="Times New Roman" w:hAnsi="Times New Roman"/>
                <w:b/>
                <w:sz w:val="28"/>
                <w:szCs w:val="28"/>
                <w:lang w:eastAsia="bg-BG"/>
              </w:rPr>
              <w:tab/>
              <w:t>0</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Лица по внесените в съда прокурорски актове</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rPr>
            </w:pPr>
            <w:r w:rsidRPr="006605D3">
              <w:rPr>
                <w:rFonts w:ascii="Times New Roman" w:eastAsia="Times New Roman" w:hAnsi="Times New Roman"/>
                <w:sz w:val="28"/>
                <w:szCs w:val="28"/>
                <w:lang w:eastAsia="bg-BG"/>
              </w:rPr>
              <w:t>6</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rPr>
            </w:pPr>
            <w:r w:rsidRPr="006605D3">
              <w:rPr>
                <w:rFonts w:ascii="Times New Roman" w:hAnsi="Times New Roman"/>
                <w:sz w:val="28"/>
                <w:szCs w:val="28"/>
              </w:rPr>
              <w:t>4</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autoSpaceDN w:val="0"/>
              <w:jc w:val="center"/>
              <w:rPr>
                <w:rFonts w:ascii="Times New Roman" w:hAnsi="Times New Roman"/>
                <w:b/>
                <w:sz w:val="28"/>
                <w:szCs w:val="28"/>
              </w:rPr>
            </w:pPr>
            <w:r w:rsidRPr="006605D3">
              <w:rPr>
                <w:rFonts w:ascii="Times New Roman" w:hAnsi="Times New Roman"/>
                <w:b/>
                <w:sz w:val="28"/>
                <w:szCs w:val="28"/>
              </w:rPr>
              <w:t>0</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и санкционирани лица с влязъл в сила съдебен акт</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eastAsia="Times New Roman" w:hAnsi="Times New Roman"/>
                <w:sz w:val="28"/>
                <w:szCs w:val="28"/>
                <w:lang w:eastAsia="bg-BG"/>
              </w:rPr>
              <w:t>2</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hAnsi="Times New Roman"/>
                <w:sz w:val="28"/>
                <w:szCs w:val="28"/>
                <w:lang w:val="en-US"/>
              </w:rPr>
              <w:t>4</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autoSpaceDN w:val="0"/>
              <w:jc w:val="center"/>
              <w:rPr>
                <w:rFonts w:ascii="Times New Roman" w:hAnsi="Times New Roman"/>
                <w:b/>
                <w:sz w:val="28"/>
                <w:szCs w:val="28"/>
              </w:rPr>
            </w:pPr>
            <w:r w:rsidRPr="006605D3">
              <w:rPr>
                <w:rFonts w:ascii="Times New Roman" w:hAnsi="Times New Roman"/>
                <w:b/>
                <w:sz w:val="28"/>
                <w:szCs w:val="28"/>
              </w:rPr>
              <w:t>1</w:t>
            </w:r>
          </w:p>
        </w:tc>
      </w:tr>
      <w:tr w:rsidR="006605D3" w:rsidRPr="006605D3" w:rsidTr="00E22699">
        <w:trPr>
          <w:trHeight w:val="330"/>
          <w:jc w:val="center"/>
        </w:trPr>
        <w:tc>
          <w:tcPr>
            <w:tcW w:w="2544" w:type="pct"/>
            <w:tcBorders>
              <w:top w:val="single" w:sz="4" w:space="0" w:color="auto"/>
              <w:left w:val="single" w:sz="4" w:space="0" w:color="auto"/>
              <w:bottom w:val="single" w:sz="4" w:space="0" w:color="auto"/>
              <w:right w:val="single" w:sz="4" w:space="0" w:color="auto"/>
            </w:tcBorders>
            <w:hideMark/>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влязъл в сила съдебен акт</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eastAsia="Times New Roman" w:hAnsi="Times New Roman"/>
                <w:sz w:val="28"/>
                <w:szCs w:val="28"/>
                <w:lang w:eastAsia="bg-BG"/>
              </w:rPr>
              <w:t>1</w:t>
            </w:r>
          </w:p>
        </w:tc>
        <w:tc>
          <w:tcPr>
            <w:tcW w:w="819" w:type="pct"/>
            <w:tcBorders>
              <w:top w:val="single" w:sz="4" w:space="0" w:color="auto"/>
              <w:left w:val="single" w:sz="4" w:space="0" w:color="auto"/>
              <w:bottom w:val="single" w:sz="4" w:space="0" w:color="auto"/>
              <w:right w:val="single" w:sz="4" w:space="0" w:color="auto"/>
            </w:tcBorders>
            <w:shd w:val="clear" w:color="auto" w:fill="FFFFFF"/>
          </w:tcPr>
          <w:p w:rsidR="006605D3" w:rsidRPr="006605D3" w:rsidRDefault="006605D3" w:rsidP="004D24A1">
            <w:pPr>
              <w:autoSpaceDN w:val="0"/>
              <w:jc w:val="center"/>
              <w:rPr>
                <w:rFonts w:ascii="Times New Roman" w:hAnsi="Times New Roman"/>
                <w:sz w:val="28"/>
                <w:szCs w:val="28"/>
                <w:lang w:val="en-US"/>
              </w:rPr>
            </w:pPr>
            <w:r w:rsidRPr="006605D3">
              <w:rPr>
                <w:rFonts w:ascii="Times New Roman" w:hAnsi="Times New Roman"/>
                <w:sz w:val="28"/>
                <w:szCs w:val="28"/>
                <w:lang w:val="en-US"/>
              </w:rPr>
              <w:t>1</w:t>
            </w:r>
          </w:p>
        </w:tc>
        <w:tc>
          <w:tcPr>
            <w:tcW w:w="818" w:type="pct"/>
            <w:tcBorders>
              <w:top w:val="single" w:sz="4" w:space="0" w:color="auto"/>
              <w:left w:val="single" w:sz="4" w:space="0" w:color="auto"/>
              <w:bottom w:val="single" w:sz="4" w:space="0" w:color="auto"/>
              <w:right w:val="single" w:sz="4" w:space="0" w:color="auto"/>
            </w:tcBorders>
            <w:shd w:val="clear" w:color="auto" w:fill="FFFFFF"/>
            <w:hideMark/>
          </w:tcPr>
          <w:p w:rsidR="006605D3" w:rsidRPr="006605D3" w:rsidRDefault="006605D3" w:rsidP="004D24A1">
            <w:pPr>
              <w:autoSpaceDN w:val="0"/>
              <w:jc w:val="center"/>
              <w:rPr>
                <w:rFonts w:ascii="Times New Roman" w:hAnsi="Times New Roman"/>
                <w:b/>
                <w:sz w:val="28"/>
                <w:szCs w:val="28"/>
              </w:rPr>
            </w:pPr>
            <w:r w:rsidRPr="006605D3">
              <w:rPr>
                <w:rFonts w:ascii="Times New Roman" w:hAnsi="Times New Roman"/>
                <w:b/>
                <w:sz w:val="28"/>
                <w:szCs w:val="28"/>
              </w:rPr>
              <w:t>0</w:t>
            </w:r>
          </w:p>
        </w:tc>
      </w:tr>
    </w:tbl>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От наблюдаваните досъдебни производства, образувани за престъпление по чл.155 от НК – общо </w:t>
      </w:r>
      <w:r w:rsidRPr="006605D3">
        <w:rPr>
          <w:rFonts w:ascii="Times New Roman" w:eastAsia="Times New Roman" w:hAnsi="Times New Roman"/>
          <w:b/>
          <w:sz w:val="28"/>
          <w:szCs w:val="28"/>
        </w:rPr>
        <w:t>33</w:t>
      </w:r>
      <w:r w:rsidRPr="006605D3">
        <w:rPr>
          <w:rFonts w:ascii="Times New Roman" w:eastAsia="Times New Roman" w:hAnsi="Times New Roman"/>
          <w:sz w:val="28"/>
          <w:szCs w:val="28"/>
        </w:rPr>
        <w:t xml:space="preserve"> броя, новообразувани са </w:t>
      </w:r>
      <w:r w:rsidRPr="006605D3">
        <w:rPr>
          <w:rFonts w:ascii="Times New Roman" w:eastAsia="Times New Roman" w:hAnsi="Times New Roman"/>
          <w:b/>
          <w:sz w:val="28"/>
          <w:szCs w:val="28"/>
        </w:rPr>
        <w:t>9,</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15</w:t>
      </w:r>
      <w:r w:rsidRPr="006605D3">
        <w:rPr>
          <w:rFonts w:ascii="Times New Roman" w:eastAsia="Times New Roman" w:hAnsi="Times New Roman"/>
          <w:sz w:val="28"/>
          <w:szCs w:val="28"/>
        </w:rPr>
        <w:t xml:space="preserve"> са приключени и </w:t>
      </w:r>
      <w:r w:rsidRPr="006605D3">
        <w:rPr>
          <w:rFonts w:ascii="Times New Roman" w:eastAsia="Times New Roman" w:hAnsi="Times New Roman"/>
          <w:b/>
          <w:sz w:val="28"/>
          <w:szCs w:val="28"/>
        </w:rPr>
        <w:t xml:space="preserve">17 </w:t>
      </w:r>
      <w:r w:rsidRPr="006605D3">
        <w:rPr>
          <w:rFonts w:ascii="Times New Roman" w:eastAsia="Times New Roman" w:hAnsi="Times New Roman"/>
          <w:sz w:val="28"/>
          <w:szCs w:val="28"/>
        </w:rPr>
        <w:t xml:space="preserve">са решени от прокурор. </w:t>
      </w:r>
      <w:r w:rsidRPr="006605D3">
        <w:rPr>
          <w:rFonts w:ascii="Times New Roman" w:eastAsia="Times New Roman" w:hAnsi="Times New Roman"/>
          <w:b/>
          <w:sz w:val="28"/>
          <w:szCs w:val="28"/>
        </w:rPr>
        <w:t>Четири</w:t>
      </w:r>
      <w:r w:rsidRPr="006605D3">
        <w:rPr>
          <w:rFonts w:ascii="Times New Roman" w:eastAsia="Times New Roman" w:hAnsi="Times New Roman"/>
          <w:sz w:val="28"/>
          <w:szCs w:val="28"/>
        </w:rPr>
        <w:t xml:space="preserve"> прокурорски акта са внесени в съда, като обвинителните актове са срещу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лица. </w:t>
      </w:r>
      <w:r w:rsidRPr="006605D3">
        <w:rPr>
          <w:rFonts w:ascii="Times New Roman" w:eastAsia="Times New Roman" w:hAnsi="Times New Roman"/>
          <w:b/>
          <w:sz w:val="28"/>
          <w:szCs w:val="28"/>
        </w:rPr>
        <w:t xml:space="preserve">Две </w:t>
      </w:r>
      <w:r w:rsidRPr="006605D3">
        <w:rPr>
          <w:rFonts w:ascii="Times New Roman" w:eastAsia="Times New Roman" w:hAnsi="Times New Roman"/>
          <w:sz w:val="28"/>
          <w:szCs w:val="28"/>
        </w:rPr>
        <w:t xml:space="preserve">дела са върнати от съда за доразследване. Осъдени и санкционирани с влязъл в сила съдебен акт са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лица. Общо наложените наказания са </w:t>
      </w:r>
      <w:r w:rsidRPr="006605D3">
        <w:rPr>
          <w:rFonts w:ascii="Times New Roman" w:eastAsia="Times New Roman" w:hAnsi="Times New Roman"/>
          <w:b/>
          <w:sz w:val="28"/>
          <w:szCs w:val="28"/>
        </w:rPr>
        <w:t>10</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 xml:space="preserve">Четири лица </w:t>
      </w:r>
      <w:r w:rsidRPr="006605D3">
        <w:rPr>
          <w:rFonts w:ascii="Times New Roman" w:eastAsia="Times New Roman" w:hAnsi="Times New Roman"/>
          <w:sz w:val="28"/>
          <w:szCs w:val="28"/>
        </w:rPr>
        <w:t xml:space="preserve">са осъдени на наказание „лишаване от свобода“- условно. </w:t>
      </w:r>
      <w:r w:rsidRPr="006605D3">
        <w:rPr>
          <w:rFonts w:ascii="Times New Roman" w:eastAsia="Times New Roman" w:hAnsi="Times New Roman"/>
          <w:b/>
          <w:sz w:val="28"/>
          <w:szCs w:val="28"/>
        </w:rPr>
        <w:t>Две</w:t>
      </w:r>
      <w:r w:rsidRPr="006605D3">
        <w:rPr>
          <w:rFonts w:ascii="Times New Roman" w:eastAsia="Times New Roman" w:hAnsi="Times New Roman"/>
          <w:sz w:val="28"/>
          <w:szCs w:val="28"/>
        </w:rPr>
        <w:t xml:space="preserve"> лица са осъдени на наказание „пробация“, а </w:t>
      </w:r>
      <w:r w:rsidRPr="006605D3">
        <w:rPr>
          <w:rFonts w:ascii="Times New Roman" w:eastAsia="Times New Roman" w:hAnsi="Times New Roman"/>
          <w:b/>
          <w:sz w:val="28"/>
          <w:szCs w:val="28"/>
        </w:rPr>
        <w:t>четири</w:t>
      </w:r>
      <w:r w:rsidRPr="006605D3">
        <w:rPr>
          <w:rFonts w:ascii="Times New Roman" w:eastAsia="Times New Roman" w:hAnsi="Times New Roman"/>
          <w:sz w:val="28"/>
          <w:szCs w:val="28"/>
        </w:rPr>
        <w:t xml:space="preserve"> лица са осъдени на „глоба“.</w:t>
      </w:r>
      <w:r w:rsidRPr="006605D3">
        <w:rPr>
          <w:rFonts w:ascii="Times New Roman" w:eastAsia="Times New Roman" w:hAnsi="Times New Roman"/>
          <w:color w:val="FF0000"/>
          <w:sz w:val="28"/>
          <w:szCs w:val="28"/>
        </w:rPr>
        <w:t xml:space="preserve"> </w:t>
      </w:r>
      <w:r w:rsidRPr="006605D3">
        <w:rPr>
          <w:rFonts w:ascii="Times New Roman" w:eastAsia="Times New Roman" w:hAnsi="Times New Roman"/>
          <w:sz w:val="28"/>
          <w:szCs w:val="28"/>
        </w:rPr>
        <w:t>Неприключени са 1</w:t>
      </w:r>
      <w:r w:rsidRPr="006605D3">
        <w:rPr>
          <w:rFonts w:ascii="Times New Roman" w:eastAsia="Times New Roman" w:hAnsi="Times New Roman"/>
          <w:b/>
          <w:sz w:val="28"/>
          <w:szCs w:val="28"/>
        </w:rPr>
        <w:t>5</w:t>
      </w:r>
      <w:r w:rsidRPr="006605D3">
        <w:rPr>
          <w:rFonts w:ascii="Times New Roman" w:eastAsia="Times New Roman" w:hAnsi="Times New Roman"/>
          <w:sz w:val="28"/>
          <w:szCs w:val="28"/>
        </w:rPr>
        <w:t xml:space="preserve"> досъдебни производства.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b/>
          <w:sz w:val="28"/>
          <w:szCs w:val="28"/>
        </w:rPr>
        <w:t>През 2021 г.</w:t>
      </w:r>
      <w:r w:rsidRPr="006605D3">
        <w:rPr>
          <w:rFonts w:ascii="Times New Roman" w:eastAsia="Times New Roman" w:hAnsi="Times New Roman"/>
          <w:sz w:val="28"/>
          <w:szCs w:val="28"/>
        </w:rPr>
        <w:t xml:space="preserve"> от общо наблюдаваните </w:t>
      </w:r>
      <w:r w:rsidRPr="006605D3">
        <w:rPr>
          <w:rFonts w:ascii="Times New Roman" w:eastAsia="Times New Roman" w:hAnsi="Times New Roman"/>
          <w:b/>
          <w:sz w:val="28"/>
          <w:szCs w:val="28"/>
        </w:rPr>
        <w:t xml:space="preserve">19 </w:t>
      </w:r>
      <w:r w:rsidRPr="006605D3">
        <w:rPr>
          <w:rFonts w:ascii="Times New Roman" w:eastAsia="Times New Roman" w:hAnsi="Times New Roman"/>
          <w:sz w:val="28"/>
          <w:szCs w:val="28"/>
        </w:rPr>
        <w:t xml:space="preserve">досъдебни производства </w:t>
      </w:r>
      <w:r w:rsidRPr="006605D3">
        <w:rPr>
          <w:rFonts w:ascii="Times New Roman" w:eastAsia="Times New Roman" w:hAnsi="Times New Roman"/>
          <w:b/>
          <w:sz w:val="28"/>
          <w:szCs w:val="28"/>
        </w:rPr>
        <w:t>9</w:t>
      </w:r>
      <w:r w:rsidRPr="006605D3">
        <w:rPr>
          <w:rFonts w:ascii="Times New Roman" w:eastAsia="Times New Roman" w:hAnsi="Times New Roman"/>
          <w:sz w:val="28"/>
          <w:szCs w:val="28"/>
        </w:rPr>
        <w:t xml:space="preserve"> са по чл.159а от НК, </w:t>
      </w:r>
      <w:r w:rsidRPr="006605D3">
        <w:rPr>
          <w:rFonts w:ascii="Times New Roman" w:eastAsia="Times New Roman" w:hAnsi="Times New Roman"/>
          <w:b/>
          <w:sz w:val="28"/>
          <w:szCs w:val="28"/>
        </w:rPr>
        <w:t xml:space="preserve">10 </w:t>
      </w:r>
      <w:r w:rsidRPr="006605D3">
        <w:rPr>
          <w:rFonts w:ascii="Times New Roman" w:eastAsia="Times New Roman" w:hAnsi="Times New Roman"/>
          <w:sz w:val="28"/>
          <w:szCs w:val="28"/>
        </w:rPr>
        <w:t>по чл. 159б от НК, като няма образувани или наблюдавани по чл. 159в и чл. 159г от НК.</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От наблюдаваните </w:t>
      </w:r>
      <w:r w:rsidRPr="006605D3">
        <w:rPr>
          <w:rFonts w:ascii="Times New Roman" w:eastAsia="Times New Roman" w:hAnsi="Times New Roman"/>
          <w:b/>
          <w:sz w:val="28"/>
          <w:szCs w:val="28"/>
        </w:rPr>
        <w:t>9</w:t>
      </w:r>
      <w:r w:rsidRPr="006605D3">
        <w:rPr>
          <w:rFonts w:ascii="Times New Roman" w:eastAsia="Times New Roman" w:hAnsi="Times New Roman"/>
          <w:sz w:val="28"/>
          <w:szCs w:val="28"/>
        </w:rPr>
        <w:t xml:space="preserve"> досъдебни производства за престъпление по чл.159а от НК </w:t>
      </w:r>
      <w:r w:rsidRPr="006605D3">
        <w:rPr>
          <w:rFonts w:ascii="Times New Roman" w:eastAsia="Times New Roman" w:hAnsi="Times New Roman"/>
          <w:b/>
          <w:sz w:val="28"/>
          <w:szCs w:val="28"/>
        </w:rPr>
        <w:t xml:space="preserve">4 </w:t>
      </w:r>
      <w:r w:rsidRPr="006605D3">
        <w:rPr>
          <w:rFonts w:ascii="Times New Roman" w:eastAsia="Times New Roman" w:hAnsi="Times New Roman"/>
          <w:sz w:val="28"/>
          <w:szCs w:val="28"/>
        </w:rPr>
        <w:t xml:space="preserve">са новообразувани,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са приключени и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броя са решени от прокурор.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производство е спряно. Няма прокурорски актове, внесени в съда към момента на съставяне на доклад.</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Неприключени са </w:t>
      </w:r>
      <w:r w:rsidRPr="006605D3">
        <w:rPr>
          <w:rFonts w:ascii="Times New Roman" w:eastAsia="Times New Roman" w:hAnsi="Times New Roman"/>
          <w:b/>
          <w:sz w:val="28"/>
          <w:szCs w:val="28"/>
        </w:rPr>
        <w:t xml:space="preserve">5 </w:t>
      </w:r>
      <w:r w:rsidRPr="006605D3">
        <w:rPr>
          <w:rFonts w:ascii="Times New Roman" w:eastAsia="Times New Roman" w:hAnsi="Times New Roman"/>
          <w:sz w:val="28"/>
          <w:szCs w:val="28"/>
        </w:rPr>
        <w:t xml:space="preserve">досъдебни производства. </w:t>
      </w:r>
      <w:r w:rsidRPr="006605D3">
        <w:rPr>
          <w:rFonts w:ascii="Times New Roman" w:eastAsia="Times New Roman" w:hAnsi="Times New Roman"/>
          <w:b/>
          <w:sz w:val="28"/>
          <w:szCs w:val="28"/>
        </w:rPr>
        <w:t xml:space="preserve">Едно лице е </w:t>
      </w:r>
      <w:r w:rsidRPr="006605D3">
        <w:rPr>
          <w:rFonts w:ascii="Times New Roman" w:eastAsia="Times New Roman" w:hAnsi="Times New Roman"/>
          <w:sz w:val="28"/>
          <w:szCs w:val="28"/>
        </w:rPr>
        <w:t xml:space="preserve"> осъдено с влязъл в сила съдебен акт. Наложените наказания са </w:t>
      </w:r>
      <w:r w:rsidRPr="006605D3">
        <w:rPr>
          <w:rFonts w:ascii="Times New Roman" w:eastAsia="Times New Roman" w:hAnsi="Times New Roman"/>
          <w:b/>
          <w:sz w:val="28"/>
          <w:szCs w:val="28"/>
        </w:rPr>
        <w:t xml:space="preserve">2 </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 xml:space="preserve"> 1 лице </w:t>
      </w:r>
      <w:r w:rsidRPr="006605D3">
        <w:rPr>
          <w:rFonts w:ascii="Times New Roman" w:eastAsia="Times New Roman" w:hAnsi="Times New Roman"/>
          <w:sz w:val="28"/>
          <w:szCs w:val="28"/>
        </w:rPr>
        <w:t xml:space="preserve">е осъдено на  „условно лишаване от свобода“. Наложено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наказание „глоба“. </w:t>
      </w:r>
      <w:r w:rsidRPr="006605D3">
        <w:rPr>
          <w:rFonts w:ascii="Times New Roman" w:eastAsia="Times New Roman" w:hAnsi="Times New Roman"/>
          <w:b/>
          <w:sz w:val="28"/>
          <w:szCs w:val="28"/>
        </w:rPr>
        <w:t xml:space="preserve">Няма </w:t>
      </w:r>
      <w:r w:rsidRPr="006605D3">
        <w:rPr>
          <w:rFonts w:ascii="Times New Roman" w:eastAsia="Times New Roman" w:hAnsi="Times New Roman"/>
          <w:sz w:val="28"/>
          <w:szCs w:val="28"/>
        </w:rPr>
        <w:t>оправдани лица, както и дела, върнати от съда за доразследване.</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За престъпление по чл.159б от НК са наблюдавани общо </w:t>
      </w:r>
      <w:r w:rsidRPr="006605D3">
        <w:rPr>
          <w:rFonts w:ascii="Times New Roman" w:eastAsia="Times New Roman" w:hAnsi="Times New Roman"/>
          <w:b/>
          <w:sz w:val="28"/>
          <w:szCs w:val="28"/>
        </w:rPr>
        <w:t xml:space="preserve">10 </w:t>
      </w:r>
      <w:r w:rsidRPr="006605D3">
        <w:rPr>
          <w:rFonts w:ascii="Times New Roman" w:eastAsia="Times New Roman" w:hAnsi="Times New Roman"/>
          <w:sz w:val="28"/>
          <w:szCs w:val="28"/>
        </w:rPr>
        <w:t xml:space="preserve">досъдебни производства, като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новообразувани,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са приключени. </w:t>
      </w:r>
      <w:r w:rsidRPr="006605D3">
        <w:rPr>
          <w:rFonts w:ascii="Times New Roman" w:eastAsia="Times New Roman" w:hAnsi="Times New Roman"/>
          <w:b/>
          <w:sz w:val="28"/>
          <w:szCs w:val="28"/>
        </w:rPr>
        <w:t>Две</w:t>
      </w:r>
      <w:r w:rsidRPr="006605D3">
        <w:rPr>
          <w:rFonts w:ascii="Times New Roman" w:eastAsia="Times New Roman" w:hAnsi="Times New Roman"/>
          <w:sz w:val="28"/>
          <w:szCs w:val="28"/>
        </w:rPr>
        <w:t xml:space="preserve"> досъдебни производства са решени от прокурор.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досъдебно производство е </w:t>
      </w:r>
      <w:r w:rsidRPr="006605D3">
        <w:rPr>
          <w:rFonts w:ascii="Times New Roman" w:eastAsia="Times New Roman" w:hAnsi="Times New Roman"/>
          <w:sz w:val="28"/>
          <w:szCs w:val="28"/>
        </w:rPr>
        <w:lastRenderedPageBreak/>
        <w:t xml:space="preserve">спряно и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е  прекратено. Едно производство е върнато от съда за доразследване.</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За престъпление по чл.159в  и чл. 159г от НК</w:t>
      </w:r>
      <w:r w:rsidRPr="006605D3">
        <w:rPr>
          <w:rFonts w:ascii="Times New Roman" w:eastAsia="Times New Roman" w:hAnsi="Times New Roman"/>
          <w:sz w:val="28"/>
          <w:szCs w:val="28"/>
          <w:lang w:val="en-US"/>
        </w:rPr>
        <w:t xml:space="preserve"> </w:t>
      </w:r>
      <w:r w:rsidRPr="006605D3">
        <w:rPr>
          <w:rFonts w:ascii="Times New Roman" w:eastAsia="Times New Roman" w:hAnsi="Times New Roman"/>
          <w:sz w:val="28"/>
          <w:szCs w:val="28"/>
        </w:rPr>
        <w:t xml:space="preserve">няма наблюдавани или неприключили досъдебни производства.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color w:val="000000"/>
          <w:sz w:val="28"/>
          <w:szCs w:val="28"/>
        </w:rPr>
      </w:pPr>
      <w:r w:rsidRPr="006605D3">
        <w:rPr>
          <w:rFonts w:ascii="Times New Roman" w:eastAsia="Times New Roman" w:hAnsi="Times New Roman"/>
          <w:color w:val="000000"/>
          <w:sz w:val="28"/>
          <w:szCs w:val="28"/>
        </w:rPr>
        <w:t xml:space="preserve">Процентното съотношение на решените </w:t>
      </w:r>
      <w:r w:rsidRPr="006605D3">
        <w:rPr>
          <w:rFonts w:ascii="Times New Roman" w:hAnsi="Times New Roman"/>
          <w:color w:val="000000"/>
          <w:sz w:val="28"/>
          <w:szCs w:val="28"/>
        </w:rPr>
        <w:t xml:space="preserve">спрямо наблюдаваните досъдебни производства за 2021г. е </w:t>
      </w:r>
      <w:r w:rsidRPr="006605D3">
        <w:rPr>
          <w:rFonts w:ascii="Times New Roman" w:hAnsi="Times New Roman"/>
          <w:b/>
          <w:color w:val="000000"/>
          <w:sz w:val="28"/>
          <w:szCs w:val="28"/>
        </w:rPr>
        <w:t>51,51%,</w:t>
      </w:r>
      <w:r w:rsidRPr="006605D3">
        <w:rPr>
          <w:rFonts w:ascii="Times New Roman" w:hAnsi="Times New Roman"/>
          <w:color w:val="000000"/>
          <w:sz w:val="28"/>
          <w:szCs w:val="28"/>
        </w:rPr>
        <w:t xml:space="preserve"> като за 2020г.  е  54,55 %, а за  2019 г. е 55,55 %.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През 2021 г. лицата пострадали от незаконен трафик на хора са </w:t>
      </w:r>
      <w:r w:rsidRPr="006605D3">
        <w:rPr>
          <w:rFonts w:ascii="Times New Roman" w:eastAsia="Times New Roman" w:hAnsi="Times New Roman"/>
          <w:b/>
          <w:sz w:val="28"/>
          <w:szCs w:val="28"/>
        </w:rPr>
        <w:t xml:space="preserve">31 </w:t>
      </w:r>
      <w:r w:rsidRPr="006605D3">
        <w:rPr>
          <w:rFonts w:ascii="Times New Roman" w:eastAsia="Times New Roman" w:hAnsi="Times New Roman"/>
          <w:sz w:val="28"/>
          <w:szCs w:val="28"/>
        </w:rPr>
        <w:t xml:space="preserve">броя. От тях </w:t>
      </w:r>
      <w:r w:rsidRPr="006605D3">
        <w:rPr>
          <w:rFonts w:ascii="Times New Roman" w:eastAsia="Times New Roman" w:hAnsi="Times New Roman"/>
          <w:b/>
          <w:sz w:val="28"/>
          <w:szCs w:val="28"/>
        </w:rPr>
        <w:t>28</w:t>
      </w:r>
      <w:r w:rsidRPr="006605D3">
        <w:rPr>
          <w:rFonts w:ascii="Times New Roman" w:eastAsia="Times New Roman" w:hAnsi="Times New Roman"/>
          <w:sz w:val="28"/>
          <w:szCs w:val="28"/>
        </w:rPr>
        <w:t xml:space="preserve"> броя са жени, от които</w:t>
      </w:r>
      <w:r w:rsidRPr="006605D3">
        <w:rPr>
          <w:rFonts w:ascii="Times New Roman" w:eastAsia="Times New Roman" w:hAnsi="Times New Roman"/>
          <w:b/>
          <w:sz w:val="28"/>
          <w:szCs w:val="28"/>
        </w:rPr>
        <w:t xml:space="preserve"> 2</w:t>
      </w:r>
      <w:r w:rsidRPr="006605D3">
        <w:rPr>
          <w:rFonts w:ascii="Times New Roman" w:eastAsia="Times New Roman" w:hAnsi="Times New Roman"/>
          <w:sz w:val="28"/>
          <w:szCs w:val="28"/>
        </w:rPr>
        <w:t xml:space="preserve"> са непълнолетни, а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лице е малолетно и </w:t>
      </w:r>
      <w:r w:rsidRPr="006605D3">
        <w:rPr>
          <w:rFonts w:ascii="Times New Roman" w:eastAsia="Times New Roman" w:hAnsi="Times New Roman"/>
          <w:b/>
          <w:sz w:val="28"/>
          <w:szCs w:val="28"/>
        </w:rPr>
        <w:t>трима</w:t>
      </w:r>
      <w:r w:rsidRPr="006605D3">
        <w:rPr>
          <w:rFonts w:ascii="Times New Roman" w:eastAsia="Times New Roman" w:hAnsi="Times New Roman"/>
          <w:sz w:val="28"/>
          <w:szCs w:val="28"/>
        </w:rPr>
        <w:t xml:space="preserve"> мъже.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Основно пострадалите са за престъпление по чл. 159б от НК – </w:t>
      </w:r>
      <w:r w:rsidRPr="006605D3">
        <w:rPr>
          <w:rFonts w:ascii="Times New Roman" w:eastAsia="Times New Roman" w:hAnsi="Times New Roman"/>
          <w:b/>
          <w:sz w:val="28"/>
          <w:szCs w:val="28"/>
        </w:rPr>
        <w:t>22</w:t>
      </w:r>
      <w:r w:rsidRPr="006605D3">
        <w:rPr>
          <w:rFonts w:ascii="Times New Roman" w:eastAsia="Times New Roman" w:hAnsi="Times New Roman"/>
          <w:sz w:val="28"/>
          <w:szCs w:val="28"/>
        </w:rPr>
        <w:t xml:space="preserve"> броя. От тях </w:t>
      </w:r>
      <w:r w:rsidRPr="006605D3">
        <w:rPr>
          <w:rFonts w:ascii="Times New Roman" w:eastAsia="Times New Roman" w:hAnsi="Times New Roman"/>
          <w:b/>
          <w:sz w:val="28"/>
          <w:szCs w:val="28"/>
        </w:rPr>
        <w:t>21</w:t>
      </w:r>
      <w:r w:rsidRPr="006605D3">
        <w:rPr>
          <w:rFonts w:ascii="Times New Roman" w:eastAsia="Times New Roman" w:hAnsi="Times New Roman"/>
          <w:sz w:val="28"/>
          <w:szCs w:val="28"/>
        </w:rPr>
        <w:t xml:space="preserve"> жени, от които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непълнолетни и </w:t>
      </w:r>
      <w:r w:rsidRPr="006605D3">
        <w:rPr>
          <w:rFonts w:ascii="Times New Roman" w:eastAsia="Times New Roman" w:hAnsi="Times New Roman"/>
          <w:b/>
          <w:sz w:val="28"/>
          <w:szCs w:val="28"/>
        </w:rPr>
        <w:t>един</w:t>
      </w:r>
      <w:r w:rsidRPr="006605D3">
        <w:rPr>
          <w:rFonts w:ascii="Times New Roman" w:eastAsia="Times New Roman" w:hAnsi="Times New Roman"/>
          <w:sz w:val="28"/>
          <w:szCs w:val="28"/>
        </w:rPr>
        <w:t xml:space="preserve"> мъж.</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При престъпление по чл.159а от НК пострадалите са </w:t>
      </w:r>
      <w:r w:rsidRPr="006605D3">
        <w:rPr>
          <w:rFonts w:ascii="Times New Roman" w:eastAsia="Times New Roman" w:hAnsi="Times New Roman"/>
          <w:b/>
          <w:sz w:val="28"/>
          <w:szCs w:val="28"/>
        </w:rPr>
        <w:t xml:space="preserve">9 </w:t>
      </w:r>
      <w:r w:rsidRPr="006605D3">
        <w:rPr>
          <w:rFonts w:ascii="Times New Roman" w:eastAsia="Times New Roman" w:hAnsi="Times New Roman"/>
          <w:sz w:val="28"/>
          <w:szCs w:val="28"/>
        </w:rPr>
        <w:t xml:space="preserve">броя. От тях </w:t>
      </w:r>
      <w:r w:rsidRPr="006605D3">
        <w:rPr>
          <w:rFonts w:ascii="Times New Roman" w:eastAsia="Times New Roman" w:hAnsi="Times New Roman"/>
          <w:b/>
          <w:sz w:val="28"/>
          <w:szCs w:val="28"/>
        </w:rPr>
        <w:t>7</w:t>
      </w:r>
      <w:r w:rsidRPr="006605D3">
        <w:rPr>
          <w:rFonts w:ascii="Times New Roman" w:eastAsia="Times New Roman" w:hAnsi="Times New Roman"/>
          <w:sz w:val="28"/>
          <w:szCs w:val="28"/>
        </w:rPr>
        <w:t xml:space="preserve"> жени, като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лице е малолетно и </w:t>
      </w:r>
      <w:r w:rsidRPr="006605D3">
        <w:rPr>
          <w:rFonts w:ascii="Times New Roman" w:eastAsia="Times New Roman" w:hAnsi="Times New Roman"/>
          <w:b/>
          <w:sz w:val="28"/>
          <w:szCs w:val="28"/>
        </w:rPr>
        <w:t>двама</w:t>
      </w:r>
      <w:r w:rsidRPr="006605D3">
        <w:rPr>
          <w:rFonts w:ascii="Times New Roman" w:eastAsia="Times New Roman" w:hAnsi="Times New Roman"/>
          <w:sz w:val="28"/>
          <w:szCs w:val="28"/>
        </w:rPr>
        <w:t xml:space="preserve"> мъже.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Пострадали лица от престъпления по чл. 155 от НК са </w:t>
      </w:r>
      <w:r w:rsidRPr="006605D3">
        <w:rPr>
          <w:rFonts w:ascii="Times New Roman" w:eastAsia="Times New Roman" w:hAnsi="Times New Roman"/>
          <w:b/>
          <w:sz w:val="28"/>
          <w:szCs w:val="28"/>
        </w:rPr>
        <w:t>52</w:t>
      </w:r>
      <w:r w:rsidRPr="006605D3">
        <w:rPr>
          <w:rFonts w:ascii="Times New Roman" w:eastAsia="Times New Roman" w:hAnsi="Times New Roman"/>
          <w:sz w:val="28"/>
          <w:szCs w:val="28"/>
        </w:rPr>
        <w:t xml:space="preserve"> броя, като </w:t>
      </w:r>
      <w:r w:rsidRPr="006605D3">
        <w:rPr>
          <w:rFonts w:ascii="Times New Roman" w:eastAsia="Times New Roman" w:hAnsi="Times New Roman"/>
          <w:b/>
          <w:sz w:val="28"/>
          <w:szCs w:val="28"/>
        </w:rPr>
        <w:t xml:space="preserve">51 </w:t>
      </w:r>
      <w:r w:rsidRPr="006605D3">
        <w:rPr>
          <w:rFonts w:ascii="Times New Roman" w:eastAsia="Times New Roman" w:hAnsi="Times New Roman"/>
          <w:sz w:val="28"/>
          <w:szCs w:val="28"/>
        </w:rPr>
        <w:t>са жени /</w:t>
      </w:r>
      <w:r w:rsidRPr="006605D3">
        <w:rPr>
          <w:rFonts w:ascii="Times New Roman" w:eastAsia="Times New Roman" w:hAnsi="Times New Roman"/>
          <w:b/>
          <w:sz w:val="28"/>
          <w:szCs w:val="28"/>
        </w:rPr>
        <w:t>7</w:t>
      </w:r>
      <w:r w:rsidRPr="006605D3">
        <w:rPr>
          <w:rFonts w:ascii="Times New Roman" w:eastAsia="Times New Roman" w:hAnsi="Times New Roman"/>
          <w:sz w:val="28"/>
          <w:szCs w:val="28"/>
        </w:rPr>
        <w:t xml:space="preserve"> непълнолетни,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малолетни/ и </w:t>
      </w:r>
      <w:r w:rsidRPr="006605D3">
        <w:rPr>
          <w:rFonts w:ascii="Times New Roman" w:eastAsia="Times New Roman" w:hAnsi="Times New Roman"/>
          <w:b/>
          <w:sz w:val="28"/>
          <w:szCs w:val="28"/>
        </w:rPr>
        <w:t>един</w:t>
      </w:r>
      <w:r w:rsidRPr="006605D3">
        <w:rPr>
          <w:rFonts w:ascii="Times New Roman" w:eastAsia="Times New Roman" w:hAnsi="Times New Roman"/>
          <w:sz w:val="28"/>
          <w:szCs w:val="28"/>
        </w:rPr>
        <w:t xml:space="preserve"> мъж.</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За сравнение лицата, пострадали от незаконен трафик на хора през  2020г. са 39 броя – 36 жени /2 непълнолетни/ и 3- мъже, а за 2019 г. са  31 броя. От тях 28 броя са жени /5 непълнолетни/ и 3 броя са мъже.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Основно пострадалите през 2020г. и през 2019г. са също от престъпление по чл. 159б от НК – / 24 броя за 2020г. и 18 броя за 2019г. /, за престъпление по чл.159а от НК са съответно 15 броя и 12 броя, а   по чл.159в от НК пострадали са едно лице - една жена- непълнолетна през 2019г.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Пострадалите лица от престъпление по чл. 155 от НК за 2020г. са били 36 броя през 2020г. /от които 4 непълнолетни и 3 малолетни жени, като пострадал от престъплението е бил и един мъж/ и  25 броя през 2019г., от които всички са жени /3 непълнолетни, 3 малолетни/.</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color w:val="FF0000"/>
          <w:sz w:val="28"/>
          <w:szCs w:val="28"/>
          <w:lang w:val="en-US"/>
        </w:rPr>
      </w:pPr>
    </w:p>
    <w:p w:rsidR="006605D3" w:rsidRPr="006605D3" w:rsidRDefault="006605D3" w:rsidP="004D24A1">
      <w:pPr>
        <w:overflowPunct w:val="0"/>
        <w:autoSpaceDE w:val="0"/>
        <w:autoSpaceDN w:val="0"/>
        <w:adjustRightInd w:val="0"/>
        <w:spacing w:after="120"/>
        <w:jc w:val="both"/>
        <w:textAlignment w:val="baseline"/>
        <w:rPr>
          <w:rFonts w:ascii="Times New Roman" w:eastAsia="Times New Roman" w:hAnsi="Times New Roman"/>
          <w:b/>
          <w:sz w:val="28"/>
          <w:szCs w:val="28"/>
        </w:rPr>
      </w:pPr>
      <w:r w:rsidRPr="006605D3">
        <w:rPr>
          <w:rFonts w:ascii="Times New Roman" w:eastAsia="Times New Roman" w:hAnsi="Times New Roman"/>
          <w:b/>
          <w:sz w:val="28"/>
          <w:szCs w:val="28"/>
        </w:rPr>
        <w:tab/>
        <w:t>Наказателни производства, образувани за престъпления, извършени от непълнолетни лица</w:t>
      </w: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028"/>
        <w:gridCol w:w="1262"/>
        <w:gridCol w:w="1261"/>
        <w:gridCol w:w="1259"/>
      </w:tblGrid>
      <w:tr w:rsidR="006605D3" w:rsidRPr="006605D3" w:rsidTr="00E22699">
        <w:trPr>
          <w:trHeight w:val="345"/>
          <w:jc w:val="center"/>
        </w:trPr>
        <w:tc>
          <w:tcPr>
            <w:tcW w:w="2579" w:type="pct"/>
            <w:tcBorders>
              <w:top w:val="single" w:sz="4" w:space="0" w:color="auto"/>
              <w:left w:val="single" w:sz="4" w:space="0" w:color="auto"/>
              <w:bottom w:val="single" w:sz="4" w:space="0" w:color="auto"/>
              <w:right w:val="single" w:sz="4" w:space="0" w:color="auto"/>
            </w:tcBorders>
            <w:shd w:val="clear" w:color="auto" w:fill="C4BC96"/>
            <w:noWrap/>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Показатели</w:t>
            </w:r>
          </w:p>
        </w:tc>
        <w:tc>
          <w:tcPr>
            <w:tcW w:w="808"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2019 г.</w:t>
            </w:r>
          </w:p>
        </w:tc>
        <w:tc>
          <w:tcPr>
            <w:tcW w:w="807"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2020 г.</w:t>
            </w:r>
          </w:p>
        </w:tc>
        <w:tc>
          <w:tcPr>
            <w:tcW w:w="806" w:type="pct"/>
            <w:tcBorders>
              <w:top w:val="single" w:sz="4" w:space="0" w:color="auto"/>
              <w:left w:val="single" w:sz="4" w:space="0" w:color="auto"/>
              <w:bottom w:val="single" w:sz="4" w:space="0" w:color="auto"/>
              <w:right w:val="single" w:sz="4" w:space="0" w:color="auto"/>
            </w:tcBorders>
            <w:shd w:val="clear" w:color="auto" w:fill="C4BC96"/>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2021 г.</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Наблюдавани ДП</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219</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227</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220</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Новообразувани ДП</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91</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66</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49</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Решени ДП</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141</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141</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149</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Прокурорски актове, внесени в съда</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103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97</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96</w:t>
            </w:r>
          </w:p>
        </w:tc>
      </w:tr>
      <w:tr w:rsidR="006605D3" w:rsidRPr="006605D3" w:rsidTr="00E22699">
        <w:trPr>
          <w:trHeight w:val="398"/>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Върнати от съда дела</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8</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7</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12</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lastRenderedPageBreak/>
              <w:t>Лица по внесените в съда прокурорски актове</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130</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115</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110</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Осъдени лица с влязла в сила осъдителна присъда</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101</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84</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91</w:t>
            </w:r>
          </w:p>
        </w:tc>
      </w:tr>
      <w:tr w:rsidR="006605D3" w:rsidRPr="006605D3" w:rsidTr="00E22699">
        <w:trPr>
          <w:trHeight w:val="335"/>
          <w:jc w:val="center"/>
        </w:trPr>
        <w:tc>
          <w:tcPr>
            <w:tcW w:w="2579" w:type="pct"/>
            <w:tcBorders>
              <w:top w:val="single" w:sz="4" w:space="0" w:color="auto"/>
              <w:left w:val="single" w:sz="4" w:space="0" w:color="auto"/>
              <w:bottom w:val="single" w:sz="4" w:space="0" w:color="auto"/>
              <w:right w:val="single" w:sz="4" w:space="0" w:color="auto"/>
            </w:tcBorders>
            <w:vAlign w:val="center"/>
            <w:hideMark/>
          </w:tcPr>
          <w:p w:rsidR="006605D3" w:rsidRPr="006605D3" w:rsidRDefault="006605D3" w:rsidP="004D24A1">
            <w:pPr>
              <w:autoSpaceDN w:val="0"/>
              <w:spacing w:after="0"/>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Оправдани лица с влязла в сила оправдателна присъда</w:t>
            </w:r>
          </w:p>
        </w:tc>
        <w:tc>
          <w:tcPr>
            <w:tcW w:w="808"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3</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9</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6605D3" w:rsidRPr="006605D3" w:rsidRDefault="006605D3" w:rsidP="004D24A1">
            <w:pPr>
              <w:autoSpaceDN w:val="0"/>
              <w:spacing w:after="0"/>
              <w:jc w:val="center"/>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4</w:t>
            </w:r>
          </w:p>
        </w:tc>
      </w:tr>
    </w:tbl>
    <w:p w:rsidR="006605D3" w:rsidRPr="006605D3" w:rsidRDefault="006605D3" w:rsidP="004D24A1">
      <w:pPr>
        <w:overflowPunct w:val="0"/>
        <w:autoSpaceDE w:val="0"/>
        <w:autoSpaceDN w:val="0"/>
        <w:adjustRightInd w:val="0"/>
        <w:spacing w:after="120"/>
        <w:jc w:val="both"/>
        <w:rPr>
          <w:rFonts w:ascii="Times New Roman" w:eastAsia="Times New Roman" w:hAnsi="Times New Roman"/>
          <w:b/>
          <w:sz w:val="32"/>
          <w:szCs w:val="32"/>
        </w:rPr>
      </w:pPr>
    </w:p>
    <w:p w:rsidR="006605D3" w:rsidRPr="006605D3" w:rsidRDefault="003515B0" w:rsidP="004D24A1">
      <w:pPr>
        <w:overflowPunct w:val="0"/>
        <w:autoSpaceDE w:val="0"/>
        <w:autoSpaceDN w:val="0"/>
        <w:adjustRightInd w:val="0"/>
        <w:spacing w:after="120"/>
        <w:jc w:val="center"/>
        <w:rPr>
          <w:rFonts w:ascii="Times New Roman" w:eastAsia="Times New Roman" w:hAnsi="Times New Roman"/>
          <w:b/>
          <w:sz w:val="32"/>
          <w:szCs w:val="32"/>
        </w:rPr>
      </w:pPr>
      <w:r w:rsidRPr="006605D3">
        <w:rPr>
          <w:rFonts w:ascii="Times New Roman" w:hAnsi="Times New Roman"/>
          <w:noProof/>
          <w:lang w:eastAsia="bg-BG"/>
        </w:rPr>
        <w:drawing>
          <wp:inline distT="0" distB="0" distL="0" distR="0" wp14:anchorId="65E0C8B8" wp14:editId="2B7E2ADB">
            <wp:extent cx="5542280" cy="2202815"/>
            <wp:effectExtent l="0" t="0" r="0" b="0"/>
            <wp:docPr id="3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605D3" w:rsidRPr="006605D3" w:rsidRDefault="006605D3" w:rsidP="004D24A1">
      <w:pPr>
        <w:autoSpaceDN w:val="0"/>
        <w:spacing w:after="0"/>
        <w:ind w:firstLine="709"/>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Структурно разпределение на наказателните производства, съобразно систематиката на НК. За престъпления по:</w:t>
      </w:r>
    </w:p>
    <w:p w:rsidR="006605D3" w:rsidRPr="006605D3" w:rsidRDefault="006605D3" w:rsidP="004D24A1">
      <w:pPr>
        <w:autoSpaceDN w:val="0"/>
        <w:spacing w:after="0"/>
        <w:ind w:firstLine="709"/>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 xml:space="preserve"> </w:t>
      </w:r>
    </w:p>
    <w:p w:rsidR="006605D3" w:rsidRPr="006605D3" w:rsidRDefault="006605D3" w:rsidP="004D24A1">
      <w:pPr>
        <w:autoSpaceDN w:val="0"/>
        <w:spacing w:after="0"/>
        <w:ind w:firstLine="709"/>
        <w:jc w:val="both"/>
        <w:rPr>
          <w:rFonts w:ascii="Times New Roman" w:eastAsia="Times New Roman" w:hAnsi="Times New Roman"/>
          <w:sz w:val="28"/>
          <w:szCs w:val="28"/>
          <w:lang w:eastAsia="bg-BG"/>
        </w:rPr>
      </w:pPr>
      <w:r w:rsidRPr="006605D3">
        <w:rPr>
          <w:rFonts w:ascii="Times New Roman" w:eastAsia="Times New Roman" w:hAnsi="Times New Roman"/>
          <w:b/>
          <w:sz w:val="28"/>
          <w:szCs w:val="28"/>
          <w:lang w:eastAsia="bg-BG"/>
        </w:rPr>
        <w:t>Глава втора от НК</w:t>
      </w:r>
      <w:r w:rsidRPr="006605D3">
        <w:rPr>
          <w:rFonts w:ascii="Times New Roman" w:eastAsia="Times New Roman" w:hAnsi="Times New Roman"/>
          <w:sz w:val="28"/>
          <w:szCs w:val="28"/>
          <w:lang w:eastAsia="bg-BG"/>
        </w:rPr>
        <w:t xml:space="preserve"> „</w:t>
      </w:r>
      <w:r w:rsidRPr="006605D3">
        <w:rPr>
          <w:rFonts w:ascii="Times New Roman" w:eastAsia="Times New Roman" w:hAnsi="Times New Roman"/>
          <w:b/>
          <w:sz w:val="28"/>
          <w:szCs w:val="28"/>
          <w:lang w:eastAsia="bg-BG"/>
        </w:rPr>
        <w:t>Престъпления против личността</w:t>
      </w:r>
      <w:r w:rsidRPr="006605D3">
        <w:rPr>
          <w:rFonts w:ascii="Times New Roman" w:eastAsia="Times New Roman" w:hAnsi="Times New Roman"/>
          <w:sz w:val="28"/>
          <w:szCs w:val="28"/>
          <w:lang w:eastAsia="bg-BG"/>
        </w:rPr>
        <w:t xml:space="preserve">“ </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 xml:space="preserve">115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r w:rsidRPr="006605D3">
        <w:rPr>
          <w:rFonts w:ascii="Times New Roman" w:eastAsia="Times New Roman" w:hAnsi="Times New Roman"/>
          <w:b/>
          <w:i/>
          <w:sz w:val="28"/>
          <w:szCs w:val="28"/>
        </w:rPr>
        <w:t>опит</w:t>
      </w:r>
      <w:r w:rsidRPr="006605D3">
        <w:rPr>
          <w:rFonts w:ascii="Times New Roman" w:eastAsia="Times New Roman" w:hAnsi="Times New Roman"/>
          <w:b/>
          <w:i/>
          <w:sz w:val="28"/>
          <w:szCs w:val="28"/>
          <w:lang w:val="en-US"/>
        </w:rPr>
        <w:t>/</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Няма новообразувани дела. Същото е решено, като е внесен обвинителен акт срещу </w:t>
      </w:r>
      <w:r w:rsidRPr="006605D3">
        <w:rPr>
          <w:rFonts w:ascii="Times New Roman" w:eastAsia="Times New Roman" w:hAnsi="Times New Roman"/>
          <w:b/>
          <w:sz w:val="28"/>
          <w:szCs w:val="28"/>
        </w:rPr>
        <w:t>1 лице</w:t>
      </w:r>
      <w:r w:rsidRPr="006605D3">
        <w:rPr>
          <w:rFonts w:ascii="Times New Roman" w:eastAsia="Times New Roman" w:hAnsi="Times New Roman"/>
          <w:sz w:val="28"/>
          <w:szCs w:val="28"/>
        </w:rPr>
        <w:t xml:space="preserve">.  </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чл.116</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r w:rsidRPr="006605D3">
        <w:rPr>
          <w:rFonts w:ascii="Times New Roman" w:eastAsia="Times New Roman" w:hAnsi="Times New Roman"/>
          <w:b/>
          <w:i/>
          <w:sz w:val="28"/>
          <w:szCs w:val="28"/>
        </w:rPr>
        <w:t xml:space="preserve"> /опит, довършено/</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През 2021 г. няма наблюдавани досъдебни производства. </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11</w:t>
      </w:r>
      <w:r w:rsidRPr="006605D3">
        <w:rPr>
          <w:rFonts w:ascii="Times New Roman" w:eastAsia="Times New Roman" w:hAnsi="Times New Roman"/>
          <w:b/>
          <w:i/>
          <w:sz w:val="28"/>
          <w:szCs w:val="28"/>
        </w:rPr>
        <w:t>8</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r w:rsidRPr="006605D3">
        <w:rPr>
          <w:rFonts w:ascii="Times New Roman" w:eastAsia="Times New Roman" w:hAnsi="Times New Roman"/>
          <w:b/>
          <w:i/>
          <w:sz w:val="28"/>
          <w:szCs w:val="28"/>
        </w:rPr>
        <w:t>опит</w:t>
      </w:r>
      <w:r w:rsidRPr="006605D3">
        <w:rPr>
          <w:rFonts w:ascii="Times New Roman" w:eastAsia="Times New Roman" w:hAnsi="Times New Roman"/>
          <w:b/>
          <w:i/>
          <w:sz w:val="28"/>
          <w:szCs w:val="28"/>
          <w:lang w:val="en-US"/>
        </w:rPr>
        <w:t>/</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Няма новообразувани дела, но има едно наблюдавано дело, като същото е приключено. Внесен е 1 обвинителен акт срещу 1 лице.</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b/>
          <w:i/>
          <w:sz w:val="28"/>
          <w:szCs w:val="28"/>
        </w:rPr>
        <w:t>за престъпление по чл.128</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w:t>
      </w:r>
      <w:r w:rsidRPr="006605D3">
        <w:rPr>
          <w:rFonts w:ascii="Times New Roman" w:eastAsia="Times New Roman" w:hAnsi="Times New Roman"/>
          <w:b/>
          <w:sz w:val="28"/>
          <w:szCs w:val="28"/>
        </w:rPr>
        <w:t>Делото е</w:t>
      </w:r>
      <w:r w:rsidRPr="006605D3">
        <w:rPr>
          <w:rFonts w:ascii="Times New Roman" w:eastAsia="Times New Roman" w:hAnsi="Times New Roman"/>
          <w:sz w:val="28"/>
          <w:szCs w:val="28"/>
        </w:rPr>
        <w:t xml:space="preserve"> неприключено. Няма новообразувани дела.</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rPr>
      </w:pPr>
      <w:r w:rsidRPr="006605D3">
        <w:rPr>
          <w:rFonts w:ascii="Times New Roman" w:eastAsia="Times New Roman" w:hAnsi="Times New Roman"/>
          <w:b/>
          <w:i/>
          <w:sz w:val="28"/>
          <w:szCs w:val="28"/>
        </w:rPr>
        <w:t>за престъпление по чл.129</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7</w:t>
      </w:r>
      <w:r w:rsidRPr="006605D3">
        <w:rPr>
          <w:rFonts w:ascii="Times New Roman" w:eastAsia="Times New Roman" w:hAnsi="Times New Roman"/>
          <w:sz w:val="28"/>
          <w:szCs w:val="28"/>
        </w:rPr>
        <w:t xml:space="preserve"> досъдебни производства, от които </w:t>
      </w:r>
      <w:r w:rsidRPr="006605D3">
        <w:rPr>
          <w:rFonts w:ascii="Times New Roman" w:eastAsia="Times New Roman" w:hAnsi="Times New Roman"/>
          <w:b/>
          <w:sz w:val="28"/>
          <w:szCs w:val="28"/>
        </w:rPr>
        <w:t>5</w:t>
      </w:r>
      <w:r w:rsidRPr="006605D3">
        <w:rPr>
          <w:rFonts w:ascii="Times New Roman" w:eastAsia="Times New Roman" w:hAnsi="Times New Roman"/>
          <w:sz w:val="28"/>
          <w:szCs w:val="28"/>
        </w:rPr>
        <w:t xml:space="preserve"> са новообразувани. Приключени са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Решени от прокурор са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Едно е</w:t>
      </w:r>
      <w:r w:rsidRPr="006605D3">
        <w:rPr>
          <w:rFonts w:ascii="Times New Roman" w:eastAsia="Times New Roman" w:hAnsi="Times New Roman"/>
          <w:sz w:val="28"/>
          <w:szCs w:val="28"/>
        </w:rPr>
        <w:t xml:space="preserve"> прекратено на основание чл. 61 НК. Внесени в съда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обвинителни  акта срещу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лица.</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lastRenderedPageBreak/>
        <w:t xml:space="preserve">Осъдено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непълнолетно лице с влязъл в сила съдебен акт</w:t>
      </w:r>
      <w:r w:rsidRPr="006605D3">
        <w:rPr>
          <w:rFonts w:ascii="Times New Roman" w:eastAsia="Times New Roman" w:hAnsi="Times New Roman"/>
          <w:b/>
          <w:sz w:val="28"/>
          <w:szCs w:val="28"/>
        </w:rPr>
        <w:t>,</w:t>
      </w:r>
      <w:r w:rsidRPr="006605D3">
        <w:rPr>
          <w:rFonts w:ascii="Times New Roman" w:eastAsia="Times New Roman" w:hAnsi="Times New Roman"/>
          <w:sz w:val="28"/>
          <w:szCs w:val="28"/>
        </w:rPr>
        <w:t xml:space="preserve"> по отношение на което е наложено наказание „лишаване от свобода“ с приложение на чл. 69 от НК във вр. с чл. 66 от НК.</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rPr>
      </w:pPr>
      <w:r w:rsidRPr="006605D3">
        <w:rPr>
          <w:rFonts w:ascii="Times New Roman" w:eastAsia="Times New Roman" w:hAnsi="Times New Roman"/>
          <w:b/>
          <w:i/>
          <w:sz w:val="28"/>
          <w:szCs w:val="28"/>
        </w:rPr>
        <w:t>за престъпление по чл.131</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16</w:t>
      </w:r>
      <w:r w:rsidRPr="006605D3">
        <w:rPr>
          <w:rFonts w:ascii="Times New Roman" w:eastAsia="Times New Roman" w:hAnsi="Times New Roman"/>
          <w:sz w:val="28"/>
          <w:szCs w:val="28"/>
        </w:rPr>
        <w:t xml:space="preserve"> досъдебни производства, от които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е новообразувано. Приключените производства са </w:t>
      </w:r>
      <w:r w:rsidRPr="006605D3">
        <w:rPr>
          <w:rFonts w:ascii="Times New Roman" w:eastAsia="Times New Roman" w:hAnsi="Times New Roman"/>
          <w:b/>
          <w:sz w:val="28"/>
          <w:szCs w:val="28"/>
        </w:rPr>
        <w:t>13</w:t>
      </w:r>
      <w:r w:rsidRPr="006605D3">
        <w:rPr>
          <w:rFonts w:ascii="Times New Roman" w:eastAsia="Times New Roman" w:hAnsi="Times New Roman"/>
          <w:sz w:val="28"/>
          <w:szCs w:val="28"/>
        </w:rPr>
        <w:t xml:space="preserve"> броя, неприключените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Решени от прокурор по същество са </w:t>
      </w:r>
      <w:r w:rsidRPr="006605D3">
        <w:rPr>
          <w:rFonts w:ascii="Times New Roman" w:eastAsia="Times New Roman" w:hAnsi="Times New Roman"/>
          <w:b/>
          <w:sz w:val="28"/>
          <w:szCs w:val="28"/>
        </w:rPr>
        <w:t>14</w:t>
      </w:r>
      <w:r w:rsidRPr="006605D3">
        <w:rPr>
          <w:rFonts w:ascii="Times New Roman" w:eastAsia="Times New Roman" w:hAnsi="Times New Roman"/>
          <w:sz w:val="28"/>
          <w:szCs w:val="28"/>
        </w:rPr>
        <w:t xml:space="preserve"> дела. Прекратени са </w:t>
      </w:r>
      <w:r w:rsidRPr="006605D3">
        <w:rPr>
          <w:rFonts w:ascii="Times New Roman" w:eastAsia="Times New Roman" w:hAnsi="Times New Roman"/>
          <w:b/>
          <w:sz w:val="28"/>
          <w:szCs w:val="28"/>
        </w:rPr>
        <w:t xml:space="preserve">3 </w:t>
      </w:r>
      <w:r w:rsidRPr="006605D3">
        <w:rPr>
          <w:rFonts w:ascii="Times New Roman" w:eastAsia="Times New Roman" w:hAnsi="Times New Roman"/>
          <w:sz w:val="28"/>
          <w:szCs w:val="28"/>
        </w:rPr>
        <w:t xml:space="preserve">досъдебни производства на основание чл. 61 НК. Внесените в съда прокурорски актове са </w:t>
      </w:r>
      <w:r w:rsidRPr="006605D3">
        <w:rPr>
          <w:rFonts w:ascii="Times New Roman" w:eastAsia="Times New Roman" w:hAnsi="Times New Roman"/>
          <w:b/>
          <w:sz w:val="28"/>
          <w:szCs w:val="28"/>
        </w:rPr>
        <w:t xml:space="preserve">9 </w:t>
      </w:r>
      <w:r w:rsidRPr="006605D3">
        <w:rPr>
          <w:rFonts w:ascii="Times New Roman" w:eastAsia="Times New Roman" w:hAnsi="Times New Roman"/>
          <w:sz w:val="28"/>
          <w:szCs w:val="28"/>
        </w:rPr>
        <w:t xml:space="preserve">броя срещу </w:t>
      </w:r>
      <w:r w:rsidRPr="006605D3">
        <w:rPr>
          <w:rFonts w:ascii="Times New Roman" w:eastAsia="Times New Roman" w:hAnsi="Times New Roman"/>
          <w:b/>
          <w:sz w:val="28"/>
          <w:szCs w:val="28"/>
        </w:rPr>
        <w:t>18</w:t>
      </w:r>
      <w:r w:rsidRPr="006605D3">
        <w:rPr>
          <w:rFonts w:ascii="Times New Roman" w:eastAsia="Times New Roman" w:hAnsi="Times New Roman"/>
          <w:sz w:val="28"/>
          <w:szCs w:val="28"/>
        </w:rPr>
        <w:t xml:space="preserve"> лица, от които </w:t>
      </w:r>
      <w:r w:rsidRPr="006605D3">
        <w:rPr>
          <w:rFonts w:ascii="Times New Roman" w:eastAsia="Times New Roman" w:hAnsi="Times New Roman"/>
          <w:b/>
          <w:sz w:val="28"/>
          <w:szCs w:val="28"/>
        </w:rPr>
        <w:t xml:space="preserve">5 </w:t>
      </w:r>
      <w:r w:rsidRPr="006605D3">
        <w:rPr>
          <w:rFonts w:ascii="Times New Roman" w:eastAsia="Times New Roman" w:hAnsi="Times New Roman"/>
          <w:sz w:val="28"/>
          <w:szCs w:val="28"/>
        </w:rPr>
        <w:t xml:space="preserve">с обвинителен акт, </w:t>
      </w:r>
      <w:r w:rsidRPr="006605D3">
        <w:rPr>
          <w:rFonts w:ascii="Times New Roman" w:eastAsia="Times New Roman" w:hAnsi="Times New Roman"/>
          <w:b/>
          <w:sz w:val="28"/>
          <w:szCs w:val="28"/>
        </w:rPr>
        <w:t>4</w:t>
      </w:r>
      <w:r w:rsidRPr="006605D3">
        <w:rPr>
          <w:rFonts w:ascii="Times New Roman" w:eastAsia="Times New Roman" w:hAnsi="Times New Roman"/>
          <w:sz w:val="28"/>
          <w:szCs w:val="28"/>
          <w:lang w:val="en-US"/>
        </w:rPr>
        <w:t xml:space="preserve"> предложения по чл.78а от НК</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внесени </w:t>
      </w:r>
      <w:r w:rsidRPr="006605D3">
        <w:rPr>
          <w:rFonts w:ascii="Times New Roman" w:eastAsia="Times New Roman" w:hAnsi="Times New Roman"/>
          <w:sz w:val="28"/>
          <w:szCs w:val="28"/>
          <w:lang w:val="en-US"/>
        </w:rPr>
        <w:t>споразумени</w:t>
      </w:r>
      <w:r w:rsidRPr="006605D3">
        <w:rPr>
          <w:rFonts w:ascii="Times New Roman" w:eastAsia="Times New Roman" w:hAnsi="Times New Roman"/>
          <w:sz w:val="28"/>
          <w:szCs w:val="28"/>
        </w:rPr>
        <w:t xml:space="preserve">я. </w:t>
      </w:r>
      <w:r w:rsidRPr="006605D3">
        <w:rPr>
          <w:rFonts w:ascii="Times New Roman" w:eastAsia="Times New Roman" w:hAnsi="Times New Roman"/>
          <w:b/>
          <w:sz w:val="28"/>
          <w:szCs w:val="28"/>
        </w:rPr>
        <w:t>Две</w:t>
      </w:r>
      <w:r w:rsidRPr="006605D3">
        <w:rPr>
          <w:rFonts w:ascii="Times New Roman" w:eastAsia="Times New Roman" w:hAnsi="Times New Roman"/>
          <w:sz w:val="28"/>
          <w:szCs w:val="28"/>
        </w:rPr>
        <w:t xml:space="preserve"> дела са върнати от съда за доразследване. Осъдените непълнолетни лица с влязъл в сила съдебен акт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на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лица е наложено наказание „обществено порицание/възпитателна мярка (пробация)“. Оправдано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лице.</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чл.143</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досъдебно производство.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новообразувани.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е приключено, като е внесено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споразумение по отношение на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лица. Осъдените непълнолетни лица с влязъл в сила съдебен акт са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на </w:t>
      </w:r>
      <w:r w:rsidRPr="006605D3">
        <w:rPr>
          <w:rFonts w:ascii="Times New Roman" w:eastAsia="Times New Roman" w:hAnsi="Times New Roman"/>
          <w:b/>
          <w:sz w:val="28"/>
          <w:szCs w:val="28"/>
        </w:rPr>
        <w:t>четири</w:t>
      </w:r>
      <w:r w:rsidRPr="006605D3">
        <w:rPr>
          <w:rFonts w:ascii="Times New Roman" w:eastAsia="Times New Roman" w:hAnsi="Times New Roman"/>
          <w:sz w:val="28"/>
          <w:szCs w:val="28"/>
        </w:rPr>
        <w:t xml:space="preserve"> лица е наложено наказание „обществено порицание/възпитателна мярка (пробация)“. Няма оправдани лица.</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чл.144</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Новообразуваните производства са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Същото е неприключило.</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чл.148</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досъдебно производство.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новообразувани.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е приключено, като същото е прекратено на  основание чл. 61 НК.</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чл.149 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досъдебни производства. Новообразувани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 xml:space="preserve">3 производства </w:t>
      </w:r>
      <w:r w:rsidRPr="006605D3">
        <w:rPr>
          <w:rFonts w:ascii="Times New Roman" w:eastAsia="Times New Roman" w:hAnsi="Times New Roman"/>
          <w:sz w:val="28"/>
          <w:szCs w:val="28"/>
        </w:rPr>
        <w:t xml:space="preserve">са неприключени. Решено от прокурор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Внесен в съда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обвинителен акт по отношение на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лице.</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чл.151 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което е неприключено.</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чл.152 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досъдебни производства.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е новообразувано производство. </w:t>
      </w:r>
      <w:r w:rsidRPr="006605D3">
        <w:rPr>
          <w:rFonts w:ascii="Times New Roman" w:eastAsia="Times New Roman" w:hAnsi="Times New Roman"/>
          <w:b/>
          <w:sz w:val="28"/>
          <w:szCs w:val="28"/>
        </w:rPr>
        <w:t xml:space="preserve">Едно </w:t>
      </w:r>
      <w:r w:rsidRPr="006605D3">
        <w:rPr>
          <w:rFonts w:ascii="Times New Roman" w:eastAsia="Times New Roman" w:hAnsi="Times New Roman"/>
          <w:sz w:val="28"/>
          <w:szCs w:val="28"/>
        </w:rPr>
        <w:t>дело е</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приключено.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решено от прокурор. Едно дело е било прекратено. По отношение на</w:t>
      </w:r>
      <w:r w:rsidRPr="006605D3">
        <w:rPr>
          <w:rFonts w:ascii="Times New Roman" w:eastAsia="Times New Roman" w:hAnsi="Times New Roman"/>
          <w:b/>
          <w:sz w:val="28"/>
          <w:szCs w:val="28"/>
        </w:rPr>
        <w:t xml:space="preserve"> едно </w:t>
      </w:r>
      <w:r w:rsidRPr="006605D3">
        <w:rPr>
          <w:rFonts w:ascii="Times New Roman" w:eastAsia="Times New Roman" w:hAnsi="Times New Roman"/>
          <w:sz w:val="28"/>
          <w:szCs w:val="28"/>
        </w:rPr>
        <w:t>лице е влязла в сила оправдателна присъда.</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чл.155 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и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е приключено.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било решено от прокурор.</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lang w:eastAsia="bg-BG"/>
        </w:rPr>
        <w:lastRenderedPageBreak/>
        <w:t>за престъпление по чл.157 от</w:t>
      </w:r>
      <w:r w:rsidRPr="006605D3">
        <w:rPr>
          <w:rFonts w:ascii="Times New Roman" w:eastAsia="Times New Roman" w:hAnsi="Times New Roman"/>
          <w:b/>
          <w:i/>
          <w:sz w:val="28"/>
          <w:szCs w:val="28"/>
          <w:lang w:val="en-US" w:eastAsia="bg-BG"/>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val="en-US" w:eastAsia="bg-BG"/>
        </w:rPr>
        <w:t xml:space="preserve">Наблюдавано е </w:t>
      </w:r>
      <w:r w:rsidRPr="006605D3">
        <w:rPr>
          <w:rFonts w:ascii="Times New Roman" w:eastAsia="Times New Roman" w:hAnsi="Times New Roman"/>
          <w:b/>
          <w:sz w:val="28"/>
          <w:szCs w:val="28"/>
          <w:lang w:val="en-US" w:eastAsia="bg-BG"/>
        </w:rPr>
        <w:t>1</w:t>
      </w:r>
      <w:r w:rsidRPr="006605D3">
        <w:rPr>
          <w:rFonts w:ascii="Times New Roman" w:eastAsia="Times New Roman" w:hAnsi="Times New Roman"/>
          <w:sz w:val="28"/>
          <w:szCs w:val="28"/>
          <w:lang w:val="en-US" w:eastAsia="bg-BG"/>
        </w:rPr>
        <w:t xml:space="preserve"> досъдебно производство</w:t>
      </w:r>
      <w:r w:rsidRPr="006605D3">
        <w:rPr>
          <w:rFonts w:ascii="Times New Roman" w:eastAsia="Times New Roman" w:hAnsi="Times New Roman"/>
          <w:sz w:val="28"/>
          <w:szCs w:val="28"/>
          <w:lang w:eastAsia="bg-BG"/>
        </w:rPr>
        <w:t xml:space="preserve">, </w:t>
      </w:r>
      <w:r w:rsidRPr="006605D3">
        <w:rPr>
          <w:rFonts w:ascii="Times New Roman" w:eastAsia="Times New Roman" w:hAnsi="Times New Roman"/>
          <w:b/>
          <w:sz w:val="28"/>
          <w:szCs w:val="28"/>
          <w:lang w:val="en-US" w:eastAsia="bg-BG"/>
        </w:rPr>
        <w:t>1</w:t>
      </w:r>
      <w:r w:rsidRPr="006605D3">
        <w:rPr>
          <w:rFonts w:ascii="Times New Roman" w:eastAsia="Times New Roman" w:hAnsi="Times New Roman"/>
          <w:sz w:val="28"/>
          <w:szCs w:val="28"/>
          <w:lang w:val="en-US" w:eastAsia="bg-BG"/>
        </w:rPr>
        <w:t xml:space="preserve"> е </w:t>
      </w:r>
      <w:r w:rsidRPr="006605D3">
        <w:rPr>
          <w:rFonts w:ascii="Times New Roman" w:eastAsia="Times New Roman" w:hAnsi="Times New Roman"/>
          <w:sz w:val="28"/>
          <w:szCs w:val="28"/>
          <w:lang w:eastAsia="bg-BG"/>
        </w:rPr>
        <w:t>не</w:t>
      </w:r>
      <w:r w:rsidRPr="006605D3">
        <w:rPr>
          <w:rFonts w:ascii="Times New Roman" w:eastAsia="Times New Roman" w:hAnsi="Times New Roman"/>
          <w:sz w:val="28"/>
          <w:szCs w:val="28"/>
          <w:lang w:val="en-US" w:eastAsia="bg-BG"/>
        </w:rPr>
        <w:t>приключено.</w:t>
      </w:r>
      <w:r w:rsidRPr="006605D3">
        <w:rPr>
          <w:rFonts w:ascii="Times New Roman" w:eastAsia="Times New Roman" w:hAnsi="Times New Roman"/>
          <w:sz w:val="28"/>
          <w:szCs w:val="28"/>
          <w:lang w:val="en-US"/>
        </w:rPr>
        <w:t xml:space="preserve"> </w:t>
      </w:r>
      <w:r w:rsidRPr="006605D3">
        <w:rPr>
          <w:rFonts w:ascii="Times New Roman" w:eastAsia="Times New Roman" w:hAnsi="Times New Roman"/>
          <w:b/>
          <w:sz w:val="28"/>
          <w:szCs w:val="28"/>
          <w:lang w:eastAsia="bg-BG"/>
        </w:rPr>
        <w:t xml:space="preserve">Едно </w:t>
      </w:r>
      <w:r w:rsidRPr="006605D3">
        <w:rPr>
          <w:rFonts w:ascii="Times New Roman" w:eastAsia="Times New Roman" w:hAnsi="Times New Roman"/>
          <w:sz w:val="28"/>
          <w:szCs w:val="28"/>
          <w:lang w:eastAsia="bg-BG"/>
        </w:rPr>
        <w:t xml:space="preserve">дело е върнато от съда за доразследване. По отношение на </w:t>
      </w:r>
      <w:r w:rsidRPr="006605D3">
        <w:rPr>
          <w:rFonts w:ascii="Times New Roman" w:eastAsia="Times New Roman" w:hAnsi="Times New Roman"/>
          <w:b/>
          <w:sz w:val="28"/>
          <w:szCs w:val="28"/>
          <w:lang w:eastAsia="bg-BG"/>
        </w:rPr>
        <w:t>1</w:t>
      </w:r>
      <w:r w:rsidRPr="006605D3">
        <w:rPr>
          <w:rFonts w:ascii="Times New Roman" w:eastAsia="Times New Roman" w:hAnsi="Times New Roman"/>
          <w:sz w:val="28"/>
          <w:szCs w:val="28"/>
          <w:lang w:eastAsia="bg-BG"/>
        </w:rPr>
        <w:t xml:space="preserve"> лице е било постановено задържане за отчетния период.</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lang w:eastAsia="bg-BG"/>
        </w:rPr>
        <w:t>за престъпление по чл.162 от</w:t>
      </w:r>
      <w:r w:rsidRPr="006605D3">
        <w:rPr>
          <w:rFonts w:ascii="Times New Roman" w:eastAsia="Times New Roman" w:hAnsi="Times New Roman"/>
          <w:b/>
          <w:i/>
          <w:sz w:val="28"/>
          <w:szCs w:val="28"/>
          <w:lang w:val="en-US" w:eastAsia="bg-BG"/>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i/>
          <w:sz w:val="28"/>
          <w:szCs w:val="28"/>
          <w:lang w:eastAsia="bg-BG"/>
        </w:rPr>
      </w:pPr>
      <w:r w:rsidRPr="006605D3">
        <w:rPr>
          <w:rFonts w:ascii="Times New Roman" w:eastAsia="Times New Roman" w:hAnsi="Times New Roman"/>
          <w:sz w:val="28"/>
          <w:szCs w:val="28"/>
          <w:lang w:val="en-US" w:eastAsia="bg-BG"/>
        </w:rPr>
        <w:t xml:space="preserve">Наблюдавано е </w:t>
      </w:r>
      <w:r w:rsidRPr="006605D3">
        <w:rPr>
          <w:rFonts w:ascii="Times New Roman" w:eastAsia="Times New Roman" w:hAnsi="Times New Roman"/>
          <w:b/>
          <w:sz w:val="28"/>
          <w:szCs w:val="28"/>
          <w:lang w:val="en-US" w:eastAsia="bg-BG"/>
        </w:rPr>
        <w:t>1</w:t>
      </w:r>
      <w:r w:rsidRPr="006605D3">
        <w:rPr>
          <w:rFonts w:ascii="Times New Roman" w:eastAsia="Times New Roman" w:hAnsi="Times New Roman"/>
          <w:sz w:val="28"/>
          <w:szCs w:val="28"/>
          <w:lang w:val="en-US" w:eastAsia="bg-BG"/>
        </w:rPr>
        <w:t xml:space="preserve"> досъдебно производство</w:t>
      </w:r>
      <w:r w:rsidRPr="006605D3">
        <w:rPr>
          <w:rFonts w:ascii="Times New Roman" w:eastAsia="Times New Roman" w:hAnsi="Times New Roman"/>
          <w:sz w:val="28"/>
          <w:szCs w:val="28"/>
          <w:lang w:eastAsia="bg-BG"/>
        </w:rPr>
        <w:t xml:space="preserve">. </w:t>
      </w:r>
      <w:r w:rsidRPr="006605D3">
        <w:rPr>
          <w:rFonts w:ascii="Times New Roman" w:eastAsia="Times New Roman" w:hAnsi="Times New Roman"/>
          <w:b/>
          <w:sz w:val="28"/>
          <w:szCs w:val="28"/>
          <w:lang w:eastAsia="bg-BG"/>
        </w:rPr>
        <w:t>Едно</w:t>
      </w:r>
      <w:r w:rsidRPr="006605D3">
        <w:rPr>
          <w:rFonts w:ascii="Times New Roman" w:eastAsia="Times New Roman" w:hAnsi="Times New Roman"/>
          <w:sz w:val="28"/>
          <w:szCs w:val="28"/>
          <w:lang w:eastAsia="bg-BG"/>
        </w:rPr>
        <w:t xml:space="preserve"> дело е било решено от прокурор, като е постановено прекратяване на основание чл. 61 от НК.</w:t>
      </w:r>
    </w:p>
    <w:p w:rsidR="006605D3" w:rsidRPr="006605D3" w:rsidRDefault="006605D3" w:rsidP="004D24A1">
      <w:pPr>
        <w:overflowPunct w:val="0"/>
        <w:autoSpaceDE w:val="0"/>
        <w:autoSpaceDN w:val="0"/>
        <w:adjustRightInd w:val="0"/>
        <w:spacing w:after="0"/>
        <w:contextualSpacing/>
        <w:jc w:val="both"/>
        <w:rPr>
          <w:rFonts w:ascii="Times New Roman" w:eastAsia="Times New Roman" w:hAnsi="Times New Roman"/>
          <w:b/>
          <w:i/>
          <w:sz w:val="28"/>
          <w:szCs w:val="28"/>
          <w:lang w:eastAsia="bg-BG"/>
        </w:rPr>
      </w:pPr>
    </w:p>
    <w:p w:rsidR="006605D3" w:rsidRPr="006605D3" w:rsidRDefault="006605D3" w:rsidP="004D24A1">
      <w:pPr>
        <w:autoSpaceDN w:val="0"/>
        <w:spacing w:after="0"/>
        <w:ind w:firstLine="709"/>
        <w:jc w:val="both"/>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Глава трета от НК „Престъпления против правата на гражданите“</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b/>
          <w:i/>
          <w:sz w:val="28"/>
          <w:szCs w:val="28"/>
        </w:rPr>
        <w:t>за престъпление по чл.170</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 </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Новообразувани няма.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е неприключено. </w:t>
      </w:r>
    </w:p>
    <w:p w:rsidR="006605D3" w:rsidRPr="006605D3" w:rsidRDefault="006605D3" w:rsidP="004D24A1">
      <w:pPr>
        <w:autoSpaceDN w:val="0"/>
        <w:spacing w:after="0"/>
        <w:ind w:firstLine="709"/>
        <w:jc w:val="both"/>
        <w:rPr>
          <w:rFonts w:ascii="Times New Roman" w:eastAsia="Times New Roman" w:hAnsi="Times New Roman"/>
          <w:b/>
          <w:sz w:val="28"/>
          <w:szCs w:val="28"/>
          <w:lang w:eastAsia="bg-BG"/>
        </w:rPr>
      </w:pPr>
    </w:p>
    <w:p w:rsidR="006605D3" w:rsidRPr="006605D3" w:rsidRDefault="006605D3" w:rsidP="004D24A1">
      <w:pPr>
        <w:autoSpaceDN w:val="0"/>
        <w:spacing w:after="0"/>
        <w:ind w:firstLine="709"/>
        <w:jc w:val="both"/>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Глава пета от НК „Престъпления против собствеността”</w:t>
      </w:r>
    </w:p>
    <w:p w:rsidR="006605D3" w:rsidRPr="006605D3" w:rsidRDefault="006605D3" w:rsidP="004D24A1">
      <w:pPr>
        <w:numPr>
          <w:ilvl w:val="0"/>
          <w:numId w:val="7"/>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 xml:space="preserve">194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19</w:t>
      </w:r>
      <w:r w:rsidRPr="006605D3">
        <w:rPr>
          <w:rFonts w:ascii="Times New Roman" w:eastAsia="Times New Roman" w:hAnsi="Times New Roman"/>
          <w:sz w:val="28"/>
          <w:szCs w:val="28"/>
        </w:rPr>
        <w:t xml:space="preserve">, от които новообразувани са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Приключени са </w:t>
      </w:r>
      <w:r w:rsidRPr="006605D3">
        <w:rPr>
          <w:rFonts w:ascii="Times New Roman" w:eastAsia="Times New Roman" w:hAnsi="Times New Roman"/>
          <w:b/>
          <w:sz w:val="28"/>
          <w:szCs w:val="28"/>
        </w:rPr>
        <w:t>13</w:t>
      </w:r>
      <w:r w:rsidRPr="006605D3">
        <w:rPr>
          <w:rFonts w:ascii="Times New Roman" w:eastAsia="Times New Roman" w:hAnsi="Times New Roman"/>
          <w:sz w:val="28"/>
          <w:szCs w:val="28"/>
        </w:rPr>
        <w:t xml:space="preserve"> броя, а неприключените са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Решени от прокурор са </w:t>
      </w:r>
      <w:r w:rsidRPr="006605D3">
        <w:rPr>
          <w:rFonts w:ascii="Times New Roman" w:eastAsia="Times New Roman" w:hAnsi="Times New Roman"/>
          <w:b/>
          <w:sz w:val="28"/>
          <w:szCs w:val="28"/>
        </w:rPr>
        <w:t xml:space="preserve">16 </w:t>
      </w:r>
      <w:r w:rsidRPr="006605D3">
        <w:rPr>
          <w:rFonts w:ascii="Times New Roman" w:eastAsia="Times New Roman" w:hAnsi="Times New Roman"/>
          <w:sz w:val="28"/>
          <w:szCs w:val="28"/>
        </w:rPr>
        <w:t xml:space="preserve">досъдебни производства. Прекратени са </w:t>
      </w:r>
      <w:r w:rsidRPr="006605D3">
        <w:rPr>
          <w:rFonts w:ascii="Times New Roman" w:eastAsia="Times New Roman" w:hAnsi="Times New Roman"/>
          <w:b/>
          <w:sz w:val="28"/>
          <w:szCs w:val="28"/>
        </w:rPr>
        <w:t xml:space="preserve">5 </w:t>
      </w:r>
      <w:r w:rsidRPr="006605D3">
        <w:rPr>
          <w:rFonts w:ascii="Times New Roman" w:eastAsia="Times New Roman" w:hAnsi="Times New Roman"/>
          <w:sz w:val="28"/>
          <w:szCs w:val="28"/>
        </w:rPr>
        <w:t xml:space="preserve">досъдебни производства, а </w:t>
      </w:r>
      <w:r w:rsidRPr="006605D3">
        <w:rPr>
          <w:rFonts w:ascii="Times New Roman" w:eastAsia="Times New Roman" w:hAnsi="Times New Roman"/>
          <w:b/>
          <w:sz w:val="28"/>
          <w:szCs w:val="28"/>
        </w:rPr>
        <w:t>5</w:t>
      </w:r>
      <w:r w:rsidRPr="006605D3">
        <w:rPr>
          <w:rFonts w:ascii="Times New Roman" w:eastAsia="Times New Roman" w:hAnsi="Times New Roman"/>
          <w:sz w:val="28"/>
          <w:szCs w:val="28"/>
        </w:rPr>
        <w:t xml:space="preserve"> са прекратени на основание чл. 61 НК. Внесените в съда с прокурорски акт дела са </w:t>
      </w:r>
      <w:r w:rsidRPr="006605D3">
        <w:rPr>
          <w:rFonts w:ascii="Times New Roman" w:eastAsia="Times New Roman" w:hAnsi="Times New Roman"/>
          <w:b/>
          <w:sz w:val="28"/>
          <w:szCs w:val="28"/>
        </w:rPr>
        <w:t>10</w:t>
      </w:r>
      <w:r w:rsidRPr="006605D3">
        <w:rPr>
          <w:rFonts w:ascii="Times New Roman" w:eastAsia="Times New Roman" w:hAnsi="Times New Roman"/>
          <w:sz w:val="28"/>
          <w:szCs w:val="28"/>
        </w:rPr>
        <w:t xml:space="preserve"> срещу </w:t>
      </w:r>
      <w:r w:rsidRPr="006605D3">
        <w:rPr>
          <w:rFonts w:ascii="Times New Roman" w:eastAsia="Times New Roman" w:hAnsi="Times New Roman"/>
          <w:b/>
          <w:sz w:val="28"/>
          <w:szCs w:val="28"/>
        </w:rPr>
        <w:t>7</w:t>
      </w:r>
      <w:r w:rsidRPr="006605D3">
        <w:rPr>
          <w:rFonts w:ascii="Times New Roman" w:eastAsia="Times New Roman" w:hAnsi="Times New Roman"/>
          <w:sz w:val="28"/>
          <w:szCs w:val="28"/>
        </w:rPr>
        <w:t xml:space="preserve"> лица. От тях </w:t>
      </w:r>
      <w:r w:rsidRPr="006605D3">
        <w:rPr>
          <w:rFonts w:ascii="Times New Roman" w:eastAsia="Times New Roman" w:hAnsi="Times New Roman"/>
          <w:b/>
          <w:sz w:val="28"/>
          <w:szCs w:val="28"/>
        </w:rPr>
        <w:t xml:space="preserve">9 </w:t>
      </w:r>
      <w:r w:rsidRPr="006605D3">
        <w:rPr>
          <w:rFonts w:ascii="Times New Roman" w:eastAsia="Times New Roman" w:hAnsi="Times New Roman"/>
          <w:sz w:val="28"/>
          <w:szCs w:val="28"/>
        </w:rPr>
        <w:t xml:space="preserve">обвинителни акта и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споразумение. </w:t>
      </w:r>
      <w:r w:rsidRPr="006605D3">
        <w:rPr>
          <w:rFonts w:ascii="Times New Roman" w:eastAsia="Times New Roman" w:hAnsi="Times New Roman"/>
          <w:b/>
          <w:sz w:val="28"/>
          <w:szCs w:val="28"/>
        </w:rPr>
        <w:t xml:space="preserve">Едно дело е </w:t>
      </w:r>
      <w:r w:rsidRPr="006605D3">
        <w:rPr>
          <w:rFonts w:ascii="Times New Roman" w:eastAsia="Times New Roman" w:hAnsi="Times New Roman"/>
          <w:sz w:val="28"/>
          <w:szCs w:val="28"/>
        </w:rPr>
        <w:t xml:space="preserve"> върнато за доразследване. Осъдените непълнолетни лица с влязъл в сила съдебен акт са </w:t>
      </w:r>
      <w:r w:rsidRPr="006605D3">
        <w:rPr>
          <w:rFonts w:ascii="Times New Roman" w:eastAsia="Times New Roman" w:hAnsi="Times New Roman"/>
          <w:b/>
          <w:sz w:val="28"/>
          <w:szCs w:val="28"/>
        </w:rPr>
        <w:t>9</w:t>
      </w:r>
      <w:r w:rsidRPr="006605D3">
        <w:rPr>
          <w:rFonts w:ascii="Times New Roman" w:eastAsia="Times New Roman" w:hAnsi="Times New Roman"/>
          <w:sz w:val="28"/>
          <w:szCs w:val="28"/>
        </w:rPr>
        <w:t xml:space="preserve">, на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лица</w:t>
      </w:r>
      <w:r w:rsidRPr="006605D3">
        <w:rPr>
          <w:rFonts w:ascii="Times New Roman" w:eastAsia="Times New Roman" w:hAnsi="Times New Roman"/>
          <w:sz w:val="28"/>
          <w:szCs w:val="28"/>
        </w:rPr>
        <w:t xml:space="preserve"> е наложено наказание „лишаване от свобода с приложение на чл. 69 от НК, вр чл. 66 от НК“; а на</w:t>
      </w:r>
      <w:r w:rsidRPr="006605D3">
        <w:rPr>
          <w:rFonts w:ascii="Times New Roman" w:eastAsia="Times New Roman" w:hAnsi="Times New Roman"/>
          <w:b/>
          <w:sz w:val="28"/>
          <w:szCs w:val="28"/>
        </w:rPr>
        <w:t xml:space="preserve"> 6 лица </w:t>
      </w:r>
      <w:r w:rsidRPr="006605D3">
        <w:rPr>
          <w:rFonts w:ascii="Times New Roman" w:eastAsia="Times New Roman" w:hAnsi="Times New Roman"/>
          <w:sz w:val="28"/>
          <w:szCs w:val="28"/>
        </w:rPr>
        <w:t>е постановено наказание „обществено порицание/ възпитателна мярка“ /пробация</w:t>
      </w:r>
      <w:r w:rsidRPr="006605D3">
        <w:rPr>
          <w:rFonts w:ascii="Times New Roman" w:eastAsia="Times New Roman" w:hAnsi="Times New Roman"/>
          <w:b/>
          <w:sz w:val="28"/>
          <w:szCs w:val="28"/>
        </w:rPr>
        <w:t xml:space="preserve">. </w:t>
      </w:r>
      <w:r w:rsidRPr="006605D3">
        <w:rPr>
          <w:rFonts w:ascii="Times New Roman" w:eastAsia="Times New Roman" w:hAnsi="Times New Roman"/>
          <w:sz w:val="28"/>
          <w:szCs w:val="28"/>
        </w:rPr>
        <w:t xml:space="preserve"> Оправдани лица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w:t>
      </w:r>
    </w:p>
    <w:p w:rsidR="006605D3" w:rsidRPr="006605D3" w:rsidRDefault="006605D3" w:rsidP="004D24A1">
      <w:pPr>
        <w:numPr>
          <w:ilvl w:val="0"/>
          <w:numId w:val="6"/>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 xml:space="preserve">195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34</w:t>
      </w:r>
      <w:r w:rsidRPr="006605D3">
        <w:rPr>
          <w:rFonts w:ascii="Times New Roman" w:eastAsia="Times New Roman" w:hAnsi="Times New Roman"/>
          <w:sz w:val="28"/>
          <w:szCs w:val="28"/>
        </w:rPr>
        <w:t xml:space="preserve"> броя, от които новообразувани са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броя. Приключени са </w:t>
      </w:r>
      <w:r w:rsidRPr="006605D3">
        <w:rPr>
          <w:rFonts w:ascii="Times New Roman" w:eastAsia="Times New Roman" w:hAnsi="Times New Roman"/>
          <w:b/>
          <w:sz w:val="28"/>
          <w:szCs w:val="28"/>
        </w:rPr>
        <w:t>15</w:t>
      </w:r>
      <w:r w:rsidRPr="006605D3">
        <w:rPr>
          <w:rFonts w:ascii="Times New Roman" w:eastAsia="Times New Roman" w:hAnsi="Times New Roman"/>
          <w:sz w:val="28"/>
          <w:szCs w:val="28"/>
        </w:rPr>
        <w:t xml:space="preserve"> броя. Неприключени са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Решени от прокурор са </w:t>
      </w:r>
      <w:r w:rsidRPr="006605D3">
        <w:rPr>
          <w:rFonts w:ascii="Times New Roman" w:eastAsia="Times New Roman" w:hAnsi="Times New Roman"/>
          <w:b/>
          <w:sz w:val="28"/>
          <w:szCs w:val="28"/>
        </w:rPr>
        <w:t>27</w:t>
      </w:r>
      <w:r w:rsidRPr="006605D3">
        <w:rPr>
          <w:rFonts w:ascii="Times New Roman" w:eastAsia="Times New Roman" w:hAnsi="Times New Roman"/>
          <w:sz w:val="28"/>
          <w:szCs w:val="28"/>
        </w:rPr>
        <w:t xml:space="preserve"> досъдебни производства. Прекратени са </w:t>
      </w:r>
      <w:r w:rsidRPr="006605D3">
        <w:rPr>
          <w:rFonts w:ascii="Times New Roman" w:eastAsia="Times New Roman" w:hAnsi="Times New Roman"/>
          <w:b/>
          <w:sz w:val="28"/>
          <w:szCs w:val="28"/>
        </w:rPr>
        <w:t>12</w:t>
      </w:r>
      <w:r w:rsidRPr="006605D3">
        <w:rPr>
          <w:rFonts w:ascii="Times New Roman" w:eastAsia="Times New Roman" w:hAnsi="Times New Roman"/>
          <w:sz w:val="28"/>
          <w:szCs w:val="28"/>
        </w:rPr>
        <w:t xml:space="preserve"> броя досъдебни производства на основание чл. 61 НК. В съда са внесени </w:t>
      </w:r>
      <w:r w:rsidRPr="006605D3">
        <w:rPr>
          <w:rFonts w:ascii="Times New Roman" w:eastAsia="Times New Roman" w:hAnsi="Times New Roman"/>
          <w:b/>
          <w:sz w:val="28"/>
          <w:szCs w:val="28"/>
        </w:rPr>
        <w:t>15</w:t>
      </w:r>
      <w:r w:rsidRPr="006605D3">
        <w:rPr>
          <w:rFonts w:ascii="Times New Roman" w:eastAsia="Times New Roman" w:hAnsi="Times New Roman"/>
          <w:sz w:val="28"/>
          <w:szCs w:val="28"/>
        </w:rPr>
        <w:t xml:space="preserve"> прокурорски акта срещу </w:t>
      </w:r>
      <w:r w:rsidRPr="006605D3">
        <w:rPr>
          <w:rFonts w:ascii="Times New Roman" w:eastAsia="Times New Roman" w:hAnsi="Times New Roman"/>
          <w:b/>
          <w:sz w:val="28"/>
          <w:szCs w:val="28"/>
        </w:rPr>
        <w:t>17</w:t>
      </w:r>
      <w:r w:rsidRPr="006605D3">
        <w:rPr>
          <w:rFonts w:ascii="Times New Roman" w:eastAsia="Times New Roman" w:hAnsi="Times New Roman"/>
          <w:sz w:val="28"/>
          <w:szCs w:val="28"/>
        </w:rPr>
        <w:t xml:space="preserve"> лица, от тях </w:t>
      </w:r>
      <w:r w:rsidRPr="006605D3">
        <w:rPr>
          <w:rFonts w:ascii="Times New Roman" w:eastAsia="Times New Roman" w:hAnsi="Times New Roman"/>
          <w:b/>
          <w:sz w:val="28"/>
          <w:szCs w:val="28"/>
        </w:rPr>
        <w:t>10</w:t>
      </w:r>
      <w:r w:rsidRPr="006605D3">
        <w:rPr>
          <w:rFonts w:ascii="Times New Roman" w:eastAsia="Times New Roman" w:hAnsi="Times New Roman"/>
          <w:sz w:val="28"/>
          <w:szCs w:val="28"/>
        </w:rPr>
        <w:t xml:space="preserve"> обвинителни акта и </w:t>
      </w:r>
      <w:r w:rsidRPr="006605D3">
        <w:rPr>
          <w:rFonts w:ascii="Times New Roman" w:eastAsia="Times New Roman" w:hAnsi="Times New Roman"/>
          <w:b/>
          <w:sz w:val="28"/>
          <w:szCs w:val="28"/>
        </w:rPr>
        <w:t>5 броя</w:t>
      </w:r>
      <w:r w:rsidRPr="006605D3">
        <w:rPr>
          <w:rFonts w:ascii="Times New Roman" w:eastAsia="Times New Roman" w:hAnsi="Times New Roman"/>
          <w:sz w:val="28"/>
          <w:szCs w:val="28"/>
        </w:rPr>
        <w:t xml:space="preserve"> споразумения.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върнато от съда за доразследване. Осъдени с влязъл в сила съдебен акт са </w:t>
      </w:r>
      <w:r w:rsidRPr="006605D3">
        <w:rPr>
          <w:rFonts w:ascii="Times New Roman" w:eastAsia="Times New Roman" w:hAnsi="Times New Roman"/>
          <w:b/>
          <w:sz w:val="28"/>
          <w:szCs w:val="28"/>
        </w:rPr>
        <w:t>19</w:t>
      </w:r>
      <w:r w:rsidRPr="006605D3">
        <w:rPr>
          <w:rFonts w:ascii="Times New Roman" w:eastAsia="Times New Roman" w:hAnsi="Times New Roman"/>
          <w:sz w:val="28"/>
          <w:szCs w:val="28"/>
        </w:rPr>
        <w:t xml:space="preserve">, като на </w:t>
      </w:r>
      <w:r w:rsidRPr="006605D3">
        <w:rPr>
          <w:rFonts w:ascii="Times New Roman" w:eastAsia="Times New Roman" w:hAnsi="Times New Roman"/>
          <w:b/>
          <w:sz w:val="28"/>
          <w:szCs w:val="28"/>
        </w:rPr>
        <w:t>9</w:t>
      </w:r>
      <w:r w:rsidRPr="006605D3">
        <w:rPr>
          <w:rFonts w:ascii="Times New Roman" w:eastAsia="Times New Roman" w:hAnsi="Times New Roman"/>
          <w:sz w:val="28"/>
          <w:szCs w:val="28"/>
        </w:rPr>
        <w:t xml:space="preserve"> лица е наложено наказание „лишаване от свобода“ с приложение на чл.69 и чл.66 от НК, на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лица – ефективно лишаване от свобода,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лица са с наказание „обществено порицание/възпитателна мярка (пробация)“. Оправдани лица няма. За отчетния период са били задържани </w:t>
      </w:r>
      <w:r w:rsidRPr="006605D3">
        <w:rPr>
          <w:rFonts w:ascii="Times New Roman" w:eastAsia="Times New Roman" w:hAnsi="Times New Roman"/>
          <w:b/>
          <w:sz w:val="28"/>
          <w:szCs w:val="28"/>
        </w:rPr>
        <w:t>3 лица</w:t>
      </w:r>
      <w:r w:rsidRPr="006605D3">
        <w:rPr>
          <w:rFonts w:ascii="Times New Roman" w:eastAsia="Times New Roman" w:hAnsi="Times New Roman"/>
          <w:sz w:val="28"/>
          <w:szCs w:val="28"/>
        </w:rPr>
        <w:t>.</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lastRenderedPageBreak/>
        <w:t>за престъпление по чл.</w:t>
      </w:r>
      <w:r w:rsidRPr="006605D3">
        <w:rPr>
          <w:rFonts w:ascii="Times New Roman" w:eastAsia="Times New Roman" w:hAnsi="Times New Roman"/>
          <w:b/>
          <w:i/>
          <w:sz w:val="28"/>
          <w:szCs w:val="28"/>
          <w:lang w:val="en-US"/>
        </w:rPr>
        <w:t>19</w:t>
      </w:r>
      <w:r w:rsidRPr="006605D3">
        <w:rPr>
          <w:rFonts w:ascii="Times New Roman" w:eastAsia="Times New Roman" w:hAnsi="Times New Roman"/>
          <w:b/>
          <w:i/>
          <w:sz w:val="28"/>
          <w:szCs w:val="28"/>
        </w:rPr>
        <w:t xml:space="preserve">6а </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8"/>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През 2021 г. няма наблюдавани производства по този член.</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19</w:t>
      </w:r>
      <w:r w:rsidRPr="006605D3">
        <w:rPr>
          <w:rFonts w:ascii="Times New Roman" w:eastAsia="Times New Roman" w:hAnsi="Times New Roman"/>
          <w:b/>
          <w:i/>
          <w:sz w:val="28"/>
          <w:szCs w:val="28"/>
        </w:rPr>
        <w:t>7</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През 2021 г. няма наблюдавани и образувани  досъдебни производства.</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 xml:space="preserve">198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63</w:t>
      </w:r>
      <w:r w:rsidRPr="006605D3">
        <w:rPr>
          <w:rFonts w:ascii="Times New Roman" w:eastAsia="Times New Roman" w:hAnsi="Times New Roman"/>
          <w:sz w:val="28"/>
          <w:szCs w:val="28"/>
        </w:rPr>
        <w:t xml:space="preserve"> броя, от които новообразуваните са </w:t>
      </w:r>
      <w:r w:rsidRPr="006605D3">
        <w:rPr>
          <w:rFonts w:ascii="Times New Roman" w:eastAsia="Times New Roman" w:hAnsi="Times New Roman"/>
          <w:b/>
          <w:sz w:val="28"/>
          <w:szCs w:val="28"/>
        </w:rPr>
        <w:t>21</w:t>
      </w:r>
      <w:r w:rsidRPr="006605D3">
        <w:rPr>
          <w:rFonts w:ascii="Times New Roman" w:eastAsia="Times New Roman" w:hAnsi="Times New Roman"/>
          <w:sz w:val="28"/>
          <w:szCs w:val="28"/>
        </w:rPr>
        <w:t xml:space="preserve"> броя. Приключени от разследващ орган са </w:t>
      </w:r>
      <w:r w:rsidRPr="006605D3">
        <w:rPr>
          <w:rFonts w:ascii="Times New Roman" w:eastAsia="Times New Roman" w:hAnsi="Times New Roman"/>
          <w:b/>
          <w:sz w:val="28"/>
          <w:szCs w:val="28"/>
        </w:rPr>
        <w:t>34</w:t>
      </w:r>
      <w:r w:rsidRPr="006605D3">
        <w:rPr>
          <w:rFonts w:ascii="Times New Roman" w:eastAsia="Times New Roman" w:hAnsi="Times New Roman"/>
          <w:sz w:val="28"/>
          <w:szCs w:val="28"/>
        </w:rPr>
        <w:t xml:space="preserve"> броя. Неприключените са </w:t>
      </w:r>
      <w:r w:rsidRPr="006605D3">
        <w:rPr>
          <w:rFonts w:ascii="Times New Roman" w:eastAsia="Times New Roman" w:hAnsi="Times New Roman"/>
          <w:b/>
          <w:sz w:val="28"/>
          <w:szCs w:val="28"/>
        </w:rPr>
        <w:t>24</w:t>
      </w:r>
      <w:r w:rsidRPr="006605D3">
        <w:rPr>
          <w:rFonts w:ascii="Times New Roman" w:eastAsia="Times New Roman" w:hAnsi="Times New Roman"/>
          <w:sz w:val="28"/>
          <w:szCs w:val="28"/>
        </w:rPr>
        <w:t xml:space="preserve">. Решени от прокурор по същество са </w:t>
      </w:r>
      <w:r w:rsidRPr="006605D3">
        <w:rPr>
          <w:rFonts w:ascii="Times New Roman" w:eastAsia="Times New Roman" w:hAnsi="Times New Roman"/>
          <w:b/>
          <w:sz w:val="28"/>
          <w:szCs w:val="28"/>
        </w:rPr>
        <w:t>37</w:t>
      </w:r>
      <w:r w:rsidRPr="006605D3">
        <w:rPr>
          <w:rFonts w:ascii="Times New Roman" w:eastAsia="Times New Roman" w:hAnsi="Times New Roman"/>
          <w:sz w:val="28"/>
          <w:szCs w:val="28"/>
        </w:rPr>
        <w:t xml:space="preserve"> досъдебни производства. Прекратени са </w:t>
      </w:r>
      <w:r w:rsidRPr="006605D3">
        <w:rPr>
          <w:rFonts w:ascii="Times New Roman" w:eastAsia="Times New Roman" w:hAnsi="Times New Roman"/>
          <w:b/>
          <w:sz w:val="28"/>
          <w:szCs w:val="28"/>
        </w:rPr>
        <w:t>5</w:t>
      </w:r>
      <w:r w:rsidRPr="006605D3">
        <w:rPr>
          <w:rFonts w:ascii="Times New Roman" w:eastAsia="Times New Roman" w:hAnsi="Times New Roman"/>
          <w:sz w:val="28"/>
          <w:szCs w:val="28"/>
        </w:rPr>
        <w:t xml:space="preserve"> досъдебни производства на основание          чл. 61 НК. В съда са внесени </w:t>
      </w:r>
      <w:r w:rsidRPr="006605D3">
        <w:rPr>
          <w:rFonts w:ascii="Times New Roman" w:eastAsia="Times New Roman" w:hAnsi="Times New Roman"/>
          <w:b/>
          <w:sz w:val="28"/>
          <w:szCs w:val="28"/>
        </w:rPr>
        <w:t>32</w:t>
      </w:r>
      <w:r w:rsidRPr="006605D3">
        <w:rPr>
          <w:rFonts w:ascii="Times New Roman" w:eastAsia="Times New Roman" w:hAnsi="Times New Roman"/>
          <w:sz w:val="28"/>
          <w:szCs w:val="28"/>
        </w:rPr>
        <w:t xml:space="preserve"> прокурорски акта срещу </w:t>
      </w:r>
      <w:r w:rsidRPr="006605D3">
        <w:rPr>
          <w:rFonts w:ascii="Times New Roman" w:eastAsia="Times New Roman" w:hAnsi="Times New Roman"/>
          <w:b/>
          <w:sz w:val="28"/>
          <w:szCs w:val="28"/>
        </w:rPr>
        <w:t>33</w:t>
      </w:r>
      <w:r w:rsidRPr="006605D3">
        <w:rPr>
          <w:rFonts w:ascii="Times New Roman" w:eastAsia="Times New Roman" w:hAnsi="Times New Roman"/>
          <w:sz w:val="28"/>
          <w:szCs w:val="28"/>
        </w:rPr>
        <w:t xml:space="preserve"> лица, от тях </w:t>
      </w:r>
      <w:r w:rsidRPr="006605D3">
        <w:rPr>
          <w:rFonts w:ascii="Times New Roman" w:eastAsia="Times New Roman" w:hAnsi="Times New Roman"/>
          <w:b/>
          <w:sz w:val="28"/>
          <w:szCs w:val="28"/>
        </w:rPr>
        <w:t>25</w:t>
      </w:r>
      <w:r w:rsidRPr="006605D3">
        <w:rPr>
          <w:rFonts w:ascii="Times New Roman" w:eastAsia="Times New Roman" w:hAnsi="Times New Roman"/>
          <w:sz w:val="28"/>
          <w:szCs w:val="28"/>
        </w:rPr>
        <w:t xml:space="preserve"> обвинителни акта и </w:t>
      </w:r>
      <w:r w:rsidRPr="006605D3">
        <w:rPr>
          <w:rFonts w:ascii="Times New Roman" w:eastAsia="Times New Roman" w:hAnsi="Times New Roman"/>
          <w:b/>
          <w:sz w:val="28"/>
          <w:szCs w:val="28"/>
        </w:rPr>
        <w:t>7</w:t>
      </w:r>
      <w:r w:rsidRPr="006605D3">
        <w:rPr>
          <w:rFonts w:ascii="Times New Roman" w:eastAsia="Times New Roman" w:hAnsi="Times New Roman"/>
          <w:sz w:val="28"/>
          <w:szCs w:val="28"/>
        </w:rPr>
        <w:t xml:space="preserve"> споразумения. </w:t>
      </w:r>
      <w:r w:rsidRPr="006605D3">
        <w:rPr>
          <w:rFonts w:ascii="Times New Roman" w:eastAsia="Times New Roman" w:hAnsi="Times New Roman"/>
          <w:b/>
          <w:sz w:val="28"/>
          <w:szCs w:val="28"/>
        </w:rPr>
        <w:t>Две дела са</w:t>
      </w:r>
      <w:r w:rsidRPr="006605D3">
        <w:rPr>
          <w:rFonts w:ascii="Times New Roman" w:eastAsia="Times New Roman" w:hAnsi="Times New Roman"/>
          <w:sz w:val="28"/>
          <w:szCs w:val="28"/>
        </w:rPr>
        <w:t xml:space="preserve"> върнати от съда за доразследване. Осъдените непълнолетни лица с влязъл в сила съдебен акт са </w:t>
      </w:r>
      <w:r w:rsidRPr="006605D3">
        <w:rPr>
          <w:rFonts w:ascii="Times New Roman" w:eastAsia="Times New Roman" w:hAnsi="Times New Roman"/>
          <w:b/>
          <w:sz w:val="28"/>
          <w:szCs w:val="28"/>
        </w:rPr>
        <w:t>35.</w:t>
      </w:r>
      <w:r w:rsidRPr="006605D3">
        <w:rPr>
          <w:rFonts w:ascii="Times New Roman" w:eastAsia="Times New Roman" w:hAnsi="Times New Roman"/>
          <w:sz w:val="28"/>
          <w:szCs w:val="28"/>
        </w:rPr>
        <w:t xml:space="preserve"> На </w:t>
      </w:r>
      <w:r w:rsidRPr="006605D3">
        <w:rPr>
          <w:rFonts w:ascii="Times New Roman" w:eastAsia="Times New Roman" w:hAnsi="Times New Roman"/>
          <w:b/>
          <w:sz w:val="28"/>
          <w:szCs w:val="28"/>
        </w:rPr>
        <w:t>14</w:t>
      </w:r>
      <w:r w:rsidRPr="006605D3">
        <w:rPr>
          <w:rFonts w:ascii="Times New Roman" w:eastAsia="Times New Roman" w:hAnsi="Times New Roman"/>
          <w:sz w:val="28"/>
          <w:szCs w:val="28"/>
        </w:rPr>
        <w:t xml:space="preserve"> лица е наложено наказание „лишаване от свобода“ с приложение на чл.69 и чл.66 от НК, на </w:t>
      </w:r>
      <w:r w:rsidRPr="006605D3">
        <w:rPr>
          <w:rFonts w:ascii="Times New Roman" w:eastAsia="Times New Roman" w:hAnsi="Times New Roman"/>
          <w:b/>
          <w:sz w:val="28"/>
          <w:szCs w:val="28"/>
        </w:rPr>
        <w:t>15</w:t>
      </w:r>
      <w:r w:rsidRPr="006605D3">
        <w:rPr>
          <w:rFonts w:ascii="Times New Roman" w:eastAsia="Times New Roman" w:hAnsi="Times New Roman"/>
          <w:sz w:val="28"/>
          <w:szCs w:val="28"/>
        </w:rPr>
        <w:t xml:space="preserve"> лица – наказание  „обществено порицание/възпитателна мярка (пробация)“. Осъдените с наказание „лишаване от свобода“- ефективно са </w:t>
      </w:r>
      <w:r w:rsidRPr="006605D3">
        <w:rPr>
          <w:rFonts w:ascii="Times New Roman" w:eastAsia="Times New Roman" w:hAnsi="Times New Roman"/>
          <w:b/>
          <w:sz w:val="28"/>
          <w:szCs w:val="28"/>
        </w:rPr>
        <w:t>7</w:t>
      </w:r>
      <w:r w:rsidRPr="006605D3">
        <w:rPr>
          <w:rFonts w:ascii="Times New Roman" w:eastAsia="Times New Roman" w:hAnsi="Times New Roman"/>
          <w:sz w:val="28"/>
          <w:szCs w:val="28"/>
        </w:rPr>
        <w:t xml:space="preserve"> на брой, като е постановено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наказание „настаняване във ВУИ“. Няма оправдани лица.</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w:t>
      </w:r>
      <w:r w:rsidRPr="006605D3">
        <w:rPr>
          <w:rFonts w:ascii="Times New Roman" w:eastAsia="Times New Roman" w:hAnsi="Times New Roman"/>
          <w:b/>
          <w:i/>
          <w:sz w:val="28"/>
          <w:szCs w:val="28"/>
          <w:lang w:val="en-US"/>
        </w:rPr>
        <w:t>19</w:t>
      </w:r>
      <w:r w:rsidRPr="006605D3">
        <w:rPr>
          <w:rFonts w:ascii="Times New Roman" w:eastAsia="Times New Roman" w:hAnsi="Times New Roman"/>
          <w:b/>
          <w:i/>
          <w:sz w:val="28"/>
          <w:szCs w:val="28"/>
        </w:rPr>
        <w:t>9</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броя. Новообразувани няма. Приключени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Решени от прокурор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Внесени в съда с прокурорски акт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по отношение на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лица, които </w:t>
      </w:r>
      <w:r w:rsidRPr="006605D3">
        <w:rPr>
          <w:rFonts w:ascii="Times New Roman" w:eastAsia="Times New Roman" w:hAnsi="Times New Roman"/>
          <w:b/>
          <w:sz w:val="28"/>
          <w:szCs w:val="28"/>
        </w:rPr>
        <w:t xml:space="preserve"> са 2 броя</w:t>
      </w:r>
      <w:r w:rsidRPr="006605D3">
        <w:rPr>
          <w:rFonts w:ascii="Times New Roman" w:eastAsia="Times New Roman" w:hAnsi="Times New Roman"/>
          <w:sz w:val="28"/>
          <w:szCs w:val="28"/>
        </w:rPr>
        <w:t xml:space="preserve"> обвинителен акт. Осъдено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непълнолетно лице с влязъл в сила съдебен акт. На </w:t>
      </w:r>
      <w:r w:rsidRPr="006605D3">
        <w:rPr>
          <w:rFonts w:ascii="Times New Roman" w:eastAsia="Times New Roman" w:hAnsi="Times New Roman"/>
          <w:b/>
          <w:sz w:val="28"/>
          <w:szCs w:val="28"/>
        </w:rPr>
        <w:t>1 лице</w:t>
      </w:r>
      <w:r w:rsidRPr="006605D3">
        <w:rPr>
          <w:rFonts w:ascii="Times New Roman" w:eastAsia="Times New Roman" w:hAnsi="Times New Roman"/>
          <w:sz w:val="28"/>
          <w:szCs w:val="28"/>
        </w:rPr>
        <w:t xml:space="preserve"> е наложено наказание „лишаване от свобода“ с приложение на чл.69 и чл.66 от НК, а на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лице - наказание „обществено порицание/възпитателна мярка (пробация)“. Оправдани лица няма. </w:t>
      </w:r>
    </w:p>
    <w:p w:rsidR="006605D3" w:rsidRPr="006605D3" w:rsidRDefault="006605D3" w:rsidP="004D24A1">
      <w:pPr>
        <w:overflowPunct w:val="0"/>
        <w:autoSpaceDE w:val="0"/>
        <w:autoSpaceDN w:val="0"/>
        <w:adjustRightInd w:val="0"/>
        <w:spacing w:after="0"/>
        <w:ind w:left="707" w:firstLine="709"/>
        <w:contextualSpacing/>
        <w:jc w:val="both"/>
        <w:rPr>
          <w:rFonts w:ascii="Times New Roman" w:hAnsi="Times New Roman"/>
          <w:b/>
          <w:i/>
          <w:sz w:val="28"/>
          <w:szCs w:val="28"/>
          <w:lang w:val="en-US"/>
        </w:rPr>
      </w:pPr>
      <w:r w:rsidRPr="006605D3">
        <w:rPr>
          <w:rFonts w:ascii="Times New Roman" w:hAnsi="Times New Roman"/>
          <w:b/>
          <w:i/>
          <w:sz w:val="28"/>
          <w:szCs w:val="28"/>
        </w:rPr>
        <w:t xml:space="preserve">    -      </w:t>
      </w:r>
      <w:r w:rsidRPr="006605D3">
        <w:rPr>
          <w:rFonts w:ascii="Times New Roman" w:eastAsia="Times New Roman" w:hAnsi="Times New Roman"/>
          <w:b/>
          <w:i/>
          <w:sz w:val="28"/>
          <w:szCs w:val="28"/>
        </w:rPr>
        <w:t>за престъпление по</w:t>
      </w:r>
      <w:r w:rsidRPr="006605D3">
        <w:rPr>
          <w:rFonts w:ascii="Times New Roman" w:hAnsi="Times New Roman"/>
          <w:b/>
          <w:i/>
          <w:sz w:val="28"/>
          <w:szCs w:val="28"/>
        </w:rPr>
        <w:t xml:space="preserve"> чл.206 от</w:t>
      </w:r>
      <w:r w:rsidRPr="006605D3">
        <w:rPr>
          <w:rFonts w:ascii="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През 2021 г. е наблюдавано </w:t>
      </w:r>
      <w:r w:rsidRPr="006605D3">
        <w:rPr>
          <w:rFonts w:ascii="Times New Roman" w:eastAsia="Times New Roman" w:hAnsi="Times New Roman"/>
          <w:b/>
          <w:sz w:val="28"/>
          <w:szCs w:val="28"/>
        </w:rPr>
        <w:t xml:space="preserve">едно </w:t>
      </w:r>
      <w:r w:rsidRPr="006605D3">
        <w:rPr>
          <w:rFonts w:ascii="Times New Roman" w:eastAsia="Times New Roman" w:hAnsi="Times New Roman"/>
          <w:sz w:val="28"/>
          <w:szCs w:val="28"/>
        </w:rPr>
        <w:t xml:space="preserve">дело за престъпление по посочения престъпен съста.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решено, като едно дело е прекратено на основание чл. 61 НК.</w:t>
      </w:r>
    </w:p>
    <w:p w:rsidR="006605D3" w:rsidRPr="006605D3" w:rsidRDefault="006605D3" w:rsidP="004D24A1">
      <w:pPr>
        <w:numPr>
          <w:ilvl w:val="0"/>
          <w:numId w:val="5"/>
        </w:numPr>
        <w:spacing w:after="0"/>
        <w:ind w:firstLine="709"/>
        <w:jc w:val="both"/>
        <w:rPr>
          <w:rFonts w:ascii="Times New Roman" w:hAnsi="Times New Roman"/>
          <w:b/>
          <w:i/>
          <w:sz w:val="28"/>
          <w:szCs w:val="28"/>
          <w:lang w:val="en-US"/>
        </w:rPr>
      </w:pPr>
      <w:r w:rsidRPr="006605D3">
        <w:rPr>
          <w:rFonts w:ascii="Times New Roman" w:hAnsi="Times New Roman"/>
          <w:b/>
          <w:i/>
          <w:sz w:val="28"/>
          <w:szCs w:val="28"/>
        </w:rPr>
        <w:t>за престъпление по чл.209</w:t>
      </w:r>
      <w:r w:rsidRPr="006605D3">
        <w:rPr>
          <w:rFonts w:ascii="Times New Roman" w:hAnsi="Times New Roman"/>
          <w:b/>
          <w:i/>
          <w:sz w:val="28"/>
          <w:szCs w:val="28"/>
          <w:lang w:val="en-US"/>
        </w:rPr>
        <w:t xml:space="preserve"> </w:t>
      </w:r>
      <w:r w:rsidRPr="006605D3">
        <w:rPr>
          <w:rFonts w:ascii="Times New Roman" w:hAnsi="Times New Roman"/>
          <w:b/>
          <w:i/>
          <w:sz w:val="28"/>
          <w:szCs w:val="28"/>
        </w:rPr>
        <w:t>от</w:t>
      </w:r>
      <w:r w:rsidRPr="006605D3">
        <w:rPr>
          <w:rFonts w:ascii="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За отчетния период няма образувани или наблюдавани дела по този състав.</w:t>
      </w:r>
    </w:p>
    <w:p w:rsidR="006605D3" w:rsidRPr="006605D3" w:rsidRDefault="006605D3" w:rsidP="004D24A1">
      <w:pPr>
        <w:numPr>
          <w:ilvl w:val="0"/>
          <w:numId w:val="5"/>
        </w:numPr>
        <w:overflowPunct w:val="0"/>
        <w:autoSpaceDE w:val="0"/>
        <w:autoSpaceDN w:val="0"/>
        <w:adjustRightInd w:val="0"/>
        <w:spacing w:after="0"/>
        <w:ind w:firstLine="709"/>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чл.215</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През 2021г. не са наблюдавани или образувани дела по този състав. По отношение на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лице е влязъл в сила осъдителен съдебен акт. По отношение на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лице е наложено наказание „лишаване от свобода“ с пиложение на чл. 69 от НК във вр. с чл. 66 от НК.</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lang w:val="en-US"/>
        </w:rPr>
        <w:t>за престъпление по чл.216 от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lastRenderedPageBreak/>
        <w:t xml:space="preserve">Наблюдаваните досъдебни производства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броя. Новообразувани няма. Приключено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досъдебно производство. Решено от прокурор по същество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Същото е прекратено на основание чл. 61 от НК. По отношение на </w:t>
      </w:r>
      <w:r w:rsidRPr="006605D3">
        <w:rPr>
          <w:rFonts w:ascii="Times New Roman" w:eastAsia="Times New Roman" w:hAnsi="Times New Roman"/>
          <w:b/>
          <w:sz w:val="28"/>
          <w:szCs w:val="28"/>
        </w:rPr>
        <w:t>2 лица</w:t>
      </w:r>
      <w:r w:rsidRPr="006605D3">
        <w:rPr>
          <w:rFonts w:ascii="Times New Roman" w:eastAsia="Times New Roman" w:hAnsi="Times New Roman"/>
          <w:sz w:val="28"/>
          <w:szCs w:val="28"/>
        </w:rPr>
        <w:t xml:space="preserve"> е влязъл в сила осъдителен съдебен акт. По отношение на </w:t>
      </w:r>
      <w:r w:rsidRPr="006605D3">
        <w:rPr>
          <w:rFonts w:ascii="Times New Roman" w:eastAsia="Times New Roman" w:hAnsi="Times New Roman"/>
          <w:b/>
          <w:sz w:val="28"/>
          <w:szCs w:val="28"/>
        </w:rPr>
        <w:t>4 лица</w:t>
      </w:r>
      <w:r w:rsidRPr="006605D3">
        <w:rPr>
          <w:rFonts w:ascii="Times New Roman" w:eastAsia="Times New Roman" w:hAnsi="Times New Roman"/>
          <w:sz w:val="28"/>
          <w:szCs w:val="28"/>
        </w:rPr>
        <w:t xml:space="preserve"> е наложено наказание „обществено порицание/възпитателна мярка“ /пробация/. </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b/>
          <w:sz w:val="28"/>
          <w:szCs w:val="28"/>
        </w:rPr>
      </w:pP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b/>
          <w:sz w:val="28"/>
          <w:szCs w:val="28"/>
        </w:rPr>
      </w:pPr>
      <w:r w:rsidRPr="006605D3">
        <w:rPr>
          <w:rFonts w:ascii="Times New Roman" w:eastAsia="Times New Roman" w:hAnsi="Times New Roman"/>
          <w:b/>
          <w:sz w:val="28"/>
          <w:szCs w:val="28"/>
        </w:rPr>
        <w:t>Глава шеста от НК „Престъпления против стопанството”</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b/>
          <w:sz w:val="28"/>
          <w:szCs w:val="28"/>
        </w:rPr>
      </w:pPr>
    </w:p>
    <w:p w:rsidR="006605D3" w:rsidRPr="006605D3" w:rsidRDefault="006605D3" w:rsidP="004D24A1">
      <w:pPr>
        <w:numPr>
          <w:ilvl w:val="0"/>
          <w:numId w:val="5"/>
        </w:numPr>
        <w:overflowPunct w:val="0"/>
        <w:autoSpaceDE w:val="0"/>
        <w:autoSpaceDN w:val="0"/>
        <w:adjustRightInd w:val="0"/>
        <w:spacing w:after="0"/>
        <w:ind w:firstLine="709"/>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престъпления по чл.244 от НК</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През 2021г. няма образувани или наблюдавани производства по този състав.</w:t>
      </w:r>
    </w:p>
    <w:p w:rsidR="006605D3" w:rsidRPr="006605D3" w:rsidRDefault="006605D3" w:rsidP="004D24A1">
      <w:pPr>
        <w:numPr>
          <w:ilvl w:val="0"/>
          <w:numId w:val="5"/>
        </w:numPr>
        <w:tabs>
          <w:tab w:val="left" w:pos="709"/>
          <w:tab w:val="left" w:pos="1134"/>
        </w:tabs>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престъпления по чл.249 от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броя. Новообразувани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Приключени от разследващ орган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броя. Решени от прокурор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производства, като е прекратено </w:t>
      </w:r>
      <w:r w:rsidRPr="006605D3">
        <w:rPr>
          <w:rFonts w:ascii="Times New Roman" w:eastAsia="Times New Roman" w:hAnsi="Times New Roman"/>
          <w:b/>
          <w:sz w:val="28"/>
          <w:szCs w:val="28"/>
        </w:rPr>
        <w:t xml:space="preserve">едно </w:t>
      </w:r>
      <w:r w:rsidRPr="006605D3">
        <w:rPr>
          <w:rFonts w:ascii="Times New Roman" w:eastAsia="Times New Roman" w:hAnsi="Times New Roman"/>
          <w:sz w:val="28"/>
          <w:szCs w:val="28"/>
        </w:rPr>
        <w:t xml:space="preserve">производство. По отношение на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лице е внесен обвинителен акт. </w:t>
      </w:r>
      <w:r w:rsidRPr="006605D3">
        <w:rPr>
          <w:rFonts w:ascii="Times New Roman" w:eastAsia="Times New Roman" w:hAnsi="Times New Roman"/>
          <w:b/>
          <w:sz w:val="28"/>
          <w:szCs w:val="28"/>
        </w:rPr>
        <w:t>Няма</w:t>
      </w:r>
      <w:r w:rsidRPr="006605D3">
        <w:rPr>
          <w:rFonts w:ascii="Times New Roman" w:eastAsia="Times New Roman" w:hAnsi="Times New Roman"/>
          <w:sz w:val="28"/>
          <w:szCs w:val="28"/>
        </w:rPr>
        <w:t xml:space="preserve"> оправдани лица.</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Глава осма от НК „престъпления против дейността на държавни органи, обществени организации и лица, изпълняващи публични функции“</w:t>
      </w:r>
    </w:p>
    <w:p w:rsidR="006605D3" w:rsidRPr="006605D3" w:rsidRDefault="006605D3" w:rsidP="004D24A1">
      <w:pPr>
        <w:numPr>
          <w:ilvl w:val="0"/>
          <w:numId w:val="5"/>
        </w:numPr>
        <w:tabs>
          <w:tab w:val="left" w:pos="709"/>
          <w:tab w:val="left" w:pos="1134"/>
        </w:tabs>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престъпления по чл.286 от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 xml:space="preserve">През 2021г. е наблюдавано </w:t>
      </w:r>
      <w:r w:rsidRPr="006605D3">
        <w:rPr>
          <w:rFonts w:ascii="Times New Roman" w:eastAsia="Times New Roman" w:hAnsi="Times New Roman"/>
          <w:b/>
          <w:sz w:val="28"/>
          <w:szCs w:val="28"/>
          <w:lang w:eastAsia="bg-BG"/>
        </w:rPr>
        <w:t>1</w:t>
      </w:r>
      <w:r w:rsidRPr="006605D3">
        <w:rPr>
          <w:rFonts w:ascii="Times New Roman" w:eastAsia="Times New Roman" w:hAnsi="Times New Roman"/>
          <w:sz w:val="28"/>
          <w:szCs w:val="28"/>
          <w:lang w:eastAsia="bg-BG"/>
        </w:rPr>
        <w:t xml:space="preserve"> досъдебно производство, като същото е </w:t>
      </w:r>
      <w:r w:rsidRPr="006605D3">
        <w:rPr>
          <w:rFonts w:ascii="Times New Roman" w:eastAsia="Times New Roman" w:hAnsi="Times New Roman"/>
          <w:b/>
          <w:sz w:val="28"/>
          <w:szCs w:val="28"/>
          <w:lang w:eastAsia="bg-BG"/>
        </w:rPr>
        <w:t>новообразувано</w:t>
      </w:r>
      <w:r w:rsidRPr="006605D3">
        <w:rPr>
          <w:rFonts w:ascii="Times New Roman" w:eastAsia="Times New Roman" w:hAnsi="Times New Roman"/>
          <w:sz w:val="28"/>
          <w:szCs w:val="28"/>
          <w:lang w:eastAsia="bg-BG"/>
        </w:rPr>
        <w:t xml:space="preserve">. </w:t>
      </w:r>
      <w:r w:rsidRPr="006605D3">
        <w:rPr>
          <w:rFonts w:ascii="Times New Roman" w:eastAsia="Times New Roman" w:hAnsi="Times New Roman"/>
          <w:b/>
          <w:sz w:val="28"/>
          <w:szCs w:val="28"/>
          <w:lang w:eastAsia="bg-BG"/>
        </w:rPr>
        <w:t>Едно</w:t>
      </w:r>
      <w:r w:rsidRPr="006605D3">
        <w:rPr>
          <w:rFonts w:ascii="Times New Roman" w:eastAsia="Times New Roman" w:hAnsi="Times New Roman"/>
          <w:sz w:val="28"/>
          <w:szCs w:val="28"/>
          <w:lang w:eastAsia="bg-BG"/>
        </w:rPr>
        <w:t xml:space="preserve"> дело е било решено по същество от прокурор. По отношение на </w:t>
      </w:r>
      <w:r w:rsidRPr="006605D3">
        <w:rPr>
          <w:rFonts w:ascii="Times New Roman" w:eastAsia="Times New Roman" w:hAnsi="Times New Roman"/>
          <w:b/>
          <w:sz w:val="28"/>
          <w:szCs w:val="28"/>
          <w:lang w:eastAsia="bg-BG"/>
        </w:rPr>
        <w:t>1 лице</w:t>
      </w:r>
      <w:r w:rsidRPr="006605D3">
        <w:rPr>
          <w:rFonts w:ascii="Times New Roman" w:eastAsia="Times New Roman" w:hAnsi="Times New Roman"/>
          <w:sz w:val="28"/>
          <w:szCs w:val="28"/>
          <w:lang w:eastAsia="bg-BG"/>
        </w:rPr>
        <w:t xml:space="preserve"> е било постановено задържане за отчетния период.</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lang w:eastAsia="bg-BG"/>
        </w:rPr>
      </w:pPr>
      <w:r w:rsidRPr="006605D3">
        <w:rPr>
          <w:rFonts w:ascii="Times New Roman" w:eastAsia="Times New Roman" w:hAnsi="Times New Roman"/>
          <w:b/>
          <w:sz w:val="28"/>
          <w:szCs w:val="28"/>
          <w:lang w:eastAsia="bg-BG"/>
        </w:rPr>
        <w:t>Глава девета от НК „Документни престъпления“</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lang w:eastAsia="bg-BG"/>
        </w:rPr>
      </w:pPr>
    </w:p>
    <w:p w:rsidR="006605D3" w:rsidRPr="006605D3" w:rsidRDefault="006605D3" w:rsidP="004D24A1">
      <w:pPr>
        <w:numPr>
          <w:ilvl w:val="0"/>
          <w:numId w:val="5"/>
        </w:numPr>
        <w:tabs>
          <w:tab w:val="left" w:pos="709"/>
          <w:tab w:val="left" w:pos="1134"/>
        </w:tabs>
        <w:overflowPunct w:val="0"/>
        <w:autoSpaceDE w:val="0"/>
        <w:autoSpaceDN w:val="0"/>
        <w:adjustRightInd w:val="0"/>
        <w:spacing w:after="0"/>
        <w:ind w:firstLine="709"/>
        <w:contextualSpacing/>
        <w:jc w:val="both"/>
        <w:rPr>
          <w:rFonts w:ascii="Times New Roman" w:eastAsia="Times New Roman" w:hAnsi="Times New Roman"/>
          <w:b/>
          <w:i/>
          <w:sz w:val="28"/>
          <w:szCs w:val="28"/>
          <w:lang w:val="en-US" w:eastAsia="bg-BG"/>
        </w:rPr>
      </w:pPr>
      <w:r w:rsidRPr="006605D3">
        <w:rPr>
          <w:rFonts w:ascii="Times New Roman" w:eastAsia="Times New Roman" w:hAnsi="Times New Roman"/>
          <w:b/>
          <w:i/>
          <w:sz w:val="28"/>
          <w:szCs w:val="28"/>
        </w:rPr>
        <w:t>за престъпления по чл.316 от НК</w:t>
      </w:r>
    </w:p>
    <w:p w:rsidR="006605D3" w:rsidRPr="006605D3" w:rsidRDefault="006605D3" w:rsidP="004D24A1">
      <w:pPr>
        <w:tabs>
          <w:tab w:val="left" w:pos="709"/>
          <w:tab w:val="left" w:pos="1134"/>
        </w:tabs>
        <w:overflowPunct w:val="0"/>
        <w:autoSpaceDE w:val="0"/>
        <w:autoSpaceDN w:val="0"/>
        <w:adjustRightInd w:val="0"/>
        <w:spacing w:after="0"/>
        <w:contextualSpacing/>
        <w:jc w:val="both"/>
        <w:rPr>
          <w:rFonts w:ascii="Times New Roman" w:eastAsia="Times New Roman" w:hAnsi="Times New Roman"/>
          <w:b/>
          <w:i/>
          <w:sz w:val="28"/>
          <w:szCs w:val="28"/>
          <w:lang w:eastAsia="bg-BG"/>
        </w:rPr>
      </w:pPr>
      <w:r w:rsidRPr="006605D3">
        <w:rPr>
          <w:rFonts w:ascii="Times New Roman" w:eastAsia="Times New Roman" w:hAnsi="Times New Roman"/>
          <w:b/>
          <w:i/>
          <w:sz w:val="28"/>
          <w:szCs w:val="28"/>
          <w:lang w:eastAsia="bg-BG"/>
        </w:rPr>
        <w:tab/>
      </w:r>
      <w:r w:rsidRPr="006605D3">
        <w:rPr>
          <w:rFonts w:ascii="Times New Roman" w:hAnsi="Times New Roman"/>
          <w:sz w:val="28"/>
          <w:szCs w:val="28"/>
          <w:lang w:eastAsia="bg-BG"/>
        </w:rPr>
        <w:t xml:space="preserve">През 2021г. са наблюдавани </w:t>
      </w:r>
      <w:r w:rsidRPr="006605D3">
        <w:rPr>
          <w:rFonts w:ascii="Times New Roman" w:hAnsi="Times New Roman"/>
          <w:b/>
          <w:sz w:val="28"/>
          <w:szCs w:val="28"/>
          <w:lang w:eastAsia="bg-BG"/>
        </w:rPr>
        <w:t xml:space="preserve">2 </w:t>
      </w:r>
      <w:r w:rsidRPr="006605D3">
        <w:rPr>
          <w:rFonts w:ascii="Times New Roman" w:hAnsi="Times New Roman"/>
          <w:sz w:val="28"/>
          <w:szCs w:val="28"/>
          <w:lang w:eastAsia="bg-BG"/>
        </w:rPr>
        <w:t xml:space="preserve"> досъдебни производства. </w:t>
      </w:r>
      <w:r w:rsidRPr="006605D3">
        <w:rPr>
          <w:rFonts w:ascii="Times New Roman" w:hAnsi="Times New Roman"/>
          <w:b/>
          <w:sz w:val="28"/>
          <w:szCs w:val="28"/>
          <w:lang w:eastAsia="bg-BG"/>
        </w:rPr>
        <w:t>Две</w:t>
      </w:r>
      <w:r w:rsidRPr="006605D3">
        <w:rPr>
          <w:rFonts w:ascii="Times New Roman" w:hAnsi="Times New Roman"/>
          <w:sz w:val="28"/>
          <w:szCs w:val="28"/>
          <w:lang w:eastAsia="bg-BG"/>
        </w:rPr>
        <w:t xml:space="preserve"> дела са били решени по същество от прокурор, като по отношение на </w:t>
      </w:r>
      <w:r w:rsidRPr="006605D3">
        <w:rPr>
          <w:rFonts w:ascii="Times New Roman" w:hAnsi="Times New Roman"/>
          <w:b/>
          <w:sz w:val="28"/>
          <w:szCs w:val="28"/>
          <w:lang w:eastAsia="bg-BG"/>
        </w:rPr>
        <w:t>две</w:t>
      </w:r>
      <w:r w:rsidRPr="006605D3">
        <w:rPr>
          <w:rFonts w:ascii="Times New Roman" w:hAnsi="Times New Roman"/>
          <w:sz w:val="28"/>
          <w:szCs w:val="28"/>
          <w:lang w:eastAsia="bg-BG"/>
        </w:rPr>
        <w:t xml:space="preserve"> дела е постановено прекратяване на основание чл. 61 от НК.</w:t>
      </w:r>
    </w:p>
    <w:p w:rsidR="006605D3" w:rsidRPr="006605D3" w:rsidRDefault="006605D3" w:rsidP="004D24A1">
      <w:pPr>
        <w:tabs>
          <w:tab w:val="left" w:pos="709"/>
          <w:tab w:val="left" w:pos="1134"/>
        </w:tabs>
        <w:overflowPunct w:val="0"/>
        <w:autoSpaceDE w:val="0"/>
        <w:autoSpaceDN w:val="0"/>
        <w:adjustRightInd w:val="0"/>
        <w:spacing w:after="0"/>
        <w:ind w:left="1778"/>
        <w:contextualSpacing/>
        <w:jc w:val="both"/>
        <w:rPr>
          <w:rFonts w:ascii="Times New Roman" w:eastAsia="Times New Roman" w:hAnsi="Times New Roman"/>
          <w:b/>
          <w:i/>
          <w:sz w:val="28"/>
          <w:szCs w:val="28"/>
          <w:lang w:val="en-US" w:eastAsia="bg-BG"/>
        </w:rPr>
      </w:pP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rPr>
      </w:pPr>
      <w:r w:rsidRPr="006605D3">
        <w:rPr>
          <w:rFonts w:ascii="Times New Roman" w:eastAsia="Times New Roman" w:hAnsi="Times New Roman"/>
          <w:b/>
          <w:sz w:val="28"/>
          <w:szCs w:val="28"/>
        </w:rPr>
        <w:t>Глава десета от НК „Престъпления против реда и общественото спокойствие“</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чл.325</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броя, от които </w:t>
      </w:r>
      <w:r w:rsidRPr="006605D3">
        <w:rPr>
          <w:rFonts w:ascii="Times New Roman" w:eastAsia="Times New Roman" w:hAnsi="Times New Roman"/>
          <w:b/>
          <w:sz w:val="28"/>
          <w:szCs w:val="28"/>
        </w:rPr>
        <w:t>ням</w:t>
      </w:r>
      <w:r w:rsidRPr="006605D3">
        <w:rPr>
          <w:rFonts w:ascii="Times New Roman" w:eastAsia="Times New Roman" w:hAnsi="Times New Roman"/>
          <w:sz w:val="28"/>
          <w:szCs w:val="28"/>
        </w:rPr>
        <w:t xml:space="preserve">а новообразувани. Приключени са </w:t>
      </w:r>
      <w:r w:rsidRPr="006605D3">
        <w:rPr>
          <w:rFonts w:ascii="Times New Roman" w:eastAsia="Times New Roman" w:hAnsi="Times New Roman"/>
          <w:b/>
          <w:sz w:val="28"/>
          <w:szCs w:val="28"/>
        </w:rPr>
        <w:t>4 производства</w:t>
      </w:r>
      <w:r w:rsidRPr="006605D3">
        <w:rPr>
          <w:rFonts w:ascii="Times New Roman" w:eastAsia="Times New Roman" w:hAnsi="Times New Roman"/>
          <w:sz w:val="28"/>
          <w:szCs w:val="28"/>
        </w:rPr>
        <w:t xml:space="preserve">. Решени от прокурор са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дела, като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броя са прекратени на основание чл. 61 от НК. </w:t>
      </w:r>
      <w:r w:rsidRPr="006605D3">
        <w:rPr>
          <w:rFonts w:ascii="Times New Roman" w:eastAsia="Times New Roman" w:hAnsi="Times New Roman"/>
          <w:b/>
          <w:sz w:val="28"/>
          <w:szCs w:val="28"/>
        </w:rPr>
        <w:t>3</w:t>
      </w:r>
      <w:r w:rsidRPr="006605D3">
        <w:rPr>
          <w:rFonts w:ascii="Times New Roman" w:eastAsia="Times New Roman" w:hAnsi="Times New Roman"/>
          <w:sz w:val="28"/>
          <w:szCs w:val="28"/>
        </w:rPr>
        <w:t xml:space="preserve"> дела са внесени </w:t>
      </w:r>
      <w:r w:rsidRPr="006605D3">
        <w:rPr>
          <w:rFonts w:ascii="Times New Roman" w:eastAsia="Times New Roman" w:hAnsi="Times New Roman"/>
          <w:sz w:val="28"/>
          <w:szCs w:val="28"/>
        </w:rPr>
        <w:lastRenderedPageBreak/>
        <w:t xml:space="preserve">в съда, като от тях </w:t>
      </w:r>
      <w:r w:rsidRPr="006605D3">
        <w:rPr>
          <w:rFonts w:ascii="Times New Roman" w:eastAsia="Times New Roman" w:hAnsi="Times New Roman"/>
          <w:b/>
          <w:sz w:val="28"/>
          <w:szCs w:val="28"/>
        </w:rPr>
        <w:t xml:space="preserve">3 </w:t>
      </w:r>
      <w:r w:rsidRPr="006605D3">
        <w:rPr>
          <w:rFonts w:ascii="Times New Roman" w:eastAsia="Times New Roman" w:hAnsi="Times New Roman"/>
          <w:sz w:val="28"/>
          <w:szCs w:val="28"/>
        </w:rPr>
        <w:t xml:space="preserve"> са внесени с обвинителен акт срещу </w:t>
      </w:r>
      <w:r w:rsidRPr="006605D3">
        <w:rPr>
          <w:rFonts w:ascii="Times New Roman" w:eastAsia="Times New Roman" w:hAnsi="Times New Roman"/>
          <w:b/>
          <w:sz w:val="28"/>
          <w:szCs w:val="28"/>
        </w:rPr>
        <w:t>5</w:t>
      </w:r>
      <w:r w:rsidRPr="006605D3">
        <w:rPr>
          <w:rFonts w:ascii="Times New Roman" w:eastAsia="Times New Roman" w:hAnsi="Times New Roman"/>
          <w:sz w:val="28"/>
          <w:szCs w:val="28"/>
        </w:rPr>
        <w:t xml:space="preserve"> лица. </w:t>
      </w:r>
      <w:r w:rsidRPr="006605D3">
        <w:rPr>
          <w:rFonts w:ascii="Times New Roman" w:eastAsia="Times New Roman" w:hAnsi="Times New Roman"/>
          <w:b/>
          <w:sz w:val="28"/>
          <w:szCs w:val="28"/>
        </w:rPr>
        <w:t>Две</w:t>
      </w:r>
      <w:r w:rsidRPr="006605D3">
        <w:rPr>
          <w:rFonts w:ascii="Times New Roman" w:eastAsia="Times New Roman" w:hAnsi="Times New Roman"/>
          <w:sz w:val="28"/>
          <w:szCs w:val="28"/>
        </w:rPr>
        <w:t xml:space="preserve"> лица са осъдени с влязъл в сила съдебен акт.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върнато от съда за доразследване. По отношение на 1 лице е влязла в сила оправдателна присъда. Наложените наказания са 3- „обществено порицание/възпитателна мярка (пробация)“.</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rPr>
      </w:pP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rPr>
      </w:pPr>
      <w:r w:rsidRPr="006605D3">
        <w:rPr>
          <w:rFonts w:ascii="Times New Roman" w:eastAsia="Times New Roman" w:hAnsi="Times New Roman"/>
          <w:b/>
          <w:sz w:val="28"/>
          <w:szCs w:val="28"/>
        </w:rPr>
        <w:t>Глава единадесета от НК „Общоопасни престъпления“</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sz w:val="28"/>
          <w:szCs w:val="28"/>
        </w:rPr>
      </w:pP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color w:val="000000"/>
          <w:sz w:val="28"/>
          <w:szCs w:val="28"/>
          <w:lang w:val="en-US"/>
        </w:rPr>
      </w:pPr>
      <w:r w:rsidRPr="006605D3">
        <w:rPr>
          <w:rFonts w:ascii="Times New Roman" w:eastAsia="Times New Roman" w:hAnsi="Times New Roman"/>
          <w:b/>
          <w:i/>
          <w:color w:val="000000"/>
          <w:sz w:val="28"/>
          <w:szCs w:val="28"/>
        </w:rPr>
        <w:t>за престъпление по чл.330</w:t>
      </w:r>
      <w:r w:rsidRPr="006605D3">
        <w:rPr>
          <w:rFonts w:ascii="Times New Roman" w:eastAsia="Times New Roman" w:hAnsi="Times New Roman"/>
          <w:b/>
          <w:i/>
          <w:color w:val="000000"/>
          <w:sz w:val="28"/>
          <w:szCs w:val="28"/>
          <w:lang w:val="en-US"/>
        </w:rPr>
        <w:t xml:space="preserve"> </w:t>
      </w:r>
      <w:r w:rsidRPr="006605D3">
        <w:rPr>
          <w:rFonts w:ascii="Times New Roman" w:eastAsia="Times New Roman" w:hAnsi="Times New Roman"/>
          <w:b/>
          <w:i/>
          <w:color w:val="000000"/>
          <w:sz w:val="28"/>
          <w:szCs w:val="28"/>
        </w:rPr>
        <w:t>от</w:t>
      </w:r>
      <w:r w:rsidRPr="006605D3">
        <w:rPr>
          <w:rFonts w:ascii="Times New Roman" w:eastAsia="Times New Roman" w:hAnsi="Times New Roman"/>
          <w:b/>
          <w:i/>
          <w:color w:val="000000"/>
          <w:sz w:val="28"/>
          <w:szCs w:val="28"/>
          <w:lang w:val="en-US"/>
        </w:rPr>
        <w:t xml:space="preserve"> НК</w:t>
      </w:r>
    </w:p>
    <w:p w:rsidR="006605D3" w:rsidRPr="006605D3" w:rsidRDefault="006605D3" w:rsidP="004D24A1">
      <w:pPr>
        <w:overflowPunct w:val="0"/>
        <w:autoSpaceDE w:val="0"/>
        <w:autoSpaceDN w:val="0"/>
        <w:adjustRightInd w:val="0"/>
        <w:spacing w:after="0"/>
        <w:ind w:firstLine="708"/>
        <w:contextualSpacing/>
        <w:jc w:val="both"/>
        <w:rPr>
          <w:rFonts w:ascii="Times New Roman" w:eastAsia="Times New Roman" w:hAnsi="Times New Roman"/>
          <w:b/>
          <w:i/>
          <w:color w:val="92D050"/>
          <w:sz w:val="28"/>
          <w:szCs w:val="28"/>
          <w:lang w:val="en-US"/>
        </w:rPr>
      </w:pPr>
      <w:r w:rsidRPr="006605D3">
        <w:rPr>
          <w:rFonts w:ascii="Times New Roman" w:eastAsia="Times New Roman" w:hAnsi="Times New Roman"/>
          <w:color w:val="000000"/>
          <w:sz w:val="28"/>
          <w:szCs w:val="28"/>
        </w:rPr>
        <w:t xml:space="preserve">Наблюдавано е </w:t>
      </w:r>
      <w:r w:rsidRPr="006605D3">
        <w:rPr>
          <w:rFonts w:ascii="Times New Roman" w:eastAsia="Times New Roman" w:hAnsi="Times New Roman"/>
          <w:b/>
          <w:color w:val="000000"/>
          <w:sz w:val="28"/>
          <w:szCs w:val="28"/>
        </w:rPr>
        <w:t>едно</w:t>
      </w:r>
      <w:r w:rsidRPr="006605D3">
        <w:rPr>
          <w:rFonts w:ascii="Times New Roman" w:eastAsia="Times New Roman" w:hAnsi="Times New Roman"/>
          <w:color w:val="000000"/>
          <w:sz w:val="28"/>
          <w:szCs w:val="28"/>
        </w:rPr>
        <w:t xml:space="preserve"> досъдебно производство. Същото е неприключило. </w:t>
      </w:r>
      <w:r w:rsidRPr="006605D3">
        <w:rPr>
          <w:rFonts w:ascii="Times New Roman" w:eastAsia="Times New Roman" w:hAnsi="Times New Roman"/>
          <w:b/>
          <w:color w:val="000000"/>
          <w:sz w:val="28"/>
          <w:szCs w:val="28"/>
        </w:rPr>
        <w:t>Едно</w:t>
      </w:r>
      <w:r w:rsidRPr="006605D3">
        <w:rPr>
          <w:rFonts w:ascii="Times New Roman" w:eastAsia="Times New Roman" w:hAnsi="Times New Roman"/>
          <w:color w:val="000000"/>
          <w:sz w:val="28"/>
          <w:szCs w:val="28"/>
        </w:rPr>
        <w:t xml:space="preserve"> лице е било задържано за отчетния период.</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b/>
          <w:color w:val="92D050"/>
          <w:sz w:val="28"/>
          <w:szCs w:val="28"/>
        </w:rPr>
      </w:pP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чл.343</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Същото е приключено.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върнато от съда за доразследване.</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чл.343б</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3 досъдебни производства. </w:t>
      </w:r>
      <w:r w:rsidRPr="006605D3">
        <w:rPr>
          <w:rFonts w:ascii="Times New Roman" w:eastAsia="Times New Roman" w:hAnsi="Times New Roman"/>
          <w:b/>
          <w:sz w:val="28"/>
          <w:szCs w:val="28"/>
        </w:rPr>
        <w:t xml:space="preserve">Три са </w:t>
      </w:r>
      <w:r w:rsidRPr="006605D3">
        <w:rPr>
          <w:rFonts w:ascii="Times New Roman" w:eastAsia="Times New Roman" w:hAnsi="Times New Roman"/>
          <w:sz w:val="28"/>
          <w:szCs w:val="28"/>
        </w:rPr>
        <w:t xml:space="preserve"> новообразувани като 2 са неприключили.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приключено.</w:t>
      </w:r>
    </w:p>
    <w:p w:rsidR="006605D3" w:rsidRPr="006605D3" w:rsidRDefault="006605D3" w:rsidP="004D24A1">
      <w:pPr>
        <w:overflowPunct w:val="0"/>
        <w:autoSpaceDE w:val="0"/>
        <w:autoSpaceDN w:val="0"/>
        <w:adjustRightInd w:val="0"/>
        <w:spacing w:after="0"/>
        <w:ind w:firstLine="709"/>
        <w:jc w:val="both"/>
        <w:rPr>
          <w:rFonts w:ascii="Times New Roman" w:eastAsia="Times New Roman" w:hAnsi="Times New Roman"/>
          <w:sz w:val="28"/>
          <w:szCs w:val="28"/>
        </w:rPr>
      </w:pP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чл.345</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досъдебни производства, като са новообразувани. </w:t>
      </w:r>
      <w:r w:rsidRPr="006605D3">
        <w:rPr>
          <w:rFonts w:ascii="Times New Roman" w:eastAsia="Times New Roman" w:hAnsi="Times New Roman"/>
          <w:b/>
          <w:sz w:val="28"/>
          <w:szCs w:val="28"/>
        </w:rPr>
        <w:t>1 дело</w:t>
      </w:r>
      <w:r w:rsidRPr="006605D3">
        <w:rPr>
          <w:rFonts w:ascii="Times New Roman" w:eastAsia="Times New Roman" w:hAnsi="Times New Roman"/>
          <w:sz w:val="28"/>
          <w:szCs w:val="28"/>
        </w:rPr>
        <w:t xml:space="preserve"> е приключено, като е внесен акт в съда- предложение по чл. 78а НК по отношение на </w:t>
      </w:r>
      <w:r w:rsidRPr="006605D3">
        <w:rPr>
          <w:rFonts w:ascii="Times New Roman" w:eastAsia="Times New Roman" w:hAnsi="Times New Roman"/>
          <w:b/>
          <w:sz w:val="28"/>
          <w:szCs w:val="28"/>
        </w:rPr>
        <w:t>едно лице</w:t>
      </w:r>
      <w:r w:rsidRPr="006605D3">
        <w:rPr>
          <w:rFonts w:ascii="Times New Roman" w:eastAsia="Times New Roman" w:hAnsi="Times New Roman"/>
          <w:sz w:val="28"/>
          <w:szCs w:val="28"/>
        </w:rPr>
        <w:t xml:space="preserve">. </w:t>
      </w: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чл.345а</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Наблюдавано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досъдебно производство,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е новообразувано.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дело е решено от прокурор, като постановения акт е прекратяване на основание чл. 61 от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t>за престъпление по чл.346 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 xml:space="preserve">7 </w:t>
      </w:r>
      <w:r w:rsidRPr="006605D3">
        <w:rPr>
          <w:rFonts w:ascii="Times New Roman" w:eastAsia="Times New Roman" w:hAnsi="Times New Roman"/>
          <w:sz w:val="28"/>
          <w:szCs w:val="28"/>
        </w:rPr>
        <w:t xml:space="preserve">на брой. Новообразувани са </w:t>
      </w:r>
      <w:r w:rsidRPr="006605D3">
        <w:rPr>
          <w:rFonts w:ascii="Times New Roman" w:eastAsia="Times New Roman" w:hAnsi="Times New Roman"/>
          <w:b/>
          <w:sz w:val="28"/>
          <w:szCs w:val="28"/>
        </w:rPr>
        <w:t>две. 6</w:t>
      </w:r>
      <w:r w:rsidRPr="006605D3">
        <w:rPr>
          <w:rFonts w:ascii="Times New Roman" w:eastAsia="Times New Roman" w:hAnsi="Times New Roman"/>
          <w:sz w:val="28"/>
          <w:szCs w:val="28"/>
        </w:rPr>
        <w:t xml:space="preserve"> са неприключени,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е приключено. Решени от прокурор са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w:t>
      </w:r>
      <w:r w:rsidRPr="006605D3">
        <w:rPr>
          <w:rFonts w:ascii="Times New Roman" w:eastAsia="Times New Roman" w:hAnsi="Times New Roman"/>
          <w:b/>
          <w:sz w:val="28"/>
          <w:szCs w:val="28"/>
        </w:rPr>
        <w:t>Три</w:t>
      </w:r>
      <w:r w:rsidRPr="006605D3">
        <w:rPr>
          <w:rFonts w:ascii="Times New Roman" w:eastAsia="Times New Roman" w:hAnsi="Times New Roman"/>
          <w:sz w:val="28"/>
          <w:szCs w:val="28"/>
        </w:rPr>
        <w:t xml:space="preserve"> досъдебни производства са прекратени по чл.61 от НК. Осъдено с влязъл в сила съдебен акт е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лице, като на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лице е наложено наказание „обществено порицание/възпитателна мярка (пробация)“. </w:t>
      </w:r>
      <w:r w:rsidRPr="006605D3">
        <w:rPr>
          <w:rFonts w:ascii="Times New Roman" w:eastAsia="Times New Roman" w:hAnsi="Times New Roman"/>
          <w:b/>
          <w:sz w:val="28"/>
          <w:szCs w:val="28"/>
        </w:rPr>
        <w:t>Три</w:t>
      </w:r>
      <w:r w:rsidRPr="006605D3">
        <w:rPr>
          <w:rFonts w:ascii="Times New Roman" w:eastAsia="Times New Roman" w:hAnsi="Times New Roman"/>
          <w:sz w:val="28"/>
          <w:szCs w:val="28"/>
        </w:rPr>
        <w:t xml:space="preserve"> акта са били внесени в съда по отношение на </w:t>
      </w:r>
      <w:r w:rsidRPr="006605D3">
        <w:rPr>
          <w:rFonts w:ascii="Times New Roman" w:eastAsia="Times New Roman" w:hAnsi="Times New Roman"/>
          <w:b/>
          <w:sz w:val="28"/>
          <w:szCs w:val="28"/>
        </w:rPr>
        <w:t>4 лица</w:t>
      </w:r>
      <w:r w:rsidRPr="006605D3">
        <w:rPr>
          <w:rFonts w:ascii="Times New Roman" w:eastAsia="Times New Roman" w:hAnsi="Times New Roman"/>
          <w:sz w:val="28"/>
          <w:szCs w:val="28"/>
        </w:rPr>
        <w:t xml:space="preserve">. Внесените в съда обвинителни акта са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на брой, като е внесено и </w:t>
      </w:r>
      <w:r w:rsidRPr="006605D3">
        <w:rPr>
          <w:rFonts w:ascii="Times New Roman" w:eastAsia="Times New Roman" w:hAnsi="Times New Roman"/>
          <w:b/>
          <w:sz w:val="28"/>
          <w:szCs w:val="28"/>
        </w:rPr>
        <w:t>1</w:t>
      </w:r>
      <w:r w:rsidRPr="006605D3">
        <w:rPr>
          <w:rFonts w:ascii="Times New Roman" w:eastAsia="Times New Roman" w:hAnsi="Times New Roman"/>
          <w:sz w:val="28"/>
          <w:szCs w:val="28"/>
        </w:rPr>
        <w:t xml:space="preserve"> споразумение.</w:t>
      </w:r>
    </w:p>
    <w:p w:rsid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p>
    <w:p w:rsidR="001C1882" w:rsidRPr="006605D3" w:rsidRDefault="001C1882"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p>
    <w:p w:rsidR="006605D3" w:rsidRPr="006605D3" w:rsidRDefault="006605D3" w:rsidP="004D24A1">
      <w:pPr>
        <w:numPr>
          <w:ilvl w:val="0"/>
          <w:numId w:val="5"/>
        </w:numPr>
        <w:overflowPunct w:val="0"/>
        <w:autoSpaceDE w:val="0"/>
        <w:autoSpaceDN w:val="0"/>
        <w:adjustRightInd w:val="0"/>
        <w:spacing w:after="0"/>
        <w:ind w:firstLine="709"/>
        <w:contextualSpacing/>
        <w:jc w:val="both"/>
        <w:rPr>
          <w:rFonts w:ascii="Times New Roman" w:eastAsia="Times New Roman" w:hAnsi="Times New Roman"/>
          <w:b/>
          <w:i/>
          <w:sz w:val="28"/>
          <w:szCs w:val="28"/>
          <w:lang w:val="en-US"/>
        </w:rPr>
      </w:pPr>
      <w:r w:rsidRPr="006605D3">
        <w:rPr>
          <w:rFonts w:ascii="Times New Roman" w:eastAsia="Times New Roman" w:hAnsi="Times New Roman"/>
          <w:b/>
          <w:i/>
          <w:sz w:val="28"/>
          <w:szCs w:val="28"/>
        </w:rPr>
        <w:lastRenderedPageBreak/>
        <w:t>за престъпление по чл.354а</w:t>
      </w:r>
      <w:r w:rsidRPr="006605D3">
        <w:rPr>
          <w:rFonts w:ascii="Times New Roman" w:eastAsia="Times New Roman" w:hAnsi="Times New Roman"/>
          <w:b/>
          <w:i/>
          <w:sz w:val="28"/>
          <w:szCs w:val="28"/>
          <w:lang w:val="en-US"/>
        </w:rPr>
        <w:t xml:space="preserve"> </w:t>
      </w:r>
      <w:r w:rsidRPr="006605D3">
        <w:rPr>
          <w:rFonts w:ascii="Times New Roman" w:eastAsia="Times New Roman" w:hAnsi="Times New Roman"/>
          <w:b/>
          <w:i/>
          <w:sz w:val="28"/>
          <w:szCs w:val="28"/>
        </w:rPr>
        <w:t>от</w:t>
      </w:r>
      <w:r w:rsidRPr="006605D3">
        <w:rPr>
          <w:rFonts w:ascii="Times New Roman" w:eastAsia="Times New Roman" w:hAnsi="Times New Roman"/>
          <w:b/>
          <w:i/>
          <w:sz w:val="28"/>
          <w:szCs w:val="28"/>
          <w:lang w:val="en-US"/>
        </w:rPr>
        <w:t xml:space="preserve"> НК</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r w:rsidRPr="006605D3">
        <w:rPr>
          <w:rFonts w:ascii="Times New Roman" w:eastAsia="Times New Roman" w:hAnsi="Times New Roman"/>
          <w:sz w:val="28"/>
          <w:szCs w:val="28"/>
        </w:rPr>
        <w:t xml:space="preserve">Наблюдаваните досъдебни производства са </w:t>
      </w:r>
      <w:r w:rsidRPr="006605D3">
        <w:rPr>
          <w:rFonts w:ascii="Times New Roman" w:eastAsia="Times New Roman" w:hAnsi="Times New Roman"/>
          <w:b/>
          <w:sz w:val="28"/>
          <w:szCs w:val="28"/>
        </w:rPr>
        <w:t>32</w:t>
      </w:r>
      <w:r w:rsidRPr="006605D3">
        <w:rPr>
          <w:rFonts w:ascii="Times New Roman" w:eastAsia="Times New Roman" w:hAnsi="Times New Roman"/>
          <w:sz w:val="28"/>
          <w:szCs w:val="28"/>
        </w:rPr>
        <w:t xml:space="preserve"> броя, от които новообразувани са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Приключени са </w:t>
      </w:r>
      <w:r w:rsidRPr="006605D3">
        <w:rPr>
          <w:rFonts w:ascii="Times New Roman" w:eastAsia="Times New Roman" w:hAnsi="Times New Roman"/>
          <w:b/>
          <w:sz w:val="28"/>
          <w:szCs w:val="28"/>
        </w:rPr>
        <w:t>20</w:t>
      </w:r>
      <w:r w:rsidRPr="006605D3">
        <w:rPr>
          <w:rFonts w:ascii="Times New Roman" w:eastAsia="Times New Roman" w:hAnsi="Times New Roman"/>
          <w:sz w:val="28"/>
          <w:szCs w:val="28"/>
        </w:rPr>
        <w:t xml:space="preserve"> броя и </w:t>
      </w:r>
      <w:r w:rsidRPr="006605D3">
        <w:rPr>
          <w:rFonts w:ascii="Times New Roman" w:eastAsia="Times New Roman" w:hAnsi="Times New Roman"/>
          <w:b/>
          <w:sz w:val="28"/>
          <w:szCs w:val="28"/>
        </w:rPr>
        <w:t>8</w:t>
      </w:r>
      <w:r w:rsidRPr="006605D3">
        <w:rPr>
          <w:rFonts w:ascii="Times New Roman" w:eastAsia="Times New Roman" w:hAnsi="Times New Roman"/>
          <w:sz w:val="28"/>
          <w:szCs w:val="28"/>
        </w:rPr>
        <w:t xml:space="preserve"> са неприключени. Решени от прокурор по същество са </w:t>
      </w:r>
      <w:r w:rsidRPr="006605D3">
        <w:rPr>
          <w:rFonts w:ascii="Times New Roman" w:eastAsia="Times New Roman" w:hAnsi="Times New Roman"/>
          <w:b/>
          <w:sz w:val="28"/>
          <w:szCs w:val="28"/>
        </w:rPr>
        <w:t>22</w:t>
      </w:r>
      <w:r w:rsidRPr="006605D3">
        <w:rPr>
          <w:rFonts w:ascii="Times New Roman" w:eastAsia="Times New Roman" w:hAnsi="Times New Roman"/>
          <w:sz w:val="28"/>
          <w:szCs w:val="28"/>
        </w:rPr>
        <w:t xml:space="preserve"> дела. </w:t>
      </w:r>
      <w:r w:rsidRPr="006605D3">
        <w:rPr>
          <w:rFonts w:ascii="Times New Roman" w:eastAsia="Times New Roman" w:hAnsi="Times New Roman"/>
          <w:b/>
          <w:sz w:val="28"/>
          <w:szCs w:val="28"/>
        </w:rPr>
        <w:t>Седем</w:t>
      </w:r>
      <w:r w:rsidRPr="006605D3">
        <w:rPr>
          <w:rFonts w:ascii="Times New Roman" w:eastAsia="Times New Roman" w:hAnsi="Times New Roman"/>
          <w:sz w:val="28"/>
          <w:szCs w:val="28"/>
        </w:rPr>
        <w:t xml:space="preserve"> досъдебни производства са прекратени, като от тях </w:t>
      </w:r>
      <w:r w:rsidRPr="006605D3">
        <w:rPr>
          <w:rFonts w:ascii="Times New Roman" w:eastAsia="Times New Roman" w:hAnsi="Times New Roman"/>
          <w:b/>
          <w:sz w:val="28"/>
          <w:szCs w:val="28"/>
        </w:rPr>
        <w:t>6</w:t>
      </w:r>
      <w:r w:rsidRPr="006605D3">
        <w:rPr>
          <w:rFonts w:ascii="Times New Roman" w:eastAsia="Times New Roman" w:hAnsi="Times New Roman"/>
          <w:sz w:val="28"/>
          <w:szCs w:val="28"/>
        </w:rPr>
        <w:t xml:space="preserve"> са по чл. 61 НК. В съда са внесени </w:t>
      </w:r>
      <w:r w:rsidRPr="006605D3">
        <w:rPr>
          <w:rFonts w:ascii="Times New Roman" w:eastAsia="Times New Roman" w:hAnsi="Times New Roman"/>
          <w:b/>
          <w:sz w:val="28"/>
          <w:szCs w:val="28"/>
        </w:rPr>
        <w:t xml:space="preserve">14 </w:t>
      </w:r>
      <w:r w:rsidRPr="006605D3">
        <w:rPr>
          <w:rFonts w:ascii="Times New Roman" w:eastAsia="Times New Roman" w:hAnsi="Times New Roman"/>
          <w:sz w:val="28"/>
          <w:szCs w:val="28"/>
        </w:rPr>
        <w:t xml:space="preserve">прокурорски акта срещу </w:t>
      </w:r>
      <w:r w:rsidRPr="006605D3">
        <w:rPr>
          <w:rFonts w:ascii="Times New Roman" w:eastAsia="Times New Roman" w:hAnsi="Times New Roman"/>
          <w:b/>
          <w:sz w:val="28"/>
          <w:szCs w:val="28"/>
        </w:rPr>
        <w:t>14</w:t>
      </w:r>
      <w:r w:rsidRPr="006605D3">
        <w:rPr>
          <w:rFonts w:ascii="Times New Roman" w:eastAsia="Times New Roman" w:hAnsi="Times New Roman"/>
          <w:sz w:val="28"/>
          <w:szCs w:val="28"/>
        </w:rPr>
        <w:t xml:space="preserve"> лица. От тях </w:t>
      </w:r>
      <w:r w:rsidRPr="006605D3">
        <w:rPr>
          <w:rFonts w:ascii="Times New Roman" w:eastAsia="Times New Roman" w:hAnsi="Times New Roman"/>
          <w:b/>
          <w:sz w:val="28"/>
          <w:szCs w:val="28"/>
        </w:rPr>
        <w:t>11</w:t>
      </w:r>
      <w:r w:rsidRPr="006605D3">
        <w:rPr>
          <w:rFonts w:ascii="Times New Roman" w:eastAsia="Times New Roman" w:hAnsi="Times New Roman"/>
          <w:sz w:val="28"/>
          <w:szCs w:val="28"/>
        </w:rPr>
        <w:t xml:space="preserve"> обвинителни акта, </w:t>
      </w:r>
      <w:r w:rsidRPr="006605D3">
        <w:rPr>
          <w:rFonts w:ascii="Times New Roman" w:eastAsia="Times New Roman" w:hAnsi="Times New Roman"/>
          <w:b/>
          <w:sz w:val="28"/>
          <w:szCs w:val="28"/>
        </w:rPr>
        <w:t xml:space="preserve">1 </w:t>
      </w:r>
      <w:r w:rsidRPr="006605D3">
        <w:rPr>
          <w:rFonts w:ascii="Times New Roman" w:eastAsia="Times New Roman" w:hAnsi="Times New Roman"/>
          <w:sz w:val="28"/>
          <w:szCs w:val="28"/>
        </w:rPr>
        <w:t xml:space="preserve">споразумение и </w:t>
      </w:r>
      <w:r w:rsidRPr="006605D3">
        <w:rPr>
          <w:rFonts w:ascii="Times New Roman" w:eastAsia="Times New Roman" w:hAnsi="Times New Roman"/>
          <w:b/>
          <w:sz w:val="28"/>
          <w:szCs w:val="28"/>
        </w:rPr>
        <w:t>2</w:t>
      </w:r>
      <w:r w:rsidRPr="006605D3">
        <w:rPr>
          <w:rFonts w:ascii="Times New Roman" w:eastAsia="Times New Roman" w:hAnsi="Times New Roman"/>
          <w:sz w:val="28"/>
          <w:szCs w:val="28"/>
        </w:rPr>
        <w:t xml:space="preserve"> предложения по чл.78а от НК. </w:t>
      </w:r>
      <w:r w:rsidRPr="006605D3">
        <w:rPr>
          <w:rFonts w:ascii="Times New Roman" w:eastAsia="Times New Roman" w:hAnsi="Times New Roman"/>
          <w:b/>
          <w:sz w:val="28"/>
          <w:szCs w:val="28"/>
        </w:rPr>
        <w:t>Две дела са</w:t>
      </w:r>
      <w:r w:rsidRPr="006605D3">
        <w:rPr>
          <w:rFonts w:ascii="Times New Roman" w:eastAsia="Times New Roman" w:hAnsi="Times New Roman"/>
          <w:sz w:val="28"/>
          <w:szCs w:val="28"/>
        </w:rPr>
        <w:t xml:space="preserve"> върнати от съда за доразследване. Осъдените с влязъл в сила съдебен акт лица са </w:t>
      </w:r>
      <w:r w:rsidRPr="006605D3">
        <w:rPr>
          <w:rFonts w:ascii="Times New Roman" w:eastAsia="Times New Roman" w:hAnsi="Times New Roman"/>
          <w:b/>
          <w:sz w:val="28"/>
          <w:szCs w:val="28"/>
        </w:rPr>
        <w:t>14,</w:t>
      </w:r>
      <w:r w:rsidRPr="006605D3">
        <w:rPr>
          <w:rFonts w:ascii="Times New Roman" w:eastAsia="Times New Roman" w:hAnsi="Times New Roman"/>
          <w:sz w:val="28"/>
          <w:szCs w:val="28"/>
        </w:rPr>
        <w:t xml:space="preserve"> като на </w:t>
      </w:r>
      <w:r w:rsidRPr="006605D3">
        <w:rPr>
          <w:rFonts w:ascii="Times New Roman" w:eastAsia="Times New Roman" w:hAnsi="Times New Roman"/>
          <w:b/>
          <w:sz w:val="28"/>
          <w:szCs w:val="28"/>
        </w:rPr>
        <w:t>4</w:t>
      </w:r>
      <w:r w:rsidRPr="006605D3">
        <w:rPr>
          <w:rFonts w:ascii="Times New Roman" w:eastAsia="Times New Roman" w:hAnsi="Times New Roman"/>
          <w:sz w:val="28"/>
          <w:szCs w:val="28"/>
        </w:rPr>
        <w:t xml:space="preserve"> е наложено наказание „лишаване от свобода“ с приложение на чл.69 и чл.66 от НК, а на </w:t>
      </w:r>
      <w:r w:rsidRPr="006605D3">
        <w:rPr>
          <w:rFonts w:ascii="Times New Roman" w:eastAsia="Times New Roman" w:hAnsi="Times New Roman"/>
          <w:b/>
          <w:sz w:val="28"/>
          <w:szCs w:val="28"/>
        </w:rPr>
        <w:t>22</w:t>
      </w:r>
      <w:r w:rsidRPr="006605D3">
        <w:rPr>
          <w:rFonts w:ascii="Times New Roman" w:eastAsia="Times New Roman" w:hAnsi="Times New Roman"/>
          <w:sz w:val="28"/>
          <w:szCs w:val="28"/>
        </w:rPr>
        <w:t xml:space="preserve"> лица - „обществено порицание/възпитателна мярка (пробация)“. Оправдано е </w:t>
      </w:r>
      <w:r w:rsidRPr="006605D3">
        <w:rPr>
          <w:rFonts w:ascii="Times New Roman" w:eastAsia="Times New Roman" w:hAnsi="Times New Roman"/>
          <w:b/>
          <w:sz w:val="28"/>
          <w:szCs w:val="28"/>
        </w:rPr>
        <w:t>едно</w:t>
      </w:r>
      <w:r w:rsidRPr="006605D3">
        <w:rPr>
          <w:rFonts w:ascii="Times New Roman" w:eastAsia="Times New Roman" w:hAnsi="Times New Roman"/>
          <w:sz w:val="28"/>
          <w:szCs w:val="28"/>
        </w:rPr>
        <w:t xml:space="preserve"> лице за отчетния период.</w:t>
      </w: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sz w:val="28"/>
          <w:szCs w:val="28"/>
        </w:rPr>
      </w:pPr>
    </w:p>
    <w:p w:rsidR="006605D3" w:rsidRPr="006605D3" w:rsidRDefault="006605D3" w:rsidP="004D24A1">
      <w:pPr>
        <w:overflowPunct w:val="0"/>
        <w:autoSpaceDE w:val="0"/>
        <w:autoSpaceDN w:val="0"/>
        <w:adjustRightInd w:val="0"/>
        <w:spacing w:after="0"/>
        <w:ind w:firstLine="709"/>
        <w:contextualSpacing/>
        <w:jc w:val="both"/>
        <w:rPr>
          <w:rFonts w:ascii="Times New Roman" w:eastAsia="Times New Roman" w:hAnsi="Times New Roman"/>
          <w:color w:val="000000"/>
          <w:sz w:val="28"/>
          <w:szCs w:val="28"/>
        </w:rPr>
      </w:pPr>
      <w:r w:rsidRPr="006605D3">
        <w:rPr>
          <w:rFonts w:ascii="Times New Roman" w:hAnsi="Times New Roman"/>
          <w:color w:val="000000"/>
          <w:sz w:val="28"/>
          <w:szCs w:val="28"/>
        </w:rPr>
        <w:t xml:space="preserve">През 2021 г. наблюдаваните  дела са </w:t>
      </w:r>
      <w:r w:rsidRPr="006605D3">
        <w:rPr>
          <w:rFonts w:ascii="Times New Roman" w:hAnsi="Times New Roman"/>
          <w:b/>
          <w:color w:val="000000"/>
          <w:sz w:val="28"/>
          <w:szCs w:val="28"/>
        </w:rPr>
        <w:t>220</w:t>
      </w:r>
      <w:r w:rsidRPr="006605D3">
        <w:rPr>
          <w:rFonts w:ascii="Times New Roman" w:hAnsi="Times New Roman"/>
          <w:color w:val="000000"/>
          <w:sz w:val="28"/>
          <w:szCs w:val="28"/>
        </w:rPr>
        <w:t>, през 2020г. са били 227, а през 2019 г. техният брой е бил 219</w:t>
      </w:r>
      <w:r w:rsidRPr="006605D3">
        <w:rPr>
          <w:rFonts w:ascii="Times New Roman" w:hAnsi="Times New Roman"/>
          <w:b/>
          <w:color w:val="000000"/>
          <w:sz w:val="28"/>
          <w:szCs w:val="28"/>
        </w:rPr>
        <w:t>.</w:t>
      </w:r>
      <w:r w:rsidRPr="006605D3">
        <w:rPr>
          <w:rFonts w:ascii="Times New Roman" w:hAnsi="Times New Roman"/>
          <w:color w:val="000000"/>
          <w:sz w:val="28"/>
          <w:szCs w:val="28"/>
        </w:rPr>
        <w:t xml:space="preserve"> Новообразуваните дела  за  2021г. е </w:t>
      </w:r>
      <w:r w:rsidRPr="006605D3">
        <w:rPr>
          <w:rFonts w:ascii="Times New Roman" w:hAnsi="Times New Roman"/>
          <w:b/>
          <w:color w:val="000000"/>
          <w:sz w:val="28"/>
          <w:szCs w:val="28"/>
        </w:rPr>
        <w:t>49</w:t>
      </w:r>
      <w:r w:rsidRPr="006605D3">
        <w:rPr>
          <w:rFonts w:ascii="Times New Roman" w:hAnsi="Times New Roman"/>
          <w:color w:val="000000"/>
          <w:sz w:val="28"/>
          <w:szCs w:val="28"/>
        </w:rPr>
        <w:t>, през 2020 г. са били 66 броя; а през  2019 г. по този критерии са 91 броя.</w:t>
      </w:r>
    </w:p>
    <w:p w:rsidR="006605D3" w:rsidRPr="006605D3" w:rsidRDefault="006605D3" w:rsidP="004D24A1">
      <w:pPr>
        <w:overflowPunct w:val="0"/>
        <w:autoSpaceDE w:val="0"/>
        <w:autoSpaceDN w:val="0"/>
        <w:adjustRightInd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Сравнението на делата, водени за</w:t>
      </w:r>
      <w:r w:rsidRPr="006605D3">
        <w:rPr>
          <w:rFonts w:ascii="Times New Roman" w:eastAsia="Times New Roman" w:hAnsi="Times New Roman"/>
          <w:color w:val="000000"/>
          <w:spacing w:val="-8"/>
          <w:sz w:val="28"/>
          <w:szCs w:val="28"/>
        </w:rPr>
        <w:t xml:space="preserve"> </w:t>
      </w:r>
      <w:r w:rsidRPr="006605D3">
        <w:rPr>
          <w:rFonts w:ascii="Times New Roman" w:eastAsia="Times New Roman" w:hAnsi="Times New Roman"/>
          <w:color w:val="000000"/>
          <w:sz w:val="28"/>
          <w:szCs w:val="28"/>
        </w:rPr>
        <w:t xml:space="preserve">престъпления, извършени от непълнолетни лица за 2021г. </w:t>
      </w:r>
      <w:r w:rsidRPr="006605D3">
        <w:rPr>
          <w:rFonts w:ascii="Times New Roman" w:hAnsi="Times New Roman"/>
          <w:color w:val="000000"/>
          <w:sz w:val="28"/>
          <w:szCs w:val="28"/>
        </w:rPr>
        <w:t xml:space="preserve">показва спад </w:t>
      </w:r>
      <w:r w:rsidRPr="006605D3">
        <w:rPr>
          <w:rFonts w:ascii="Times New Roman" w:eastAsia="Times New Roman" w:hAnsi="Times New Roman"/>
          <w:color w:val="000000"/>
          <w:sz w:val="28"/>
          <w:szCs w:val="28"/>
        </w:rPr>
        <w:t xml:space="preserve">спрямо предходните два отчетни периода </w:t>
      </w:r>
      <w:r w:rsidRPr="006605D3">
        <w:rPr>
          <w:rFonts w:ascii="Times New Roman" w:hAnsi="Times New Roman"/>
          <w:color w:val="000000"/>
          <w:sz w:val="28"/>
          <w:szCs w:val="28"/>
        </w:rPr>
        <w:t>на общия брой наблюдавани дела</w:t>
      </w:r>
      <w:r w:rsidRPr="006605D3">
        <w:rPr>
          <w:rFonts w:ascii="Times New Roman" w:eastAsia="Times New Roman" w:hAnsi="Times New Roman"/>
          <w:color w:val="000000"/>
          <w:sz w:val="28"/>
          <w:szCs w:val="28"/>
        </w:rPr>
        <w:t>.</w:t>
      </w:r>
      <w:r w:rsidRPr="006605D3">
        <w:rPr>
          <w:rFonts w:ascii="Times New Roman" w:hAnsi="Times New Roman"/>
          <w:color w:val="000000"/>
          <w:sz w:val="28"/>
          <w:szCs w:val="28"/>
        </w:rPr>
        <w:t xml:space="preserve"> Това е индикатор, че прилаганите превантивни мерки от страна на държавните институции дават своите положителни резултати.</w:t>
      </w:r>
    </w:p>
    <w:p w:rsidR="006605D3" w:rsidRPr="006605D3" w:rsidRDefault="006605D3" w:rsidP="004D24A1">
      <w:pPr>
        <w:overflowPunct w:val="0"/>
        <w:autoSpaceDE w:val="0"/>
        <w:autoSpaceDN w:val="0"/>
        <w:adjustRightInd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За 2021 г. се увеличава броя на осъдените и санкционирани с влязла в сила присъда непълнолетни лица – </w:t>
      </w:r>
      <w:r w:rsidRPr="006605D3">
        <w:rPr>
          <w:rFonts w:ascii="Times New Roman" w:hAnsi="Times New Roman"/>
          <w:b/>
          <w:color w:val="000000"/>
          <w:sz w:val="28"/>
          <w:szCs w:val="28"/>
        </w:rPr>
        <w:t>91</w:t>
      </w:r>
      <w:r w:rsidRPr="006605D3">
        <w:rPr>
          <w:rFonts w:ascii="Times New Roman" w:hAnsi="Times New Roman"/>
          <w:color w:val="000000"/>
          <w:sz w:val="28"/>
          <w:szCs w:val="28"/>
        </w:rPr>
        <w:t xml:space="preserve"> броя, като към 2020г. са били 84 броя, а за 2019 г. са осъдени 101 лица. Увеличен е и относителния дял на решените производства спрямо наблюдаваните: 67,72%, при 62% аз 2020г. и 64% за 2019г.</w:t>
      </w:r>
    </w:p>
    <w:p w:rsidR="006605D3" w:rsidRPr="006605D3" w:rsidRDefault="006605D3" w:rsidP="004D24A1">
      <w:pPr>
        <w:overflowPunct w:val="0"/>
        <w:autoSpaceDE w:val="0"/>
        <w:autoSpaceDN w:val="0"/>
        <w:adjustRightInd w:val="0"/>
        <w:spacing w:after="0"/>
        <w:ind w:firstLine="709"/>
        <w:jc w:val="both"/>
        <w:rPr>
          <w:rFonts w:ascii="Times New Roman" w:hAnsi="Times New Roman"/>
          <w:sz w:val="28"/>
          <w:szCs w:val="28"/>
        </w:rPr>
      </w:pPr>
      <w:r w:rsidRPr="006605D3">
        <w:rPr>
          <w:rFonts w:ascii="Times New Roman" w:hAnsi="Times New Roman"/>
          <w:sz w:val="28"/>
          <w:szCs w:val="28"/>
        </w:rPr>
        <w:t xml:space="preserve">През 2021 г. оправданите непълнолетни лица с влязла в сила присъда са </w:t>
      </w:r>
      <w:r w:rsidRPr="006605D3">
        <w:rPr>
          <w:rFonts w:ascii="Times New Roman" w:hAnsi="Times New Roman"/>
          <w:b/>
          <w:sz w:val="28"/>
          <w:szCs w:val="28"/>
        </w:rPr>
        <w:t>4</w:t>
      </w:r>
      <w:r w:rsidRPr="006605D3">
        <w:rPr>
          <w:rFonts w:ascii="Times New Roman" w:hAnsi="Times New Roman"/>
          <w:sz w:val="28"/>
          <w:szCs w:val="28"/>
        </w:rPr>
        <w:t>, като за 2020г. е оправдано само  1 лице, а през  2019 г. са били 9</w:t>
      </w:r>
      <w:r w:rsidRPr="006605D3">
        <w:rPr>
          <w:rFonts w:ascii="Times New Roman" w:hAnsi="Times New Roman"/>
          <w:b/>
          <w:sz w:val="28"/>
          <w:szCs w:val="28"/>
        </w:rPr>
        <w:t>.</w:t>
      </w:r>
      <w:r w:rsidRPr="006605D3">
        <w:rPr>
          <w:rFonts w:ascii="Times New Roman" w:hAnsi="Times New Roman"/>
          <w:sz w:val="28"/>
          <w:szCs w:val="28"/>
        </w:rPr>
        <w:t xml:space="preserve"> </w:t>
      </w:r>
    </w:p>
    <w:p w:rsidR="006605D3" w:rsidRPr="006605D3" w:rsidRDefault="006605D3" w:rsidP="004D24A1">
      <w:pPr>
        <w:overflowPunct w:val="0"/>
        <w:autoSpaceDE w:val="0"/>
        <w:autoSpaceDN w:val="0"/>
        <w:adjustRightInd w:val="0"/>
        <w:spacing w:after="0"/>
        <w:ind w:firstLine="709"/>
        <w:jc w:val="both"/>
        <w:rPr>
          <w:rFonts w:ascii="Times New Roman" w:hAnsi="Times New Roman"/>
          <w:sz w:val="28"/>
          <w:szCs w:val="28"/>
        </w:rPr>
      </w:pPr>
      <w:r w:rsidRPr="006605D3">
        <w:rPr>
          <w:rFonts w:ascii="Times New Roman" w:hAnsi="Times New Roman"/>
          <w:sz w:val="28"/>
          <w:szCs w:val="28"/>
        </w:rPr>
        <w:t xml:space="preserve">През този отчетен период наложените наказания „лишаване от свобода“ с приложение на чл.69 и чл.66 от НК са </w:t>
      </w:r>
      <w:r w:rsidRPr="006605D3">
        <w:rPr>
          <w:rFonts w:ascii="Times New Roman" w:hAnsi="Times New Roman"/>
          <w:b/>
          <w:sz w:val="28"/>
          <w:szCs w:val="28"/>
        </w:rPr>
        <w:t>33</w:t>
      </w:r>
      <w:r w:rsidRPr="006605D3">
        <w:rPr>
          <w:rFonts w:ascii="Times New Roman" w:hAnsi="Times New Roman"/>
          <w:sz w:val="28"/>
          <w:szCs w:val="28"/>
        </w:rPr>
        <w:t xml:space="preserve"> броя, ефективно изтърпяване на наказание лишаване от свобода е постановено за </w:t>
      </w:r>
      <w:r w:rsidRPr="006605D3">
        <w:rPr>
          <w:rFonts w:ascii="Times New Roman" w:hAnsi="Times New Roman"/>
          <w:b/>
          <w:sz w:val="28"/>
          <w:szCs w:val="28"/>
        </w:rPr>
        <w:t xml:space="preserve">11 </w:t>
      </w:r>
      <w:r w:rsidRPr="006605D3">
        <w:rPr>
          <w:rFonts w:ascii="Times New Roman" w:hAnsi="Times New Roman"/>
          <w:sz w:val="28"/>
          <w:szCs w:val="28"/>
        </w:rPr>
        <w:t xml:space="preserve">лица, а общественото порицание/налагане на възпитателна мярка и пробация за лица над 16 години/ - </w:t>
      </w:r>
      <w:r w:rsidRPr="006605D3">
        <w:rPr>
          <w:rFonts w:ascii="Times New Roman" w:hAnsi="Times New Roman"/>
          <w:b/>
          <w:sz w:val="28"/>
          <w:szCs w:val="28"/>
        </w:rPr>
        <w:t>56</w:t>
      </w:r>
      <w:r w:rsidRPr="006605D3">
        <w:rPr>
          <w:rFonts w:ascii="Times New Roman" w:hAnsi="Times New Roman"/>
          <w:sz w:val="28"/>
          <w:szCs w:val="28"/>
        </w:rPr>
        <w:t xml:space="preserve"> броя. По отношение на </w:t>
      </w:r>
      <w:r w:rsidRPr="006605D3">
        <w:rPr>
          <w:rFonts w:ascii="Times New Roman" w:hAnsi="Times New Roman"/>
          <w:b/>
          <w:sz w:val="28"/>
          <w:szCs w:val="28"/>
        </w:rPr>
        <w:t>1 лице</w:t>
      </w:r>
      <w:r w:rsidRPr="006605D3">
        <w:rPr>
          <w:rFonts w:ascii="Times New Roman" w:hAnsi="Times New Roman"/>
          <w:sz w:val="28"/>
          <w:szCs w:val="28"/>
        </w:rPr>
        <w:t xml:space="preserve"> е постановено наказание „настаняване във ВУИ“.</w:t>
      </w:r>
    </w:p>
    <w:p w:rsidR="006605D3" w:rsidRPr="006605D3" w:rsidRDefault="006605D3" w:rsidP="004D24A1">
      <w:pPr>
        <w:overflowPunct w:val="0"/>
        <w:autoSpaceDE w:val="0"/>
        <w:autoSpaceDN w:val="0"/>
        <w:adjustRightInd w:val="0"/>
        <w:spacing w:after="0"/>
        <w:ind w:firstLine="709"/>
        <w:jc w:val="both"/>
        <w:rPr>
          <w:rFonts w:ascii="Times New Roman" w:hAnsi="Times New Roman"/>
          <w:sz w:val="28"/>
          <w:szCs w:val="28"/>
        </w:rPr>
      </w:pPr>
      <w:r w:rsidRPr="006605D3">
        <w:rPr>
          <w:rFonts w:ascii="Times New Roman" w:hAnsi="Times New Roman"/>
          <w:sz w:val="28"/>
          <w:szCs w:val="28"/>
        </w:rPr>
        <w:t xml:space="preserve">Освобождаване от наказателна отговорност с налагане на административно наказание е налагано по отношение на </w:t>
      </w:r>
      <w:r w:rsidRPr="006605D3">
        <w:rPr>
          <w:rFonts w:ascii="Times New Roman" w:hAnsi="Times New Roman"/>
          <w:b/>
          <w:sz w:val="28"/>
          <w:szCs w:val="28"/>
        </w:rPr>
        <w:t>7 лица</w:t>
      </w:r>
      <w:r w:rsidRPr="006605D3">
        <w:rPr>
          <w:rFonts w:ascii="Times New Roman" w:hAnsi="Times New Roman"/>
          <w:sz w:val="28"/>
          <w:szCs w:val="28"/>
        </w:rPr>
        <w:t xml:space="preserve"> през този отчетен период. Не е налагана възпитателна мярка по ЗБППМН за периода. </w:t>
      </w:r>
    </w:p>
    <w:p w:rsidR="006605D3" w:rsidRPr="006605D3" w:rsidRDefault="006605D3" w:rsidP="004D24A1">
      <w:pPr>
        <w:overflowPunct w:val="0"/>
        <w:autoSpaceDE w:val="0"/>
        <w:autoSpaceDN w:val="0"/>
        <w:adjustRightInd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t xml:space="preserve">В процентно съотношение делът на решените спрямо наблюдаваните досъдебни производства за 2021г. е </w:t>
      </w:r>
      <w:r w:rsidRPr="006605D3">
        <w:rPr>
          <w:rFonts w:ascii="Times New Roman" w:hAnsi="Times New Roman"/>
          <w:b/>
          <w:color w:val="000000"/>
          <w:sz w:val="28"/>
          <w:szCs w:val="28"/>
        </w:rPr>
        <w:t>67,73 %,</w:t>
      </w:r>
      <w:r w:rsidRPr="006605D3">
        <w:rPr>
          <w:rFonts w:ascii="Times New Roman" w:hAnsi="Times New Roman"/>
          <w:color w:val="000000"/>
          <w:sz w:val="28"/>
          <w:szCs w:val="28"/>
        </w:rPr>
        <w:t xml:space="preserve"> спрямо  2020г. е  62,11 %, за 2019 г. е 64,38%.</w:t>
      </w:r>
    </w:p>
    <w:p w:rsidR="006605D3" w:rsidRPr="006605D3" w:rsidRDefault="006605D3" w:rsidP="004D24A1">
      <w:pPr>
        <w:overflowPunct w:val="0"/>
        <w:autoSpaceDE w:val="0"/>
        <w:autoSpaceDN w:val="0"/>
        <w:adjustRightInd w:val="0"/>
        <w:spacing w:after="0"/>
        <w:ind w:firstLine="709"/>
        <w:jc w:val="both"/>
        <w:rPr>
          <w:rFonts w:ascii="Times New Roman" w:hAnsi="Times New Roman"/>
          <w:color w:val="000000"/>
          <w:sz w:val="28"/>
          <w:szCs w:val="28"/>
        </w:rPr>
      </w:pPr>
      <w:r w:rsidRPr="006605D3">
        <w:rPr>
          <w:rFonts w:ascii="Times New Roman" w:hAnsi="Times New Roman"/>
          <w:color w:val="000000"/>
          <w:sz w:val="28"/>
          <w:szCs w:val="28"/>
        </w:rPr>
        <w:lastRenderedPageBreak/>
        <w:t xml:space="preserve">Процентното съотношение на внесените в съда актове спрямо решените по същество за 2021г. е </w:t>
      </w:r>
      <w:r w:rsidRPr="006605D3">
        <w:rPr>
          <w:rFonts w:ascii="Times New Roman" w:hAnsi="Times New Roman"/>
          <w:b/>
          <w:color w:val="000000"/>
          <w:sz w:val="28"/>
          <w:szCs w:val="28"/>
          <w:lang w:val="en-US"/>
        </w:rPr>
        <w:t>62,43</w:t>
      </w:r>
      <w:r w:rsidRPr="006605D3">
        <w:rPr>
          <w:rFonts w:ascii="Times New Roman" w:hAnsi="Times New Roman"/>
          <w:b/>
          <w:color w:val="000000"/>
          <w:sz w:val="28"/>
          <w:szCs w:val="28"/>
        </w:rPr>
        <w:t>%,</w:t>
      </w:r>
      <w:r w:rsidRPr="006605D3">
        <w:rPr>
          <w:rFonts w:ascii="Times New Roman" w:hAnsi="Times New Roman"/>
          <w:color w:val="000000"/>
          <w:sz w:val="28"/>
          <w:szCs w:val="28"/>
        </w:rPr>
        <w:t xml:space="preserve"> през 2020 г. е 68,79 %, за 2019 г. е 73,05%.</w:t>
      </w:r>
    </w:p>
    <w:p w:rsidR="006605D3" w:rsidRPr="006605D3" w:rsidRDefault="006605D3" w:rsidP="004D24A1">
      <w:pPr>
        <w:autoSpaceDN w:val="0"/>
        <w:spacing w:after="0"/>
        <w:ind w:firstLine="709"/>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 xml:space="preserve">Общо прекратените от прокурор дела са </w:t>
      </w:r>
      <w:r w:rsidRPr="006605D3">
        <w:rPr>
          <w:rFonts w:ascii="Times New Roman" w:eastAsia="Times New Roman" w:hAnsi="Times New Roman"/>
          <w:b/>
          <w:sz w:val="28"/>
          <w:szCs w:val="28"/>
          <w:lang w:eastAsia="bg-BG"/>
        </w:rPr>
        <w:t>48 броя</w:t>
      </w:r>
      <w:r w:rsidRPr="006605D3">
        <w:rPr>
          <w:rFonts w:ascii="Times New Roman" w:eastAsia="Times New Roman" w:hAnsi="Times New Roman"/>
          <w:sz w:val="28"/>
          <w:szCs w:val="28"/>
          <w:lang w:eastAsia="bg-BG"/>
        </w:rPr>
        <w:t>.</w:t>
      </w:r>
    </w:p>
    <w:p w:rsidR="006605D3" w:rsidRPr="006605D3" w:rsidRDefault="006605D3" w:rsidP="004D24A1">
      <w:pPr>
        <w:autoSpaceDN w:val="0"/>
        <w:spacing w:after="0"/>
        <w:ind w:firstLine="709"/>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 xml:space="preserve">Прекратени на основание чл. 61 НК са </w:t>
      </w:r>
      <w:r w:rsidRPr="006605D3">
        <w:rPr>
          <w:rFonts w:ascii="Times New Roman" w:eastAsia="Times New Roman" w:hAnsi="Times New Roman"/>
          <w:b/>
          <w:sz w:val="28"/>
          <w:szCs w:val="28"/>
          <w:lang w:eastAsia="bg-BG"/>
        </w:rPr>
        <w:t xml:space="preserve">45 </w:t>
      </w:r>
      <w:r w:rsidRPr="006605D3">
        <w:rPr>
          <w:rFonts w:ascii="Times New Roman" w:eastAsia="Times New Roman" w:hAnsi="Times New Roman"/>
          <w:sz w:val="28"/>
          <w:szCs w:val="28"/>
          <w:lang w:eastAsia="bg-BG"/>
        </w:rPr>
        <w:t xml:space="preserve">дела, като е възприето, че се касае за престъпления, които не представляват голяма обществена опасност и са извършени от непълнолетните обвиняеми, поради увлечение или лекомислие. </w:t>
      </w:r>
    </w:p>
    <w:p w:rsidR="006605D3" w:rsidRPr="006605D3" w:rsidRDefault="006605D3" w:rsidP="004D24A1">
      <w:pPr>
        <w:autoSpaceDN w:val="0"/>
        <w:spacing w:after="0"/>
        <w:ind w:firstLine="709"/>
        <w:jc w:val="both"/>
        <w:rPr>
          <w:rFonts w:ascii="Times New Roman" w:eastAsia="Times New Roman" w:hAnsi="Times New Roman"/>
          <w:color w:val="000000"/>
          <w:sz w:val="28"/>
          <w:szCs w:val="28"/>
          <w:lang w:eastAsia="bg-BG"/>
        </w:rPr>
      </w:pPr>
      <w:r w:rsidRPr="006605D3">
        <w:rPr>
          <w:rFonts w:ascii="Times New Roman" w:eastAsia="Times New Roman" w:hAnsi="Times New Roman"/>
          <w:color w:val="000000"/>
          <w:sz w:val="28"/>
          <w:szCs w:val="28"/>
          <w:lang w:eastAsia="bg-BG"/>
        </w:rPr>
        <w:t>След анализ на статистическите данни може да се направи извод, че и за този отчетен период се запазва тенденцията от предходните години, според която при извършените от непълнолетните престъпления най-голям дял имат тези против собствеността, следвани от общоопасните  престъпления –делата  относно  държане,  употреба, склоняване към употреба и разпространение на наркотични вещества; за неправомерно използване на контролни знаци, издадени за друго МПС или неиздадени от съответен контролен орган; неправомерно управление на МПС, вкл. след употреба на алкохол и противозаконно отнемане на МПС.</w:t>
      </w:r>
    </w:p>
    <w:p w:rsidR="006605D3" w:rsidRPr="006605D3" w:rsidRDefault="006605D3" w:rsidP="004D24A1">
      <w:pPr>
        <w:autoSpaceDN w:val="0"/>
        <w:spacing w:after="0"/>
        <w:ind w:firstLine="709"/>
        <w:jc w:val="both"/>
        <w:rPr>
          <w:rFonts w:ascii="Times New Roman" w:eastAsia="Times New Roman" w:hAnsi="Times New Roman"/>
          <w:sz w:val="28"/>
          <w:szCs w:val="28"/>
          <w:lang w:eastAsia="bg-BG"/>
        </w:rPr>
      </w:pPr>
      <w:r w:rsidRPr="006605D3">
        <w:rPr>
          <w:rFonts w:ascii="Times New Roman" w:eastAsia="Times New Roman" w:hAnsi="Times New Roman"/>
          <w:sz w:val="28"/>
          <w:szCs w:val="28"/>
          <w:lang w:eastAsia="bg-BG"/>
        </w:rPr>
        <w:t xml:space="preserve">Наблюдаваните досъдебни производства по глава пета на НК са общо </w:t>
      </w:r>
      <w:r w:rsidRPr="006605D3">
        <w:rPr>
          <w:rFonts w:ascii="Times New Roman" w:eastAsia="Times New Roman" w:hAnsi="Times New Roman"/>
          <w:b/>
          <w:sz w:val="28"/>
          <w:szCs w:val="28"/>
          <w:lang w:eastAsia="bg-BG"/>
        </w:rPr>
        <w:t>121,</w:t>
      </w:r>
      <w:r w:rsidRPr="006605D3">
        <w:rPr>
          <w:rFonts w:ascii="Times New Roman" w:eastAsia="Times New Roman" w:hAnsi="Times New Roman"/>
          <w:sz w:val="28"/>
          <w:szCs w:val="28"/>
          <w:lang w:eastAsia="bg-BG"/>
        </w:rPr>
        <w:t xml:space="preserve"> от които новообразуваните са </w:t>
      </w:r>
      <w:r w:rsidRPr="006605D3">
        <w:rPr>
          <w:rFonts w:ascii="Times New Roman" w:eastAsia="Times New Roman" w:hAnsi="Times New Roman"/>
          <w:b/>
          <w:sz w:val="28"/>
          <w:szCs w:val="28"/>
          <w:lang w:eastAsia="bg-BG"/>
        </w:rPr>
        <w:t>28</w:t>
      </w:r>
      <w:r w:rsidRPr="006605D3">
        <w:rPr>
          <w:rFonts w:ascii="Times New Roman" w:eastAsia="Times New Roman" w:hAnsi="Times New Roman"/>
          <w:sz w:val="28"/>
          <w:szCs w:val="28"/>
          <w:lang w:eastAsia="bg-BG"/>
        </w:rPr>
        <w:t xml:space="preserve"> броя. Приключени са </w:t>
      </w:r>
      <w:r w:rsidRPr="006605D3">
        <w:rPr>
          <w:rFonts w:ascii="Times New Roman" w:eastAsia="Times New Roman" w:hAnsi="Times New Roman"/>
          <w:b/>
          <w:sz w:val="28"/>
          <w:szCs w:val="28"/>
          <w:lang w:eastAsia="bg-BG"/>
        </w:rPr>
        <w:t>65</w:t>
      </w:r>
      <w:r w:rsidRPr="006605D3">
        <w:rPr>
          <w:rFonts w:ascii="Times New Roman" w:eastAsia="Times New Roman" w:hAnsi="Times New Roman"/>
          <w:sz w:val="28"/>
          <w:szCs w:val="28"/>
          <w:lang w:eastAsia="bg-BG"/>
        </w:rPr>
        <w:t xml:space="preserve">, а неприключените </w:t>
      </w:r>
      <w:r w:rsidRPr="006605D3">
        <w:rPr>
          <w:rFonts w:ascii="Times New Roman" w:eastAsia="Times New Roman" w:hAnsi="Times New Roman"/>
          <w:b/>
          <w:sz w:val="28"/>
          <w:szCs w:val="28"/>
          <w:lang w:eastAsia="bg-BG"/>
        </w:rPr>
        <w:t>31</w:t>
      </w:r>
      <w:r w:rsidRPr="006605D3">
        <w:rPr>
          <w:rFonts w:ascii="Times New Roman" w:eastAsia="Times New Roman" w:hAnsi="Times New Roman"/>
          <w:sz w:val="28"/>
          <w:szCs w:val="28"/>
          <w:lang w:eastAsia="bg-BG"/>
        </w:rPr>
        <w:t xml:space="preserve">. Решени от прокурор са </w:t>
      </w:r>
      <w:r w:rsidRPr="006605D3">
        <w:rPr>
          <w:rFonts w:ascii="Times New Roman" w:eastAsia="Times New Roman" w:hAnsi="Times New Roman"/>
          <w:b/>
          <w:sz w:val="28"/>
          <w:szCs w:val="28"/>
          <w:lang w:eastAsia="bg-BG"/>
        </w:rPr>
        <w:t xml:space="preserve">84 </w:t>
      </w:r>
      <w:r w:rsidRPr="006605D3">
        <w:rPr>
          <w:rFonts w:ascii="Times New Roman" w:eastAsia="Times New Roman" w:hAnsi="Times New Roman"/>
          <w:sz w:val="28"/>
          <w:szCs w:val="28"/>
          <w:lang w:eastAsia="bg-BG"/>
        </w:rPr>
        <w:t xml:space="preserve">досъдебни производства, от които </w:t>
      </w:r>
      <w:r w:rsidRPr="006605D3">
        <w:rPr>
          <w:rFonts w:ascii="Times New Roman" w:eastAsia="Times New Roman" w:hAnsi="Times New Roman"/>
          <w:b/>
          <w:sz w:val="28"/>
          <w:szCs w:val="28"/>
          <w:lang w:eastAsia="bg-BG"/>
        </w:rPr>
        <w:t>24</w:t>
      </w:r>
      <w:r w:rsidRPr="006605D3">
        <w:rPr>
          <w:rFonts w:ascii="Times New Roman" w:eastAsia="Times New Roman" w:hAnsi="Times New Roman"/>
          <w:sz w:val="28"/>
          <w:szCs w:val="28"/>
          <w:lang w:eastAsia="bg-BG"/>
        </w:rPr>
        <w:t xml:space="preserve"> са прекратени, на осн. чл. 61 от НК. Внесените в съда прокурорски актове са </w:t>
      </w:r>
      <w:r w:rsidRPr="006605D3">
        <w:rPr>
          <w:rFonts w:ascii="Times New Roman" w:eastAsia="Times New Roman" w:hAnsi="Times New Roman"/>
          <w:b/>
          <w:sz w:val="28"/>
          <w:szCs w:val="28"/>
          <w:lang w:eastAsia="bg-BG"/>
        </w:rPr>
        <w:t xml:space="preserve">59 </w:t>
      </w:r>
      <w:r w:rsidRPr="006605D3">
        <w:rPr>
          <w:rFonts w:ascii="Times New Roman" w:eastAsia="Times New Roman" w:hAnsi="Times New Roman"/>
          <w:sz w:val="28"/>
          <w:szCs w:val="28"/>
          <w:lang w:eastAsia="bg-BG"/>
        </w:rPr>
        <w:t xml:space="preserve">срещу </w:t>
      </w:r>
      <w:r w:rsidRPr="006605D3">
        <w:rPr>
          <w:rFonts w:ascii="Times New Roman" w:eastAsia="Times New Roman" w:hAnsi="Times New Roman"/>
          <w:b/>
          <w:sz w:val="28"/>
          <w:szCs w:val="28"/>
          <w:lang w:eastAsia="bg-BG"/>
        </w:rPr>
        <w:t xml:space="preserve">59 </w:t>
      </w:r>
      <w:r w:rsidRPr="006605D3">
        <w:rPr>
          <w:rFonts w:ascii="Times New Roman" w:eastAsia="Times New Roman" w:hAnsi="Times New Roman"/>
          <w:sz w:val="28"/>
          <w:szCs w:val="28"/>
          <w:lang w:eastAsia="bg-BG"/>
        </w:rPr>
        <w:t>лица</w:t>
      </w:r>
      <w:r w:rsidRPr="006605D3">
        <w:rPr>
          <w:rFonts w:ascii="Times New Roman" w:eastAsia="Times New Roman" w:hAnsi="Times New Roman"/>
          <w:b/>
          <w:sz w:val="28"/>
          <w:szCs w:val="28"/>
          <w:lang w:eastAsia="bg-BG"/>
        </w:rPr>
        <w:t xml:space="preserve">. </w:t>
      </w:r>
      <w:r w:rsidRPr="006605D3">
        <w:rPr>
          <w:rFonts w:ascii="Times New Roman" w:eastAsia="Times New Roman" w:hAnsi="Times New Roman"/>
          <w:sz w:val="28"/>
          <w:szCs w:val="28"/>
          <w:lang w:eastAsia="bg-BG"/>
        </w:rPr>
        <w:t>Обвинителните актове са</w:t>
      </w:r>
      <w:r w:rsidRPr="006605D3">
        <w:rPr>
          <w:rFonts w:ascii="Times New Roman" w:eastAsia="Times New Roman" w:hAnsi="Times New Roman"/>
          <w:b/>
          <w:sz w:val="28"/>
          <w:szCs w:val="28"/>
          <w:lang w:eastAsia="bg-BG"/>
        </w:rPr>
        <w:t xml:space="preserve"> 46, </w:t>
      </w:r>
      <w:r w:rsidRPr="006605D3">
        <w:rPr>
          <w:rFonts w:ascii="Times New Roman" w:eastAsia="Times New Roman" w:hAnsi="Times New Roman"/>
          <w:sz w:val="28"/>
          <w:szCs w:val="28"/>
          <w:lang w:eastAsia="bg-BG"/>
        </w:rPr>
        <w:t>а споразуменията</w:t>
      </w:r>
      <w:r w:rsidRPr="006605D3">
        <w:rPr>
          <w:rFonts w:ascii="Times New Roman" w:eastAsia="Times New Roman" w:hAnsi="Times New Roman"/>
          <w:b/>
          <w:sz w:val="28"/>
          <w:szCs w:val="28"/>
          <w:lang w:eastAsia="bg-BG"/>
        </w:rPr>
        <w:t xml:space="preserve"> 13. Четири</w:t>
      </w:r>
      <w:r w:rsidRPr="006605D3">
        <w:rPr>
          <w:rFonts w:ascii="Times New Roman" w:eastAsia="Times New Roman" w:hAnsi="Times New Roman"/>
          <w:sz w:val="28"/>
          <w:szCs w:val="28"/>
          <w:lang w:eastAsia="bg-BG"/>
        </w:rPr>
        <w:t xml:space="preserve"> дела са върнати от съда за доразследване. Осъдените непълнолетни лица с влязла в сила осъдителна присъда са </w:t>
      </w:r>
      <w:r w:rsidRPr="006605D3">
        <w:rPr>
          <w:rFonts w:ascii="Times New Roman" w:eastAsia="Times New Roman" w:hAnsi="Times New Roman"/>
          <w:b/>
          <w:sz w:val="28"/>
          <w:szCs w:val="28"/>
          <w:lang w:eastAsia="bg-BG"/>
        </w:rPr>
        <w:t>67</w:t>
      </w:r>
      <w:r w:rsidRPr="006605D3">
        <w:rPr>
          <w:rFonts w:ascii="Times New Roman" w:eastAsia="Times New Roman" w:hAnsi="Times New Roman"/>
          <w:sz w:val="28"/>
          <w:szCs w:val="28"/>
          <w:lang w:eastAsia="bg-BG"/>
        </w:rPr>
        <w:t xml:space="preserve">. На </w:t>
      </w:r>
      <w:r w:rsidRPr="006605D3">
        <w:rPr>
          <w:rFonts w:ascii="Times New Roman" w:eastAsia="Times New Roman" w:hAnsi="Times New Roman"/>
          <w:b/>
          <w:sz w:val="28"/>
          <w:szCs w:val="28"/>
          <w:lang w:eastAsia="bg-BG"/>
        </w:rPr>
        <w:t>28</w:t>
      </w:r>
      <w:r w:rsidRPr="006605D3">
        <w:rPr>
          <w:rFonts w:ascii="Times New Roman" w:eastAsia="Times New Roman" w:hAnsi="Times New Roman"/>
          <w:sz w:val="28"/>
          <w:szCs w:val="28"/>
          <w:lang w:eastAsia="bg-BG"/>
        </w:rPr>
        <w:t xml:space="preserve"> лица е наложено наказание „лишаване от свобода“ с приложение на чл.69 и чл.66 от НК, </w:t>
      </w:r>
      <w:r w:rsidRPr="006605D3">
        <w:rPr>
          <w:rFonts w:ascii="Times New Roman" w:eastAsia="Times New Roman" w:hAnsi="Times New Roman"/>
          <w:b/>
          <w:sz w:val="28"/>
          <w:szCs w:val="28"/>
          <w:lang w:eastAsia="bg-BG"/>
        </w:rPr>
        <w:t xml:space="preserve">11 </w:t>
      </w:r>
      <w:r w:rsidRPr="006605D3">
        <w:rPr>
          <w:rFonts w:ascii="Times New Roman" w:eastAsia="Times New Roman" w:hAnsi="Times New Roman"/>
          <w:sz w:val="28"/>
          <w:szCs w:val="28"/>
          <w:lang w:eastAsia="bg-BG"/>
        </w:rPr>
        <w:t>са с</w:t>
      </w:r>
      <w:r w:rsidRPr="006605D3">
        <w:rPr>
          <w:rFonts w:ascii="Times New Roman" w:hAnsi="Times New Roman"/>
          <w:sz w:val="28"/>
          <w:szCs w:val="28"/>
        </w:rPr>
        <w:t xml:space="preserve"> </w:t>
      </w:r>
      <w:r w:rsidRPr="006605D3">
        <w:rPr>
          <w:rFonts w:ascii="Times New Roman" w:eastAsia="Times New Roman" w:hAnsi="Times New Roman"/>
          <w:sz w:val="28"/>
          <w:szCs w:val="28"/>
          <w:lang w:eastAsia="bg-BG"/>
        </w:rPr>
        <w:t xml:space="preserve">ефективно изтърпяване на наказание лишаване от свобода, а </w:t>
      </w:r>
      <w:r w:rsidRPr="006605D3">
        <w:rPr>
          <w:rFonts w:ascii="Times New Roman" w:eastAsia="Times New Roman" w:hAnsi="Times New Roman"/>
          <w:b/>
          <w:sz w:val="28"/>
          <w:szCs w:val="28"/>
          <w:lang w:eastAsia="bg-BG"/>
        </w:rPr>
        <w:t>32</w:t>
      </w:r>
      <w:r w:rsidRPr="006605D3">
        <w:rPr>
          <w:rFonts w:ascii="Times New Roman" w:hAnsi="Times New Roman"/>
          <w:sz w:val="28"/>
          <w:szCs w:val="28"/>
        </w:rPr>
        <w:t xml:space="preserve">  са с общественото порицание/налагане на възпитателна мярка и пробация.</w:t>
      </w:r>
      <w:r w:rsidRPr="006605D3">
        <w:rPr>
          <w:rFonts w:ascii="Times New Roman" w:eastAsia="Times New Roman" w:hAnsi="Times New Roman"/>
          <w:sz w:val="28"/>
          <w:szCs w:val="28"/>
          <w:lang w:eastAsia="bg-BG"/>
        </w:rPr>
        <w:t xml:space="preserve"> </w:t>
      </w:r>
      <w:r w:rsidRPr="006605D3">
        <w:rPr>
          <w:rFonts w:ascii="Times New Roman" w:eastAsia="Times New Roman" w:hAnsi="Times New Roman"/>
          <w:b/>
          <w:sz w:val="28"/>
          <w:szCs w:val="28"/>
          <w:lang w:eastAsia="bg-BG"/>
        </w:rPr>
        <w:t xml:space="preserve">Няма лица, </w:t>
      </w:r>
      <w:r w:rsidRPr="006605D3">
        <w:rPr>
          <w:rFonts w:ascii="Times New Roman" w:eastAsia="Times New Roman" w:hAnsi="Times New Roman"/>
          <w:sz w:val="28"/>
          <w:szCs w:val="28"/>
          <w:lang w:eastAsia="bg-BG"/>
        </w:rPr>
        <w:t>оправдани с влязъл в сила съдебен акт.</w:t>
      </w:r>
    </w:p>
    <w:p w:rsidR="006605D3" w:rsidRPr="006605D3" w:rsidRDefault="006605D3" w:rsidP="004D24A1">
      <w:pPr>
        <w:autoSpaceDN w:val="0"/>
        <w:spacing w:after="0"/>
        <w:ind w:firstLine="709"/>
        <w:jc w:val="both"/>
        <w:rPr>
          <w:rFonts w:ascii="Times New Roman" w:eastAsia="Times New Roman" w:hAnsi="Times New Roman"/>
          <w:sz w:val="28"/>
          <w:szCs w:val="28"/>
          <w:u w:val="single"/>
          <w:lang w:eastAsia="bg-BG"/>
        </w:rPr>
      </w:pPr>
    </w:p>
    <w:p w:rsidR="006605D3" w:rsidRPr="006605D3" w:rsidRDefault="006605D3" w:rsidP="004D24A1">
      <w:pPr>
        <w:autoSpaceDN w:val="0"/>
        <w:spacing w:after="0"/>
        <w:ind w:firstLine="709"/>
        <w:jc w:val="both"/>
        <w:rPr>
          <w:rFonts w:ascii="Times New Roman" w:eastAsia="Times New Roman" w:hAnsi="Times New Roman"/>
          <w:b/>
          <w:sz w:val="28"/>
          <w:szCs w:val="28"/>
          <w:u w:val="single"/>
          <w:lang w:eastAsia="bg-BG"/>
        </w:rPr>
      </w:pPr>
      <w:r w:rsidRPr="006605D3">
        <w:rPr>
          <w:rFonts w:ascii="Times New Roman" w:eastAsia="Times New Roman" w:hAnsi="Times New Roman"/>
          <w:b/>
          <w:sz w:val="28"/>
          <w:szCs w:val="28"/>
          <w:u w:val="single"/>
          <w:lang w:eastAsia="bg-BG"/>
        </w:rPr>
        <w:t xml:space="preserve">Обобщени изводи, мерки и предложения </w:t>
      </w:r>
    </w:p>
    <w:p w:rsidR="006605D3" w:rsidRPr="006605D3" w:rsidRDefault="006605D3" w:rsidP="004D24A1">
      <w:pPr>
        <w:autoSpaceDN w:val="0"/>
        <w:spacing w:after="0"/>
        <w:ind w:firstLine="709"/>
        <w:jc w:val="both"/>
        <w:rPr>
          <w:rFonts w:ascii="Times New Roman" w:eastAsia="Times New Roman" w:hAnsi="Times New Roman"/>
          <w:b/>
          <w:color w:val="000000"/>
          <w:sz w:val="28"/>
          <w:szCs w:val="28"/>
          <w:lang w:eastAsia="bg-BG"/>
        </w:rPr>
      </w:pPr>
      <w:r w:rsidRPr="006605D3">
        <w:rPr>
          <w:rFonts w:ascii="Times New Roman" w:eastAsia="Times New Roman" w:hAnsi="Times New Roman"/>
          <w:color w:val="000000"/>
          <w:sz w:val="28"/>
          <w:szCs w:val="28"/>
          <w:lang w:eastAsia="bg-BG"/>
        </w:rPr>
        <w:t>Основните фактори, които обуславят престъпността сред непълнолетните, остават непроменени и през 2021г.:  силно ограничени социално-икономически  възможности;  утежнено  семейно  и материално  положение;</w:t>
      </w:r>
      <w:r w:rsidRPr="006605D3">
        <w:rPr>
          <w:rFonts w:ascii="Times New Roman" w:eastAsia="Times New Roman" w:hAnsi="Times New Roman"/>
          <w:b/>
          <w:color w:val="000000"/>
          <w:sz w:val="28"/>
          <w:szCs w:val="28"/>
          <w:lang w:eastAsia="bg-BG"/>
        </w:rPr>
        <w:t xml:space="preserve">  </w:t>
      </w:r>
      <w:r w:rsidRPr="006605D3">
        <w:rPr>
          <w:rFonts w:ascii="Times New Roman" w:eastAsia="Times New Roman" w:hAnsi="Times New Roman"/>
          <w:color w:val="000000"/>
          <w:sz w:val="28"/>
          <w:szCs w:val="28"/>
          <w:lang w:eastAsia="bg-BG"/>
        </w:rPr>
        <w:t>недостиг на  родителски  контрол;  недостатъчна заинтересованост към училищна или трудова дейност</w:t>
      </w:r>
      <w:r w:rsidRPr="006605D3">
        <w:rPr>
          <w:rFonts w:ascii="Times New Roman" w:eastAsia="Times New Roman" w:hAnsi="Times New Roman"/>
          <w:b/>
          <w:color w:val="000000"/>
          <w:sz w:val="28"/>
          <w:szCs w:val="28"/>
          <w:lang w:eastAsia="bg-BG"/>
        </w:rPr>
        <w:t xml:space="preserve">;  </w:t>
      </w:r>
      <w:r w:rsidRPr="006605D3">
        <w:rPr>
          <w:rFonts w:ascii="Times New Roman" w:eastAsia="Times New Roman" w:hAnsi="Times New Roman"/>
          <w:color w:val="000000"/>
          <w:sz w:val="28"/>
          <w:szCs w:val="28"/>
          <w:lang w:eastAsia="bg-BG"/>
        </w:rPr>
        <w:t>злоупотреба  с  алкохол  и  наркотици.  Т.  нар.  „детска</w:t>
      </w:r>
      <w:r w:rsidRPr="006605D3">
        <w:rPr>
          <w:color w:val="000000"/>
        </w:rPr>
        <w:t xml:space="preserve"> </w:t>
      </w:r>
      <w:r w:rsidRPr="006605D3">
        <w:rPr>
          <w:rFonts w:ascii="Times New Roman" w:eastAsia="Times New Roman" w:hAnsi="Times New Roman"/>
          <w:color w:val="000000"/>
          <w:sz w:val="28"/>
          <w:szCs w:val="28"/>
          <w:lang w:eastAsia="bg-BG"/>
        </w:rPr>
        <w:t>престъпност“</w:t>
      </w:r>
      <w:r w:rsidRPr="006605D3">
        <w:rPr>
          <w:rFonts w:ascii="Times New Roman" w:eastAsia="Times New Roman" w:hAnsi="Times New Roman"/>
          <w:b/>
          <w:color w:val="000000"/>
          <w:sz w:val="28"/>
          <w:szCs w:val="28"/>
          <w:lang w:eastAsia="bg-BG"/>
        </w:rPr>
        <w:t xml:space="preserve"> </w:t>
      </w:r>
      <w:r w:rsidRPr="006605D3">
        <w:rPr>
          <w:rFonts w:ascii="Times New Roman" w:eastAsia="Times New Roman" w:hAnsi="Times New Roman"/>
          <w:color w:val="000000"/>
          <w:sz w:val="28"/>
          <w:szCs w:val="28"/>
          <w:lang w:eastAsia="bg-BG"/>
        </w:rPr>
        <w:t xml:space="preserve"> е в резултат на това, че без образователен ценз са силно ограничени възможностите за реализация пазара на труда, а употребата на алкохол и опиати водят до занижаване на ценностите, попадане в криминогенна среда, отслабване на </w:t>
      </w:r>
      <w:r w:rsidRPr="006605D3">
        <w:rPr>
          <w:rFonts w:ascii="Times New Roman" w:eastAsia="Times New Roman" w:hAnsi="Times New Roman"/>
          <w:color w:val="000000"/>
          <w:sz w:val="28"/>
          <w:szCs w:val="28"/>
          <w:lang w:eastAsia="bg-BG"/>
        </w:rPr>
        <w:lastRenderedPageBreak/>
        <w:t>вътрешните задръжки относно спазване на обществените порядки и спазване на закона.</w:t>
      </w:r>
      <w:r w:rsidRPr="006605D3">
        <w:rPr>
          <w:rFonts w:ascii="Times New Roman" w:eastAsia="Times New Roman" w:hAnsi="Times New Roman"/>
          <w:b/>
          <w:color w:val="000000"/>
          <w:sz w:val="28"/>
          <w:szCs w:val="28"/>
          <w:lang w:eastAsia="bg-BG"/>
        </w:rPr>
        <w:t xml:space="preserve"> </w:t>
      </w:r>
    </w:p>
    <w:p w:rsidR="006605D3" w:rsidRPr="006605D3" w:rsidRDefault="006605D3" w:rsidP="004D24A1">
      <w:pPr>
        <w:autoSpaceDN w:val="0"/>
        <w:spacing w:after="0"/>
        <w:ind w:firstLine="709"/>
        <w:jc w:val="both"/>
        <w:rPr>
          <w:rFonts w:ascii="Times New Roman" w:eastAsia="Times New Roman" w:hAnsi="Times New Roman"/>
          <w:color w:val="000000"/>
          <w:sz w:val="28"/>
          <w:szCs w:val="28"/>
          <w:lang w:eastAsia="bg-BG"/>
        </w:rPr>
      </w:pPr>
      <w:r w:rsidRPr="006605D3">
        <w:rPr>
          <w:rFonts w:ascii="Times New Roman" w:eastAsia="Times New Roman" w:hAnsi="Times New Roman"/>
          <w:color w:val="000000"/>
          <w:sz w:val="28"/>
          <w:szCs w:val="28"/>
          <w:lang w:eastAsia="bg-BG"/>
        </w:rPr>
        <w:t xml:space="preserve">При образуваните преписки и дела, водени срещу непълнолетни, не се отчитат сложност и затруднения. За успешното и срочното им приключване, както и за промяна в поведението на непълнолетни, израстващи в нестабилна среда, от ключово значение е наличието на добро взаимодействие между разследващи полицаи и наблюдаващи прокурори, както и </w:t>
      </w:r>
      <w:r w:rsidRPr="006605D3">
        <w:rPr>
          <w:rFonts w:ascii="Times New Roman" w:hAnsi="Times New Roman"/>
          <w:color w:val="000000"/>
          <w:sz w:val="28"/>
          <w:szCs w:val="28"/>
        </w:rPr>
        <w:t>с местните комисии за борба с противообществените прояви на малолетни и непълнолетни и с инспекторите при детските педагогически стаи.</w:t>
      </w:r>
      <w:r w:rsidRPr="006605D3">
        <w:rPr>
          <w:rFonts w:ascii="Times New Roman" w:eastAsia="Times New Roman" w:hAnsi="Times New Roman"/>
          <w:color w:val="000000"/>
          <w:sz w:val="28"/>
          <w:szCs w:val="28"/>
          <w:lang w:eastAsia="bg-BG"/>
        </w:rPr>
        <w:t xml:space="preserve"> </w:t>
      </w:r>
    </w:p>
    <w:p w:rsidR="006605D3" w:rsidRPr="006605D3" w:rsidRDefault="006605D3" w:rsidP="004D24A1">
      <w:pPr>
        <w:autoSpaceDN w:val="0"/>
        <w:spacing w:after="0"/>
        <w:ind w:firstLine="709"/>
        <w:jc w:val="both"/>
        <w:rPr>
          <w:rFonts w:ascii="Times New Roman" w:eastAsia="Times New Roman" w:hAnsi="Times New Roman"/>
          <w:color w:val="000000"/>
          <w:sz w:val="28"/>
          <w:szCs w:val="28"/>
          <w:lang w:eastAsia="bg-BG"/>
        </w:rPr>
      </w:pPr>
      <w:r w:rsidRPr="006605D3">
        <w:rPr>
          <w:rFonts w:ascii="Times New Roman" w:eastAsia="Times New Roman" w:hAnsi="Times New Roman"/>
          <w:color w:val="000000"/>
          <w:sz w:val="28"/>
          <w:szCs w:val="28"/>
          <w:lang w:eastAsia="bg-BG"/>
        </w:rPr>
        <w:t xml:space="preserve">Специфичен белег на делата за престъпления, извършени от непълнолетни е субектът на престъпленията. Поради това проверките и разследванията следва да се извършват във възможно най- кратък срок. Бързината при постановяване на прокурорското решение, обезпечава своевременна реакция на държавата, независимо дали тя се изразява в отказ от наказателно преследване, възпитателна мярка по ЗБППНП или като крайна мярка – наказание по НК. </w:t>
      </w:r>
    </w:p>
    <w:p w:rsidR="006605D3" w:rsidRPr="006605D3" w:rsidRDefault="006605D3" w:rsidP="004D24A1">
      <w:pPr>
        <w:autoSpaceDN w:val="0"/>
        <w:spacing w:after="0"/>
        <w:ind w:firstLine="709"/>
        <w:jc w:val="both"/>
        <w:rPr>
          <w:rFonts w:ascii="Times New Roman" w:eastAsia="Times New Roman" w:hAnsi="Times New Roman"/>
          <w:b/>
          <w:color w:val="000000"/>
          <w:sz w:val="28"/>
          <w:szCs w:val="28"/>
          <w:lang w:eastAsia="bg-BG"/>
        </w:rPr>
      </w:pPr>
      <w:r w:rsidRPr="006605D3">
        <w:rPr>
          <w:rFonts w:ascii="Times New Roman" w:eastAsia="Times New Roman" w:hAnsi="Times New Roman"/>
          <w:color w:val="000000"/>
          <w:sz w:val="28"/>
          <w:szCs w:val="28"/>
          <w:lang w:eastAsia="bg-BG"/>
        </w:rPr>
        <w:t>Непълнолетните   и   малолетни   извършители на противообществени прояви са предимно деца, отпаднали от образователната система или въобще не са посещавали училище и често под влияние на пълнолетни лица със съмнителен морален и житейски мироглед.</w:t>
      </w:r>
      <w:r w:rsidRPr="006605D3">
        <w:rPr>
          <w:rFonts w:ascii="Times New Roman" w:eastAsia="Times New Roman" w:hAnsi="Times New Roman"/>
          <w:b/>
          <w:color w:val="000000"/>
          <w:sz w:val="28"/>
          <w:szCs w:val="28"/>
          <w:lang w:eastAsia="bg-BG"/>
        </w:rPr>
        <w:t xml:space="preserve"> </w:t>
      </w:r>
    </w:p>
    <w:p w:rsidR="00D51EB6" w:rsidRPr="006605D3" w:rsidRDefault="006605D3" w:rsidP="004D24A1">
      <w:pPr>
        <w:autoSpaceDN w:val="0"/>
        <w:spacing w:after="0"/>
        <w:ind w:firstLine="709"/>
        <w:jc w:val="both"/>
        <w:rPr>
          <w:rFonts w:ascii="Times New Roman" w:eastAsia="Times New Roman" w:hAnsi="Times New Roman"/>
          <w:color w:val="000000"/>
          <w:sz w:val="28"/>
          <w:szCs w:val="28"/>
          <w:lang w:eastAsia="bg-BG"/>
        </w:rPr>
      </w:pPr>
      <w:r w:rsidRPr="006605D3">
        <w:rPr>
          <w:rFonts w:ascii="Times New Roman" w:eastAsia="Times New Roman" w:hAnsi="Times New Roman"/>
          <w:color w:val="000000"/>
          <w:sz w:val="28"/>
          <w:szCs w:val="28"/>
          <w:lang w:eastAsia="bg-BG"/>
        </w:rPr>
        <w:t>За да се сведе до минимум  престъпността сред непълнолетните  следва на фокус да се постави тяхната училищна, социална и трудова ангажираност, както и усилване на родителския контрол, съчетан с изграждане на положителни навици у подрастващите. Предприемането на конкретни превантивни мерки е от компетентността на всички институции в държавата, на семейството, на неправителствените организации. Сътрудничеството между тях имат решаващо значение за изграждането на обществено полезна ценностна система. Наказателното преследване и осъждането на непълнолетните би следвало да е приложимата крайна мярка, когато превенцията не е дала положителен резултат.</w:t>
      </w:r>
    </w:p>
    <w:p w:rsidR="006605D3" w:rsidRPr="00D51EB6" w:rsidRDefault="006605D3" w:rsidP="004D24A1">
      <w:pPr>
        <w:spacing w:after="0"/>
        <w:ind w:firstLine="708"/>
        <w:jc w:val="both"/>
        <w:rPr>
          <w:rFonts w:ascii="Times New Roman" w:hAnsi="Times New Roman"/>
          <w:sz w:val="28"/>
          <w:szCs w:val="28"/>
        </w:rPr>
      </w:pPr>
    </w:p>
    <w:p w:rsidR="0060601E" w:rsidRPr="00B364A7" w:rsidRDefault="0060601E" w:rsidP="004D24A1">
      <w:pPr>
        <w:autoSpaceDE w:val="0"/>
        <w:autoSpaceDN w:val="0"/>
        <w:adjustRightInd w:val="0"/>
        <w:spacing w:after="0"/>
        <w:ind w:firstLine="708"/>
        <w:jc w:val="both"/>
        <w:rPr>
          <w:rFonts w:ascii="Times New Roman" w:eastAsia="Times New Roman" w:hAnsi="Times New Roman"/>
          <w:b/>
          <w:sz w:val="28"/>
          <w:szCs w:val="28"/>
          <w:lang w:eastAsia="bg-BG"/>
        </w:rPr>
      </w:pPr>
      <w:r w:rsidRPr="00B364A7">
        <w:rPr>
          <w:rFonts w:ascii="Times New Roman" w:eastAsia="Times New Roman" w:hAnsi="Times New Roman"/>
          <w:b/>
          <w:sz w:val="28"/>
          <w:szCs w:val="28"/>
          <w:lang w:eastAsia="bg-BG"/>
        </w:rPr>
        <w:t>ІV. МЕЖДУНАРОДНО-ПРАВНО СЪТРУДНИЧЕСТВО</w:t>
      </w:r>
    </w:p>
    <w:p w:rsidR="0060601E" w:rsidRPr="00B364A7" w:rsidRDefault="0060601E" w:rsidP="004D24A1">
      <w:pPr>
        <w:spacing w:after="0"/>
        <w:rPr>
          <w:rFonts w:ascii="Times New Roman" w:eastAsia="Times New Roman" w:hAnsi="Times New Roman"/>
          <w:sz w:val="28"/>
          <w:szCs w:val="28"/>
          <w:lang w:eastAsia="bg-BG"/>
        </w:rPr>
      </w:pPr>
    </w:p>
    <w:p w:rsidR="0060601E" w:rsidRPr="00B364A7" w:rsidRDefault="0060601E" w:rsidP="004D24A1">
      <w:pPr>
        <w:spacing w:after="0"/>
        <w:ind w:firstLine="708"/>
        <w:rPr>
          <w:rFonts w:ascii="Times New Roman" w:eastAsia="Times New Roman" w:hAnsi="Times New Roman"/>
          <w:b/>
          <w:bCs/>
          <w:sz w:val="28"/>
          <w:szCs w:val="28"/>
          <w:lang w:eastAsia="bg-BG"/>
        </w:rPr>
      </w:pPr>
      <w:r w:rsidRPr="00B364A7">
        <w:rPr>
          <w:rFonts w:ascii="Times New Roman" w:eastAsia="Times New Roman" w:hAnsi="Times New Roman"/>
          <w:b/>
          <w:bCs/>
          <w:sz w:val="28"/>
          <w:szCs w:val="28"/>
          <w:lang w:eastAsia="bg-BG"/>
        </w:rPr>
        <w:t>1. Международна правна помощ по наказателни дела</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Данните за наблюдавания период от 01.01.2021 г. до 31.12.2021 г. показват, че преписките с международен елемент, в които са ангажирани прокурорите от Софийска градска прокуратура и Софийска районна </w:t>
      </w:r>
      <w:r w:rsidRPr="00B364A7">
        <w:rPr>
          <w:rFonts w:ascii="Times New Roman" w:eastAsia="Times New Roman" w:hAnsi="Times New Roman"/>
          <w:sz w:val="28"/>
          <w:szCs w:val="28"/>
          <w:lang w:eastAsia="bg-BG"/>
        </w:rPr>
        <w:lastRenderedPageBreak/>
        <w:t>прокуратура, са били общо 1429 броя, през 2020г. тези преписки са били 974 броя, а за сравнение за 2019 г. са били общо 1107 броя.</w:t>
      </w:r>
    </w:p>
    <w:p w:rsidR="0060601E" w:rsidRPr="00B364A7" w:rsidRDefault="0060601E"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Тук влиза изготвяне и изпълнение на молби за правна помощ, Европейските заповеди за разследване, Европейски заповеди за арест, преписки по екстрадиции, трансферни производства и участия на прокурори в заседания по признаване и изпълнение на чуждестранни присъди. </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При сравнение между данните за 2021 г. с предходните две години се наблюдава увеличение на броя преписки с международен елемент съответно 455 броя спрямо 2020 г. или 46,71 %, и с 322 броя или 29,09 % в сравнение със същия период на 2019 г. </w:t>
      </w:r>
    </w:p>
    <w:p w:rsidR="0060601E" w:rsidRPr="00B364A7" w:rsidRDefault="0060601E"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През 2021 г. в СГП са били на производство 946 броя преписки с международен елемент, а през 2020г. 700 броя преписки, за сравнение през 2019 г. техният брой е бил 880</w:t>
      </w:r>
      <w:r w:rsidRPr="00B364A7">
        <w:t xml:space="preserve"> </w:t>
      </w:r>
      <w:r w:rsidRPr="00B364A7">
        <w:rPr>
          <w:rFonts w:ascii="Times New Roman" w:eastAsia="Times New Roman" w:hAnsi="Times New Roman"/>
          <w:sz w:val="28"/>
          <w:szCs w:val="28"/>
          <w:lang w:eastAsia="bg-BG"/>
        </w:rPr>
        <w:t xml:space="preserve">броя. </w:t>
      </w:r>
    </w:p>
    <w:p w:rsidR="0060601E" w:rsidRPr="00B364A7" w:rsidRDefault="0060601E"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В СРП за 2021 г. са били образувани 483 броя преписки, а през 2020г. техният брой е 274 броя преписки с международен елемент, за сравнение през 2019 г. са били 227 броя. </w:t>
      </w:r>
    </w:p>
    <w:p w:rsidR="0060601E" w:rsidRPr="00337B46" w:rsidRDefault="003515B0" w:rsidP="004D24A1">
      <w:pPr>
        <w:spacing w:after="0"/>
        <w:ind w:firstLine="567"/>
        <w:jc w:val="both"/>
        <w:rPr>
          <w:rFonts w:ascii="Times New Roman" w:eastAsia="Times New Roman" w:hAnsi="Times New Roman"/>
          <w:noProof/>
          <w:sz w:val="28"/>
          <w:szCs w:val="28"/>
        </w:rPr>
      </w:pPr>
      <w:r w:rsidRPr="00241A27">
        <w:rPr>
          <w:noProof/>
          <w:lang w:eastAsia="bg-BG"/>
        </w:rPr>
        <w:drawing>
          <wp:inline distT="0" distB="0" distL="0" distR="0" wp14:anchorId="7B811B59" wp14:editId="33EA2916">
            <wp:extent cx="5279390" cy="2361565"/>
            <wp:effectExtent l="0" t="0" r="0" b="0"/>
            <wp:docPr id="34" name="Об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601E" w:rsidRPr="00B364A7" w:rsidRDefault="0060601E" w:rsidP="004D24A1">
      <w:pPr>
        <w:spacing w:after="0"/>
        <w:jc w:val="both"/>
        <w:rPr>
          <w:rFonts w:ascii="Times New Roman" w:eastAsia="Times New Roman" w:hAnsi="Times New Roman"/>
          <w:b/>
          <w:sz w:val="20"/>
          <w:szCs w:val="20"/>
          <w:lang w:eastAsia="bg-BG"/>
        </w:rPr>
      </w:pPr>
      <w:r w:rsidRPr="00B364A7">
        <w:rPr>
          <w:rFonts w:ascii="Times New Roman" w:eastAsia="Times New Roman" w:hAnsi="Times New Roman"/>
          <w:b/>
          <w:sz w:val="20"/>
          <w:szCs w:val="20"/>
          <w:lang w:eastAsia="bg-BG"/>
        </w:rPr>
        <w:t xml:space="preserve">   Фиг.1 Състояние на броя преписки с международен елемент за периода 2019г. - 2021г.</w:t>
      </w:r>
    </w:p>
    <w:p w:rsidR="0060601E" w:rsidRPr="00B364A7" w:rsidRDefault="0060601E" w:rsidP="004D24A1">
      <w:pPr>
        <w:spacing w:after="0"/>
        <w:jc w:val="both"/>
        <w:rPr>
          <w:rFonts w:ascii="Times New Roman" w:eastAsia="Times New Roman" w:hAnsi="Times New Roman"/>
          <w:sz w:val="28"/>
          <w:szCs w:val="28"/>
          <w:lang w:eastAsia="bg-BG"/>
        </w:rPr>
      </w:pP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Данните от сравнителния тригодишен период на 2019г.-2021г. показват, че броят на обработените преписки с международен елемент в СГП през 2021г. са се увеличили с 246 броя в сравнение с 2020 г. или увеличението е с 25,14%, а спрямо 2019г. увеличението е с 66 броя или 7,5%. </w:t>
      </w:r>
    </w:p>
    <w:p w:rsidR="0060601E" w:rsidRPr="00B364A7" w:rsidRDefault="0060601E"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За СРП сравнителните данни за 2021 г. показват, че се наблюдава увеличение на броя на преписките с международен елемент в сравнение с 2020г. с 209 броя или с 76,28%, а спрямо 2019 г. общото количество е увеличено с 256 броя или с 112,78 %. </w:t>
      </w:r>
    </w:p>
    <w:p w:rsidR="0060601E"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 </w:t>
      </w:r>
    </w:p>
    <w:p w:rsidR="001C1882" w:rsidRDefault="001C1882" w:rsidP="004D24A1">
      <w:pPr>
        <w:spacing w:after="0"/>
        <w:jc w:val="both"/>
        <w:rPr>
          <w:rFonts w:ascii="Times New Roman" w:eastAsia="Times New Roman" w:hAnsi="Times New Roman"/>
          <w:sz w:val="28"/>
          <w:szCs w:val="28"/>
          <w:lang w:eastAsia="bg-BG"/>
        </w:rPr>
      </w:pPr>
    </w:p>
    <w:p w:rsidR="001C1882" w:rsidRPr="00B364A7" w:rsidRDefault="001C1882" w:rsidP="004D24A1">
      <w:pPr>
        <w:spacing w:after="0"/>
        <w:jc w:val="both"/>
        <w:rPr>
          <w:rFonts w:ascii="Times New Roman" w:eastAsia="Times New Roman" w:hAnsi="Times New Roman"/>
          <w:sz w:val="28"/>
          <w:szCs w:val="28"/>
          <w:lang w:val="en-US" w:eastAsia="bg-BG"/>
        </w:rPr>
      </w:pPr>
    </w:p>
    <w:p w:rsidR="0060601E" w:rsidRPr="008478F6" w:rsidRDefault="0060601E" w:rsidP="004D24A1">
      <w:pPr>
        <w:spacing w:after="0"/>
        <w:ind w:firstLine="708"/>
        <w:jc w:val="both"/>
        <w:rPr>
          <w:rFonts w:ascii="Times New Roman" w:eastAsia="Times New Roman" w:hAnsi="Times New Roman"/>
          <w:b/>
          <w:sz w:val="28"/>
          <w:szCs w:val="28"/>
          <w:lang w:eastAsia="bg-BG"/>
        </w:rPr>
      </w:pPr>
      <w:r w:rsidRPr="008478F6">
        <w:rPr>
          <w:rFonts w:ascii="Times New Roman" w:eastAsia="Times New Roman" w:hAnsi="Times New Roman"/>
          <w:b/>
          <w:sz w:val="28"/>
          <w:szCs w:val="28"/>
          <w:lang w:eastAsia="bg-BG"/>
        </w:rPr>
        <w:lastRenderedPageBreak/>
        <w:t>Молби за правна помощ</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В анализирания период на 2021 г. двете прокуратури - СГП и СРП, общо са работили по 187 броя молби за правна помощ, като в това число влизат 142 броя входящи и 45 броя изходящи молби. През същият период на 2020г. двете прокуратура са работили по 210 броя молби за правна помощ, като в това число влизат 173 броя входящи и 37 броя изходящи молби, като за сравнение за предходния отчетен период - 2019г., общият брой молби е бил 335, в това число влизат 252 броя входящи и 83 броя изходящи молби за правна помощ. </w:t>
      </w:r>
    </w:p>
    <w:p w:rsidR="0060601E" w:rsidRPr="00337B46" w:rsidRDefault="003515B0" w:rsidP="004D24A1">
      <w:pPr>
        <w:spacing w:after="0"/>
        <w:jc w:val="both"/>
        <w:rPr>
          <w:rFonts w:ascii="Times New Roman" w:eastAsia="Times New Roman" w:hAnsi="Times New Roman"/>
          <w:b/>
          <w:sz w:val="20"/>
          <w:szCs w:val="20"/>
          <w:lang w:val="ru-RU" w:eastAsia="bg-BG"/>
        </w:rPr>
      </w:pPr>
      <w:r w:rsidRPr="004B20C5">
        <w:rPr>
          <w:rFonts w:ascii="Times New Roman" w:hAnsi="Times New Roman"/>
          <w:noProof/>
          <w:color w:val="FF0000"/>
          <w:sz w:val="28"/>
          <w:szCs w:val="28"/>
          <w:lang w:eastAsia="bg-BG"/>
        </w:rPr>
        <w:drawing>
          <wp:inline distT="0" distB="0" distL="0" distR="0" wp14:anchorId="230323BD" wp14:editId="5F0C6131">
            <wp:extent cx="5558155" cy="2035810"/>
            <wp:effectExtent l="0" t="0" r="0" b="0"/>
            <wp:docPr id="35" name="Об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601E" w:rsidRPr="00B364A7" w:rsidRDefault="0060601E" w:rsidP="004D24A1">
      <w:pPr>
        <w:spacing w:after="0"/>
        <w:jc w:val="both"/>
        <w:rPr>
          <w:rFonts w:ascii="Times New Roman" w:eastAsia="Times New Roman" w:hAnsi="Times New Roman"/>
          <w:b/>
          <w:sz w:val="20"/>
          <w:szCs w:val="20"/>
          <w:lang w:eastAsia="bg-BG"/>
        </w:rPr>
      </w:pPr>
      <w:r w:rsidRPr="00B364A7">
        <w:rPr>
          <w:rFonts w:ascii="Times New Roman" w:eastAsia="Times New Roman" w:hAnsi="Times New Roman"/>
          <w:b/>
          <w:sz w:val="20"/>
          <w:szCs w:val="20"/>
          <w:lang w:val="en-US" w:eastAsia="bg-BG"/>
        </w:rPr>
        <w:t xml:space="preserve">     </w:t>
      </w:r>
      <w:r w:rsidRPr="00B364A7">
        <w:rPr>
          <w:rFonts w:ascii="Times New Roman" w:eastAsia="Times New Roman" w:hAnsi="Times New Roman"/>
          <w:b/>
          <w:sz w:val="20"/>
          <w:szCs w:val="20"/>
          <w:lang w:eastAsia="bg-BG"/>
        </w:rPr>
        <w:t xml:space="preserve">  </w:t>
      </w:r>
      <w:r w:rsidRPr="00B364A7">
        <w:rPr>
          <w:rFonts w:ascii="Times New Roman" w:eastAsia="Times New Roman" w:hAnsi="Times New Roman"/>
          <w:b/>
          <w:sz w:val="20"/>
          <w:szCs w:val="20"/>
          <w:lang w:val="en-US" w:eastAsia="bg-BG"/>
        </w:rPr>
        <w:t xml:space="preserve">      </w:t>
      </w:r>
      <w:r w:rsidRPr="00B364A7">
        <w:rPr>
          <w:rFonts w:ascii="Times New Roman" w:eastAsia="Times New Roman" w:hAnsi="Times New Roman"/>
          <w:b/>
          <w:sz w:val="20"/>
          <w:szCs w:val="20"/>
          <w:lang w:val="ru-RU" w:eastAsia="bg-BG"/>
        </w:rPr>
        <w:t xml:space="preserve">Фиг. 2 Състояние на преписките по молби за правна помощ за периода </w:t>
      </w:r>
      <w:r w:rsidRPr="00B364A7">
        <w:rPr>
          <w:rFonts w:ascii="Times New Roman" w:eastAsia="Times New Roman" w:hAnsi="Times New Roman"/>
          <w:b/>
          <w:sz w:val="20"/>
          <w:szCs w:val="20"/>
          <w:lang w:val="en-US" w:eastAsia="bg-BG"/>
        </w:rPr>
        <w:t>201</w:t>
      </w:r>
      <w:r w:rsidRPr="00B364A7">
        <w:rPr>
          <w:rFonts w:ascii="Times New Roman" w:eastAsia="Times New Roman" w:hAnsi="Times New Roman"/>
          <w:b/>
          <w:sz w:val="20"/>
          <w:szCs w:val="20"/>
          <w:lang w:eastAsia="bg-BG"/>
        </w:rPr>
        <w:t>9г. – 2021г.</w:t>
      </w:r>
    </w:p>
    <w:p w:rsidR="0060601E" w:rsidRPr="00B364A7" w:rsidRDefault="0060601E" w:rsidP="004D24A1">
      <w:pPr>
        <w:spacing w:after="0"/>
        <w:jc w:val="both"/>
        <w:rPr>
          <w:rFonts w:ascii="Times New Roman" w:eastAsia="Times New Roman" w:hAnsi="Times New Roman"/>
          <w:sz w:val="28"/>
          <w:szCs w:val="28"/>
          <w:lang w:val="ru-RU" w:eastAsia="bg-BG"/>
        </w:rPr>
      </w:pP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Анализът на данните за тригодишния период показва, че входящите и изходящи молби за правна помощ по които са работили прокурорите от СГП и СРП е намалял. През 2021г. в СГП са постъпили 118 броя входящи молби за правна помощ, а в СРП 24 входящи молби, при изходящите молби в СГП са отправени 16 броя малби за правна помощ, а от страна на СРП са отправени 29 молби. За същия период на 2020г. входящите молби постъпили в СГП са били 156 броя, а в СРП са били 17 броя, изходящите молби инициирани от СГП са били 19 броя, а от страна на прокурорите на СРП са били инициирани 18 броя. За сревнение през 2019г. входящите молби за правна помощ са били 231 в СГП, а в СРП са били 21 броя. Инициираните изходящи молби за правна помощ от страна на СГП през 2019г. са били 39 броя, а от страна на прокурорите на СРП са били 44 броя. </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Общо броя на входящите мобли през 2021г. за двете прокуратури в сравнение със същия период на 2020г. е намалял с 31 броя или със 17,92%, а спрямо 2019г. намалението е с 110 броя или с 43,65%.  </w:t>
      </w:r>
    </w:p>
    <w:p w:rsidR="0060601E" w:rsidRPr="00B364A7" w:rsidRDefault="0060601E" w:rsidP="004D24A1">
      <w:pPr>
        <w:spacing w:after="0"/>
        <w:ind w:firstLine="708"/>
        <w:jc w:val="both"/>
        <w:rPr>
          <w:rFonts w:ascii="Times New Roman" w:eastAsia="Times New Roman" w:hAnsi="Times New Roman"/>
          <w:b/>
          <w:sz w:val="20"/>
          <w:szCs w:val="20"/>
          <w:lang w:val="ru-RU" w:eastAsia="bg-BG"/>
        </w:rPr>
      </w:pPr>
      <w:r w:rsidRPr="00B364A7">
        <w:rPr>
          <w:rFonts w:ascii="Times New Roman" w:eastAsia="Times New Roman" w:hAnsi="Times New Roman"/>
          <w:sz w:val="28"/>
          <w:szCs w:val="28"/>
          <w:lang w:val="ru-RU" w:eastAsia="bg-BG"/>
        </w:rPr>
        <w:t>Изходящите молби през 2021г. за двете прокуратури в сравнение със същия период на 2020г. се е увеличил с 8 броя или със 21,62%, а спрямо 2019г. намалението е с 38 броя или с 45,78%.</w:t>
      </w:r>
    </w:p>
    <w:p w:rsidR="0060601E" w:rsidRPr="00B364A7" w:rsidRDefault="0060601E" w:rsidP="004D24A1">
      <w:pPr>
        <w:spacing w:after="0"/>
        <w:jc w:val="both"/>
        <w:rPr>
          <w:rFonts w:ascii="Times New Roman" w:eastAsia="Times New Roman" w:hAnsi="Times New Roman"/>
          <w:sz w:val="28"/>
          <w:szCs w:val="28"/>
          <w:lang w:val="ru-RU" w:eastAsia="bg-BG"/>
        </w:rPr>
      </w:pPr>
    </w:p>
    <w:p w:rsidR="0060601E" w:rsidRPr="00B364A7" w:rsidRDefault="0060601E" w:rsidP="004D24A1">
      <w:pPr>
        <w:spacing w:after="0"/>
        <w:jc w:val="both"/>
        <w:rPr>
          <w:rFonts w:ascii="Times New Roman" w:eastAsia="Times New Roman" w:hAnsi="Times New Roman"/>
          <w:b/>
          <w:sz w:val="28"/>
          <w:szCs w:val="28"/>
          <w:lang w:val="ru-RU" w:eastAsia="bg-BG"/>
        </w:rPr>
      </w:pPr>
      <w:r w:rsidRPr="00B364A7">
        <w:rPr>
          <w:rFonts w:ascii="Times New Roman" w:eastAsia="Times New Roman" w:hAnsi="Times New Roman"/>
          <w:b/>
          <w:sz w:val="28"/>
          <w:szCs w:val="28"/>
          <w:lang w:val="ru-RU" w:eastAsia="bg-BG"/>
        </w:rPr>
        <w:lastRenderedPageBreak/>
        <w:tab/>
        <w:t>Европейска заповед за разследване</w:t>
      </w:r>
    </w:p>
    <w:p w:rsidR="0060601E" w:rsidRPr="00B364A7" w:rsidRDefault="0060601E" w:rsidP="004D24A1">
      <w:pPr>
        <w:widowControl w:val="0"/>
        <w:autoSpaceDE w:val="0"/>
        <w:autoSpaceDN w:val="0"/>
        <w:adjustRightInd w:val="0"/>
        <w:spacing w:after="0"/>
        <w:ind w:firstLine="708"/>
        <w:jc w:val="both"/>
        <w:rPr>
          <w:rFonts w:ascii="Times New Roman" w:hAnsi="Times New Roman"/>
          <w:bCs/>
          <w:sz w:val="28"/>
          <w:szCs w:val="28"/>
        </w:rPr>
      </w:pPr>
      <w:r w:rsidRPr="00B364A7">
        <w:rPr>
          <w:rFonts w:ascii="Times New Roman" w:eastAsia="Times New Roman" w:hAnsi="Times New Roman"/>
          <w:sz w:val="28"/>
          <w:szCs w:val="28"/>
          <w:lang w:val="ru-RU" w:eastAsia="bg-BG"/>
        </w:rPr>
        <w:t xml:space="preserve">Данните от наблюдавания период 01.01.2021г.–31.12.2021г. </w:t>
      </w:r>
      <w:r w:rsidRPr="00B364A7">
        <w:rPr>
          <w:rFonts w:ascii="Times New Roman" w:hAnsi="Times New Roman"/>
          <w:bCs/>
          <w:sz w:val="28"/>
          <w:szCs w:val="28"/>
          <w:lang w:val="x-none"/>
        </w:rPr>
        <w:t>за Европейск</w:t>
      </w:r>
      <w:r w:rsidRPr="00B364A7">
        <w:rPr>
          <w:rFonts w:ascii="Times New Roman" w:hAnsi="Times New Roman"/>
          <w:bCs/>
          <w:sz w:val="28"/>
          <w:szCs w:val="28"/>
        </w:rPr>
        <w:t>и</w:t>
      </w:r>
      <w:r w:rsidRPr="00B364A7">
        <w:rPr>
          <w:rFonts w:ascii="Times New Roman" w:hAnsi="Times New Roman"/>
          <w:bCs/>
          <w:sz w:val="28"/>
          <w:szCs w:val="28"/>
          <w:lang w:val="x-none"/>
        </w:rPr>
        <w:t>т</w:t>
      </w:r>
      <w:r w:rsidRPr="00B364A7">
        <w:rPr>
          <w:rFonts w:ascii="Times New Roman" w:hAnsi="Times New Roman"/>
          <w:bCs/>
          <w:sz w:val="28"/>
          <w:szCs w:val="28"/>
        </w:rPr>
        <w:t>е</w:t>
      </w:r>
      <w:r w:rsidRPr="00B364A7">
        <w:rPr>
          <w:rFonts w:ascii="Times New Roman" w:hAnsi="Times New Roman"/>
          <w:bCs/>
          <w:sz w:val="28"/>
          <w:szCs w:val="28"/>
          <w:lang w:val="x-none"/>
        </w:rPr>
        <w:t xml:space="preserve"> заповед</w:t>
      </w:r>
      <w:r w:rsidRPr="00B364A7">
        <w:rPr>
          <w:rFonts w:ascii="Times New Roman" w:hAnsi="Times New Roman"/>
          <w:bCs/>
          <w:sz w:val="28"/>
          <w:szCs w:val="28"/>
        </w:rPr>
        <w:t xml:space="preserve">и </w:t>
      </w:r>
      <w:r w:rsidRPr="00B364A7">
        <w:rPr>
          <w:rFonts w:ascii="Times New Roman" w:hAnsi="Times New Roman"/>
          <w:bCs/>
          <w:sz w:val="28"/>
          <w:szCs w:val="28"/>
          <w:lang w:val="x-none"/>
        </w:rPr>
        <w:t xml:space="preserve">за разследване </w:t>
      </w:r>
      <w:r w:rsidRPr="00B364A7">
        <w:rPr>
          <w:rFonts w:ascii="Times New Roman" w:hAnsi="Times New Roman"/>
          <w:bCs/>
          <w:sz w:val="28"/>
          <w:szCs w:val="28"/>
        </w:rPr>
        <w:t xml:space="preserve">показват, че общо е работено по 814 броя преписки, като за сравнение през 2020г. преписките са били 577 броя преписки. За сравнение, през същия отчетен период на 2019г. броят им е бил 463 броя преписки. </w:t>
      </w:r>
    </w:p>
    <w:p w:rsidR="0060601E" w:rsidRPr="00B364A7" w:rsidRDefault="0060601E" w:rsidP="004D24A1">
      <w:pPr>
        <w:widowControl w:val="0"/>
        <w:autoSpaceDE w:val="0"/>
        <w:autoSpaceDN w:val="0"/>
        <w:adjustRightInd w:val="0"/>
        <w:spacing w:after="0"/>
        <w:ind w:firstLine="708"/>
        <w:jc w:val="both"/>
        <w:rPr>
          <w:rFonts w:ascii="Times New Roman" w:hAnsi="Times New Roman"/>
          <w:bCs/>
          <w:sz w:val="28"/>
          <w:szCs w:val="28"/>
        </w:rPr>
      </w:pPr>
      <w:r w:rsidRPr="00B364A7">
        <w:rPr>
          <w:rFonts w:ascii="Times New Roman" w:hAnsi="Times New Roman"/>
          <w:bCs/>
          <w:sz w:val="28"/>
          <w:szCs w:val="28"/>
        </w:rPr>
        <w:t>Цифрите за 2021г. показват, че броят на преписките по Европейски заповеди за разследване за СГП са били 521 /втова число 384 броя входящи и 137 изходящи/, а в СРП са били 293 броя /в това число 7 входящи и 286 изходящи/. През същият период на 2020г. преписките по Европейски заповеди за разследване са били 358 броя /в това число 294 входяящи и 64 изходящи/ и 219 броя по описа на СРП /3 входящи и 216 изходящи/. В същият период на 2019г. (прокурорите от СГП са работили по 381 броя преписки (в това число 327 броя входящи и 54 броя изходящи) и 82 броя на СРП (само изходящи).</w:t>
      </w:r>
    </w:p>
    <w:p w:rsidR="0060601E" w:rsidRPr="00B364A7" w:rsidRDefault="0060601E" w:rsidP="004D24A1">
      <w:pPr>
        <w:widowControl w:val="0"/>
        <w:autoSpaceDE w:val="0"/>
        <w:autoSpaceDN w:val="0"/>
        <w:adjustRightInd w:val="0"/>
        <w:spacing w:after="0"/>
        <w:ind w:firstLine="708"/>
        <w:jc w:val="both"/>
        <w:rPr>
          <w:rFonts w:ascii="Times New Roman" w:hAnsi="Times New Roman"/>
          <w:sz w:val="28"/>
          <w:szCs w:val="28"/>
        </w:rPr>
      </w:pPr>
      <w:r w:rsidRPr="00B364A7">
        <w:rPr>
          <w:rFonts w:ascii="Times New Roman" w:hAnsi="Times New Roman"/>
          <w:sz w:val="28"/>
          <w:szCs w:val="28"/>
        </w:rPr>
        <w:t xml:space="preserve">При сравнение на данните за 2021г. общия брой /входящи и изходящи ЕЗР/ се увеличава значително спрямо 2020 г. с 237 броя или 41,07%, а спрямо 2019г. - бележи се ръст от 75,81% или това са 351 броя повече. </w:t>
      </w:r>
    </w:p>
    <w:p w:rsidR="0060601E" w:rsidRPr="00B364A7" w:rsidRDefault="0060601E" w:rsidP="004D24A1">
      <w:pPr>
        <w:widowControl w:val="0"/>
        <w:autoSpaceDE w:val="0"/>
        <w:autoSpaceDN w:val="0"/>
        <w:adjustRightInd w:val="0"/>
        <w:spacing w:after="0"/>
        <w:ind w:firstLine="708"/>
        <w:jc w:val="both"/>
        <w:rPr>
          <w:rFonts w:ascii="Times New Roman" w:hAnsi="Times New Roman"/>
          <w:sz w:val="28"/>
          <w:szCs w:val="28"/>
        </w:rPr>
      </w:pPr>
      <w:r w:rsidRPr="00B364A7">
        <w:rPr>
          <w:rFonts w:ascii="Times New Roman" w:hAnsi="Times New Roman"/>
          <w:sz w:val="28"/>
          <w:szCs w:val="28"/>
        </w:rPr>
        <w:t>Данните сочат, че се наблюдава повишен интерес от страна на прокурорите при използване на европейските заповеди за разследване във връзка с възможностите които те дават за по-бързо и по-задълбочено провеждане на разследването от местните разследващи органи, като целта е достигане до бърз краен резултат в преследването на закононарушителите. Тази нова форма на международна правна помощ не отменя молбите за правна помощ, а допълва успешно инструментариума като ги разширява чрез инструментите на международното сътрудничество.</w:t>
      </w:r>
    </w:p>
    <w:p w:rsidR="0060601E" w:rsidRPr="00337B46" w:rsidRDefault="003515B0" w:rsidP="004D24A1">
      <w:pPr>
        <w:widowControl w:val="0"/>
        <w:autoSpaceDE w:val="0"/>
        <w:autoSpaceDN w:val="0"/>
        <w:adjustRightInd w:val="0"/>
        <w:spacing w:after="0"/>
        <w:jc w:val="both"/>
        <w:rPr>
          <w:rFonts w:ascii="Times New Roman" w:hAnsi="Times New Roman"/>
          <w:bCs/>
          <w:color w:val="00B050"/>
          <w:sz w:val="28"/>
          <w:szCs w:val="28"/>
        </w:rPr>
      </w:pPr>
      <w:r w:rsidRPr="00337B46">
        <w:rPr>
          <w:noProof/>
          <w:color w:val="00B050"/>
          <w:lang w:eastAsia="bg-BG"/>
        </w:rPr>
        <w:drawing>
          <wp:inline distT="0" distB="0" distL="0" distR="0" wp14:anchorId="4A7ECD9F" wp14:editId="72434FD7">
            <wp:extent cx="5215890" cy="2361565"/>
            <wp:effectExtent l="0" t="0" r="0" b="0"/>
            <wp:docPr id="36" name="Об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601E" w:rsidRPr="00B364A7" w:rsidRDefault="0060601E" w:rsidP="004D24A1">
      <w:pPr>
        <w:spacing w:after="0"/>
        <w:jc w:val="both"/>
        <w:rPr>
          <w:rFonts w:ascii="Times New Roman" w:eastAsia="Times New Roman" w:hAnsi="Times New Roman"/>
          <w:b/>
          <w:sz w:val="20"/>
          <w:szCs w:val="20"/>
          <w:lang w:val="ru-RU" w:eastAsia="bg-BG"/>
        </w:rPr>
      </w:pPr>
      <w:r w:rsidRPr="00B364A7">
        <w:rPr>
          <w:rFonts w:ascii="Times New Roman" w:eastAsia="Times New Roman" w:hAnsi="Times New Roman"/>
          <w:b/>
          <w:sz w:val="20"/>
          <w:szCs w:val="20"/>
          <w:lang w:val="ru-RU" w:eastAsia="bg-BG"/>
        </w:rPr>
        <w:tab/>
        <w:t xml:space="preserve">Фиг.3 Състояние на входящите и изходящи ЕЗР за 2021 г. </w:t>
      </w:r>
    </w:p>
    <w:p w:rsidR="0060601E" w:rsidRPr="00B364A7" w:rsidRDefault="0060601E" w:rsidP="004D24A1">
      <w:pPr>
        <w:spacing w:after="0"/>
        <w:jc w:val="both"/>
        <w:rPr>
          <w:rFonts w:ascii="Times New Roman" w:eastAsia="Times New Roman" w:hAnsi="Times New Roman"/>
          <w:b/>
          <w:sz w:val="20"/>
          <w:szCs w:val="20"/>
          <w:lang w:val="ru-RU" w:eastAsia="bg-BG"/>
        </w:rPr>
      </w:pP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lastRenderedPageBreak/>
        <w:tab/>
        <w:t>Статистическите данни за 2021г. за дейността на СГП показва, че от 384 броя преписки по входящи Европейски заповеди за арест. От тях са изпълнени 228 броя, 10 броя са неизпълнени, а 156 броя преписки са чакащи към момента. При изходящите преписки на СГП от общо 137 броя, 72 са изпълнени от партньорските държави, 1 не е изпълнена, а 64 преписки са чакащи към момента. За същият период на 2020г. данните за СГП показват, че от 294 преписки по входящи европейски заповеди за разследване са изпълнени 212 броя, 9 броя са неизпълнени, а 73 броя преписки са чакащи към момента. При изходящите преписки на СГП от общо 64 броя, 3 са изпълнени от партньорските държави, а 61 преписки са чакащи към момента. За сравнение със същия период на 2019г. данните за СГП показват, че от 327 преписки по входящи европейски заповеди за разследване.</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В СРП наблюдаваните Европейски заповеди за разследване през 2021г. са били 293 броя, от които 7 входящи и 286 броя изходящи преписки, за сравнение с 2020г. те са били 219 броя, като 3 са били входящи, а 216 броя са изходящите, а за същия период на 2019г. е работено по 82 броя входящи преписки по ЕЗР, като изходящи не е имало. При сравнение на данните от тригодишния период се наблюдава леко увеличение на броя на преписките по издадени входящи и изходящи Европейски заповеди за разследване по които са работили прокурорите от СРП за 2021г. в сравнение с 2020г. улевичението е със 74 броя или 3,79%, а в сравнение с 2019г. е с 211 броя или с 257,32%.  </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Този институт за международна правна помощ, появил се в средата на 2019г., продължава все повече да се налага като предпочитана възможност за работа от страна на наблюдаващите прокурори по делата, в които е застъпен международен елемент.</w:t>
      </w:r>
    </w:p>
    <w:p w:rsidR="0060601E" w:rsidRPr="00B364A7" w:rsidRDefault="0060601E" w:rsidP="004D24A1">
      <w:pPr>
        <w:spacing w:after="0"/>
        <w:jc w:val="both"/>
        <w:rPr>
          <w:rFonts w:ascii="Times New Roman" w:eastAsia="Times New Roman" w:hAnsi="Times New Roman"/>
          <w:sz w:val="28"/>
          <w:szCs w:val="28"/>
          <w:lang w:val="en-US" w:eastAsia="bg-BG"/>
        </w:rPr>
      </w:pPr>
    </w:p>
    <w:p w:rsidR="0060601E" w:rsidRPr="00B364A7" w:rsidRDefault="0060601E" w:rsidP="004D24A1">
      <w:pPr>
        <w:spacing w:after="0"/>
        <w:ind w:firstLine="708"/>
        <w:jc w:val="both"/>
        <w:rPr>
          <w:rFonts w:ascii="Times New Roman" w:eastAsia="Times New Roman" w:hAnsi="Times New Roman"/>
          <w:b/>
          <w:sz w:val="28"/>
          <w:szCs w:val="28"/>
          <w:lang w:val="ru-RU" w:eastAsia="bg-BG"/>
        </w:rPr>
      </w:pPr>
      <w:r w:rsidRPr="00B364A7">
        <w:rPr>
          <w:rFonts w:ascii="Times New Roman" w:eastAsia="Times New Roman" w:hAnsi="Times New Roman"/>
          <w:b/>
          <w:sz w:val="28"/>
          <w:szCs w:val="28"/>
          <w:lang w:val="ru-RU" w:eastAsia="bg-BG"/>
        </w:rPr>
        <w:t>Европейска заповед за арест</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В отчетния период от 01.01.2021 г. до 31.12.2021 г. прокурорите от СГП и СРП са работели общо по 88 броя европейски заповеди за арест в това число 53 броя входящи ЕЗА и 35 броя изходящи ЕЗА инициирани от Българска страна, за 2020г. европейски заповеди за арест са били 68 броя в това число 46 броя входящи ЕЗА и 22 броя изходящи ЕЗА инициирани от Българска страна, а за 2019 г. общо са били 70 броя в това число входящи 42 броя и 28 броя изходящи. Статистическите данни за 2021г. в сравнение със същия период на 2020 показват, че броя на ЕЗА общо се е увеличил с 20 броя или 29,41% повече, а в сравнение с 2019г. броя е увеличен с 18 броя или с 25,71% повече.</w:t>
      </w:r>
    </w:p>
    <w:p w:rsidR="0060601E" w:rsidRPr="00B364A7" w:rsidRDefault="0060601E" w:rsidP="004D24A1">
      <w:pPr>
        <w:spacing w:after="0"/>
        <w:jc w:val="both"/>
        <w:rPr>
          <w:rFonts w:ascii="Times New Roman" w:eastAsia="Times New Roman" w:hAnsi="Times New Roman"/>
          <w:sz w:val="28"/>
          <w:szCs w:val="28"/>
          <w:lang w:val="en-US" w:eastAsia="bg-BG"/>
        </w:rPr>
      </w:pPr>
    </w:p>
    <w:tbl>
      <w:tblPr>
        <w:tblW w:w="85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0"/>
        <w:gridCol w:w="1842"/>
        <w:gridCol w:w="1842"/>
        <w:gridCol w:w="1842"/>
      </w:tblGrid>
      <w:tr w:rsidR="0060601E" w:rsidRPr="00B364A7" w:rsidTr="00861F82">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lastRenderedPageBreak/>
              <w:t>Европейски заповеди за арест на СГП и СРП</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t>20</w:t>
            </w:r>
            <w:r w:rsidRPr="00B364A7">
              <w:rPr>
                <w:rFonts w:ascii="Times New Roman" w:eastAsia="Times New Roman" w:hAnsi="Times New Roman"/>
                <w:b/>
                <w:sz w:val="24"/>
                <w:szCs w:val="24"/>
                <w:lang w:val="en-US" w:eastAsia="bg-BG"/>
              </w:rPr>
              <w:t>2</w:t>
            </w:r>
            <w:r w:rsidRPr="00B364A7">
              <w:rPr>
                <w:rFonts w:ascii="Times New Roman" w:eastAsia="Times New Roman" w:hAnsi="Times New Roman"/>
                <w:b/>
                <w:sz w:val="24"/>
                <w:szCs w:val="24"/>
                <w:lang w:eastAsia="bg-BG"/>
              </w:rPr>
              <w:t>1</w:t>
            </w:r>
            <w:r w:rsidRPr="00B364A7">
              <w:rPr>
                <w:rFonts w:ascii="Times New Roman" w:eastAsia="Times New Roman" w:hAnsi="Times New Roman"/>
                <w:b/>
                <w:sz w:val="24"/>
                <w:szCs w:val="24"/>
                <w:lang w:val="en-US" w:eastAsia="bg-BG"/>
              </w:rPr>
              <w:t xml:space="preserve"> </w:t>
            </w:r>
            <w:r w:rsidRPr="00B364A7">
              <w:rPr>
                <w:rFonts w:ascii="Times New Roman" w:eastAsia="Times New Roman" w:hAnsi="Times New Roman"/>
                <w:b/>
                <w:sz w:val="24"/>
                <w:szCs w:val="24"/>
                <w:lang w:val="ru-RU" w:eastAsia="bg-BG"/>
              </w:rPr>
              <w:t>г.</w:t>
            </w:r>
          </w:p>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t>СГП / СРП</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t>20</w:t>
            </w:r>
            <w:r w:rsidRPr="00B364A7">
              <w:rPr>
                <w:rFonts w:ascii="Times New Roman" w:eastAsia="Times New Roman" w:hAnsi="Times New Roman"/>
                <w:b/>
                <w:sz w:val="24"/>
                <w:szCs w:val="24"/>
                <w:lang w:val="en-US" w:eastAsia="bg-BG"/>
              </w:rPr>
              <w:t xml:space="preserve">20 </w:t>
            </w:r>
            <w:r w:rsidRPr="00B364A7">
              <w:rPr>
                <w:rFonts w:ascii="Times New Roman" w:eastAsia="Times New Roman" w:hAnsi="Times New Roman"/>
                <w:b/>
                <w:sz w:val="24"/>
                <w:szCs w:val="24"/>
                <w:lang w:val="ru-RU" w:eastAsia="bg-BG"/>
              </w:rPr>
              <w:t>г.</w:t>
            </w:r>
          </w:p>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t>СГП / СРП</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t>201</w:t>
            </w:r>
            <w:r w:rsidRPr="00B364A7">
              <w:rPr>
                <w:rFonts w:ascii="Times New Roman" w:eastAsia="Times New Roman" w:hAnsi="Times New Roman"/>
                <w:b/>
                <w:sz w:val="24"/>
                <w:szCs w:val="24"/>
                <w:lang w:val="en-US" w:eastAsia="bg-BG"/>
              </w:rPr>
              <w:t xml:space="preserve">9 </w:t>
            </w:r>
            <w:r w:rsidRPr="00B364A7">
              <w:rPr>
                <w:rFonts w:ascii="Times New Roman" w:eastAsia="Times New Roman" w:hAnsi="Times New Roman"/>
                <w:b/>
                <w:sz w:val="24"/>
                <w:szCs w:val="24"/>
                <w:lang w:val="ru-RU" w:eastAsia="bg-BG"/>
              </w:rPr>
              <w:t>г.</w:t>
            </w:r>
          </w:p>
          <w:p w:rsidR="0060601E" w:rsidRPr="00B364A7" w:rsidRDefault="0060601E" w:rsidP="004D24A1">
            <w:pPr>
              <w:spacing w:after="0"/>
              <w:jc w:val="center"/>
              <w:rPr>
                <w:rFonts w:ascii="Times New Roman" w:eastAsia="Times New Roman" w:hAnsi="Times New Roman"/>
                <w:b/>
                <w:sz w:val="24"/>
                <w:szCs w:val="24"/>
                <w:lang w:val="ru-RU" w:eastAsia="bg-BG"/>
              </w:rPr>
            </w:pPr>
            <w:r w:rsidRPr="00B364A7">
              <w:rPr>
                <w:rFonts w:ascii="Times New Roman" w:eastAsia="Times New Roman" w:hAnsi="Times New Roman"/>
                <w:b/>
                <w:sz w:val="24"/>
                <w:szCs w:val="24"/>
                <w:lang w:val="ru-RU" w:eastAsia="bg-BG"/>
              </w:rPr>
              <w:t>СГП / СРП</w:t>
            </w:r>
          </w:p>
        </w:tc>
      </w:tr>
      <w:tr w:rsidR="0060601E" w:rsidRPr="00B364A7" w:rsidTr="00861F82">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01E" w:rsidRPr="00B364A7" w:rsidRDefault="0060601E" w:rsidP="004D24A1">
            <w:pPr>
              <w:spacing w:after="0"/>
              <w:jc w:val="center"/>
              <w:rPr>
                <w:rFonts w:ascii="Times New Roman" w:eastAsia="Times New Roman" w:hAnsi="Times New Roman"/>
                <w:sz w:val="24"/>
                <w:szCs w:val="24"/>
                <w:lang w:val="ru-RU" w:eastAsia="bg-BG"/>
              </w:rPr>
            </w:pPr>
            <w:r w:rsidRPr="00B364A7">
              <w:rPr>
                <w:rFonts w:ascii="Times New Roman" w:eastAsia="Times New Roman" w:hAnsi="Times New Roman"/>
                <w:sz w:val="24"/>
                <w:szCs w:val="24"/>
                <w:lang w:val="ru-RU" w:eastAsia="bg-BG"/>
              </w:rPr>
              <w:t>Входящи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60601E" w:rsidRPr="00B364A7" w:rsidRDefault="0060601E" w:rsidP="004D24A1">
            <w:pPr>
              <w:spacing w:after="0"/>
              <w:jc w:val="center"/>
              <w:rPr>
                <w:rFonts w:ascii="Times New Roman" w:eastAsia="Times New Roman" w:hAnsi="Times New Roman"/>
                <w:sz w:val="24"/>
                <w:szCs w:val="24"/>
                <w:lang w:val="en-US" w:eastAsia="bg-BG"/>
              </w:rPr>
            </w:pPr>
            <w:r w:rsidRPr="00B364A7">
              <w:rPr>
                <w:rFonts w:ascii="Times New Roman" w:eastAsia="Times New Roman" w:hAnsi="Times New Roman"/>
                <w:sz w:val="24"/>
                <w:szCs w:val="24"/>
                <w:lang w:val="ru-RU" w:eastAsia="bg-BG"/>
              </w:rPr>
              <w:t>53/</w:t>
            </w:r>
            <w:r w:rsidRPr="00B364A7">
              <w:rPr>
                <w:rFonts w:ascii="Times New Roman" w:eastAsia="Times New Roman" w:hAnsi="Times New Roman"/>
                <w:sz w:val="24"/>
                <w:szCs w:val="24"/>
                <w:lang w:val="en-US" w:eastAsia="bg-BG"/>
              </w:rPr>
              <w:t>0</w:t>
            </w:r>
          </w:p>
        </w:tc>
        <w:tc>
          <w:tcPr>
            <w:tcW w:w="1842" w:type="dxa"/>
            <w:tcBorders>
              <w:top w:val="single" w:sz="4" w:space="0" w:color="auto"/>
              <w:left w:val="single" w:sz="4" w:space="0" w:color="auto"/>
              <w:bottom w:val="single" w:sz="4" w:space="0" w:color="auto"/>
              <w:right w:val="single" w:sz="4" w:space="0" w:color="auto"/>
            </w:tcBorders>
            <w:vAlign w:val="center"/>
          </w:tcPr>
          <w:p w:rsidR="0060601E" w:rsidRPr="00B364A7" w:rsidRDefault="0060601E" w:rsidP="004D24A1">
            <w:pPr>
              <w:spacing w:after="0"/>
              <w:jc w:val="center"/>
              <w:rPr>
                <w:rFonts w:ascii="Times New Roman" w:eastAsia="Times New Roman" w:hAnsi="Times New Roman"/>
                <w:sz w:val="24"/>
                <w:szCs w:val="24"/>
                <w:lang w:val="en-US" w:eastAsia="bg-BG"/>
              </w:rPr>
            </w:pPr>
            <w:r w:rsidRPr="00B364A7">
              <w:rPr>
                <w:rFonts w:ascii="Times New Roman" w:eastAsia="Times New Roman" w:hAnsi="Times New Roman"/>
                <w:sz w:val="24"/>
                <w:szCs w:val="24"/>
                <w:lang w:val="ru-RU" w:eastAsia="bg-BG"/>
              </w:rPr>
              <w:t>4</w:t>
            </w:r>
            <w:r w:rsidRPr="00B364A7">
              <w:rPr>
                <w:rFonts w:ascii="Times New Roman" w:eastAsia="Times New Roman" w:hAnsi="Times New Roman"/>
                <w:sz w:val="24"/>
                <w:szCs w:val="24"/>
                <w:lang w:val="en-US" w:eastAsia="bg-BG"/>
              </w:rPr>
              <w:t>6</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val="en-US" w:eastAsia="bg-BG"/>
              </w:rPr>
              <w:t>0</w:t>
            </w:r>
          </w:p>
        </w:tc>
        <w:tc>
          <w:tcPr>
            <w:tcW w:w="1842" w:type="dxa"/>
            <w:tcBorders>
              <w:top w:val="single" w:sz="4" w:space="0" w:color="auto"/>
              <w:left w:val="single" w:sz="4" w:space="0" w:color="auto"/>
              <w:bottom w:val="single" w:sz="4" w:space="0" w:color="auto"/>
              <w:right w:val="single" w:sz="4" w:space="0" w:color="auto"/>
            </w:tcBorders>
            <w:vAlign w:val="center"/>
          </w:tcPr>
          <w:p w:rsidR="0060601E" w:rsidRPr="00B364A7" w:rsidRDefault="0060601E" w:rsidP="004D24A1">
            <w:pPr>
              <w:spacing w:after="0"/>
              <w:jc w:val="center"/>
              <w:rPr>
                <w:rFonts w:ascii="Times New Roman" w:eastAsia="Times New Roman" w:hAnsi="Times New Roman"/>
                <w:sz w:val="24"/>
                <w:szCs w:val="24"/>
                <w:lang w:eastAsia="bg-BG"/>
              </w:rPr>
            </w:pPr>
            <w:r w:rsidRPr="00B364A7">
              <w:rPr>
                <w:rFonts w:ascii="Times New Roman" w:eastAsia="Times New Roman" w:hAnsi="Times New Roman"/>
                <w:sz w:val="24"/>
                <w:szCs w:val="24"/>
                <w:lang w:val="en-US" w:eastAsia="bg-BG"/>
              </w:rPr>
              <w:t>40</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eastAsia="bg-BG"/>
              </w:rPr>
              <w:t>2</w:t>
            </w:r>
          </w:p>
        </w:tc>
      </w:tr>
      <w:tr w:rsidR="0060601E" w:rsidRPr="00B364A7" w:rsidTr="00861F82">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01E" w:rsidRPr="00B364A7" w:rsidRDefault="0060601E" w:rsidP="004D24A1">
            <w:pPr>
              <w:spacing w:after="0"/>
              <w:jc w:val="center"/>
              <w:rPr>
                <w:rFonts w:ascii="Times New Roman" w:eastAsia="Times New Roman" w:hAnsi="Times New Roman"/>
                <w:sz w:val="24"/>
                <w:szCs w:val="24"/>
                <w:lang w:val="ru-RU" w:eastAsia="bg-BG"/>
              </w:rPr>
            </w:pPr>
            <w:r w:rsidRPr="00B364A7">
              <w:rPr>
                <w:rFonts w:ascii="Times New Roman" w:eastAsia="Times New Roman" w:hAnsi="Times New Roman"/>
                <w:sz w:val="24"/>
                <w:szCs w:val="24"/>
                <w:lang w:val="ru-RU" w:eastAsia="bg-BG"/>
              </w:rPr>
              <w:t>Изходящи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60601E" w:rsidRPr="00B364A7" w:rsidRDefault="0060601E" w:rsidP="004D24A1">
            <w:pPr>
              <w:spacing w:after="0"/>
              <w:jc w:val="center"/>
              <w:rPr>
                <w:rFonts w:ascii="Times New Roman" w:eastAsia="Times New Roman" w:hAnsi="Times New Roman"/>
                <w:sz w:val="24"/>
                <w:szCs w:val="24"/>
                <w:lang w:eastAsia="bg-BG"/>
              </w:rPr>
            </w:pPr>
            <w:r w:rsidRPr="00B364A7">
              <w:rPr>
                <w:rFonts w:ascii="Times New Roman" w:eastAsia="Times New Roman" w:hAnsi="Times New Roman"/>
                <w:sz w:val="24"/>
                <w:szCs w:val="24"/>
                <w:lang w:val="ru-RU" w:eastAsia="bg-BG"/>
              </w:rPr>
              <w:t>14/</w:t>
            </w:r>
            <w:r w:rsidRPr="00B364A7">
              <w:rPr>
                <w:rFonts w:ascii="Times New Roman" w:eastAsia="Times New Roman" w:hAnsi="Times New Roman"/>
                <w:sz w:val="24"/>
                <w:szCs w:val="24"/>
                <w:lang w:eastAsia="bg-BG"/>
              </w:rPr>
              <w:t>21</w:t>
            </w:r>
          </w:p>
        </w:tc>
        <w:tc>
          <w:tcPr>
            <w:tcW w:w="1842" w:type="dxa"/>
            <w:tcBorders>
              <w:top w:val="single" w:sz="4" w:space="0" w:color="auto"/>
              <w:left w:val="single" w:sz="4" w:space="0" w:color="auto"/>
              <w:bottom w:val="single" w:sz="4" w:space="0" w:color="auto"/>
              <w:right w:val="single" w:sz="4" w:space="0" w:color="auto"/>
            </w:tcBorders>
            <w:vAlign w:val="center"/>
          </w:tcPr>
          <w:p w:rsidR="0060601E" w:rsidRPr="00B364A7" w:rsidRDefault="0060601E" w:rsidP="004D24A1">
            <w:pPr>
              <w:spacing w:after="0"/>
              <w:jc w:val="center"/>
              <w:rPr>
                <w:rFonts w:ascii="Times New Roman" w:eastAsia="Times New Roman" w:hAnsi="Times New Roman"/>
                <w:sz w:val="24"/>
                <w:szCs w:val="24"/>
                <w:lang w:val="en-US" w:eastAsia="bg-BG"/>
              </w:rPr>
            </w:pPr>
            <w:r w:rsidRPr="00B364A7">
              <w:rPr>
                <w:rFonts w:ascii="Times New Roman" w:eastAsia="Times New Roman" w:hAnsi="Times New Roman"/>
                <w:sz w:val="24"/>
                <w:szCs w:val="24"/>
                <w:lang w:val="en-US" w:eastAsia="bg-BG"/>
              </w:rPr>
              <w:t>7</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val="en-US" w:eastAsia="bg-BG"/>
              </w:rPr>
              <w:t>15</w:t>
            </w:r>
          </w:p>
        </w:tc>
        <w:tc>
          <w:tcPr>
            <w:tcW w:w="1842" w:type="dxa"/>
            <w:tcBorders>
              <w:top w:val="single" w:sz="4" w:space="0" w:color="auto"/>
              <w:left w:val="single" w:sz="4" w:space="0" w:color="auto"/>
              <w:bottom w:val="single" w:sz="4" w:space="0" w:color="auto"/>
              <w:right w:val="single" w:sz="4" w:space="0" w:color="auto"/>
            </w:tcBorders>
            <w:vAlign w:val="center"/>
          </w:tcPr>
          <w:p w:rsidR="0060601E" w:rsidRPr="00B364A7" w:rsidRDefault="0060601E" w:rsidP="004D24A1">
            <w:pPr>
              <w:spacing w:after="0"/>
              <w:jc w:val="center"/>
              <w:rPr>
                <w:rFonts w:ascii="Times New Roman" w:eastAsia="Times New Roman" w:hAnsi="Times New Roman"/>
                <w:sz w:val="24"/>
                <w:szCs w:val="24"/>
                <w:lang w:val="en-US" w:eastAsia="bg-BG"/>
              </w:rPr>
            </w:pPr>
            <w:r w:rsidRPr="00B364A7">
              <w:rPr>
                <w:rFonts w:ascii="Times New Roman" w:eastAsia="Times New Roman" w:hAnsi="Times New Roman"/>
                <w:sz w:val="24"/>
                <w:szCs w:val="24"/>
                <w:lang w:eastAsia="bg-BG"/>
              </w:rPr>
              <w:t>8</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val="en-US" w:eastAsia="bg-BG"/>
              </w:rPr>
              <w:t>20</w:t>
            </w:r>
          </w:p>
        </w:tc>
      </w:tr>
      <w:tr w:rsidR="0060601E" w:rsidRPr="00B364A7" w:rsidTr="00861F82">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0601E" w:rsidRPr="00B364A7" w:rsidRDefault="0060601E" w:rsidP="004D24A1">
            <w:pPr>
              <w:spacing w:after="0"/>
              <w:jc w:val="center"/>
              <w:rPr>
                <w:rFonts w:ascii="Times New Roman" w:eastAsia="Times New Roman" w:hAnsi="Times New Roman"/>
                <w:sz w:val="24"/>
                <w:szCs w:val="24"/>
                <w:lang w:val="ru-RU" w:eastAsia="bg-BG"/>
              </w:rPr>
            </w:pPr>
            <w:r w:rsidRPr="00B364A7">
              <w:rPr>
                <w:rFonts w:ascii="Times New Roman" w:eastAsia="Times New Roman" w:hAnsi="Times New Roman"/>
                <w:sz w:val="24"/>
                <w:szCs w:val="24"/>
                <w:lang w:val="ru-RU" w:eastAsia="bg-BG"/>
              </w:rPr>
              <w:t>ОБЩО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60601E" w:rsidRPr="00B364A7" w:rsidRDefault="0060601E" w:rsidP="004D24A1">
            <w:pPr>
              <w:spacing w:after="0"/>
              <w:jc w:val="center"/>
              <w:rPr>
                <w:rFonts w:ascii="Times New Roman" w:eastAsia="Times New Roman" w:hAnsi="Times New Roman"/>
                <w:sz w:val="24"/>
                <w:szCs w:val="24"/>
                <w:lang w:eastAsia="bg-BG"/>
              </w:rPr>
            </w:pPr>
            <w:r w:rsidRPr="00B364A7">
              <w:rPr>
                <w:rFonts w:ascii="Times New Roman" w:eastAsia="Times New Roman" w:hAnsi="Times New Roman"/>
                <w:sz w:val="24"/>
                <w:szCs w:val="24"/>
                <w:lang w:eastAsia="bg-BG"/>
              </w:rPr>
              <w:t>67</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eastAsia="bg-BG"/>
              </w:rPr>
              <w:t>21</w:t>
            </w:r>
          </w:p>
        </w:tc>
        <w:tc>
          <w:tcPr>
            <w:tcW w:w="1842" w:type="dxa"/>
            <w:tcBorders>
              <w:top w:val="single" w:sz="4" w:space="0" w:color="auto"/>
              <w:left w:val="single" w:sz="4" w:space="0" w:color="auto"/>
              <w:bottom w:val="single" w:sz="4" w:space="0" w:color="auto"/>
              <w:right w:val="single" w:sz="4" w:space="0" w:color="auto"/>
            </w:tcBorders>
            <w:vAlign w:val="center"/>
          </w:tcPr>
          <w:p w:rsidR="0060601E" w:rsidRPr="00B364A7" w:rsidRDefault="0060601E" w:rsidP="004D24A1">
            <w:pPr>
              <w:spacing w:after="0"/>
              <w:jc w:val="center"/>
              <w:rPr>
                <w:rFonts w:ascii="Times New Roman" w:eastAsia="Times New Roman" w:hAnsi="Times New Roman"/>
                <w:sz w:val="24"/>
                <w:szCs w:val="24"/>
                <w:lang w:val="en-US" w:eastAsia="bg-BG"/>
              </w:rPr>
            </w:pPr>
            <w:r w:rsidRPr="00B364A7">
              <w:rPr>
                <w:rFonts w:ascii="Times New Roman" w:eastAsia="Times New Roman" w:hAnsi="Times New Roman"/>
                <w:sz w:val="24"/>
                <w:szCs w:val="24"/>
                <w:lang w:val="en-US" w:eastAsia="bg-BG"/>
              </w:rPr>
              <w:t>53</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val="en-US" w:eastAsia="bg-BG"/>
              </w:rPr>
              <w:t>15</w:t>
            </w:r>
          </w:p>
        </w:tc>
        <w:tc>
          <w:tcPr>
            <w:tcW w:w="1842" w:type="dxa"/>
            <w:tcBorders>
              <w:top w:val="single" w:sz="4" w:space="0" w:color="auto"/>
              <w:left w:val="single" w:sz="4" w:space="0" w:color="auto"/>
              <w:bottom w:val="single" w:sz="4" w:space="0" w:color="auto"/>
              <w:right w:val="single" w:sz="4" w:space="0" w:color="auto"/>
            </w:tcBorders>
            <w:vAlign w:val="center"/>
          </w:tcPr>
          <w:p w:rsidR="0060601E" w:rsidRPr="00B364A7" w:rsidRDefault="0060601E" w:rsidP="004D24A1">
            <w:pPr>
              <w:spacing w:after="0"/>
              <w:jc w:val="center"/>
              <w:rPr>
                <w:rFonts w:ascii="Times New Roman" w:eastAsia="Times New Roman" w:hAnsi="Times New Roman"/>
                <w:sz w:val="24"/>
                <w:szCs w:val="24"/>
                <w:lang w:eastAsia="bg-BG"/>
              </w:rPr>
            </w:pPr>
            <w:r w:rsidRPr="00B364A7">
              <w:rPr>
                <w:rFonts w:ascii="Times New Roman" w:eastAsia="Times New Roman" w:hAnsi="Times New Roman"/>
                <w:sz w:val="24"/>
                <w:szCs w:val="24"/>
                <w:lang w:val="en-US" w:eastAsia="bg-BG"/>
              </w:rPr>
              <w:t>4</w:t>
            </w:r>
            <w:r w:rsidRPr="00B364A7">
              <w:rPr>
                <w:rFonts w:ascii="Times New Roman" w:eastAsia="Times New Roman" w:hAnsi="Times New Roman"/>
                <w:sz w:val="24"/>
                <w:szCs w:val="24"/>
                <w:lang w:eastAsia="bg-BG"/>
              </w:rPr>
              <w:t>8</w:t>
            </w:r>
            <w:r w:rsidRPr="00B364A7">
              <w:rPr>
                <w:rFonts w:ascii="Times New Roman" w:eastAsia="Times New Roman" w:hAnsi="Times New Roman"/>
                <w:sz w:val="24"/>
                <w:szCs w:val="24"/>
                <w:lang w:val="ru-RU" w:eastAsia="bg-BG"/>
              </w:rPr>
              <w:t>/</w:t>
            </w:r>
            <w:r w:rsidRPr="00B364A7">
              <w:rPr>
                <w:rFonts w:ascii="Times New Roman" w:eastAsia="Times New Roman" w:hAnsi="Times New Roman"/>
                <w:sz w:val="24"/>
                <w:szCs w:val="24"/>
                <w:lang w:val="en-US" w:eastAsia="bg-BG"/>
              </w:rPr>
              <w:t>2</w:t>
            </w:r>
            <w:r w:rsidRPr="00B364A7">
              <w:rPr>
                <w:rFonts w:ascii="Times New Roman" w:eastAsia="Times New Roman" w:hAnsi="Times New Roman"/>
                <w:sz w:val="24"/>
                <w:szCs w:val="24"/>
                <w:lang w:eastAsia="bg-BG"/>
              </w:rPr>
              <w:t>2</w:t>
            </w:r>
          </w:p>
        </w:tc>
      </w:tr>
    </w:tbl>
    <w:p w:rsidR="0060601E" w:rsidRPr="00B364A7" w:rsidRDefault="0060601E" w:rsidP="004D24A1">
      <w:pPr>
        <w:spacing w:after="0"/>
        <w:ind w:firstLine="708"/>
        <w:jc w:val="both"/>
        <w:rPr>
          <w:rFonts w:ascii="Times New Roman" w:eastAsia="Times New Roman" w:hAnsi="Times New Roman"/>
          <w:b/>
          <w:sz w:val="20"/>
          <w:szCs w:val="20"/>
          <w:lang w:val="ru-RU" w:eastAsia="bg-BG"/>
        </w:rPr>
      </w:pPr>
      <w:r w:rsidRPr="00B364A7">
        <w:rPr>
          <w:rFonts w:ascii="Times New Roman" w:eastAsia="Times New Roman" w:hAnsi="Times New Roman"/>
          <w:b/>
          <w:sz w:val="20"/>
          <w:szCs w:val="20"/>
          <w:lang w:val="ru-RU" w:eastAsia="bg-BG"/>
        </w:rPr>
        <w:t>Табл.1 Разбивка по прокуратури на ЕЗА за периода 201</w:t>
      </w:r>
      <w:r w:rsidRPr="00B364A7">
        <w:rPr>
          <w:rFonts w:ascii="Times New Roman" w:eastAsia="Times New Roman" w:hAnsi="Times New Roman"/>
          <w:b/>
          <w:sz w:val="20"/>
          <w:szCs w:val="20"/>
          <w:lang w:eastAsia="bg-BG"/>
        </w:rPr>
        <w:t>9</w:t>
      </w:r>
      <w:r w:rsidRPr="00B364A7">
        <w:rPr>
          <w:rFonts w:ascii="Times New Roman" w:eastAsia="Times New Roman" w:hAnsi="Times New Roman"/>
          <w:b/>
          <w:sz w:val="20"/>
          <w:szCs w:val="20"/>
          <w:lang w:val="en-US" w:eastAsia="bg-BG"/>
        </w:rPr>
        <w:t xml:space="preserve"> </w:t>
      </w:r>
      <w:r w:rsidRPr="00B364A7">
        <w:rPr>
          <w:rFonts w:ascii="Times New Roman" w:eastAsia="Times New Roman" w:hAnsi="Times New Roman"/>
          <w:b/>
          <w:sz w:val="20"/>
          <w:szCs w:val="20"/>
          <w:lang w:val="ru-RU" w:eastAsia="bg-BG"/>
        </w:rPr>
        <w:t>г.-20</w:t>
      </w:r>
      <w:r w:rsidRPr="00B364A7">
        <w:rPr>
          <w:rFonts w:ascii="Times New Roman" w:eastAsia="Times New Roman" w:hAnsi="Times New Roman"/>
          <w:b/>
          <w:sz w:val="20"/>
          <w:szCs w:val="20"/>
          <w:lang w:val="en-US" w:eastAsia="bg-BG"/>
        </w:rPr>
        <w:t>2</w:t>
      </w:r>
      <w:r w:rsidRPr="00B364A7">
        <w:rPr>
          <w:rFonts w:ascii="Times New Roman" w:eastAsia="Times New Roman" w:hAnsi="Times New Roman"/>
          <w:b/>
          <w:sz w:val="20"/>
          <w:szCs w:val="20"/>
          <w:lang w:eastAsia="bg-BG"/>
        </w:rPr>
        <w:t>1</w:t>
      </w:r>
      <w:r w:rsidRPr="00B364A7">
        <w:rPr>
          <w:rFonts w:ascii="Times New Roman" w:eastAsia="Times New Roman" w:hAnsi="Times New Roman"/>
          <w:b/>
          <w:sz w:val="20"/>
          <w:szCs w:val="20"/>
          <w:lang w:val="en-US" w:eastAsia="bg-BG"/>
        </w:rPr>
        <w:t xml:space="preserve"> </w:t>
      </w:r>
      <w:r w:rsidRPr="00B364A7">
        <w:rPr>
          <w:rFonts w:ascii="Times New Roman" w:eastAsia="Times New Roman" w:hAnsi="Times New Roman"/>
          <w:b/>
          <w:sz w:val="20"/>
          <w:szCs w:val="20"/>
          <w:lang w:val="ru-RU" w:eastAsia="bg-BG"/>
        </w:rPr>
        <w:t xml:space="preserve">г. </w:t>
      </w:r>
    </w:p>
    <w:p w:rsidR="0060601E" w:rsidRDefault="0060601E" w:rsidP="004D24A1">
      <w:pPr>
        <w:spacing w:after="0"/>
        <w:jc w:val="both"/>
        <w:rPr>
          <w:rFonts w:ascii="Times New Roman" w:eastAsia="Times New Roman" w:hAnsi="Times New Roman"/>
          <w:sz w:val="28"/>
          <w:szCs w:val="28"/>
          <w:lang w:val="ru-RU" w:eastAsia="bg-BG"/>
        </w:rPr>
      </w:pP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Стойносите за СГП и СРП за 2021г. на броя </w:t>
      </w:r>
      <w:r w:rsidRPr="00B364A7">
        <w:rPr>
          <w:rFonts w:ascii="Times New Roman" w:eastAsia="Times New Roman" w:hAnsi="Times New Roman"/>
          <w:b/>
          <w:sz w:val="28"/>
          <w:szCs w:val="28"/>
          <w:lang w:val="ru-RU" w:eastAsia="bg-BG"/>
        </w:rPr>
        <w:t>входящи</w:t>
      </w:r>
      <w:r w:rsidRPr="00B364A7">
        <w:rPr>
          <w:rFonts w:ascii="Times New Roman" w:eastAsia="Times New Roman" w:hAnsi="Times New Roman"/>
          <w:sz w:val="28"/>
          <w:szCs w:val="28"/>
          <w:lang w:val="ru-RU" w:eastAsia="bg-BG"/>
        </w:rPr>
        <w:t xml:space="preserve"> европейски заповеди за арест в сравнение със същия период на за 2020</w:t>
      </w:r>
      <w:r w:rsidRPr="00B364A7">
        <w:rPr>
          <w:rFonts w:ascii="Times New Roman" w:eastAsia="Times New Roman" w:hAnsi="Times New Roman"/>
          <w:sz w:val="28"/>
          <w:szCs w:val="28"/>
          <w:lang w:val="en-US" w:eastAsia="bg-BG"/>
        </w:rPr>
        <w:t xml:space="preserve"> </w:t>
      </w:r>
      <w:r w:rsidRPr="00B364A7">
        <w:rPr>
          <w:rFonts w:ascii="Times New Roman" w:eastAsia="Times New Roman" w:hAnsi="Times New Roman"/>
          <w:sz w:val="28"/>
          <w:szCs w:val="28"/>
          <w:lang w:val="ru-RU" w:eastAsia="bg-BG"/>
        </w:rPr>
        <w:t xml:space="preserve">г. показват, че са се увеличили със 7 броя или с  15,22 %, а в сравнение с 2019 г. са се увеличили с 11 броя или с намалели 26,19 %. </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В отчетния период на 2021г. </w:t>
      </w:r>
      <w:r w:rsidRPr="00B364A7">
        <w:rPr>
          <w:rFonts w:ascii="Times New Roman" w:eastAsia="Times New Roman" w:hAnsi="Times New Roman"/>
          <w:b/>
          <w:sz w:val="28"/>
          <w:szCs w:val="28"/>
          <w:lang w:val="ru-RU" w:eastAsia="bg-BG"/>
        </w:rPr>
        <w:t>изходящите</w:t>
      </w:r>
      <w:r w:rsidRPr="00B364A7">
        <w:rPr>
          <w:rFonts w:ascii="Times New Roman" w:eastAsia="Times New Roman" w:hAnsi="Times New Roman"/>
          <w:sz w:val="28"/>
          <w:szCs w:val="28"/>
          <w:lang w:val="ru-RU" w:eastAsia="bg-BG"/>
        </w:rPr>
        <w:t xml:space="preserve"> заповеди за арест издадени от страна на СГП и СРП са били 13 броя, за същия период на 2020г. изходящите европейски заповеди за арест или 59,09%, а броя за отчетен период на 2019г. са се увеличили с 7 броя или 25%.</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Входящи европейски заповеди за арест в СГП получели през отчетната 2021г. са били 53 броя, за 2020 г. са били 46 броя, а за 2019 г. са били 40 броя. Забелязва се увеличение на броя на изходящите </w:t>
      </w:r>
      <w:r w:rsidRPr="00B364A7">
        <w:rPr>
          <w:rFonts w:ascii="Times New Roman" w:eastAsia="Times New Roman" w:hAnsi="Times New Roman"/>
          <w:sz w:val="28"/>
          <w:szCs w:val="28"/>
          <w:lang w:val="ru-RU" w:eastAsia="bg-BG"/>
        </w:rPr>
        <w:t>заповеди за арест</w:t>
      </w:r>
      <w:r w:rsidRPr="00B364A7">
        <w:rPr>
          <w:rFonts w:ascii="Times New Roman" w:eastAsia="Times New Roman" w:hAnsi="Times New Roman"/>
          <w:sz w:val="28"/>
          <w:szCs w:val="28"/>
          <w:lang w:eastAsia="bg-BG"/>
        </w:rPr>
        <w:t xml:space="preserve"> издадени от страна на прокурорите от СГП за 2021г. в сравнение с 2020г. със 7 броя или това са 15,22% повече, а в сравнение с 2019г. увеличението е с 13 броя или с 32,5%.   </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Изходящите европейски заповеди за арест, издадени от СГП през отчетната 2021г. е бил 14 броя, за 2020 г. са били 7 броя, а за 2019 г. са били 8 броя. Забелязва се увеличение на броя на изходящите </w:t>
      </w:r>
      <w:r w:rsidRPr="00B364A7">
        <w:rPr>
          <w:rFonts w:ascii="Times New Roman" w:eastAsia="Times New Roman" w:hAnsi="Times New Roman"/>
          <w:sz w:val="28"/>
          <w:szCs w:val="28"/>
          <w:lang w:val="ru-RU" w:eastAsia="bg-BG"/>
        </w:rPr>
        <w:t>заповеди за арест</w:t>
      </w:r>
      <w:r w:rsidRPr="00B364A7">
        <w:rPr>
          <w:rFonts w:ascii="Times New Roman" w:eastAsia="Times New Roman" w:hAnsi="Times New Roman"/>
          <w:sz w:val="28"/>
          <w:szCs w:val="28"/>
          <w:lang w:eastAsia="bg-BG"/>
        </w:rPr>
        <w:t xml:space="preserve"> издадени от страна на прокурорите от СРП за 2021г. в сравнение с 2020г. със 7 броя или това са 100% повече, а в сравнение с 2019г. увеличението е с 6 брой или с 75%.   </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Входящи европейски заповеди за арест, получени от СРП през отчетната 2021г. и 2020г. не е имало – 0 броя, а за 2019 г. са били 2 броя. </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 xml:space="preserve">Изходящите европейски заповеди за арест, издадени от СРП през отчетната 2021г. е бил 21 броя, за 2020 г. са били 15 броя, а за 2019 г. са били 20 броя. Забелязва се увеличение на броя на изходящите </w:t>
      </w:r>
      <w:r w:rsidRPr="00B364A7">
        <w:rPr>
          <w:rFonts w:ascii="Times New Roman" w:eastAsia="Times New Roman" w:hAnsi="Times New Roman"/>
          <w:sz w:val="28"/>
          <w:szCs w:val="28"/>
          <w:lang w:val="ru-RU" w:eastAsia="bg-BG"/>
        </w:rPr>
        <w:t>заповеди за арест</w:t>
      </w:r>
      <w:r w:rsidRPr="00B364A7">
        <w:rPr>
          <w:rFonts w:ascii="Times New Roman" w:eastAsia="Times New Roman" w:hAnsi="Times New Roman"/>
          <w:sz w:val="28"/>
          <w:szCs w:val="28"/>
          <w:lang w:eastAsia="bg-BG"/>
        </w:rPr>
        <w:t xml:space="preserve"> издадени от страна на прокурорите от СРП за 2021г. в сравнение с 2020г. със 6 броя или това са 40% повече, а в сравнение с 2019г. увеличението е с 1 брой или с 5%.   </w:t>
      </w:r>
    </w:p>
    <w:p w:rsidR="0060601E" w:rsidRDefault="0060601E" w:rsidP="004D24A1">
      <w:pPr>
        <w:spacing w:after="0"/>
        <w:jc w:val="both"/>
        <w:rPr>
          <w:rFonts w:ascii="Times New Roman" w:eastAsia="Times New Roman" w:hAnsi="Times New Roman"/>
          <w:sz w:val="28"/>
          <w:szCs w:val="28"/>
          <w:lang w:val="ru-RU" w:eastAsia="bg-BG"/>
        </w:rPr>
      </w:pPr>
    </w:p>
    <w:p w:rsidR="001C1882" w:rsidRDefault="001C1882" w:rsidP="004D24A1">
      <w:pPr>
        <w:spacing w:after="0"/>
        <w:jc w:val="both"/>
        <w:rPr>
          <w:rFonts w:ascii="Times New Roman" w:eastAsia="Times New Roman" w:hAnsi="Times New Roman"/>
          <w:sz w:val="28"/>
          <w:szCs w:val="28"/>
          <w:lang w:val="ru-RU" w:eastAsia="bg-BG"/>
        </w:rPr>
      </w:pPr>
    </w:p>
    <w:p w:rsidR="001C1882" w:rsidRDefault="001C1882" w:rsidP="004D24A1">
      <w:pPr>
        <w:spacing w:after="0"/>
        <w:jc w:val="both"/>
        <w:rPr>
          <w:rFonts w:ascii="Times New Roman" w:eastAsia="Times New Roman" w:hAnsi="Times New Roman"/>
          <w:sz w:val="28"/>
          <w:szCs w:val="28"/>
          <w:lang w:val="ru-RU" w:eastAsia="bg-BG"/>
        </w:rPr>
      </w:pPr>
    </w:p>
    <w:p w:rsidR="001C1882" w:rsidRPr="00B364A7" w:rsidRDefault="001C1882" w:rsidP="004D24A1">
      <w:pPr>
        <w:spacing w:after="0"/>
        <w:jc w:val="both"/>
        <w:rPr>
          <w:rFonts w:ascii="Times New Roman" w:eastAsia="Times New Roman" w:hAnsi="Times New Roman"/>
          <w:sz w:val="28"/>
          <w:szCs w:val="28"/>
          <w:lang w:val="ru-RU" w:eastAsia="bg-BG"/>
        </w:rPr>
      </w:pP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u w:val="thick"/>
          <w:lang w:val="ru-RU" w:eastAsia="bg-BG"/>
        </w:rPr>
      </w:pPr>
      <w:r w:rsidRPr="00B364A7">
        <w:rPr>
          <w:rFonts w:ascii="Times New Roman" w:eastAsia="Times New Roman" w:hAnsi="Times New Roman"/>
          <w:sz w:val="28"/>
          <w:szCs w:val="28"/>
          <w:u w:val="thick"/>
          <w:lang w:val="ru-RU" w:eastAsia="bg-BG"/>
        </w:rPr>
        <w:lastRenderedPageBreak/>
        <w:t>Разбивката на данните за производствата по ЕЗА в СГП:  2021   2020   2019</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u w:val="single"/>
          <w:lang w:val="ru-RU" w:eastAsia="bg-BG"/>
        </w:rPr>
      </w:pPr>
      <w:r w:rsidRPr="00B364A7">
        <w:rPr>
          <w:rFonts w:ascii="Times New Roman" w:eastAsia="Times New Roman" w:hAnsi="Times New Roman"/>
          <w:sz w:val="28"/>
          <w:szCs w:val="28"/>
          <w:u w:val="single"/>
          <w:lang w:val="ru-RU" w:eastAsia="bg-BG"/>
        </w:rPr>
        <w:t xml:space="preserve">Производства по входящи европейски заповеди за арест –  53  </w:t>
      </w:r>
      <w:r w:rsidRPr="00B364A7">
        <w:rPr>
          <w:rFonts w:ascii="Times New Roman" w:eastAsia="Times New Roman" w:hAnsi="Times New Roman"/>
          <w:sz w:val="28"/>
          <w:szCs w:val="28"/>
          <w:u w:val="single"/>
          <w:lang w:val="ru-RU" w:eastAsia="bg-BG"/>
        </w:rPr>
        <w:tab/>
        <w:t xml:space="preserve">     46        40</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допуснато предаване на лица във връзка с ЕЗА –</w:t>
      </w:r>
      <w:r w:rsidRPr="00B364A7">
        <w:rPr>
          <w:rFonts w:ascii="Times New Roman" w:eastAsia="Times New Roman" w:hAnsi="Times New Roman"/>
          <w:sz w:val="28"/>
          <w:szCs w:val="28"/>
          <w:lang w:val="ru-RU" w:eastAsia="bg-BG"/>
        </w:rPr>
        <w:tab/>
        <w:t xml:space="preserve">         27       </w:t>
      </w:r>
      <w:r w:rsidRPr="00B364A7">
        <w:rPr>
          <w:rFonts w:ascii="Times New Roman" w:eastAsia="Times New Roman" w:hAnsi="Times New Roman"/>
          <w:sz w:val="28"/>
          <w:szCs w:val="28"/>
          <w:lang w:val="en-US" w:eastAsia="bg-BG"/>
        </w:rPr>
        <w:t>19</w:t>
      </w:r>
      <w:r w:rsidRPr="00B364A7">
        <w:rPr>
          <w:rFonts w:ascii="Times New Roman" w:eastAsia="Times New Roman" w:hAnsi="Times New Roman"/>
          <w:sz w:val="28"/>
          <w:szCs w:val="28"/>
          <w:lang w:val="ru-RU" w:eastAsia="bg-BG"/>
        </w:rPr>
        <w:tab/>
        <w:t>22</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t>- отложено предаване във връзка с ЕЗА –</w:t>
      </w:r>
      <w:r w:rsidRPr="00B364A7">
        <w:rPr>
          <w:rFonts w:ascii="Times New Roman" w:eastAsia="Times New Roman" w:hAnsi="Times New Roman"/>
          <w:sz w:val="28"/>
          <w:szCs w:val="28"/>
          <w:lang w:val="ru-RU" w:eastAsia="bg-BG"/>
        </w:rPr>
        <w:tab/>
        <w:t xml:space="preserve">           0         </w:t>
      </w:r>
      <w:r w:rsidRPr="00B364A7">
        <w:rPr>
          <w:rFonts w:ascii="Times New Roman" w:eastAsia="Times New Roman" w:hAnsi="Times New Roman"/>
          <w:sz w:val="28"/>
          <w:szCs w:val="28"/>
          <w:lang w:val="en-US" w:eastAsia="bg-BG"/>
        </w:rPr>
        <w:t>1</w:t>
      </w:r>
      <w:r w:rsidRPr="00B364A7">
        <w:rPr>
          <w:rFonts w:ascii="Times New Roman" w:eastAsia="Times New Roman" w:hAnsi="Times New Roman"/>
          <w:sz w:val="28"/>
          <w:szCs w:val="28"/>
          <w:lang w:eastAsia="bg-BG"/>
        </w:rPr>
        <w:t xml:space="preserve">     </w:t>
      </w:r>
      <w:r w:rsidRPr="00B364A7">
        <w:rPr>
          <w:rFonts w:ascii="Times New Roman" w:eastAsia="Times New Roman" w:hAnsi="Times New Roman"/>
          <w:sz w:val="28"/>
          <w:szCs w:val="28"/>
          <w:lang w:val="ru-RU" w:eastAsia="bg-BG"/>
        </w:rPr>
        <w:tab/>
        <w:t>1</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t xml:space="preserve">- изпратени по компетентност – </w:t>
      </w:r>
      <w:r w:rsidRPr="00B364A7">
        <w:rPr>
          <w:rFonts w:ascii="Times New Roman" w:eastAsia="Times New Roman" w:hAnsi="Times New Roman"/>
          <w:sz w:val="28"/>
          <w:szCs w:val="28"/>
          <w:lang w:val="ru-RU" w:eastAsia="bg-BG"/>
        </w:rPr>
        <w:tab/>
        <w:t xml:space="preserve">           2          4</w:t>
      </w:r>
      <w:r w:rsidRPr="00B364A7">
        <w:rPr>
          <w:rFonts w:ascii="Times New Roman" w:eastAsia="Times New Roman" w:hAnsi="Times New Roman"/>
          <w:sz w:val="28"/>
          <w:szCs w:val="28"/>
          <w:lang w:val="ru-RU" w:eastAsia="bg-BG"/>
        </w:rPr>
        <w:tab/>
        <w:t>2</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t xml:space="preserve">- съдебна фаза – </w:t>
      </w:r>
      <w:r w:rsidRPr="00B364A7">
        <w:rPr>
          <w:rFonts w:ascii="Times New Roman" w:eastAsia="Times New Roman" w:hAnsi="Times New Roman"/>
          <w:sz w:val="28"/>
          <w:szCs w:val="28"/>
          <w:lang w:val="ru-RU" w:eastAsia="bg-BG"/>
        </w:rPr>
        <w:tab/>
      </w:r>
      <w:r w:rsidRPr="00B364A7">
        <w:rPr>
          <w:rFonts w:ascii="Times New Roman" w:eastAsia="Times New Roman" w:hAnsi="Times New Roman"/>
          <w:sz w:val="28"/>
          <w:szCs w:val="28"/>
          <w:lang w:val="en-US" w:eastAsia="bg-BG"/>
        </w:rPr>
        <w:t>9</w:t>
      </w:r>
      <w:r w:rsidRPr="00B364A7">
        <w:rPr>
          <w:rFonts w:ascii="Times New Roman" w:eastAsia="Times New Roman" w:hAnsi="Times New Roman"/>
          <w:sz w:val="28"/>
          <w:szCs w:val="28"/>
          <w:lang w:val="ru-RU" w:eastAsia="bg-BG"/>
        </w:rPr>
        <w:tab/>
        <w:t xml:space="preserve">         9          2</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отказано предаване на лица – </w:t>
      </w:r>
      <w:r w:rsidRPr="00B364A7">
        <w:rPr>
          <w:rFonts w:ascii="Times New Roman" w:eastAsia="Times New Roman" w:hAnsi="Times New Roman"/>
          <w:sz w:val="28"/>
          <w:szCs w:val="28"/>
          <w:lang w:val="ru-RU" w:eastAsia="bg-BG"/>
        </w:rPr>
        <w:tab/>
      </w:r>
      <w:r w:rsidRPr="00B364A7">
        <w:rPr>
          <w:rFonts w:ascii="Times New Roman" w:eastAsia="Times New Roman" w:hAnsi="Times New Roman"/>
          <w:sz w:val="28"/>
          <w:szCs w:val="28"/>
          <w:lang w:val="en-US" w:eastAsia="bg-BG"/>
        </w:rPr>
        <w:t>5</w:t>
      </w:r>
      <w:r w:rsidRPr="00B364A7">
        <w:rPr>
          <w:rFonts w:ascii="Times New Roman" w:eastAsia="Times New Roman" w:hAnsi="Times New Roman"/>
          <w:sz w:val="28"/>
          <w:szCs w:val="28"/>
          <w:lang w:val="ru-RU" w:eastAsia="bg-BG"/>
        </w:rPr>
        <w:tab/>
        <w:t xml:space="preserve">         5          7</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 флагирани </w:t>
      </w:r>
      <w:r w:rsidRPr="00B364A7">
        <w:rPr>
          <w:rFonts w:ascii="Times New Roman" w:eastAsia="Times New Roman" w:hAnsi="Times New Roman"/>
          <w:sz w:val="28"/>
          <w:szCs w:val="28"/>
          <w:lang w:val="ru-RU" w:eastAsia="bg-BG"/>
        </w:rPr>
        <w:tab/>
      </w:r>
      <w:r w:rsidRPr="00B364A7">
        <w:rPr>
          <w:rFonts w:ascii="Times New Roman" w:eastAsia="Times New Roman" w:hAnsi="Times New Roman"/>
          <w:sz w:val="28"/>
          <w:szCs w:val="28"/>
          <w:lang w:val="en-US" w:eastAsia="bg-BG"/>
        </w:rPr>
        <w:t>0</w:t>
      </w:r>
      <w:r w:rsidRPr="00B364A7">
        <w:rPr>
          <w:rFonts w:ascii="Times New Roman" w:eastAsia="Times New Roman" w:hAnsi="Times New Roman"/>
          <w:sz w:val="28"/>
          <w:szCs w:val="28"/>
          <w:lang w:val="ru-RU" w:eastAsia="bg-BG"/>
        </w:rPr>
        <w:tab/>
        <w:t xml:space="preserve">         0          0</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чакащи издирване</w:t>
      </w:r>
      <w:r w:rsidRPr="00B364A7">
        <w:rPr>
          <w:rFonts w:ascii="Times New Roman" w:eastAsia="Times New Roman" w:hAnsi="Times New Roman"/>
          <w:sz w:val="28"/>
          <w:szCs w:val="28"/>
          <w:lang w:val="ru-RU" w:eastAsia="bg-BG"/>
        </w:rPr>
        <w:tab/>
        <w:t xml:space="preserve">           0          1</w:t>
      </w:r>
      <w:r w:rsidRPr="00B364A7">
        <w:rPr>
          <w:rFonts w:ascii="Times New Roman" w:eastAsia="Times New Roman" w:hAnsi="Times New Roman"/>
          <w:sz w:val="28"/>
          <w:szCs w:val="28"/>
          <w:lang w:val="ru-RU" w:eastAsia="bg-BG"/>
        </w:rPr>
        <w:tab/>
        <w:t xml:space="preserve"> 2</w:t>
      </w:r>
    </w:p>
    <w:p w:rsidR="0060601E" w:rsidRPr="00B364A7" w:rsidRDefault="0060601E" w:rsidP="004D24A1">
      <w:pPr>
        <w:tabs>
          <w:tab w:val="center" w:pos="709"/>
          <w:tab w:val="center" w:pos="7279"/>
          <w:tab w:val="center" w:pos="8105"/>
          <w:tab w:val="center" w:pos="8889"/>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оттеглени</w:t>
      </w:r>
      <w:r w:rsidRPr="00B364A7">
        <w:rPr>
          <w:rFonts w:ascii="Times New Roman" w:eastAsia="Times New Roman" w:hAnsi="Times New Roman"/>
          <w:sz w:val="28"/>
          <w:szCs w:val="28"/>
          <w:lang w:val="ru-RU" w:eastAsia="bg-BG"/>
        </w:rPr>
        <w:tab/>
        <w:t xml:space="preserve">           6          </w:t>
      </w:r>
      <w:r w:rsidRPr="00B364A7">
        <w:rPr>
          <w:rFonts w:ascii="Times New Roman" w:eastAsia="Times New Roman" w:hAnsi="Times New Roman"/>
          <w:sz w:val="28"/>
          <w:szCs w:val="28"/>
          <w:lang w:val="en-US" w:eastAsia="bg-BG"/>
        </w:rPr>
        <w:t>4</w:t>
      </w:r>
      <w:r w:rsidRPr="00B364A7">
        <w:rPr>
          <w:rFonts w:ascii="Times New Roman" w:eastAsia="Times New Roman" w:hAnsi="Times New Roman"/>
          <w:sz w:val="28"/>
          <w:szCs w:val="28"/>
          <w:lang w:val="ru-RU" w:eastAsia="bg-BG"/>
        </w:rPr>
        <w:tab/>
        <w:t xml:space="preserve"> 4</w:t>
      </w:r>
    </w:p>
    <w:p w:rsidR="0060601E" w:rsidRPr="00B364A7" w:rsidRDefault="0060601E" w:rsidP="004D24A1">
      <w:pPr>
        <w:spacing w:after="0"/>
        <w:rPr>
          <w:rFonts w:ascii="Times New Roman" w:eastAsia="Times New Roman" w:hAnsi="Times New Roman"/>
          <w:sz w:val="28"/>
          <w:szCs w:val="28"/>
          <w:lang w:eastAsia="bg-BG"/>
        </w:rPr>
      </w:pPr>
      <w:r w:rsidRPr="00B364A7">
        <w:rPr>
          <w:rFonts w:ascii="Times New Roman" w:eastAsia="Times New Roman" w:hAnsi="Times New Roman"/>
          <w:sz w:val="28"/>
          <w:szCs w:val="28"/>
          <w:lang w:val="en-US" w:eastAsia="bg-BG"/>
        </w:rPr>
        <w:t>-</w:t>
      </w:r>
      <w:r w:rsidRPr="00B364A7">
        <w:rPr>
          <w:rFonts w:ascii="Times New Roman" w:eastAsia="Times New Roman" w:hAnsi="Times New Roman"/>
          <w:sz w:val="28"/>
          <w:szCs w:val="28"/>
          <w:lang w:eastAsia="bg-BG"/>
        </w:rPr>
        <w:t xml:space="preserve"> освободени                                                                                 1          3          0  </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прекратени производства за 2021г.                                         4          0          0</w:t>
      </w:r>
    </w:p>
    <w:p w:rsidR="0060601E" w:rsidRDefault="003515B0" w:rsidP="004D24A1">
      <w:pPr>
        <w:spacing w:after="0"/>
        <w:jc w:val="both"/>
        <w:rPr>
          <w:rFonts w:ascii="Times New Roman" w:eastAsia="Times New Roman" w:hAnsi="Times New Roman"/>
          <w:sz w:val="28"/>
          <w:szCs w:val="28"/>
          <w:lang w:val="ru-RU" w:eastAsia="bg-BG"/>
        </w:rPr>
      </w:pPr>
      <w:r w:rsidRPr="00241A27">
        <w:rPr>
          <w:noProof/>
          <w:lang w:eastAsia="bg-BG"/>
        </w:rPr>
        <w:drawing>
          <wp:inline distT="0" distB="0" distL="0" distR="0" wp14:anchorId="5ED6E392" wp14:editId="1E535EEB">
            <wp:extent cx="1431290" cy="1971675"/>
            <wp:effectExtent l="0" t="0" r="0" b="0"/>
            <wp:docPr id="38" name="Об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241A27">
        <w:rPr>
          <w:noProof/>
          <w:lang w:eastAsia="bg-BG"/>
        </w:rPr>
        <w:drawing>
          <wp:inline distT="0" distB="0" distL="0" distR="0" wp14:anchorId="0AE329C0" wp14:editId="03EF03A1">
            <wp:extent cx="1447165" cy="2011680"/>
            <wp:effectExtent l="0" t="0" r="0" b="0"/>
            <wp:docPr id="60" name="Об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41A27">
        <w:rPr>
          <w:noProof/>
          <w:lang w:eastAsia="bg-BG"/>
        </w:rPr>
        <w:drawing>
          <wp:inline distT="0" distB="0" distL="0" distR="0" wp14:anchorId="47C562B9" wp14:editId="0BE47C0A">
            <wp:extent cx="2838450" cy="2003425"/>
            <wp:effectExtent l="0" t="0" r="0" b="0"/>
            <wp:docPr id="61" name="Об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60601E" w:rsidRPr="00337B46">
        <w:rPr>
          <w:rFonts w:ascii="Times New Roman" w:eastAsia="Times New Roman" w:hAnsi="Times New Roman"/>
          <w:sz w:val="28"/>
          <w:szCs w:val="28"/>
          <w:lang w:val="ru-RU" w:eastAsia="bg-BG"/>
        </w:rPr>
        <w:t xml:space="preserve">            </w:t>
      </w:r>
    </w:p>
    <w:p w:rsidR="0060601E" w:rsidRPr="00B364A7" w:rsidRDefault="0060601E" w:rsidP="004D24A1">
      <w:pPr>
        <w:spacing w:after="0"/>
        <w:jc w:val="both"/>
        <w:rPr>
          <w:rFonts w:ascii="Times New Roman" w:eastAsia="Times New Roman" w:hAnsi="Times New Roman"/>
          <w:b/>
          <w:sz w:val="20"/>
          <w:szCs w:val="20"/>
          <w:lang w:val="ru-RU" w:eastAsia="bg-BG"/>
        </w:rPr>
      </w:pPr>
      <w:r w:rsidRPr="00B364A7">
        <w:rPr>
          <w:rFonts w:ascii="Times New Roman" w:eastAsia="Times New Roman" w:hAnsi="Times New Roman"/>
          <w:b/>
          <w:sz w:val="20"/>
          <w:szCs w:val="20"/>
          <w:lang w:val="ru-RU" w:eastAsia="bg-BG"/>
        </w:rPr>
        <w:t xml:space="preserve">                         Фиг.3 – Производства по входящи Европейски заповеди за ареста на СГП</w:t>
      </w:r>
    </w:p>
    <w:p w:rsidR="0060601E" w:rsidRPr="00B364A7" w:rsidRDefault="0060601E" w:rsidP="004D24A1">
      <w:pPr>
        <w:spacing w:after="0"/>
        <w:jc w:val="both"/>
        <w:rPr>
          <w:rFonts w:ascii="Times New Roman" w:eastAsia="Times New Roman" w:hAnsi="Times New Roman"/>
          <w:sz w:val="28"/>
          <w:szCs w:val="28"/>
          <w:lang w:val="ru-RU" w:eastAsia="bg-BG"/>
        </w:rPr>
      </w:pPr>
    </w:p>
    <w:p w:rsidR="0060601E" w:rsidRPr="00B364A7" w:rsidRDefault="0060601E" w:rsidP="004D24A1">
      <w:pPr>
        <w:tabs>
          <w:tab w:val="left" w:pos="709"/>
          <w:tab w:val="center" w:pos="7181"/>
          <w:tab w:val="center" w:pos="8021"/>
          <w:tab w:val="center" w:pos="8875"/>
        </w:tabs>
        <w:spacing w:after="0"/>
        <w:jc w:val="both"/>
        <w:rPr>
          <w:rFonts w:ascii="Times New Roman" w:eastAsia="Times New Roman" w:hAnsi="Times New Roman"/>
          <w:sz w:val="28"/>
          <w:szCs w:val="28"/>
          <w:u w:val="single"/>
          <w:lang w:val="ru-RU" w:eastAsia="bg-BG"/>
        </w:rPr>
      </w:pPr>
      <w:r w:rsidRPr="00B364A7">
        <w:rPr>
          <w:rFonts w:ascii="Times New Roman" w:eastAsia="Times New Roman" w:hAnsi="Times New Roman"/>
          <w:sz w:val="28"/>
          <w:szCs w:val="28"/>
          <w:lang w:val="ru-RU" w:eastAsia="bg-BG"/>
        </w:rPr>
        <w:tab/>
      </w:r>
      <w:r w:rsidRPr="00B364A7">
        <w:rPr>
          <w:rFonts w:ascii="Times New Roman" w:eastAsia="Times New Roman" w:hAnsi="Times New Roman"/>
          <w:sz w:val="28"/>
          <w:szCs w:val="28"/>
          <w:u w:val="single"/>
          <w:lang w:val="ru-RU" w:eastAsia="bg-BG"/>
        </w:rPr>
        <w:t>Протести по производства във връзка с ЕЗА –      2021     2020      2019</w:t>
      </w:r>
    </w:p>
    <w:p w:rsidR="0060601E" w:rsidRPr="00B364A7" w:rsidRDefault="0060601E" w:rsidP="004D24A1">
      <w:pPr>
        <w:tabs>
          <w:tab w:val="left" w:pos="709"/>
          <w:tab w:val="center" w:pos="7181"/>
          <w:tab w:val="center" w:pos="8021"/>
          <w:tab w:val="center" w:pos="8875"/>
        </w:tabs>
        <w:spacing w:after="0"/>
        <w:jc w:val="both"/>
        <w:rPr>
          <w:rFonts w:ascii="Times New Roman" w:eastAsia="Times New Roman" w:hAnsi="Times New Roman"/>
          <w:sz w:val="28"/>
          <w:szCs w:val="28"/>
          <w:u w:val="single"/>
          <w:lang w:eastAsia="bg-BG"/>
        </w:rPr>
      </w:pPr>
      <w:r w:rsidRPr="00B364A7">
        <w:rPr>
          <w:rFonts w:ascii="Times New Roman" w:eastAsia="Times New Roman" w:hAnsi="Times New Roman"/>
          <w:sz w:val="28"/>
          <w:szCs w:val="28"/>
          <w:lang w:val="ru-RU" w:eastAsia="bg-BG"/>
        </w:rPr>
        <w:tab/>
      </w:r>
      <w:r w:rsidRPr="00B364A7">
        <w:rPr>
          <w:rFonts w:ascii="Times New Roman" w:eastAsia="Times New Roman" w:hAnsi="Times New Roman"/>
          <w:sz w:val="28"/>
          <w:szCs w:val="28"/>
          <w:u w:val="single"/>
          <w:lang w:val="ru-RU" w:eastAsia="bg-BG"/>
        </w:rPr>
        <w:t xml:space="preserve">По мярка: – </w:t>
      </w:r>
      <w:r w:rsidRPr="00B364A7">
        <w:rPr>
          <w:rFonts w:ascii="Times New Roman" w:eastAsia="Times New Roman" w:hAnsi="Times New Roman"/>
          <w:sz w:val="28"/>
          <w:szCs w:val="28"/>
          <w:u w:val="single"/>
          <w:lang w:val="ru-RU" w:eastAsia="bg-BG"/>
        </w:rPr>
        <w:tab/>
        <w:t xml:space="preserve">    6           5</w:t>
      </w:r>
      <w:r w:rsidRPr="00B364A7">
        <w:rPr>
          <w:rFonts w:ascii="Times New Roman" w:eastAsia="Times New Roman" w:hAnsi="Times New Roman"/>
          <w:sz w:val="28"/>
          <w:szCs w:val="28"/>
          <w:u w:val="single"/>
          <w:lang w:val="ru-RU" w:eastAsia="bg-BG"/>
        </w:rPr>
        <w:tab/>
        <w:t xml:space="preserve">             3</w:t>
      </w:r>
    </w:p>
    <w:p w:rsidR="0060601E" w:rsidRPr="00B364A7" w:rsidRDefault="0060601E" w:rsidP="004D24A1">
      <w:pPr>
        <w:tabs>
          <w:tab w:val="left" w:pos="709"/>
          <w:tab w:val="center" w:pos="7181"/>
          <w:tab w:val="center" w:pos="8021"/>
          <w:tab w:val="center" w:pos="8875"/>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t xml:space="preserve">– неуважен – </w:t>
      </w:r>
      <w:r w:rsidRPr="00B364A7">
        <w:rPr>
          <w:rFonts w:ascii="Times New Roman" w:eastAsia="Times New Roman" w:hAnsi="Times New Roman"/>
          <w:sz w:val="28"/>
          <w:szCs w:val="28"/>
          <w:lang w:val="ru-RU" w:eastAsia="bg-BG"/>
        </w:rPr>
        <w:tab/>
        <w:t xml:space="preserve">   1           4</w:t>
      </w:r>
      <w:r w:rsidRPr="00B364A7">
        <w:rPr>
          <w:rFonts w:ascii="Times New Roman" w:eastAsia="Times New Roman" w:hAnsi="Times New Roman"/>
          <w:sz w:val="28"/>
          <w:szCs w:val="28"/>
          <w:lang w:val="ru-RU" w:eastAsia="bg-BG"/>
        </w:rPr>
        <w:tab/>
        <w:t xml:space="preserve">             0</w:t>
      </w:r>
    </w:p>
    <w:p w:rsidR="0060601E" w:rsidRPr="00B364A7" w:rsidRDefault="0060601E" w:rsidP="004D24A1">
      <w:pPr>
        <w:tabs>
          <w:tab w:val="left" w:pos="709"/>
          <w:tab w:val="center" w:pos="7181"/>
          <w:tab w:val="center" w:pos="8021"/>
          <w:tab w:val="center" w:pos="8875"/>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t xml:space="preserve">– уважен –                                                                    4           1  </w:t>
      </w:r>
      <w:r w:rsidRPr="00B364A7">
        <w:rPr>
          <w:rFonts w:ascii="Times New Roman" w:eastAsia="Times New Roman" w:hAnsi="Times New Roman"/>
          <w:sz w:val="28"/>
          <w:szCs w:val="28"/>
          <w:lang w:val="ru-RU" w:eastAsia="bg-BG"/>
        </w:rPr>
        <w:tab/>
        <w:t xml:space="preserve">            2</w:t>
      </w:r>
    </w:p>
    <w:p w:rsidR="0060601E" w:rsidRPr="00B364A7" w:rsidRDefault="0060601E" w:rsidP="004D24A1">
      <w:pPr>
        <w:tabs>
          <w:tab w:val="left" w:pos="709"/>
          <w:tab w:val="center" w:pos="7181"/>
          <w:tab w:val="center" w:pos="8021"/>
          <w:tab w:val="center" w:pos="8875"/>
        </w:tabs>
        <w:ind w:left="720"/>
        <w:jc w:val="both"/>
        <w:rPr>
          <w:rFonts w:ascii="Times New Roman" w:hAnsi="Times New Roman"/>
          <w:szCs w:val="28"/>
          <w:lang w:eastAsia="bg-BG"/>
        </w:rPr>
      </w:pPr>
      <w:r w:rsidRPr="00B364A7">
        <w:rPr>
          <w:rFonts w:ascii="Times New Roman" w:eastAsia="Times New Roman" w:hAnsi="Times New Roman"/>
          <w:sz w:val="28"/>
          <w:szCs w:val="28"/>
          <w:lang w:val="ru-RU" w:eastAsia="bg-BG"/>
        </w:rPr>
        <w:t xml:space="preserve">– неразгледани –                                                          0           0         </w:t>
      </w:r>
      <w:r w:rsidRPr="00B364A7">
        <w:rPr>
          <w:rFonts w:ascii="Times New Roman" w:eastAsia="Times New Roman" w:hAnsi="Times New Roman"/>
          <w:sz w:val="28"/>
          <w:szCs w:val="28"/>
          <w:lang w:val="ru-RU" w:eastAsia="bg-BG"/>
        </w:rPr>
        <w:tab/>
        <w:t>1</w:t>
      </w:r>
    </w:p>
    <w:p w:rsidR="0060601E" w:rsidRPr="00B364A7" w:rsidRDefault="0060601E" w:rsidP="004D24A1">
      <w:pPr>
        <w:tabs>
          <w:tab w:val="left" w:pos="709"/>
          <w:tab w:val="center" w:pos="7181"/>
          <w:tab w:val="center" w:pos="8021"/>
          <w:tab w:val="center" w:pos="8875"/>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r>
      <w:r w:rsidRPr="00B364A7">
        <w:rPr>
          <w:rFonts w:ascii="Times New Roman" w:eastAsia="Times New Roman" w:hAnsi="Times New Roman"/>
          <w:sz w:val="28"/>
          <w:szCs w:val="28"/>
          <w:u w:val="single"/>
          <w:lang w:val="ru-RU" w:eastAsia="bg-BG"/>
        </w:rPr>
        <w:t xml:space="preserve">Протести по същество във връзка с ЕЗА за отчетните периоди на 2019г., 2020г и 2021г. не са подавани. </w:t>
      </w:r>
    </w:p>
    <w:p w:rsidR="0060601E" w:rsidRPr="00B364A7" w:rsidRDefault="0060601E" w:rsidP="004D24A1">
      <w:pPr>
        <w:spacing w:after="0"/>
        <w:jc w:val="both"/>
        <w:rPr>
          <w:rFonts w:ascii="Times New Roman" w:eastAsia="Times New Roman" w:hAnsi="Times New Roman"/>
          <w:sz w:val="28"/>
          <w:szCs w:val="28"/>
          <w:lang w:eastAsia="bg-BG"/>
        </w:rPr>
      </w:pPr>
    </w:p>
    <w:p w:rsidR="0060601E" w:rsidRPr="00B364A7" w:rsidRDefault="0060601E" w:rsidP="004D24A1">
      <w:pPr>
        <w:spacing w:after="0"/>
        <w:jc w:val="both"/>
        <w:rPr>
          <w:rFonts w:ascii="Times New Roman" w:eastAsia="Times New Roman" w:hAnsi="Times New Roman"/>
          <w:b/>
          <w:sz w:val="28"/>
          <w:szCs w:val="28"/>
          <w:lang w:eastAsia="bg-BG"/>
        </w:rPr>
      </w:pPr>
      <w:r w:rsidRPr="00B364A7">
        <w:rPr>
          <w:rFonts w:ascii="Times New Roman" w:eastAsia="Times New Roman" w:hAnsi="Times New Roman"/>
          <w:b/>
          <w:sz w:val="28"/>
          <w:szCs w:val="28"/>
          <w:lang w:eastAsia="bg-BG"/>
        </w:rPr>
        <w:tab/>
        <w:t>Екстрадиция.</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Екстрадиционните производства в СГП за периода от 01.01.2021 г. до 31.12.2021 г. са били 7 броя като всички са били по искане на други държави, за 2020г. производствата са били 6 броя, за сравнение </w:t>
      </w:r>
      <w:r w:rsidRPr="00B364A7">
        <w:rPr>
          <w:rFonts w:ascii="Times New Roman" w:eastAsia="Times New Roman" w:hAnsi="Times New Roman"/>
          <w:sz w:val="28"/>
          <w:szCs w:val="28"/>
          <w:lang w:eastAsia="bg-BG"/>
        </w:rPr>
        <w:t xml:space="preserve">през 2019г. са били 9 </w:t>
      </w:r>
      <w:r w:rsidRPr="00B364A7">
        <w:rPr>
          <w:rFonts w:ascii="Times New Roman" w:eastAsia="Times New Roman" w:hAnsi="Times New Roman"/>
          <w:sz w:val="28"/>
          <w:szCs w:val="28"/>
          <w:lang w:val="ru-RU" w:eastAsia="bg-BG"/>
        </w:rPr>
        <w:t xml:space="preserve">броя (всички по входящи производства). </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При сравнение на данните с предходния отчетен период се наблюдава леко намаление в броя на входящите екстрадиционни производства с 16,67 % , и с 22,22 % по-малко спрямо данните за 2019 г.  </w:t>
      </w:r>
    </w:p>
    <w:p w:rsidR="0060601E" w:rsidRPr="00337B46" w:rsidRDefault="0060601E" w:rsidP="004D24A1">
      <w:pPr>
        <w:spacing w:after="0"/>
        <w:jc w:val="both"/>
        <w:rPr>
          <w:rFonts w:ascii="Times New Roman" w:eastAsia="Times New Roman" w:hAnsi="Times New Roman"/>
          <w:b/>
          <w:color w:val="00B050"/>
          <w:sz w:val="28"/>
          <w:szCs w:val="28"/>
          <w:lang w:val="ru-RU" w:eastAsia="bg-BG"/>
        </w:rPr>
      </w:pPr>
      <w:r w:rsidRPr="00337B46">
        <w:rPr>
          <w:rFonts w:ascii="Times New Roman" w:eastAsia="Times New Roman" w:hAnsi="Times New Roman"/>
          <w:color w:val="00B050"/>
          <w:sz w:val="28"/>
          <w:szCs w:val="28"/>
          <w:lang w:val="ru-RU" w:eastAsia="bg-BG"/>
        </w:rPr>
        <w:lastRenderedPageBreak/>
        <w:tab/>
      </w:r>
      <w:r w:rsidRPr="00337B46">
        <w:rPr>
          <w:rFonts w:ascii="Times New Roman" w:eastAsia="Times New Roman" w:hAnsi="Times New Roman"/>
          <w:b/>
          <w:color w:val="00B050"/>
          <w:sz w:val="28"/>
          <w:szCs w:val="28"/>
          <w:lang w:val="ru-RU" w:eastAsia="bg-BG"/>
        </w:rPr>
        <w:tab/>
      </w:r>
    </w:p>
    <w:p w:rsidR="0060601E" w:rsidRPr="00337B46" w:rsidRDefault="003515B0" w:rsidP="004D24A1">
      <w:pPr>
        <w:spacing w:after="0"/>
        <w:ind w:right="-97"/>
        <w:jc w:val="both"/>
        <w:rPr>
          <w:rFonts w:ascii="Times New Roman" w:eastAsia="Times New Roman" w:hAnsi="Times New Roman"/>
          <w:color w:val="00B050"/>
          <w:sz w:val="28"/>
          <w:szCs w:val="28"/>
          <w:lang w:val="ru-RU" w:eastAsia="bg-BG"/>
        </w:rPr>
      </w:pPr>
      <w:r w:rsidRPr="00241A27">
        <w:rPr>
          <w:noProof/>
          <w:lang w:eastAsia="bg-BG"/>
        </w:rPr>
        <w:drawing>
          <wp:inline distT="0" distB="0" distL="0" distR="0" wp14:anchorId="74E53A7E" wp14:editId="2D501AE7">
            <wp:extent cx="1630045" cy="1733550"/>
            <wp:effectExtent l="0" t="0" r="0" b="0"/>
            <wp:docPr id="39" name="Об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241A27">
        <w:rPr>
          <w:noProof/>
          <w:lang w:eastAsia="bg-BG"/>
        </w:rPr>
        <w:drawing>
          <wp:inline distT="0" distB="0" distL="0" distR="0" wp14:anchorId="7A6920FB" wp14:editId="477383FB">
            <wp:extent cx="1685925" cy="1788795"/>
            <wp:effectExtent l="0" t="0" r="0" b="0"/>
            <wp:docPr id="62" name="Об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241A27">
        <w:rPr>
          <w:noProof/>
          <w:lang w:eastAsia="bg-BG"/>
        </w:rPr>
        <w:drawing>
          <wp:inline distT="0" distB="0" distL="0" distR="0" wp14:anchorId="2E232BDB" wp14:editId="105C87C6">
            <wp:extent cx="2138680" cy="1637665"/>
            <wp:effectExtent l="0" t="0" r="0" b="0"/>
            <wp:docPr id="63" name="Об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0601E" w:rsidRPr="00B364A7" w:rsidRDefault="0060601E" w:rsidP="004D24A1">
      <w:pPr>
        <w:spacing w:after="0"/>
        <w:jc w:val="both"/>
        <w:rPr>
          <w:rFonts w:ascii="Times New Roman" w:eastAsia="Times New Roman" w:hAnsi="Times New Roman"/>
          <w:b/>
          <w:sz w:val="20"/>
          <w:szCs w:val="20"/>
          <w:lang w:val="ru-RU" w:eastAsia="bg-BG"/>
        </w:rPr>
      </w:pPr>
      <w:r w:rsidRPr="00B364A7">
        <w:rPr>
          <w:rFonts w:ascii="Times New Roman" w:eastAsia="Times New Roman" w:hAnsi="Times New Roman"/>
          <w:b/>
          <w:sz w:val="20"/>
          <w:szCs w:val="20"/>
          <w:lang w:val="ru-RU" w:eastAsia="bg-BG"/>
        </w:rPr>
        <w:t xml:space="preserve">          Фиг.4 Екстрадиционни входящи производства на присъди от чуждестранни съдилища</w:t>
      </w:r>
    </w:p>
    <w:p w:rsidR="0060601E" w:rsidRPr="00B364A7" w:rsidRDefault="0060601E" w:rsidP="004D24A1">
      <w:pPr>
        <w:spacing w:after="0"/>
        <w:jc w:val="both"/>
        <w:rPr>
          <w:rFonts w:ascii="Times New Roman" w:eastAsia="Times New Roman" w:hAnsi="Times New Roman"/>
          <w:b/>
          <w:sz w:val="20"/>
          <w:szCs w:val="20"/>
          <w:lang w:val="ru-RU" w:eastAsia="bg-BG"/>
        </w:rPr>
      </w:pPr>
      <w:r w:rsidRPr="00B364A7">
        <w:rPr>
          <w:rFonts w:ascii="Times New Roman" w:eastAsia="Times New Roman" w:hAnsi="Times New Roman"/>
          <w:b/>
          <w:sz w:val="20"/>
          <w:szCs w:val="20"/>
          <w:lang w:val="ru-RU" w:eastAsia="bg-BG"/>
        </w:rPr>
        <w:t xml:space="preserve">                      приети за изпълнение в периода 2019 г.- 2021 г.</w:t>
      </w:r>
    </w:p>
    <w:p w:rsidR="0060601E" w:rsidRPr="00B364A7" w:rsidRDefault="0060601E" w:rsidP="004D24A1">
      <w:pPr>
        <w:spacing w:after="0"/>
        <w:jc w:val="both"/>
        <w:rPr>
          <w:rFonts w:ascii="Times New Roman" w:eastAsia="Times New Roman" w:hAnsi="Times New Roman"/>
          <w:sz w:val="28"/>
          <w:szCs w:val="28"/>
          <w:lang w:val="ru-RU" w:eastAsia="bg-BG"/>
        </w:rPr>
      </w:pP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Разбивка на данните за Екстрадиционните производства по присъди за периода, както следва:                              </w:t>
      </w:r>
    </w:p>
    <w:p w:rsidR="0060601E" w:rsidRPr="00B364A7" w:rsidRDefault="0060601E" w:rsidP="004D24A1">
      <w:pPr>
        <w:spacing w:after="0"/>
        <w:ind w:left="4248" w:firstLine="708"/>
        <w:jc w:val="both"/>
        <w:rPr>
          <w:rFonts w:ascii="Times New Roman" w:eastAsia="Times New Roman" w:hAnsi="Times New Roman"/>
          <w:sz w:val="28"/>
          <w:szCs w:val="28"/>
          <w:u w:val="thick"/>
          <w:lang w:val="ru-RU" w:eastAsia="bg-BG"/>
        </w:rPr>
      </w:pPr>
      <w:r w:rsidRPr="00B364A7">
        <w:rPr>
          <w:rFonts w:ascii="Times New Roman" w:eastAsia="Times New Roman" w:hAnsi="Times New Roman"/>
          <w:sz w:val="28"/>
          <w:szCs w:val="28"/>
          <w:u w:val="thick"/>
          <w:lang w:val="ru-RU" w:eastAsia="bg-BG"/>
        </w:rPr>
        <w:t xml:space="preserve">  2021 г.        2020 г.          2019 г.</w:t>
      </w:r>
    </w:p>
    <w:p w:rsidR="0060601E" w:rsidRPr="00B364A7" w:rsidRDefault="0060601E" w:rsidP="004D24A1">
      <w:pPr>
        <w:pBdr>
          <w:bottom w:val="single" w:sz="4" w:space="1" w:color="auto"/>
        </w:pBd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Екстрадиционни входящи производства – </w:t>
      </w:r>
      <w:r w:rsidRPr="00B364A7">
        <w:rPr>
          <w:rFonts w:ascii="Times New Roman" w:eastAsia="Times New Roman" w:hAnsi="Times New Roman"/>
          <w:sz w:val="28"/>
          <w:szCs w:val="28"/>
          <w:lang w:val="ru-RU" w:eastAsia="bg-BG"/>
        </w:rPr>
        <w:tab/>
        <w:t xml:space="preserve">    7                  6</w:t>
      </w:r>
      <w:r w:rsidRPr="00B364A7">
        <w:rPr>
          <w:rFonts w:ascii="Times New Roman" w:eastAsia="Times New Roman" w:hAnsi="Times New Roman"/>
          <w:sz w:val="28"/>
          <w:szCs w:val="28"/>
          <w:lang w:val="ru-RU" w:eastAsia="bg-BG"/>
        </w:rPr>
        <w:tab/>
        <w:t>9</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предадени лица – </w:t>
      </w:r>
      <w:r w:rsidRPr="00B364A7">
        <w:rPr>
          <w:rFonts w:ascii="Times New Roman" w:eastAsia="Times New Roman" w:hAnsi="Times New Roman"/>
          <w:sz w:val="28"/>
          <w:szCs w:val="28"/>
          <w:lang w:val="ru-RU" w:eastAsia="bg-BG"/>
        </w:rPr>
        <w:tab/>
        <w:t xml:space="preserve">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1                  </w:t>
      </w:r>
      <w:r>
        <w:rPr>
          <w:rFonts w:ascii="Times New Roman" w:eastAsia="Times New Roman" w:hAnsi="Times New Roman"/>
          <w:sz w:val="28"/>
          <w:szCs w:val="28"/>
          <w:lang w:val="ru-RU" w:eastAsia="bg-BG"/>
        </w:rPr>
        <w:t xml:space="preserve">5                 </w:t>
      </w:r>
      <w:r w:rsidRPr="00B364A7">
        <w:rPr>
          <w:rFonts w:ascii="Times New Roman" w:eastAsia="Times New Roman" w:hAnsi="Times New Roman"/>
          <w:sz w:val="28"/>
          <w:szCs w:val="28"/>
          <w:lang w:val="ru-RU" w:eastAsia="bg-BG"/>
        </w:rPr>
        <w:t>5</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отказано предаване – </w:t>
      </w:r>
      <w:r w:rsidRPr="00B364A7">
        <w:rPr>
          <w:rFonts w:ascii="Times New Roman" w:eastAsia="Times New Roman" w:hAnsi="Times New Roman"/>
          <w:sz w:val="28"/>
          <w:szCs w:val="28"/>
          <w:lang w:val="ru-RU" w:eastAsia="bg-BG"/>
        </w:rPr>
        <w:tab/>
        <w:t xml:space="preserve"> 0</w:t>
      </w:r>
      <w:r w:rsidRPr="00B364A7">
        <w:rPr>
          <w:rFonts w:ascii="Times New Roman" w:eastAsia="Times New Roman" w:hAnsi="Times New Roman"/>
          <w:sz w:val="28"/>
          <w:szCs w:val="28"/>
          <w:lang w:val="ru-RU" w:eastAsia="bg-BG"/>
        </w:rPr>
        <w:tab/>
        <w:t xml:space="preserve">                 0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прекратени – </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 xml:space="preserve">                  0            </w:t>
      </w:r>
      <w:r w:rsidRPr="00B364A7">
        <w:rPr>
          <w:rFonts w:ascii="Times New Roman" w:eastAsia="Times New Roman" w:hAnsi="Times New Roman"/>
          <w:sz w:val="18"/>
          <w:szCs w:val="18"/>
          <w:lang w:val="ru-RU" w:eastAsia="bg-BG"/>
        </w:rPr>
        <w:t xml:space="preserve"> </w:t>
      </w:r>
      <w:r w:rsidRPr="00B364A7">
        <w:rPr>
          <w:rFonts w:ascii="Times New Roman" w:eastAsia="Times New Roman" w:hAnsi="Times New Roman"/>
          <w:sz w:val="28"/>
          <w:szCs w:val="28"/>
          <w:lang w:val="ru-RU" w:eastAsia="bg-BG"/>
        </w:rPr>
        <w:t xml:space="preserve">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освободени – </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 xml:space="preserve">                  0         </w:t>
      </w:r>
      <w:r w:rsidRPr="00B364A7">
        <w:rPr>
          <w:rFonts w:ascii="Times New Roman" w:eastAsia="Times New Roman" w:hAnsi="Times New Roman"/>
          <w:sz w:val="20"/>
          <w:szCs w:val="20"/>
          <w:lang w:val="ru-RU" w:eastAsia="bg-BG"/>
        </w:rPr>
        <w:t xml:space="preserve"> </w:t>
      </w:r>
      <w:r w:rsidRPr="00B364A7">
        <w:rPr>
          <w:rFonts w:ascii="Times New Roman" w:eastAsia="Times New Roman" w:hAnsi="Times New Roman"/>
          <w:sz w:val="28"/>
          <w:szCs w:val="28"/>
          <w:lang w:val="ru-RU" w:eastAsia="bg-BG"/>
        </w:rPr>
        <w:t xml:space="preserve">       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чакащи издирване – </w:t>
      </w:r>
      <w:r w:rsidRPr="00B364A7">
        <w:rPr>
          <w:rFonts w:ascii="Times New Roman" w:eastAsia="Times New Roman" w:hAnsi="Times New Roman"/>
          <w:sz w:val="28"/>
          <w:szCs w:val="28"/>
          <w:lang w:val="ru-RU" w:eastAsia="bg-BG"/>
        </w:rPr>
        <w:tab/>
        <w:t>2</w:t>
      </w:r>
      <w:r w:rsidRPr="00B364A7">
        <w:rPr>
          <w:rFonts w:ascii="Times New Roman" w:eastAsia="Times New Roman" w:hAnsi="Times New Roman"/>
          <w:sz w:val="28"/>
          <w:szCs w:val="28"/>
          <w:lang w:val="ru-RU" w:eastAsia="bg-BG"/>
        </w:rPr>
        <w:tab/>
        <w:t xml:space="preserve">                  1                 2</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съдебна фаза – </w:t>
      </w:r>
      <w:r w:rsidRPr="00B364A7">
        <w:rPr>
          <w:rFonts w:ascii="Times New Roman" w:eastAsia="Times New Roman" w:hAnsi="Times New Roman"/>
          <w:sz w:val="28"/>
          <w:szCs w:val="28"/>
          <w:lang w:val="ru-RU" w:eastAsia="bg-BG"/>
        </w:rPr>
        <w:tab/>
        <w:t>2</w:t>
      </w:r>
      <w:r w:rsidRPr="00B364A7">
        <w:rPr>
          <w:rFonts w:ascii="Times New Roman" w:eastAsia="Times New Roman" w:hAnsi="Times New Roman"/>
          <w:sz w:val="28"/>
          <w:szCs w:val="28"/>
          <w:lang w:val="ru-RU" w:eastAsia="bg-BG"/>
        </w:rPr>
        <w:tab/>
        <w:t xml:space="preserve">                  0                 1</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отложено предаване – </w:t>
      </w:r>
      <w:r w:rsidRPr="00B364A7">
        <w:rPr>
          <w:rFonts w:ascii="Times New Roman" w:eastAsia="Times New Roman" w:hAnsi="Times New Roman"/>
          <w:sz w:val="28"/>
          <w:szCs w:val="28"/>
          <w:lang w:val="ru-RU" w:eastAsia="bg-BG"/>
        </w:rPr>
        <w:tab/>
        <w:t xml:space="preserve">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1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0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 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оттеглени – </w:t>
      </w:r>
      <w:r w:rsidRPr="00B364A7">
        <w:rPr>
          <w:rFonts w:ascii="Times New Roman" w:eastAsia="Times New Roman" w:hAnsi="Times New Roman"/>
          <w:sz w:val="28"/>
          <w:szCs w:val="28"/>
          <w:lang w:val="ru-RU" w:eastAsia="bg-BG"/>
        </w:rPr>
        <w:tab/>
        <w:t xml:space="preserve">                                     </w:t>
      </w:r>
      <w:r w:rsidRPr="00B364A7">
        <w:rPr>
          <w:rFonts w:ascii="Times New Roman" w:eastAsia="Times New Roman" w:hAnsi="Times New Roman"/>
          <w:sz w:val="16"/>
          <w:szCs w:val="16"/>
          <w:lang w:val="ru-RU" w:eastAsia="bg-BG"/>
        </w:rPr>
        <w:t xml:space="preserve"> </w:t>
      </w:r>
      <w:r w:rsidRPr="00B364A7">
        <w:rPr>
          <w:rFonts w:ascii="Times New Roman" w:eastAsia="Times New Roman" w:hAnsi="Times New Roman"/>
          <w:sz w:val="28"/>
          <w:szCs w:val="28"/>
          <w:lang w:val="ru-RU" w:eastAsia="bg-BG"/>
        </w:rPr>
        <w:t xml:space="preserve">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0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0                 1</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          - чакащи предаване –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1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 xml:space="preserve">0              </w:t>
      </w:r>
      <w:r>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val="ru-RU" w:eastAsia="bg-BG"/>
        </w:rPr>
        <w:t>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Протести в производства по екстрадиция –   1</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1</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 xml:space="preserve">Протест по мярка – </w:t>
      </w:r>
      <w:r w:rsidRPr="00B364A7">
        <w:rPr>
          <w:rFonts w:ascii="Times New Roman" w:eastAsia="Times New Roman" w:hAnsi="Times New Roman"/>
          <w:sz w:val="28"/>
          <w:szCs w:val="28"/>
          <w:lang w:val="ru-RU" w:eastAsia="bg-BG"/>
        </w:rPr>
        <w:tab/>
        <w:t>1</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1</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 неуважен – </w:t>
      </w:r>
      <w:r w:rsidRPr="00B364A7">
        <w:rPr>
          <w:rFonts w:ascii="Times New Roman" w:eastAsia="Times New Roman" w:hAnsi="Times New Roman"/>
          <w:sz w:val="28"/>
          <w:szCs w:val="28"/>
          <w:lang w:val="ru-RU" w:eastAsia="bg-BG"/>
        </w:rPr>
        <w:tab/>
        <w:t>1</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1</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 xml:space="preserve">          - неразгледан –  </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 xml:space="preserve">Протест по същество – </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0</w:t>
      </w:r>
    </w:p>
    <w:p w:rsidR="0060601E" w:rsidRPr="00B364A7" w:rsidRDefault="0060601E" w:rsidP="004D24A1">
      <w:pPr>
        <w:tabs>
          <w:tab w:val="left" w:pos="709"/>
          <w:tab w:val="center" w:pos="5390"/>
          <w:tab w:val="center" w:pos="6845"/>
          <w:tab w:val="center" w:pos="8231"/>
        </w:tabs>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val="ru-RU" w:eastAsia="bg-BG"/>
        </w:rPr>
        <w:tab/>
        <w:t xml:space="preserve">- неуважен – </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0</w:t>
      </w:r>
      <w:r w:rsidRPr="00B364A7">
        <w:rPr>
          <w:rFonts w:ascii="Times New Roman" w:eastAsia="Times New Roman" w:hAnsi="Times New Roman"/>
          <w:sz w:val="28"/>
          <w:szCs w:val="28"/>
          <w:lang w:val="ru-RU" w:eastAsia="bg-BG"/>
        </w:rPr>
        <w:tab/>
        <w:t>0</w:t>
      </w:r>
    </w:p>
    <w:p w:rsidR="0060601E" w:rsidRPr="00B364A7" w:rsidRDefault="0060601E" w:rsidP="004D24A1">
      <w:pPr>
        <w:spacing w:after="0"/>
        <w:jc w:val="both"/>
        <w:rPr>
          <w:rFonts w:ascii="Times New Roman" w:eastAsia="Times New Roman" w:hAnsi="Times New Roman"/>
          <w:b/>
          <w:sz w:val="28"/>
          <w:szCs w:val="28"/>
          <w:lang w:val="ru-RU" w:eastAsia="bg-BG"/>
        </w:rPr>
      </w:pPr>
    </w:p>
    <w:p w:rsidR="0060601E" w:rsidRPr="00B364A7" w:rsidRDefault="0060601E" w:rsidP="004D24A1">
      <w:pPr>
        <w:spacing w:after="0"/>
        <w:ind w:firstLine="708"/>
        <w:jc w:val="both"/>
        <w:rPr>
          <w:rFonts w:ascii="Times New Roman" w:eastAsia="Times New Roman" w:hAnsi="Times New Roman"/>
          <w:b/>
          <w:sz w:val="28"/>
          <w:szCs w:val="28"/>
          <w:lang w:val="ru-RU" w:eastAsia="bg-BG"/>
        </w:rPr>
      </w:pPr>
      <w:r w:rsidRPr="00B364A7">
        <w:rPr>
          <w:rFonts w:ascii="Times New Roman" w:eastAsia="Times New Roman" w:hAnsi="Times New Roman"/>
          <w:b/>
          <w:sz w:val="28"/>
          <w:szCs w:val="28"/>
          <w:lang w:val="ru-RU" w:eastAsia="bg-BG"/>
        </w:rPr>
        <w:t xml:space="preserve">Трансфер на наказателни производства. </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В отчетния период 01.01.2021 г. – 31.12.2021 г. трансферните производства в СГП и СРП са били общо 17 броя, за 2020г. са били 7 броя, за 2019 г. техният брой е бил 3 броя. </w:t>
      </w:r>
    </w:p>
    <w:p w:rsidR="0060601E" w:rsidRPr="00B364A7" w:rsidRDefault="0060601E" w:rsidP="004D24A1">
      <w:pPr>
        <w:spacing w:after="0"/>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ab/>
        <w:t xml:space="preserve">За 2021г. в СГП са били образувани 9 преписки по входящи от чужди държави трансферни производства, в СРП са били образувани 9 броя. За сравнение през 2020 г. в СГП са образувани 2 броя преписки по трансферни </w:t>
      </w:r>
      <w:r w:rsidRPr="00B364A7">
        <w:rPr>
          <w:rFonts w:ascii="Times New Roman" w:eastAsia="Times New Roman" w:hAnsi="Times New Roman"/>
          <w:sz w:val="28"/>
          <w:szCs w:val="28"/>
          <w:lang w:val="ru-RU" w:eastAsia="bg-BG"/>
        </w:rPr>
        <w:lastRenderedPageBreak/>
        <w:t xml:space="preserve">производства, а в СРП 5 броя (общо за СГП и СРП - 7 производства, всичките входящи такива), за отчетения период на 2019г. трансферните производства в СГП са били отново 2, а за СРП е имало 1 брой инициирано по искане на чужда държава трансферно производство (общо за СГП и СРП - 3 производства). </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На база сравнителен анализ на цифрите се установява, че през 2021 г. трансфера на наказателни производства от страна на СГП и СРП са с увеличени в сравнение със същия период на 2020г. 10 броя или 142,86%, а в сравнение със същия период на 2019 г. са се увеличили с 14 броя или с 466,67 % в сравнение с 2021г. </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 xml:space="preserve">Би могло да се обобщи, че институтът на трансферното производство като начин за работа бива избягван основно заради крайните неудовлетворяващи наблюдаващите и изпълняващите страни резултати. </w:t>
      </w:r>
    </w:p>
    <w:p w:rsidR="0060601E" w:rsidRPr="00B364A7" w:rsidRDefault="0060601E" w:rsidP="004D24A1">
      <w:pPr>
        <w:spacing w:after="0"/>
        <w:jc w:val="both"/>
        <w:rPr>
          <w:rFonts w:ascii="Times New Roman" w:eastAsia="Times New Roman" w:hAnsi="Times New Roman"/>
          <w:sz w:val="28"/>
          <w:szCs w:val="28"/>
          <w:lang w:val="en-US" w:eastAsia="bg-BG"/>
        </w:rPr>
      </w:pPr>
      <w:r w:rsidRPr="00B364A7">
        <w:rPr>
          <w:rFonts w:ascii="Times New Roman" w:eastAsia="Times New Roman" w:hAnsi="Times New Roman"/>
          <w:sz w:val="28"/>
          <w:szCs w:val="28"/>
          <w:lang w:val="ru-RU" w:eastAsia="bg-BG"/>
        </w:rPr>
        <w:tab/>
      </w:r>
    </w:p>
    <w:p w:rsidR="0060601E" w:rsidRPr="00B364A7" w:rsidRDefault="0060601E" w:rsidP="004D24A1">
      <w:pPr>
        <w:spacing w:after="0"/>
        <w:jc w:val="both"/>
        <w:rPr>
          <w:rFonts w:ascii="Times New Roman" w:eastAsia="Times New Roman" w:hAnsi="Times New Roman"/>
          <w:b/>
          <w:sz w:val="28"/>
          <w:szCs w:val="28"/>
        </w:rPr>
      </w:pPr>
      <w:r w:rsidRPr="00B364A7">
        <w:rPr>
          <w:rFonts w:ascii="Times New Roman" w:eastAsia="Times New Roman" w:hAnsi="Times New Roman"/>
          <w:b/>
          <w:sz w:val="28"/>
          <w:szCs w:val="28"/>
        </w:rPr>
        <w:tab/>
        <w:t>Процедури по чл. 480 от НПК и чл. 483-484 от НПК.</w:t>
      </w:r>
    </w:p>
    <w:p w:rsidR="0060601E" w:rsidRPr="00B364A7" w:rsidRDefault="0060601E" w:rsidP="004D24A1">
      <w:pPr>
        <w:spacing w:after="0"/>
        <w:jc w:val="both"/>
        <w:rPr>
          <w:rFonts w:ascii="Times New Roman" w:eastAsia="Times New Roman" w:hAnsi="Times New Roman"/>
          <w:sz w:val="28"/>
          <w:szCs w:val="28"/>
        </w:rPr>
      </w:pPr>
      <w:r w:rsidRPr="00B364A7">
        <w:rPr>
          <w:rFonts w:ascii="Times New Roman" w:eastAsia="Times New Roman" w:hAnsi="Times New Roman"/>
          <w:sz w:val="28"/>
          <w:szCs w:val="28"/>
        </w:rPr>
        <w:tab/>
        <w:t xml:space="preserve">За периода 01.01.2021 г. – 31.12.2021 г. се запазва тенденцията както и при предходните две години да не се ползват от страна на СГП и СРП възможностите за образуване на наказателно производство при субсидиарна компетентност, следователно за пореден отчетен период не са налични решения в хипотезата на чл. 480 от НПК, в това числа не са водени консултации в обхвата на правните възможности по чл. 483 - чл. 484 от НПК от страна на СГП и СРП с чуждестранни партньори. </w:t>
      </w:r>
    </w:p>
    <w:p w:rsidR="0060601E" w:rsidRPr="00B364A7" w:rsidRDefault="0060601E" w:rsidP="004D24A1">
      <w:pPr>
        <w:spacing w:after="0"/>
        <w:jc w:val="both"/>
        <w:rPr>
          <w:rFonts w:ascii="Times New Roman" w:eastAsia="Times New Roman" w:hAnsi="Times New Roman"/>
          <w:sz w:val="28"/>
          <w:szCs w:val="28"/>
        </w:rPr>
      </w:pPr>
      <w:r w:rsidRPr="00B364A7">
        <w:rPr>
          <w:rFonts w:ascii="Times New Roman" w:eastAsia="Times New Roman" w:hAnsi="Times New Roman"/>
          <w:sz w:val="28"/>
          <w:szCs w:val="28"/>
        </w:rPr>
        <w:tab/>
      </w:r>
    </w:p>
    <w:p w:rsidR="0060601E" w:rsidRPr="00B364A7" w:rsidRDefault="0060601E" w:rsidP="004D24A1">
      <w:pPr>
        <w:spacing w:after="0"/>
        <w:ind w:firstLine="708"/>
        <w:jc w:val="both"/>
        <w:rPr>
          <w:rFonts w:ascii="Times New Roman" w:eastAsia="Times New Roman" w:hAnsi="Times New Roman"/>
          <w:b/>
          <w:sz w:val="28"/>
          <w:szCs w:val="28"/>
          <w:lang w:val="ru-RU" w:eastAsia="bg-BG"/>
        </w:rPr>
      </w:pPr>
      <w:r w:rsidRPr="00B364A7">
        <w:rPr>
          <w:rFonts w:ascii="Times New Roman" w:eastAsia="Times New Roman" w:hAnsi="Times New Roman"/>
          <w:b/>
          <w:sz w:val="28"/>
          <w:szCs w:val="28"/>
          <w:lang w:val="ru-RU" w:eastAsia="bg-BG"/>
        </w:rPr>
        <w:t xml:space="preserve">Участие на прокурори в процедура по признаване и изпълнение на присъди на чужд съд. </w:t>
      </w:r>
      <w:r w:rsidRPr="00B364A7">
        <w:rPr>
          <w:rFonts w:ascii="Times New Roman" w:eastAsia="Times New Roman" w:hAnsi="Times New Roman"/>
          <w:b/>
          <w:sz w:val="28"/>
          <w:szCs w:val="28"/>
          <w:lang w:val="ru-RU" w:eastAsia="bg-BG"/>
        </w:rPr>
        <w:tab/>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lang w:val="ru-RU" w:eastAsia="bg-BG"/>
        </w:rPr>
        <w:t xml:space="preserve">За периода на настоящия анализ - 01.01.2021г. – 31.12.2021г. прокурорите от СГП са взели участие в 206 броя заседания във връзка с признаване и изпълнение на присъди на чуждестранни съдилища (екзекватури), като тези заседания са били във връзка с признатите 33 присъди на чуждестранен съд (по брой лица) и отхвърлените 2 искания (непризнати присъди). За същия периода на 01.01.2020 г. – 31.12.2020 г. прокурорите от СГП са взели участие в 73 броя заседания във връзка с признаване и изпълнение на присъди на чуждестранни съдилища (екзекватури), като тези заседания са били във връзка с признатите 44 присъди на чуждестранен съд (по брой лица) и отхвърлените 29 искания (непризнати присъди). За предходния отчетен период на 2019г. пък прокурорите от СГП са взели участие в 171 броя заседания във връзка с </w:t>
      </w:r>
      <w:r w:rsidRPr="00B364A7">
        <w:rPr>
          <w:rFonts w:ascii="Times New Roman" w:eastAsia="Times New Roman" w:hAnsi="Times New Roman"/>
          <w:sz w:val="28"/>
          <w:szCs w:val="28"/>
        </w:rPr>
        <w:t xml:space="preserve">признаване и изпълнение на присъди на чуждестранни съдилища (екзекватури), като тези заседания са били във връзка с признатите 56 </w:t>
      </w:r>
      <w:r w:rsidRPr="00B364A7">
        <w:rPr>
          <w:rFonts w:ascii="Times New Roman" w:eastAsia="Times New Roman" w:hAnsi="Times New Roman"/>
          <w:sz w:val="28"/>
          <w:szCs w:val="28"/>
        </w:rPr>
        <w:lastRenderedPageBreak/>
        <w:t xml:space="preserve">присъди на чуждестранен съд. Съдебните производства в които са участвали прокурори по признаване на чуждестранни присъди през 2021г. са се увеличили със 133 броя в сравнение с 2020г. или с 182,2%, а в сравнение с 2019г. са се увеличили с 35 броя или с 20,47%. </w:t>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rPr>
        <w:t>Сравнителният анализ на цифрите за 2021г. сочи намаление в броя на признатите чуждестранни присъди с 11 броя или 25% по-малко в сравнение с данните за 2020г., а спрямо 2019г. - с 23 броя по-малко или 41,07% намаляване на броя на признатите чуждестранни присъди по брой лица.</w:t>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rPr>
        <w:t>Данните за тригодишния отчетен перидо при отхвърлените искания-непризнати присъди по брой лица показват, че в СГП през 2021г. техния броя е намалял с 27 броя в сравнение с 2020г. или с 93,1%.</w:t>
      </w:r>
    </w:p>
    <w:p w:rsidR="0060601E" w:rsidRDefault="0060601E" w:rsidP="004D24A1">
      <w:pPr>
        <w:spacing w:after="0"/>
        <w:jc w:val="both"/>
      </w:pPr>
      <w:r w:rsidRPr="00337B46">
        <w:rPr>
          <w:rFonts w:ascii="Times New Roman" w:eastAsia="Times New Roman" w:hAnsi="Times New Roman"/>
          <w:sz w:val="28"/>
          <w:szCs w:val="28"/>
        </w:rPr>
        <w:t xml:space="preserve"> </w:t>
      </w:r>
      <w:r w:rsidR="003515B0" w:rsidRPr="00241A27">
        <w:rPr>
          <w:noProof/>
          <w:lang w:eastAsia="bg-BG"/>
        </w:rPr>
        <w:drawing>
          <wp:inline distT="0" distB="0" distL="0" distR="0" wp14:anchorId="1901E78A" wp14:editId="1FFCF259">
            <wp:extent cx="5693410" cy="2099310"/>
            <wp:effectExtent l="0" t="0" r="0" b="0"/>
            <wp:docPr id="40" name="Об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0601E" w:rsidRPr="00B364A7" w:rsidRDefault="0060601E" w:rsidP="004D24A1">
      <w:pPr>
        <w:spacing w:after="0"/>
        <w:jc w:val="both"/>
        <w:rPr>
          <w:rFonts w:ascii="Times New Roman" w:eastAsia="Times New Roman" w:hAnsi="Times New Roman"/>
          <w:sz w:val="28"/>
          <w:szCs w:val="28"/>
        </w:rPr>
      </w:pPr>
    </w:p>
    <w:p w:rsidR="0060601E" w:rsidRPr="008478F6" w:rsidRDefault="0060601E" w:rsidP="004D24A1">
      <w:pPr>
        <w:spacing w:after="0"/>
        <w:ind w:firstLine="708"/>
        <w:jc w:val="both"/>
        <w:rPr>
          <w:rFonts w:ascii="Times New Roman" w:eastAsia="Times New Roman" w:hAnsi="Times New Roman"/>
          <w:b/>
          <w:sz w:val="28"/>
          <w:szCs w:val="28"/>
        </w:rPr>
      </w:pPr>
      <w:r w:rsidRPr="008478F6">
        <w:rPr>
          <w:rFonts w:ascii="Times New Roman" w:eastAsia="Times New Roman" w:hAnsi="Times New Roman"/>
          <w:b/>
          <w:sz w:val="28"/>
          <w:szCs w:val="28"/>
        </w:rPr>
        <w:t>Общо задържани лица по международно правно сътрудничество (ЗЕЕЗА)</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rPr>
        <w:t>За отчетния период 01.01.2021 г. – 31.12.2021 г. общо в СГП и СРП са задържани общо 43 лица във връзка с международно правно сътрудничество (ЗЕЕЗА), за същия период на 2020г. задържаните лица са били 40 броя. За сравнение през предходния отчетен период на 2019г. общият броя на задържаните е бил 39 лица.</w:t>
      </w:r>
      <w:r w:rsidRPr="00B364A7">
        <w:rPr>
          <w:rFonts w:ascii="Times New Roman" w:eastAsia="Times New Roman" w:hAnsi="Times New Roman"/>
          <w:sz w:val="28"/>
          <w:szCs w:val="28"/>
          <w:lang w:val="ru-RU" w:eastAsia="bg-BG"/>
        </w:rPr>
        <w:t xml:space="preserve"> </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val="ru-RU" w:eastAsia="bg-BG"/>
        </w:rPr>
        <w:t>Статистическите данни показват, че за отчетния период на 2021 г. се наблюдава увеличение на общия брой задържани във връзка с международно правно сътрудничество (ЗЕЕЗА) с 3 броя или с 7,5% в сравнение със същия период на 2020г., а в сравнение с 2019г. – увеличението е с 4 броя задържани лица или с 10,26 %.</w:t>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rPr>
        <w:t>За СГП за 2021 г. броят на задържаните лица е бил 30, като за 2020г. са били задържани 31 лица, налице е леко намалял 1 лица или 3,23 %, за сравнение през 2019г. задържаните лица са били 36 лица, а спрямо 2021г. броят на задържаните лица в СГП е намалял с 6 броя или с 16,67%.</w:t>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rPr>
        <w:t xml:space="preserve">За СРП през 2021г. са били задържани 13 лица, като за 2020г. в същият период са били задържани 9 лица, за сравнение през 2019г. задържаните във </w:t>
      </w:r>
      <w:r w:rsidRPr="00B364A7">
        <w:rPr>
          <w:rFonts w:ascii="Times New Roman" w:eastAsia="Times New Roman" w:hAnsi="Times New Roman"/>
          <w:sz w:val="28"/>
          <w:szCs w:val="28"/>
        </w:rPr>
        <w:lastRenderedPageBreak/>
        <w:t>връзка с ЗЕЕЗА са били 3 лица. Статистическите данни на СРП показват че през 2021 броят на задържаните във връзка с ЗЕЕЗА лица се е увеличил с 4 лица в сравнение с 2020г. или с 44,44% повече, а в сравнение с 2019г. увеличението е с 10 броя или 333,33%.</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p>
    <w:p w:rsidR="0060601E" w:rsidRPr="00B364A7" w:rsidRDefault="0060601E" w:rsidP="004D24A1">
      <w:pPr>
        <w:spacing w:after="0"/>
        <w:ind w:firstLine="708"/>
        <w:jc w:val="both"/>
        <w:rPr>
          <w:rFonts w:ascii="Times New Roman" w:eastAsia="Times New Roman" w:hAnsi="Times New Roman"/>
          <w:b/>
          <w:sz w:val="28"/>
          <w:szCs w:val="28"/>
        </w:rPr>
      </w:pPr>
      <w:r w:rsidRPr="00B364A7">
        <w:rPr>
          <w:rFonts w:ascii="Times New Roman" w:eastAsia="Times New Roman" w:hAnsi="Times New Roman"/>
          <w:b/>
          <w:sz w:val="28"/>
          <w:szCs w:val="28"/>
        </w:rPr>
        <w:t>Общо участие в съдебни заседания по международно правно сътрудничество (НПК и ЗЕЕЗА)</w:t>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rPr>
        <w:t>В отчетния период 01.01.2021 г.- 31.12.2021 г. прокурорите от СГП  и СРП са взели участие в 1007 броя съдебни заседания по международно правно сътрудничество, за сравнение през предходната година участията са били 576 броя, а за отчетен период на 2019г. този брока е била 464 заседания.</w:t>
      </w:r>
    </w:p>
    <w:p w:rsidR="0060601E" w:rsidRPr="00B364A7" w:rsidRDefault="0060601E" w:rsidP="004D24A1">
      <w:pPr>
        <w:spacing w:after="0"/>
        <w:ind w:firstLine="708"/>
        <w:jc w:val="both"/>
        <w:rPr>
          <w:rFonts w:ascii="Times New Roman" w:eastAsia="Times New Roman" w:hAnsi="Times New Roman"/>
          <w:sz w:val="28"/>
          <w:szCs w:val="28"/>
        </w:rPr>
      </w:pPr>
      <w:r w:rsidRPr="00B364A7">
        <w:rPr>
          <w:rFonts w:ascii="Times New Roman" w:eastAsia="Times New Roman" w:hAnsi="Times New Roman"/>
          <w:sz w:val="28"/>
          <w:szCs w:val="28"/>
        </w:rPr>
        <w:t>Разбивката по прокуратури сочи, че за 2021 г. в СГП прокурорите са  взели участие в 912 броя заседания, а прокурорите от СРП са взели участие в 95 броя заседания, през 2020г. прокурорите от СГП са взели участие в 505 броя съдебни заседания, а в СРП - в 71 броя заседания,</w:t>
      </w:r>
      <w:r w:rsidRPr="00B364A7">
        <w:t xml:space="preserve"> </w:t>
      </w:r>
      <w:r w:rsidRPr="00B364A7">
        <w:rPr>
          <w:rFonts w:ascii="Times New Roman" w:eastAsia="Times New Roman" w:hAnsi="Times New Roman"/>
          <w:sz w:val="28"/>
          <w:szCs w:val="28"/>
        </w:rPr>
        <w:t>за 2019 г. пък от страна на СГП са участвали прокурори в 410 броя заседания, а от страна на СРП  - в 54 броя заседания.</w:t>
      </w:r>
    </w:p>
    <w:p w:rsidR="0060601E" w:rsidRPr="00B364A7" w:rsidRDefault="0060601E" w:rsidP="004D24A1">
      <w:pPr>
        <w:spacing w:after="0"/>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ab/>
        <w:t>От данните на сравнителния тригодишен период се заключава, че общият брой участия в съдебни заседания на прокурорите от СГП и СРП във връзка с международното правно сътрудничество за 2021 г. се е увеличил с 431 броя/общо/ или с 74,83 %  спрямо 2020 г., а спрямо 2019г. увеличението е с 543 броя чуастия в заседания или увеличение с 117,03 % за 2021г.</w:t>
      </w:r>
    </w:p>
    <w:p w:rsidR="0060601E" w:rsidRPr="00B364A7" w:rsidRDefault="0060601E" w:rsidP="004D24A1">
      <w:pPr>
        <w:spacing w:after="0"/>
        <w:ind w:firstLine="708"/>
        <w:jc w:val="both"/>
        <w:rPr>
          <w:rFonts w:ascii="Times New Roman" w:eastAsia="Times New Roman" w:hAnsi="Times New Roman"/>
          <w:sz w:val="28"/>
          <w:szCs w:val="28"/>
          <w:lang w:val="ru-RU" w:eastAsia="bg-BG"/>
        </w:rPr>
      </w:pPr>
      <w:r w:rsidRPr="00B364A7">
        <w:rPr>
          <w:rFonts w:ascii="Times New Roman" w:eastAsia="Times New Roman" w:hAnsi="Times New Roman"/>
          <w:sz w:val="28"/>
          <w:szCs w:val="28"/>
          <w:lang w:eastAsia="bg-BG"/>
        </w:rPr>
        <w:t>По линия на международното правно сътрудничество прокурорите от отдел 03 „Международен, изпълнение на наказанията и наказателно–съдебен надзор”</w:t>
      </w:r>
      <w:r w:rsidRPr="00B364A7">
        <w:rPr>
          <w:rFonts w:ascii="Times New Roman" w:eastAsia="Times New Roman" w:hAnsi="Times New Roman"/>
          <w:sz w:val="28"/>
          <w:szCs w:val="28"/>
          <w:lang w:val="ru-RU" w:eastAsia="bg-BG"/>
        </w:rPr>
        <w:t xml:space="preserve"> при СГП и отдел </w:t>
      </w:r>
      <w:r w:rsidRPr="00B364A7">
        <w:rPr>
          <w:rFonts w:ascii="Times New Roman" w:eastAsia="Times New Roman" w:hAnsi="Times New Roman"/>
          <w:sz w:val="28"/>
          <w:szCs w:val="28"/>
          <w:lang w:eastAsia="bg-BG"/>
        </w:rPr>
        <w:t>„</w:t>
      </w:r>
      <w:r w:rsidRPr="00B364A7">
        <w:rPr>
          <w:rFonts w:ascii="Times New Roman" w:eastAsia="Times New Roman" w:hAnsi="Times New Roman"/>
          <w:sz w:val="28"/>
          <w:szCs w:val="28"/>
          <w:lang w:val="ru-RU" w:eastAsia="bg-BG"/>
        </w:rPr>
        <w:t>ИНПЛ</w:t>
      </w:r>
      <w:r w:rsidRPr="00B364A7">
        <w:rPr>
          <w:rFonts w:ascii="Times New Roman" w:hAnsi="Times New Roman"/>
          <w:noProof/>
          <w:sz w:val="28"/>
          <w:szCs w:val="28"/>
        </w:rPr>
        <w:t>“</w:t>
      </w:r>
      <w:r w:rsidRPr="00B364A7">
        <w:rPr>
          <w:rFonts w:ascii="Times New Roman" w:eastAsia="Times New Roman" w:hAnsi="Times New Roman"/>
          <w:sz w:val="28"/>
          <w:szCs w:val="28"/>
          <w:lang w:val="ru-RU" w:eastAsia="bg-BG"/>
        </w:rPr>
        <w:t xml:space="preserve"> </w:t>
      </w:r>
      <w:r w:rsidRPr="00B364A7">
        <w:rPr>
          <w:rFonts w:ascii="Times New Roman" w:eastAsia="Times New Roman" w:hAnsi="Times New Roman"/>
          <w:sz w:val="28"/>
          <w:szCs w:val="28"/>
          <w:lang w:eastAsia="bg-BG"/>
        </w:rPr>
        <w:t>при</w:t>
      </w:r>
      <w:r w:rsidRPr="00B364A7">
        <w:rPr>
          <w:rFonts w:ascii="Times New Roman" w:eastAsia="Times New Roman" w:hAnsi="Times New Roman"/>
          <w:sz w:val="28"/>
          <w:szCs w:val="28"/>
          <w:lang w:val="ru-RU" w:eastAsia="bg-BG"/>
        </w:rPr>
        <w:t xml:space="preserve"> СРП дават дежурства по ежемесечни графици в Дирекция </w:t>
      </w:r>
      <w:r w:rsidRPr="00B364A7">
        <w:rPr>
          <w:rFonts w:ascii="Times New Roman" w:eastAsia="Times New Roman" w:hAnsi="Times New Roman"/>
          <w:sz w:val="28"/>
          <w:szCs w:val="28"/>
          <w:lang w:eastAsia="bg-BG"/>
        </w:rPr>
        <w:t>„</w:t>
      </w:r>
      <w:r w:rsidRPr="00B364A7">
        <w:rPr>
          <w:rFonts w:ascii="Times New Roman" w:eastAsia="Times New Roman" w:hAnsi="Times New Roman"/>
          <w:sz w:val="28"/>
          <w:szCs w:val="28"/>
          <w:lang w:val="ru-RU" w:eastAsia="bg-BG"/>
        </w:rPr>
        <w:t>Международно оперативно сътрудничество</w:t>
      </w:r>
      <w:r w:rsidRPr="00B364A7">
        <w:rPr>
          <w:rFonts w:ascii="Times New Roman" w:hAnsi="Times New Roman"/>
          <w:noProof/>
          <w:sz w:val="28"/>
          <w:szCs w:val="28"/>
        </w:rPr>
        <w:t xml:space="preserve">“ </w:t>
      </w:r>
      <w:r w:rsidRPr="00B364A7">
        <w:rPr>
          <w:rFonts w:ascii="Times New Roman" w:eastAsia="Times New Roman" w:hAnsi="Times New Roman"/>
          <w:sz w:val="28"/>
          <w:szCs w:val="28"/>
          <w:lang w:val="ru-RU" w:eastAsia="bg-BG"/>
        </w:rPr>
        <w:t xml:space="preserve">– МВР, при които извършват проверки по чл. 38б ЗЕЕЗА на информацията, придружаваща получените сигнали за ЕЗА чрез Шенгенската информационна система. Възможността за уточнения и флагиране на новопостъпили преписки във връзка с активни сигнали по ШИС води до ограничаване на актовете, които не попадат в обхвата на текстовете на НК на Република България, което позволява по-бързото вземане на адекватно решение относно сигнала по ШИС. За изминалата година са извършени 13 посещения от страна на прокурори от СГП в Дирекция </w:t>
      </w:r>
      <w:r w:rsidRPr="00B364A7">
        <w:rPr>
          <w:rFonts w:ascii="Times New Roman" w:eastAsia="Times New Roman" w:hAnsi="Times New Roman"/>
          <w:sz w:val="28"/>
          <w:szCs w:val="28"/>
          <w:lang w:eastAsia="bg-BG"/>
        </w:rPr>
        <w:t>„</w:t>
      </w:r>
      <w:r w:rsidRPr="00B364A7">
        <w:rPr>
          <w:rFonts w:ascii="Times New Roman" w:eastAsia="Times New Roman" w:hAnsi="Times New Roman"/>
          <w:sz w:val="28"/>
          <w:szCs w:val="28"/>
          <w:lang w:val="ru-RU" w:eastAsia="bg-BG"/>
        </w:rPr>
        <w:t>Международно оперативно сътрудничество</w:t>
      </w:r>
      <w:r w:rsidRPr="00B364A7">
        <w:rPr>
          <w:rFonts w:ascii="Times New Roman" w:eastAsia="Times New Roman" w:hAnsi="Times New Roman"/>
          <w:sz w:val="28"/>
          <w:szCs w:val="28"/>
          <w:lang w:eastAsia="bg-BG"/>
        </w:rPr>
        <w:t>“</w:t>
      </w:r>
      <w:r w:rsidRPr="00B364A7">
        <w:rPr>
          <w:rFonts w:ascii="Times New Roman" w:eastAsia="Times New Roman" w:hAnsi="Times New Roman"/>
          <w:sz w:val="28"/>
          <w:szCs w:val="28"/>
          <w:lang w:val="ru-RU" w:eastAsia="bg-BG"/>
        </w:rPr>
        <w:t>.</w:t>
      </w:r>
    </w:p>
    <w:p w:rsidR="0060601E" w:rsidRPr="00B364A7" w:rsidRDefault="0060601E" w:rsidP="004D24A1">
      <w:pPr>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 xml:space="preserve">По линия на международното правно сътрудничество със заповед № РД-08-1300 от 11.10.2017 г. на Главния прокурор на Република България е променен списъкът на </w:t>
      </w:r>
      <w:r w:rsidRPr="00B364A7">
        <w:rPr>
          <w:rFonts w:ascii="Times New Roman" w:eastAsia="Times New Roman" w:hAnsi="Times New Roman"/>
          <w:sz w:val="28"/>
          <w:szCs w:val="28"/>
          <w:lang w:val="ru-RU" w:eastAsia="bg-BG"/>
        </w:rPr>
        <w:t>включените в</w:t>
      </w:r>
      <w:r w:rsidRPr="00B364A7">
        <w:rPr>
          <w:rFonts w:ascii="Times New Roman" w:eastAsia="Times New Roman" w:hAnsi="Times New Roman"/>
          <w:sz w:val="28"/>
          <w:szCs w:val="28"/>
          <w:lang w:eastAsia="bg-BG"/>
        </w:rPr>
        <w:t xml:space="preserve"> националната прокурорска мрежа</w:t>
      </w:r>
      <w:r w:rsidRPr="00B364A7">
        <w:t xml:space="preserve"> </w:t>
      </w:r>
      <w:r w:rsidRPr="00B364A7">
        <w:rPr>
          <w:rFonts w:ascii="Times New Roman" w:eastAsia="Times New Roman" w:hAnsi="Times New Roman"/>
          <w:sz w:val="28"/>
          <w:szCs w:val="28"/>
          <w:lang w:eastAsia="bg-BG"/>
        </w:rPr>
        <w:lastRenderedPageBreak/>
        <w:t xml:space="preserve">прокурори. От страна на СГП за отчетния период </w:t>
      </w:r>
      <w:r w:rsidRPr="00B364A7">
        <w:rPr>
          <w:rFonts w:ascii="Times New Roman" w:eastAsia="Times New Roman" w:hAnsi="Times New Roman"/>
          <w:sz w:val="28"/>
          <w:szCs w:val="28"/>
          <w:lang w:val="en-US" w:eastAsia="bg-BG"/>
        </w:rPr>
        <w:t xml:space="preserve">- </w:t>
      </w:r>
      <w:r w:rsidRPr="00B364A7">
        <w:rPr>
          <w:rFonts w:ascii="Times New Roman" w:eastAsia="Times New Roman" w:hAnsi="Times New Roman"/>
          <w:sz w:val="28"/>
          <w:szCs w:val="28"/>
          <w:lang w:eastAsia="bg-BG"/>
        </w:rPr>
        <w:t xml:space="preserve">2020 г., в списъка на включените в националната прокурорска мрежа прокурори са фигурирали следните прокурори: </w:t>
      </w:r>
      <w:r w:rsidRPr="00B364A7">
        <w:rPr>
          <w:rFonts w:ascii="Times New Roman" w:eastAsia="Times New Roman" w:hAnsi="Times New Roman"/>
          <w:sz w:val="28"/>
          <w:szCs w:val="28"/>
          <w:lang w:val="ru-RU" w:eastAsia="bg-BG"/>
        </w:rPr>
        <w:t xml:space="preserve">Елка Ваклинова, Виктор Тарчев, Виктор Иванов, Росица Слабакова, Димитър Хаджийски, Светлана Шопова-Колева, а от страна на СРП - прокурор Дарина Павлова. Прокурорите определени със заповедта на Главния прокурор през 2021г. са претърпели кадрово развитие и към момента списъка с включените в националната прокурорска мрежа прокурори не е актуализиран, независимо, че е отправено писмо с такова искане. Функциите изпълнявани във връзка с международното правно сътрудничество са поети от редовите прокурори от СГП работещи в отдел </w:t>
      </w:r>
      <w:r w:rsidRPr="00B364A7">
        <w:rPr>
          <w:rFonts w:ascii="Times New Roman" w:eastAsia="Times New Roman" w:hAnsi="Times New Roman"/>
          <w:sz w:val="28"/>
          <w:szCs w:val="28"/>
          <w:lang w:eastAsia="bg-BG"/>
        </w:rPr>
        <w:t>03 „Международен, изпълнение на наказанията и наказателно–съдебен надзор”</w:t>
      </w:r>
      <w:r w:rsidRPr="00B364A7">
        <w:rPr>
          <w:rFonts w:ascii="Times New Roman" w:eastAsia="Times New Roman" w:hAnsi="Times New Roman"/>
          <w:sz w:val="28"/>
          <w:szCs w:val="28"/>
          <w:lang w:val="ru-RU" w:eastAsia="bg-BG"/>
        </w:rPr>
        <w:t xml:space="preserve"> при СГП</w:t>
      </w:r>
      <w:r w:rsidRPr="00B364A7">
        <w:rPr>
          <w:rFonts w:ascii="Times New Roman" w:eastAsia="Times New Roman" w:hAnsi="Times New Roman"/>
          <w:sz w:val="28"/>
          <w:szCs w:val="28"/>
          <w:lang w:eastAsia="bg-BG"/>
        </w:rPr>
        <w:t>“.</w:t>
      </w:r>
    </w:p>
    <w:p w:rsidR="0060601E" w:rsidRPr="00B364A7" w:rsidRDefault="0060601E" w:rsidP="004D24A1">
      <w:pPr>
        <w:tabs>
          <w:tab w:val="left" w:pos="709"/>
        </w:tabs>
        <w:autoSpaceDN w:val="0"/>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От състава на прокурорите от СРП прокурор Дарина Павлова е определена за прокурор от националната прокурорска мрежа. В това си качество тя изпълнява задълженията си по Указания за работа на националната прокурорска мрежа в Република България, утвърдени от главния прокурор на РБ с изх. № 274/23.10.08 г. Същата подпомага прокурорите от СРП при изготвяне молби за правна помощ към страни от ЕС, предоставя актуални контакти за комуникация с компетентните органи по наказателни дела.</w:t>
      </w:r>
    </w:p>
    <w:p w:rsidR="0060601E" w:rsidRDefault="0060601E" w:rsidP="004D24A1">
      <w:pPr>
        <w:tabs>
          <w:tab w:val="left" w:pos="709"/>
        </w:tabs>
        <w:autoSpaceDN w:val="0"/>
        <w:spacing w:after="0"/>
        <w:ind w:firstLine="708"/>
        <w:jc w:val="both"/>
        <w:rPr>
          <w:rFonts w:ascii="Times New Roman" w:eastAsia="Times New Roman" w:hAnsi="Times New Roman"/>
          <w:sz w:val="28"/>
          <w:szCs w:val="28"/>
          <w:lang w:eastAsia="bg-BG"/>
        </w:rPr>
      </w:pPr>
      <w:r w:rsidRPr="00B364A7">
        <w:rPr>
          <w:rFonts w:ascii="Times New Roman" w:eastAsia="Times New Roman" w:hAnsi="Times New Roman"/>
          <w:sz w:val="28"/>
          <w:szCs w:val="28"/>
          <w:lang w:eastAsia="bg-BG"/>
        </w:rPr>
        <w:t>Продължава да се изпълнява Заповедта на Районния прокурор на гр.София, с която е създаден регистър в СРП за преписки и дела, по които има отправени/получени молби за правна помощ /МПП/ или издадени Европейски заповеди за арест /ЕЗА/. Към регистъра се прилагат копия на изпратените и получените МПП и ЕЗА. Отбелязва се и резултатът от молбата за правна помощ и от Европейската заповед за арест.</w:t>
      </w:r>
    </w:p>
    <w:p w:rsidR="00CB55D5" w:rsidRDefault="00CB55D5" w:rsidP="004D24A1">
      <w:pPr>
        <w:tabs>
          <w:tab w:val="left" w:pos="709"/>
        </w:tabs>
        <w:autoSpaceDN w:val="0"/>
        <w:spacing w:after="0"/>
        <w:ind w:firstLine="708"/>
        <w:jc w:val="both"/>
        <w:rPr>
          <w:rFonts w:ascii="Times New Roman" w:eastAsia="Times New Roman" w:hAnsi="Times New Roman"/>
          <w:sz w:val="28"/>
          <w:szCs w:val="28"/>
          <w:lang w:eastAsia="bg-BG"/>
        </w:rPr>
      </w:pP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r w:rsidRPr="00021050">
        <w:rPr>
          <w:rFonts w:ascii="Times New Roman" w:eastAsia="Times New Roman" w:hAnsi="Times New Roman"/>
          <w:b/>
          <w:sz w:val="28"/>
          <w:szCs w:val="28"/>
          <w:lang w:val="en-US"/>
        </w:rPr>
        <w:t>V</w:t>
      </w:r>
      <w:r w:rsidRPr="00021050">
        <w:rPr>
          <w:rFonts w:ascii="Times New Roman" w:eastAsia="Times New Roman" w:hAnsi="Times New Roman"/>
          <w:b/>
          <w:sz w:val="28"/>
          <w:szCs w:val="28"/>
        </w:rPr>
        <w:t>. АДМИНИСТРАТИВНА И КОНТРОЛНО-РЕВИЗИОННА ДЕЙНОСТ</w:t>
      </w:r>
    </w:p>
    <w:p w:rsidR="00021050" w:rsidRPr="00021050" w:rsidRDefault="00021050" w:rsidP="004D24A1">
      <w:pPr>
        <w:overflowPunct w:val="0"/>
        <w:autoSpaceDE w:val="0"/>
        <w:autoSpaceDN w:val="0"/>
        <w:adjustRightInd w:val="0"/>
        <w:spacing w:after="0"/>
        <w:jc w:val="center"/>
        <w:textAlignment w:val="baseline"/>
        <w:rPr>
          <w:rFonts w:ascii="Times New Roman" w:eastAsia="Times New Roman" w:hAnsi="Times New Roman"/>
          <w:b/>
          <w:sz w:val="16"/>
          <w:szCs w:val="16"/>
        </w:rPr>
      </w:pP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b/>
          <w:sz w:val="28"/>
          <w:szCs w:val="28"/>
        </w:rPr>
      </w:pPr>
      <w:r w:rsidRPr="00021050">
        <w:rPr>
          <w:rFonts w:ascii="Times New Roman" w:eastAsia="Times New Roman" w:hAnsi="Times New Roman"/>
          <w:b/>
          <w:sz w:val="28"/>
          <w:szCs w:val="28"/>
        </w:rPr>
        <w:tab/>
        <w:t>Кадрово обезпечаване и квалификация на прокурори и разследващи органи.</w:t>
      </w: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b/>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За отчетния период на 2021</w:t>
      </w:r>
      <w:r w:rsidRPr="00021050">
        <w:rPr>
          <w:rFonts w:ascii="Times New Roman" w:eastAsia="Times New Roman" w:hAnsi="Times New Roman"/>
          <w:sz w:val="28"/>
          <w:szCs w:val="28"/>
          <w:lang w:val="en-US"/>
        </w:rPr>
        <w:t xml:space="preserve"> </w:t>
      </w:r>
      <w:r w:rsidRPr="00021050">
        <w:rPr>
          <w:rFonts w:ascii="Times New Roman" w:eastAsia="Times New Roman" w:hAnsi="Times New Roman"/>
          <w:sz w:val="28"/>
          <w:szCs w:val="28"/>
        </w:rPr>
        <w:t xml:space="preserve">г. утвърденият щат на прокурорите при Софийска градска прокуратура и Софийска районна прокуратура е </w:t>
      </w:r>
      <w:r w:rsidRPr="00021050">
        <w:rPr>
          <w:rFonts w:ascii="Times New Roman" w:eastAsia="Times New Roman" w:hAnsi="Times New Roman"/>
          <w:b/>
          <w:bCs/>
          <w:sz w:val="28"/>
          <w:szCs w:val="28"/>
        </w:rPr>
        <w:t xml:space="preserve">общо </w:t>
      </w:r>
      <w:r w:rsidRPr="00021050">
        <w:rPr>
          <w:rFonts w:ascii="Times New Roman" w:eastAsia="Times New Roman" w:hAnsi="Times New Roman"/>
          <w:b/>
          <w:sz w:val="28"/>
          <w:szCs w:val="28"/>
        </w:rPr>
        <w:t>328</w:t>
      </w:r>
      <w:r w:rsidRPr="00021050">
        <w:rPr>
          <w:rFonts w:ascii="Times New Roman" w:eastAsia="Times New Roman" w:hAnsi="Times New Roman"/>
          <w:sz w:val="28"/>
          <w:szCs w:val="28"/>
        </w:rPr>
        <w:t xml:space="preserve"> броя, от които - </w:t>
      </w:r>
      <w:r w:rsidRPr="00021050">
        <w:rPr>
          <w:rFonts w:ascii="Times New Roman" w:eastAsia="Times New Roman" w:hAnsi="Times New Roman"/>
          <w:b/>
          <w:sz w:val="28"/>
          <w:szCs w:val="28"/>
        </w:rPr>
        <w:t>110</w:t>
      </w:r>
      <w:r w:rsidRPr="00021050">
        <w:rPr>
          <w:rFonts w:ascii="Times New Roman" w:eastAsia="Times New Roman" w:hAnsi="Times New Roman"/>
          <w:sz w:val="28"/>
          <w:szCs w:val="28"/>
        </w:rPr>
        <w:t xml:space="preserve"> прокурора при СГП, и </w:t>
      </w:r>
      <w:r w:rsidRPr="00021050">
        <w:rPr>
          <w:rFonts w:ascii="Times New Roman" w:eastAsia="Times New Roman" w:hAnsi="Times New Roman"/>
          <w:b/>
          <w:sz w:val="28"/>
          <w:szCs w:val="28"/>
        </w:rPr>
        <w:t xml:space="preserve">218 </w:t>
      </w:r>
      <w:r w:rsidRPr="00021050">
        <w:rPr>
          <w:rFonts w:ascii="Times New Roman" w:eastAsia="Times New Roman" w:hAnsi="Times New Roman"/>
          <w:sz w:val="28"/>
          <w:szCs w:val="28"/>
        </w:rPr>
        <w:t xml:space="preserve">прокурора при СРП. Утвърдениият щат за следователите в Следстввен отдел при СГП е </w:t>
      </w:r>
      <w:r w:rsidRPr="00021050">
        <w:rPr>
          <w:rFonts w:ascii="Times New Roman" w:eastAsia="Times New Roman" w:hAnsi="Times New Roman"/>
          <w:b/>
          <w:bCs/>
          <w:sz w:val="28"/>
          <w:szCs w:val="28"/>
        </w:rPr>
        <w:t>1</w:t>
      </w:r>
      <w:r w:rsidRPr="00021050">
        <w:rPr>
          <w:rFonts w:ascii="Times New Roman" w:eastAsia="Times New Roman" w:hAnsi="Times New Roman"/>
          <w:sz w:val="28"/>
          <w:szCs w:val="28"/>
        </w:rPr>
        <w:t xml:space="preserve"> щ. бр. завеждащ следствен отдел, </w:t>
      </w:r>
      <w:r w:rsidRPr="00021050">
        <w:rPr>
          <w:rFonts w:ascii="Times New Roman" w:eastAsia="Times New Roman" w:hAnsi="Times New Roman"/>
          <w:b/>
          <w:bCs/>
          <w:sz w:val="28"/>
          <w:szCs w:val="28"/>
        </w:rPr>
        <w:t>62</w:t>
      </w:r>
      <w:r w:rsidRPr="00021050">
        <w:rPr>
          <w:rFonts w:ascii="Times New Roman" w:eastAsia="Times New Roman" w:hAnsi="Times New Roman"/>
          <w:sz w:val="28"/>
          <w:szCs w:val="28"/>
        </w:rPr>
        <w:t xml:space="preserve"> следователя и </w:t>
      </w:r>
      <w:r w:rsidRPr="00021050">
        <w:rPr>
          <w:rFonts w:ascii="Times New Roman" w:eastAsia="Times New Roman" w:hAnsi="Times New Roman"/>
          <w:b/>
          <w:bCs/>
          <w:sz w:val="28"/>
          <w:szCs w:val="28"/>
        </w:rPr>
        <w:t>9</w:t>
      </w:r>
      <w:r w:rsidRPr="00021050">
        <w:rPr>
          <w:rFonts w:ascii="Times New Roman" w:eastAsia="Times New Roman" w:hAnsi="Times New Roman"/>
          <w:sz w:val="28"/>
          <w:szCs w:val="28"/>
        </w:rPr>
        <w:t xml:space="preserve"> младши следователи при СО - СГП (</w:t>
      </w:r>
      <w:r w:rsidRPr="00021050">
        <w:rPr>
          <w:rFonts w:ascii="Times New Roman" w:eastAsia="Times New Roman" w:hAnsi="Times New Roman"/>
          <w:b/>
          <w:bCs/>
          <w:sz w:val="28"/>
          <w:szCs w:val="28"/>
        </w:rPr>
        <w:t>общо 72</w:t>
      </w:r>
      <w:r w:rsidRPr="00021050">
        <w:rPr>
          <w:rFonts w:ascii="Times New Roman" w:eastAsia="Times New Roman" w:hAnsi="Times New Roman"/>
          <w:sz w:val="28"/>
          <w:szCs w:val="28"/>
        </w:rPr>
        <w:t>).</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lastRenderedPageBreak/>
        <w:t xml:space="preserve">Броят на реално работилите прокурори в района на Софийска градска прокуратура е общо </w:t>
      </w:r>
      <w:r w:rsidRPr="00021050">
        <w:rPr>
          <w:rFonts w:ascii="Times New Roman" w:eastAsia="Times New Roman" w:hAnsi="Times New Roman"/>
          <w:b/>
          <w:sz w:val="28"/>
          <w:szCs w:val="28"/>
        </w:rPr>
        <w:t>238</w:t>
      </w:r>
      <w:r w:rsidRPr="00021050">
        <w:rPr>
          <w:rFonts w:ascii="Times New Roman" w:eastAsia="Times New Roman" w:hAnsi="Times New Roman"/>
          <w:sz w:val="28"/>
          <w:szCs w:val="28"/>
        </w:rPr>
        <w:t xml:space="preserve"> за 2021 г., от които за СГП броят е 89, а за СРП – 149, като за сравнение през </w:t>
      </w:r>
      <w:r w:rsidRPr="00021050">
        <w:rPr>
          <w:rFonts w:ascii="Times New Roman" w:eastAsia="Times New Roman" w:hAnsi="Times New Roman"/>
          <w:sz w:val="28"/>
          <w:szCs w:val="28"/>
          <w:lang w:val="en-US"/>
        </w:rPr>
        <w:t xml:space="preserve">2020 </w:t>
      </w:r>
      <w:r w:rsidRPr="00021050">
        <w:rPr>
          <w:rFonts w:ascii="Times New Roman" w:eastAsia="Times New Roman" w:hAnsi="Times New Roman"/>
          <w:sz w:val="28"/>
          <w:szCs w:val="28"/>
        </w:rPr>
        <w:t xml:space="preserve"> г. общият брой на реално работилите прокурори в района на Софийска градска прокуратура е бил 248, а през 201</w:t>
      </w:r>
      <w:r w:rsidRPr="00021050">
        <w:rPr>
          <w:rFonts w:ascii="Times New Roman" w:eastAsia="Times New Roman" w:hAnsi="Times New Roman"/>
          <w:sz w:val="28"/>
          <w:szCs w:val="28"/>
          <w:lang w:val="en-US"/>
        </w:rPr>
        <w:t>9</w:t>
      </w:r>
      <w:r w:rsidRPr="00021050">
        <w:rPr>
          <w:rFonts w:ascii="Times New Roman" w:eastAsia="Times New Roman" w:hAnsi="Times New Roman"/>
          <w:sz w:val="28"/>
          <w:szCs w:val="28"/>
        </w:rPr>
        <w:t xml:space="preserve"> г.- 2</w:t>
      </w:r>
      <w:r w:rsidRPr="00021050">
        <w:rPr>
          <w:rFonts w:ascii="Times New Roman" w:eastAsia="Times New Roman" w:hAnsi="Times New Roman"/>
          <w:sz w:val="28"/>
          <w:szCs w:val="28"/>
          <w:lang w:val="en-US"/>
        </w:rPr>
        <w:t>57</w:t>
      </w:r>
      <w:r w:rsidRPr="00021050">
        <w:rPr>
          <w:rFonts w:ascii="Times New Roman" w:eastAsia="Times New Roman" w:hAnsi="Times New Roman"/>
          <w:sz w:val="28"/>
          <w:szCs w:val="28"/>
        </w:rPr>
        <w:t>.</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През отчетния период в СГП реално работили са 89 прокурора (при щат 110) и 54 следователя (при щат 1 щ. бр. завеждащ следствен отдел, 62 следователи и 9 младши следователи). За същия период в Софийска градска прокуратура са били командировани 32 прокурора, а 25 прокурора от състава на Софийска градска прокуратура са били командировани в други прокуратури. От персоналния състав при СО-СГП в други следствени отдели са командировани 5 броя следователи.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Следва да се посочи, че  към 27.10.2021 г. в СГП са налице 4 щатни бройки „заместник- градски прокурор“, но с решение на ПК на ВСС по т. 12 от протокол № 36/27.10.2021г. e определена пета щатна длъжност „заместник на административния ръководител – заместник градски прокурор“ на СГП чрез трансформиране на 1 (една) щатна длъжност „прокурор“ от щата на СГП.</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 решение на Пленума на ВСС по т. 85.2. от протокол № 22/11.11.2021 г. са разкрити 5 (пет) щатни длъжности „прокурор“ в СГП.</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 решение на ПК на ВСС по т. 4 от протокол № 45/21.12.2021 г. e определена шеста щатна длъжност „заместник на административния ръководител – заместник градски прокурор“ на СГП чрез трансформиране на 1 (една) щатна длъжност „прокурор“ от щата на СГП.</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 оглед на горепосоченото, в края на отчетния период в СГП има шест щатни бройки за заместници на административния ръководител на СГП, 3 от които са заети, а 3 незаети /за сравнение при 6 щ.бр. заместници на административния ръководител на СГП през 2020 г. и през 2019 г./. Незаети са и 25 щатни бройки за прокурори,  6 бройки за следователи и 2 бр. младши следовател.</w:t>
      </w: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hAnsi="Times New Roman"/>
          <w:sz w:val="28"/>
          <w:szCs w:val="28"/>
        </w:rPr>
      </w:pPr>
      <w:r w:rsidRPr="00021050">
        <w:rPr>
          <w:rFonts w:ascii="Times New Roman" w:eastAsia="Times New Roman" w:hAnsi="Times New Roman"/>
          <w:sz w:val="28"/>
          <w:szCs w:val="28"/>
        </w:rPr>
        <w:t xml:space="preserve">Щатното разписание на прокурорите при СРП към края на отчетния период е 218 магистрати (за сравнение през 2020 г. и през 2019 г. броят им е бил 214). </w:t>
      </w:r>
      <w:r w:rsidRPr="00021050">
        <w:rPr>
          <w:rFonts w:ascii="Times New Roman" w:hAnsi="Times New Roman"/>
          <w:sz w:val="28"/>
          <w:szCs w:val="28"/>
        </w:rPr>
        <w:t xml:space="preserve">Същите са разпределени както следва: 193 прокурора и 25 младши прокурора. Незаети в края на отчетния периода са 12 свободни щатни бройки /при 15 свободни щатни бройки за 2020 г./ През изминалата 2020 г. общият брой на всички командировани прокурори от СРП към края на 2021 г. е 43 /26 в СГП, 15 в СП, 1 в ОП и 1 OLAF/, като за 2020г. техния брой е бил е 35 човека /19 в СГП, 15 в СП, 1 в РП-Сливница/, а за 2019 г. е </w:t>
      </w:r>
      <w:r w:rsidRPr="00021050">
        <w:rPr>
          <w:rFonts w:ascii="Times New Roman" w:hAnsi="Times New Roman"/>
          <w:sz w:val="28"/>
          <w:szCs w:val="28"/>
        </w:rPr>
        <w:lastRenderedPageBreak/>
        <w:t>бил 12 човека /7 в СГП, 5 в СП/.Същевременно за 2021 г. в СРП са били командировани 8 прокурори от други прокуратури в страната.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811"/>
        <w:gridCol w:w="1865"/>
        <w:gridCol w:w="1811"/>
        <w:gridCol w:w="1733"/>
      </w:tblGrid>
      <w:tr w:rsidR="00021050" w:rsidRPr="00021050" w:rsidTr="00861F82">
        <w:tc>
          <w:tcPr>
            <w:tcW w:w="1636"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Прокуратура</w:t>
            </w:r>
          </w:p>
        </w:tc>
        <w:tc>
          <w:tcPr>
            <w:tcW w:w="1881"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Брой прокурори по щат</w:t>
            </w:r>
          </w:p>
        </w:tc>
        <w:tc>
          <w:tcPr>
            <w:tcW w:w="1920"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Брой следователи по щат</w:t>
            </w:r>
          </w:p>
        </w:tc>
        <w:tc>
          <w:tcPr>
            <w:tcW w:w="1881"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Брой реално работили прокурори</w:t>
            </w:r>
          </w:p>
        </w:tc>
        <w:tc>
          <w:tcPr>
            <w:tcW w:w="1770"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Брой реално работили следователи</w:t>
            </w:r>
          </w:p>
        </w:tc>
      </w:tr>
      <w:tr w:rsidR="00021050" w:rsidRPr="00021050" w:rsidTr="00861F82">
        <w:trPr>
          <w:trHeight w:val="300"/>
        </w:trPr>
        <w:tc>
          <w:tcPr>
            <w:tcW w:w="1636"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СГП</w:t>
            </w:r>
          </w:p>
        </w:tc>
        <w:tc>
          <w:tcPr>
            <w:tcW w:w="1881"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110</w:t>
            </w:r>
          </w:p>
        </w:tc>
        <w:tc>
          <w:tcPr>
            <w:tcW w:w="1920"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72</w:t>
            </w:r>
          </w:p>
        </w:tc>
        <w:tc>
          <w:tcPr>
            <w:tcW w:w="1881"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89</w:t>
            </w:r>
          </w:p>
        </w:tc>
        <w:tc>
          <w:tcPr>
            <w:tcW w:w="1770"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54</w:t>
            </w:r>
          </w:p>
        </w:tc>
      </w:tr>
      <w:tr w:rsidR="00021050" w:rsidRPr="00021050" w:rsidTr="00861F82">
        <w:trPr>
          <w:trHeight w:val="13"/>
        </w:trPr>
        <w:tc>
          <w:tcPr>
            <w:tcW w:w="1636"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СРП</w:t>
            </w:r>
          </w:p>
        </w:tc>
        <w:tc>
          <w:tcPr>
            <w:tcW w:w="1881"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218</w:t>
            </w:r>
          </w:p>
        </w:tc>
        <w:tc>
          <w:tcPr>
            <w:tcW w:w="1920"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w:t>
            </w:r>
          </w:p>
        </w:tc>
        <w:tc>
          <w:tcPr>
            <w:tcW w:w="1881"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149</w:t>
            </w:r>
          </w:p>
        </w:tc>
        <w:tc>
          <w:tcPr>
            <w:tcW w:w="1770"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w:t>
            </w:r>
          </w:p>
        </w:tc>
      </w:tr>
    </w:tbl>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21050" w:rsidRPr="00021050" w:rsidRDefault="00021050" w:rsidP="004D24A1">
      <w:pPr>
        <w:shd w:val="clear" w:color="auto" w:fill="FFFFFF"/>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21050" w:rsidRPr="00021050" w:rsidRDefault="00021050" w:rsidP="004D24A1">
      <w:pPr>
        <w:spacing w:after="0"/>
        <w:ind w:firstLine="709"/>
        <w:jc w:val="both"/>
        <w:rPr>
          <w:rFonts w:ascii="Times New Roman" w:eastAsia="Times New Roman" w:hAnsi="Times New Roman"/>
          <w:sz w:val="28"/>
          <w:szCs w:val="28"/>
        </w:rPr>
      </w:pPr>
      <w:r w:rsidRPr="00021050">
        <w:rPr>
          <w:rFonts w:ascii="Times New Roman" w:eastAsia="Times New Roman" w:hAnsi="Times New Roman"/>
          <w:sz w:val="28"/>
          <w:szCs w:val="28"/>
          <w:lang w:eastAsia="bg-BG"/>
        </w:rPr>
        <w:t xml:space="preserve">През 2021 г. </w:t>
      </w:r>
      <w:r w:rsidRPr="00021050">
        <w:rPr>
          <w:rFonts w:ascii="Times New Roman" w:eastAsia="Times New Roman" w:hAnsi="Times New Roman"/>
          <w:sz w:val="28"/>
          <w:szCs w:val="28"/>
        </w:rPr>
        <w:t xml:space="preserve">с цел подобряване организацията на работа и осигуряване на ефективно изпълнение на функциите на Софийска градска прокуратура е утвърдена структура на СГП, както следва: </w:t>
      </w:r>
    </w:p>
    <w:p w:rsidR="00021050" w:rsidRPr="00021050" w:rsidRDefault="00021050" w:rsidP="004D24A1">
      <w:pPr>
        <w:spacing w:after="0"/>
        <w:ind w:firstLine="708"/>
        <w:jc w:val="both"/>
        <w:rPr>
          <w:rFonts w:ascii="Times New Roman" w:hAnsi="Times New Roman"/>
          <w:sz w:val="28"/>
          <w:szCs w:val="28"/>
        </w:rPr>
      </w:pPr>
      <w:r w:rsidRPr="00021050">
        <w:rPr>
          <w:rFonts w:ascii="Times New Roman" w:hAnsi="Times New Roman"/>
          <w:color w:val="FF0000"/>
          <w:sz w:val="28"/>
          <w:szCs w:val="28"/>
        </w:rPr>
        <w:t xml:space="preserve"> </w:t>
      </w:r>
      <w:r w:rsidRPr="00021050">
        <w:rPr>
          <w:rFonts w:ascii="Times New Roman" w:hAnsi="Times New Roman"/>
          <w:sz w:val="28"/>
          <w:szCs w:val="28"/>
          <w:lang w:val="en-US"/>
        </w:rPr>
        <w:t>1</w:t>
      </w:r>
      <w:r w:rsidRPr="00021050">
        <w:rPr>
          <w:rFonts w:ascii="Times New Roman" w:hAnsi="Times New Roman"/>
          <w:sz w:val="28"/>
          <w:szCs w:val="28"/>
        </w:rPr>
        <w:t xml:space="preserve">. Отдел 01 „Икономически“: </w:t>
      </w:r>
    </w:p>
    <w:p w:rsidR="00021050" w:rsidRPr="00021050" w:rsidRDefault="00021050" w:rsidP="004D24A1">
      <w:pPr>
        <w:overflowPunct w:val="0"/>
        <w:autoSpaceDE w:val="0"/>
        <w:autoSpaceDN w:val="0"/>
        <w:adjustRightInd w:val="0"/>
        <w:spacing w:after="0"/>
        <w:ind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сектор 01 „Обща икономическа престъпност“ – разпределени са 1</w:t>
      </w:r>
      <w:r w:rsidRPr="00021050">
        <w:rPr>
          <w:rFonts w:ascii="Times New Roman" w:eastAsia="Times New Roman" w:hAnsi="Times New Roman"/>
          <w:sz w:val="28"/>
          <w:szCs w:val="28"/>
          <w:lang w:val="en-US"/>
        </w:rPr>
        <w:t>7</w:t>
      </w:r>
      <w:r w:rsidRPr="00021050">
        <w:rPr>
          <w:rFonts w:ascii="Times New Roman" w:eastAsia="Times New Roman" w:hAnsi="Times New Roman"/>
          <w:sz w:val="28"/>
          <w:szCs w:val="28"/>
        </w:rPr>
        <w:t xml:space="preserve"> прокурора;</w:t>
      </w:r>
    </w:p>
    <w:p w:rsidR="00021050" w:rsidRPr="00021050" w:rsidRDefault="00021050" w:rsidP="004D24A1">
      <w:pPr>
        <w:overflowPunct w:val="0"/>
        <w:autoSpaceDE w:val="0"/>
        <w:autoSpaceDN w:val="0"/>
        <w:adjustRightInd w:val="0"/>
        <w:spacing w:after="0"/>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 сектор 02 – „Противодействие на престъпленията против финансовите интереси на ЕС“ – разпределени са 3 прокурори;</w:t>
      </w:r>
    </w:p>
    <w:p w:rsidR="00021050" w:rsidRPr="00021050" w:rsidRDefault="00021050" w:rsidP="004D24A1">
      <w:pPr>
        <w:tabs>
          <w:tab w:val="left" w:pos="851"/>
          <w:tab w:val="left" w:pos="993"/>
        </w:tabs>
        <w:overflowPunct w:val="0"/>
        <w:autoSpaceDE w:val="0"/>
        <w:autoSpaceDN w:val="0"/>
        <w:adjustRightInd w:val="0"/>
        <w:spacing w:after="0"/>
        <w:contextualSpacing/>
        <w:jc w:val="both"/>
        <w:textAlignment w:val="baseline"/>
        <w:rPr>
          <w:rFonts w:ascii="Times New Roman" w:eastAsia="Times New Roman" w:hAnsi="Times New Roman"/>
          <w:sz w:val="28"/>
          <w:szCs w:val="28"/>
          <w:lang w:val="en-US"/>
        </w:rPr>
      </w:pPr>
      <w:r w:rsidRPr="00021050">
        <w:rPr>
          <w:rFonts w:ascii="Times New Roman" w:eastAsia="Times New Roman" w:hAnsi="Times New Roman"/>
          <w:sz w:val="28"/>
          <w:szCs w:val="28"/>
        </w:rPr>
        <w:tab/>
        <w:t xml:space="preserve">- сектор 03 „Данъчни престъпления“ – разпределени са </w:t>
      </w:r>
      <w:r w:rsidRPr="00021050">
        <w:rPr>
          <w:rFonts w:ascii="Times New Roman" w:eastAsia="Times New Roman" w:hAnsi="Times New Roman"/>
          <w:sz w:val="28"/>
          <w:szCs w:val="28"/>
          <w:lang w:val="en-US"/>
        </w:rPr>
        <w:t>19</w:t>
      </w:r>
      <w:r w:rsidRPr="00021050">
        <w:rPr>
          <w:rFonts w:ascii="Times New Roman" w:eastAsia="Times New Roman" w:hAnsi="Times New Roman"/>
          <w:sz w:val="28"/>
          <w:szCs w:val="28"/>
        </w:rPr>
        <w:t xml:space="preserve"> прокурора;</w:t>
      </w:r>
    </w:p>
    <w:p w:rsidR="00021050" w:rsidRPr="00021050" w:rsidRDefault="00021050" w:rsidP="004D24A1">
      <w:pPr>
        <w:tabs>
          <w:tab w:val="left" w:pos="851"/>
          <w:tab w:val="left" w:pos="993"/>
        </w:tabs>
        <w:overflowPunct w:val="0"/>
        <w:autoSpaceDE w:val="0"/>
        <w:autoSpaceDN w:val="0"/>
        <w:adjustRightInd w:val="0"/>
        <w:spacing w:after="0"/>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ab/>
        <w:t xml:space="preserve">2. Отдел 02 „Криминален“ – разпределени са </w:t>
      </w:r>
      <w:r w:rsidRPr="00021050">
        <w:rPr>
          <w:rFonts w:ascii="Times New Roman" w:eastAsia="Times New Roman" w:hAnsi="Times New Roman"/>
          <w:sz w:val="28"/>
          <w:szCs w:val="28"/>
          <w:lang w:val="en-US"/>
        </w:rPr>
        <w:t>17</w:t>
      </w:r>
      <w:r w:rsidRPr="00021050">
        <w:rPr>
          <w:rFonts w:ascii="Times New Roman" w:eastAsia="Times New Roman" w:hAnsi="Times New Roman"/>
          <w:sz w:val="28"/>
          <w:szCs w:val="28"/>
        </w:rPr>
        <w:t xml:space="preserve"> прокурора;</w:t>
      </w:r>
    </w:p>
    <w:p w:rsidR="00021050" w:rsidRPr="00021050" w:rsidRDefault="00021050" w:rsidP="004D24A1">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ab/>
        <w:t>3. Отдел 03 „Международен, изпълнение на наказанията и наказателно-съдебен надзор“ – разпределени са 10 прокурора;</w:t>
      </w:r>
    </w:p>
    <w:p w:rsidR="00021050" w:rsidRPr="00021050" w:rsidRDefault="00021050" w:rsidP="004D24A1">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ab/>
        <w:t>4.Отдел 04 „Надзор за законност, гражданско-съдебен и административно-съдебен“ – разпределени са 1</w:t>
      </w:r>
      <w:r w:rsidRPr="00021050">
        <w:rPr>
          <w:rFonts w:ascii="Times New Roman" w:eastAsia="Times New Roman" w:hAnsi="Times New Roman"/>
          <w:sz w:val="28"/>
          <w:szCs w:val="28"/>
          <w:lang w:val="en-US"/>
        </w:rPr>
        <w:t>1</w:t>
      </w:r>
      <w:r w:rsidRPr="00021050">
        <w:rPr>
          <w:rFonts w:ascii="Times New Roman" w:eastAsia="Times New Roman" w:hAnsi="Times New Roman"/>
          <w:sz w:val="28"/>
          <w:szCs w:val="28"/>
        </w:rPr>
        <w:t xml:space="preserve"> прокурора;</w:t>
      </w:r>
    </w:p>
    <w:p w:rsidR="00021050" w:rsidRPr="00021050" w:rsidRDefault="00021050" w:rsidP="004D24A1">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ab/>
        <w:t xml:space="preserve">5. Отдел 05 „Специализиран“- разпределени са </w:t>
      </w:r>
      <w:r w:rsidRPr="00021050">
        <w:rPr>
          <w:rFonts w:ascii="Times New Roman" w:eastAsia="Times New Roman" w:hAnsi="Times New Roman"/>
          <w:sz w:val="28"/>
          <w:szCs w:val="28"/>
          <w:lang w:val="en-US"/>
        </w:rPr>
        <w:t>10</w:t>
      </w:r>
      <w:r w:rsidRPr="00021050">
        <w:rPr>
          <w:rFonts w:ascii="Times New Roman" w:eastAsia="Times New Roman" w:hAnsi="Times New Roman"/>
          <w:sz w:val="28"/>
          <w:szCs w:val="28"/>
        </w:rPr>
        <w:t xml:space="preserve"> прокурора. </w:t>
      </w:r>
    </w:p>
    <w:p w:rsidR="00021050" w:rsidRPr="00021050" w:rsidRDefault="00021050" w:rsidP="004D24A1">
      <w:pPr>
        <w:tabs>
          <w:tab w:val="left" w:pos="851"/>
        </w:tabs>
        <w:overflowPunct w:val="0"/>
        <w:autoSpaceDE w:val="0"/>
        <w:autoSpaceDN w:val="0"/>
        <w:adjustRightInd w:val="0"/>
        <w:spacing w:after="0"/>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ab/>
        <w:t>Следствения отдел при СГП е организиран в 4 сектора и звено „Аналитично“.</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В Софийска градска прокуратура за 202</w:t>
      </w:r>
      <w:r w:rsidRPr="00021050">
        <w:rPr>
          <w:rFonts w:ascii="Times New Roman" w:eastAsia="Times New Roman" w:hAnsi="Times New Roman"/>
          <w:sz w:val="28"/>
          <w:szCs w:val="28"/>
          <w:lang w:val="en-US"/>
        </w:rPr>
        <w:t>1</w:t>
      </w:r>
      <w:r w:rsidRPr="00021050">
        <w:rPr>
          <w:rFonts w:ascii="Times New Roman" w:eastAsia="Times New Roman" w:hAnsi="Times New Roman"/>
          <w:sz w:val="28"/>
          <w:szCs w:val="28"/>
        </w:rPr>
        <w:t xml:space="preserve"> г. са утвърдени 184,5 щатни бройки за служители, от който заети са 179,5 броя. За сравнение за предходния отчетен период</w:t>
      </w:r>
      <w:r w:rsidRPr="00021050">
        <w:rPr>
          <w:rFonts w:ascii="Times New Roman" w:eastAsia="Times New Roman" w:hAnsi="Times New Roman"/>
          <w:color w:val="FF0000"/>
          <w:sz w:val="28"/>
          <w:szCs w:val="28"/>
        </w:rPr>
        <w:t xml:space="preserve"> </w:t>
      </w:r>
      <w:r w:rsidRPr="00021050">
        <w:rPr>
          <w:rFonts w:ascii="Times New Roman" w:eastAsia="Times New Roman" w:hAnsi="Times New Roman"/>
          <w:sz w:val="28"/>
          <w:szCs w:val="28"/>
        </w:rPr>
        <w:t xml:space="preserve">са утвърдени 184,5  щатни бройки за служители, като </w:t>
      </w:r>
      <w:r w:rsidRPr="00021050">
        <w:rPr>
          <w:rFonts w:ascii="Times New Roman" w:eastAsia="Times New Roman" w:hAnsi="Times New Roman"/>
          <w:sz w:val="28"/>
          <w:szCs w:val="20"/>
        </w:rPr>
        <w:t>за 201</w:t>
      </w:r>
      <w:r w:rsidRPr="00021050">
        <w:rPr>
          <w:rFonts w:ascii="Times New Roman" w:eastAsia="Times New Roman" w:hAnsi="Times New Roman"/>
          <w:sz w:val="28"/>
          <w:szCs w:val="20"/>
          <w:lang w:val="en-US"/>
        </w:rPr>
        <w:t>9</w:t>
      </w:r>
      <w:r w:rsidRPr="00021050">
        <w:rPr>
          <w:rFonts w:ascii="Times New Roman" w:eastAsia="Times New Roman" w:hAnsi="Times New Roman"/>
          <w:sz w:val="28"/>
          <w:szCs w:val="20"/>
        </w:rPr>
        <w:t xml:space="preserve"> г. утвърдените щатни бройки са били 192.</w:t>
      </w:r>
      <w:r w:rsidRPr="00021050">
        <w:rPr>
          <w:rFonts w:ascii="Times New Roman" w:eastAsia="Times New Roman" w:hAnsi="Times New Roman"/>
          <w:sz w:val="28"/>
          <w:szCs w:val="28"/>
        </w:rPr>
        <w:t xml:space="preserve"> </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Съотношението между магистрати по щат и служители по щат в Софийска градска прокуратура е 1:1,0</w:t>
      </w:r>
      <w:r w:rsidRPr="00021050">
        <w:rPr>
          <w:rFonts w:ascii="Times New Roman" w:eastAsia="Times New Roman" w:hAnsi="Times New Roman"/>
          <w:sz w:val="28"/>
          <w:szCs w:val="28"/>
          <w:lang w:val="en-US"/>
        </w:rPr>
        <w:t>1</w:t>
      </w:r>
      <w:r w:rsidRPr="00021050">
        <w:rPr>
          <w:rFonts w:ascii="Times New Roman" w:eastAsia="Times New Roman" w:hAnsi="Times New Roman"/>
          <w:sz w:val="28"/>
          <w:szCs w:val="28"/>
        </w:rPr>
        <w:t>. То се явява ниско, не съответства на натовареността на СГП и налага извод за липса на кадрова обезпеченост.</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Особено осезаем е този проблем в Софийска районна прокуратура. По щатно разписание броят на съдебните служители в СРП за 2021 г. е 189 /за 2020 г. – 185, за 2019 г. – 188/,</w:t>
      </w:r>
      <w:r w:rsidRPr="00021050">
        <w:t xml:space="preserve"> </w:t>
      </w:r>
      <w:r w:rsidRPr="00021050">
        <w:rPr>
          <w:rFonts w:ascii="Times New Roman" w:eastAsia="Times New Roman" w:hAnsi="Times New Roman"/>
          <w:sz w:val="28"/>
          <w:szCs w:val="28"/>
        </w:rPr>
        <w:t>от които към 31.12.2021 г. са били незаети 7 щатни бройка за съдебни служители.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lastRenderedPageBreak/>
        <w:t>Съотношението между магистрати по щат и  служители по щат в Софийска районна прокуратура е 1:0,86. Това съотношение е далеч от необходимите стандарти за нормално натоварване на служителите и функциониране на деловодството и администрацията на СРП. През 2021 г. бяха преразпределени: една щатна бройка за длъжността „съдебен деловодител“ 4 една щатна бройка за длъжността „гл. специалист – счетоводител“ от щата на Софийска районна прокуратура в щата на Специализираната прокуратура.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2185"/>
        <w:gridCol w:w="2534"/>
        <w:gridCol w:w="2507"/>
      </w:tblGrid>
      <w:tr w:rsidR="00021050" w:rsidRPr="00021050" w:rsidTr="00861F82">
        <w:tc>
          <w:tcPr>
            <w:tcW w:w="1625"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Прокуратура</w:t>
            </w:r>
          </w:p>
        </w:tc>
        <w:tc>
          <w:tcPr>
            <w:tcW w:w="2252"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Брой магистрати по щат</w:t>
            </w:r>
          </w:p>
        </w:tc>
        <w:tc>
          <w:tcPr>
            <w:tcW w:w="2634"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Брой служители по щат</w:t>
            </w:r>
          </w:p>
        </w:tc>
        <w:tc>
          <w:tcPr>
            <w:tcW w:w="2579" w:type="dxa"/>
            <w:tcBorders>
              <w:top w:val="double" w:sz="4" w:space="0" w:color="auto"/>
              <w:left w:val="double" w:sz="4" w:space="0" w:color="auto"/>
              <w:bottom w:val="double" w:sz="4" w:space="0" w:color="auto"/>
              <w:right w:val="double" w:sz="4" w:space="0" w:color="auto"/>
            </w:tcBorders>
            <w:shd w:val="clear" w:color="auto" w:fill="FFFF00"/>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4"/>
                <w:szCs w:val="24"/>
              </w:rPr>
            </w:pPr>
            <w:r w:rsidRPr="00021050">
              <w:rPr>
                <w:rFonts w:ascii="Times New Roman" w:hAnsi="Times New Roman"/>
                <w:sz w:val="24"/>
                <w:szCs w:val="24"/>
              </w:rPr>
              <w:t>Съотношение</w:t>
            </w:r>
          </w:p>
        </w:tc>
      </w:tr>
      <w:tr w:rsidR="00021050" w:rsidRPr="00021050" w:rsidTr="00861F82">
        <w:trPr>
          <w:trHeight w:val="300"/>
        </w:trPr>
        <w:tc>
          <w:tcPr>
            <w:tcW w:w="1625"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СГП</w:t>
            </w:r>
          </w:p>
        </w:tc>
        <w:tc>
          <w:tcPr>
            <w:tcW w:w="2252"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lang w:val="en-US"/>
              </w:rPr>
            </w:pPr>
            <w:r w:rsidRPr="00021050">
              <w:rPr>
                <w:rFonts w:ascii="Times New Roman" w:hAnsi="Times New Roman"/>
                <w:sz w:val="28"/>
                <w:szCs w:val="28"/>
              </w:rPr>
              <w:t>1</w:t>
            </w:r>
            <w:r w:rsidRPr="00021050">
              <w:rPr>
                <w:rFonts w:ascii="Times New Roman" w:hAnsi="Times New Roman"/>
                <w:sz w:val="28"/>
                <w:szCs w:val="28"/>
                <w:lang w:val="en-US"/>
              </w:rPr>
              <w:t>82</w:t>
            </w:r>
          </w:p>
        </w:tc>
        <w:tc>
          <w:tcPr>
            <w:tcW w:w="2634"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184,5</w:t>
            </w:r>
          </w:p>
        </w:tc>
        <w:tc>
          <w:tcPr>
            <w:tcW w:w="2579" w:type="dxa"/>
            <w:tcBorders>
              <w:top w:val="double" w:sz="4" w:space="0" w:color="auto"/>
              <w:left w:val="double" w:sz="4" w:space="0" w:color="auto"/>
              <w:bottom w:val="doub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lang w:val="en-US"/>
              </w:rPr>
            </w:pPr>
            <w:r w:rsidRPr="00021050">
              <w:rPr>
                <w:rFonts w:ascii="Times New Roman" w:hAnsi="Times New Roman"/>
                <w:sz w:val="28"/>
                <w:szCs w:val="28"/>
              </w:rPr>
              <w:t>1:</w:t>
            </w:r>
            <w:r w:rsidRPr="00021050">
              <w:rPr>
                <w:rFonts w:ascii="Times New Roman" w:hAnsi="Times New Roman"/>
                <w:sz w:val="28"/>
                <w:szCs w:val="28"/>
                <w:lang w:val="en-US"/>
              </w:rPr>
              <w:t>1</w:t>
            </w:r>
            <w:r w:rsidRPr="00021050">
              <w:rPr>
                <w:rFonts w:ascii="Times New Roman" w:hAnsi="Times New Roman"/>
                <w:sz w:val="28"/>
                <w:szCs w:val="28"/>
              </w:rPr>
              <w:t>,0</w:t>
            </w:r>
            <w:r w:rsidRPr="00021050">
              <w:rPr>
                <w:rFonts w:ascii="Times New Roman" w:hAnsi="Times New Roman"/>
                <w:sz w:val="28"/>
                <w:szCs w:val="28"/>
                <w:lang w:val="en-US"/>
              </w:rPr>
              <w:t>1</w:t>
            </w:r>
          </w:p>
        </w:tc>
      </w:tr>
      <w:tr w:rsidR="00021050" w:rsidRPr="00021050" w:rsidTr="00861F82">
        <w:trPr>
          <w:trHeight w:val="13"/>
        </w:trPr>
        <w:tc>
          <w:tcPr>
            <w:tcW w:w="1625"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СРП</w:t>
            </w:r>
          </w:p>
        </w:tc>
        <w:tc>
          <w:tcPr>
            <w:tcW w:w="2252"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lang w:val="en-US"/>
              </w:rPr>
            </w:pPr>
            <w:r w:rsidRPr="00021050">
              <w:rPr>
                <w:rFonts w:ascii="Times New Roman" w:hAnsi="Times New Roman"/>
                <w:sz w:val="28"/>
                <w:szCs w:val="28"/>
              </w:rPr>
              <w:t>21</w:t>
            </w:r>
            <w:r w:rsidRPr="00021050">
              <w:rPr>
                <w:rFonts w:ascii="Times New Roman" w:hAnsi="Times New Roman"/>
                <w:sz w:val="28"/>
                <w:szCs w:val="28"/>
                <w:lang w:val="en-US"/>
              </w:rPr>
              <w:t>8</w:t>
            </w:r>
          </w:p>
        </w:tc>
        <w:tc>
          <w:tcPr>
            <w:tcW w:w="2634"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189</w:t>
            </w:r>
          </w:p>
        </w:tc>
        <w:tc>
          <w:tcPr>
            <w:tcW w:w="2579" w:type="dxa"/>
            <w:tcBorders>
              <w:top w:val="double" w:sz="4" w:space="0" w:color="auto"/>
              <w:left w:val="double" w:sz="4" w:space="0" w:color="auto"/>
              <w:bottom w:val="single" w:sz="4" w:space="0" w:color="auto"/>
              <w:right w:val="double" w:sz="4" w:space="0" w:color="auto"/>
            </w:tcBorders>
            <w:hideMark/>
          </w:tcPr>
          <w:p w:rsidR="00021050" w:rsidRPr="00021050" w:rsidRDefault="00021050" w:rsidP="004D24A1">
            <w:pPr>
              <w:overflowPunct w:val="0"/>
              <w:autoSpaceDE w:val="0"/>
              <w:autoSpaceDN w:val="0"/>
              <w:adjustRightInd w:val="0"/>
              <w:spacing w:after="0"/>
              <w:jc w:val="center"/>
              <w:textAlignment w:val="baseline"/>
              <w:rPr>
                <w:rFonts w:ascii="Times New Roman" w:hAnsi="Times New Roman"/>
                <w:sz w:val="28"/>
                <w:szCs w:val="28"/>
              </w:rPr>
            </w:pPr>
            <w:r w:rsidRPr="00021050">
              <w:rPr>
                <w:rFonts w:ascii="Times New Roman" w:hAnsi="Times New Roman"/>
                <w:sz w:val="28"/>
                <w:szCs w:val="28"/>
              </w:rPr>
              <w:t>1:0,86</w:t>
            </w:r>
          </w:p>
        </w:tc>
      </w:tr>
    </w:tbl>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В Софийска градска прокуратура са обособени Обща и Специализирана администрация.</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Общата администрация се състои от 1 брой съдебен администратор, 1 брой административен секретар и 1 брой експерт, връзки с обществеността.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В Общата администрация са включени също така:</w:t>
      </w:r>
    </w:p>
    <w:p w:rsidR="00021050" w:rsidRPr="00021050" w:rsidRDefault="00021050" w:rsidP="004D24A1">
      <w:pPr>
        <w:numPr>
          <w:ilvl w:val="0"/>
          <w:numId w:val="3"/>
        </w:numPr>
        <w:tabs>
          <w:tab w:val="left" w:pos="851"/>
        </w:tabs>
        <w:overflowPunct w:val="0"/>
        <w:autoSpaceDE w:val="0"/>
        <w:autoSpaceDN w:val="0"/>
        <w:adjustRightInd w:val="0"/>
        <w:spacing w:after="0"/>
        <w:ind w:left="0" w:firstLine="567"/>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Звено „Финансова и стопанска дейност“: 1 брой главен счетоводител, 5 броя главен специалист – счетоводител, 1  брой старши – специалист счетоводител, 2 броя старши специалист – съхранение СМЦ, ВД, 2 броя домакин.</w:t>
      </w:r>
    </w:p>
    <w:p w:rsidR="00021050" w:rsidRPr="00021050" w:rsidRDefault="00021050" w:rsidP="004D24A1">
      <w:pPr>
        <w:numPr>
          <w:ilvl w:val="0"/>
          <w:numId w:val="3"/>
        </w:numPr>
        <w:tabs>
          <w:tab w:val="left" w:pos="851"/>
        </w:tabs>
        <w:overflowPunct w:val="0"/>
        <w:autoSpaceDE w:val="0"/>
        <w:autoSpaceDN w:val="0"/>
        <w:adjustRightInd w:val="0"/>
        <w:spacing w:after="0"/>
        <w:ind w:left="0" w:firstLine="567"/>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Звено „Човешки ресурси и административна дейност“, което се състои от 9 служителя – 1 брой ръководител сектор ЧР, 5 броя  главен специалист-човешки ресурси, 1 брой старши специалист - организационна дейност, 1 брой главен специалист – организационна дейност, 1 брой младши специалист - организационна дейност.</w:t>
      </w:r>
    </w:p>
    <w:p w:rsidR="00021050" w:rsidRPr="00021050" w:rsidRDefault="00021050" w:rsidP="004D24A1">
      <w:pPr>
        <w:numPr>
          <w:ilvl w:val="0"/>
          <w:numId w:val="3"/>
        </w:numPr>
        <w:tabs>
          <w:tab w:val="left" w:pos="851"/>
        </w:tabs>
        <w:overflowPunct w:val="0"/>
        <w:autoSpaceDE w:val="0"/>
        <w:autoSpaceDN w:val="0"/>
        <w:adjustRightInd w:val="0"/>
        <w:spacing w:after="60"/>
        <w:ind w:left="0" w:firstLine="567"/>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Звено „Техническо обслужване и стопанисване на сградния фонд“, което се състои от 20 служителя: 1 брой ръководител сектор, 1 брой старши специалист, 1 брой младши специалист, 4 броя работници - поддръжка сгради; </w:t>
      </w:r>
      <w:r w:rsidRPr="00021050">
        <w:rPr>
          <w:rFonts w:ascii="Times New Roman" w:eastAsia="Times New Roman" w:hAnsi="Times New Roman"/>
          <w:sz w:val="28"/>
          <w:szCs w:val="28"/>
          <w:lang w:val="en-US"/>
        </w:rPr>
        <w:t>5</w:t>
      </w:r>
      <w:r w:rsidRPr="00021050">
        <w:rPr>
          <w:rFonts w:ascii="Times New Roman" w:eastAsia="Times New Roman" w:hAnsi="Times New Roman"/>
          <w:sz w:val="28"/>
          <w:szCs w:val="28"/>
        </w:rPr>
        <w:t xml:space="preserve"> броя куриер и 8 броя чистачи. </w:t>
      </w:r>
    </w:p>
    <w:p w:rsidR="00021050" w:rsidRPr="00021050" w:rsidRDefault="00021050" w:rsidP="004D24A1">
      <w:pPr>
        <w:numPr>
          <w:ilvl w:val="0"/>
          <w:numId w:val="3"/>
        </w:numPr>
        <w:tabs>
          <w:tab w:val="left" w:pos="851"/>
        </w:tabs>
        <w:overflowPunct w:val="0"/>
        <w:autoSpaceDE w:val="0"/>
        <w:autoSpaceDN w:val="0"/>
        <w:adjustRightInd w:val="0"/>
        <w:spacing w:after="60"/>
        <w:ind w:left="0" w:firstLine="567"/>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Звено „Автотранспорт“ се състои от 13 служителя: 1 брой ръководител сектор, 1 брой главен специалист, 1 брой старши специалист /</w:t>
      </w:r>
      <w:r w:rsidRPr="00021050">
        <w:rPr>
          <w:rFonts w:ascii="Times New Roman" w:hAnsi="Times New Roman"/>
          <w:sz w:val="28"/>
          <w:szCs w:val="28"/>
        </w:rPr>
        <w:t>С решение на ПК на ВСС по т. 1</w:t>
      </w:r>
      <w:r w:rsidRPr="00021050">
        <w:rPr>
          <w:rFonts w:ascii="Times New Roman" w:hAnsi="Times New Roman"/>
          <w:sz w:val="28"/>
          <w:szCs w:val="28"/>
          <w:lang w:val="en-US"/>
        </w:rPr>
        <w:t>1</w:t>
      </w:r>
      <w:r w:rsidRPr="00021050">
        <w:rPr>
          <w:rFonts w:ascii="Times New Roman" w:hAnsi="Times New Roman"/>
          <w:sz w:val="28"/>
          <w:szCs w:val="28"/>
        </w:rPr>
        <w:t xml:space="preserve">.1. от протокол № 26/14.07.2021г. е трансформирана 1 </w:t>
      </w:r>
      <w:r w:rsidRPr="00021050">
        <w:rPr>
          <w:rFonts w:ascii="Times New Roman" w:hAnsi="Times New Roman"/>
          <w:sz w:val="28"/>
          <w:szCs w:val="28"/>
          <w:lang w:val="en-US"/>
        </w:rPr>
        <w:t>(</w:t>
      </w:r>
      <w:r w:rsidRPr="00021050">
        <w:rPr>
          <w:rFonts w:ascii="Times New Roman" w:hAnsi="Times New Roman"/>
          <w:sz w:val="28"/>
          <w:szCs w:val="28"/>
        </w:rPr>
        <w:t>една</w:t>
      </w:r>
      <w:r w:rsidRPr="00021050">
        <w:rPr>
          <w:rFonts w:ascii="Times New Roman" w:hAnsi="Times New Roman"/>
          <w:sz w:val="28"/>
          <w:szCs w:val="28"/>
          <w:lang w:val="en-US"/>
        </w:rPr>
        <w:t>)</w:t>
      </w:r>
      <w:r w:rsidRPr="00021050">
        <w:rPr>
          <w:rFonts w:ascii="Times New Roman" w:hAnsi="Times New Roman"/>
          <w:sz w:val="28"/>
          <w:szCs w:val="28"/>
        </w:rPr>
        <w:t xml:space="preserve"> щатна бройка в СГП - от „шофьор-куриер“ в „старши специалист-снабдител и шофьор“/</w:t>
      </w:r>
      <w:r w:rsidRPr="00021050">
        <w:rPr>
          <w:rFonts w:ascii="Times New Roman" w:eastAsia="Times New Roman" w:hAnsi="Times New Roman"/>
          <w:sz w:val="28"/>
          <w:szCs w:val="28"/>
        </w:rPr>
        <w:t>, 6 шофьора-куриери и 4</w:t>
      </w:r>
      <w:r w:rsidRPr="00021050">
        <w:rPr>
          <w:rFonts w:ascii="Times New Roman" w:eastAsia="Times New Roman" w:hAnsi="Times New Roman"/>
          <w:sz w:val="28"/>
          <w:szCs w:val="28"/>
          <w:lang w:val="en-US"/>
        </w:rPr>
        <w:t xml:space="preserve"> </w:t>
      </w:r>
      <w:r w:rsidRPr="00021050">
        <w:rPr>
          <w:rFonts w:ascii="Times New Roman" w:eastAsia="Times New Roman" w:hAnsi="Times New Roman"/>
          <w:sz w:val="28"/>
          <w:szCs w:val="28"/>
        </w:rPr>
        <w:t>шофьора-призовкари.</w:t>
      </w:r>
    </w:p>
    <w:p w:rsidR="00021050" w:rsidRPr="00021050" w:rsidRDefault="00021050" w:rsidP="004D24A1">
      <w:pPr>
        <w:numPr>
          <w:ilvl w:val="0"/>
          <w:numId w:val="3"/>
        </w:numPr>
        <w:tabs>
          <w:tab w:val="left" w:pos="851"/>
        </w:tabs>
        <w:overflowPunct w:val="0"/>
        <w:autoSpaceDE w:val="0"/>
        <w:autoSpaceDN w:val="0"/>
        <w:adjustRightInd w:val="0"/>
        <w:spacing w:after="60"/>
        <w:ind w:left="0" w:firstLine="567"/>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lastRenderedPageBreak/>
        <w:t>Звено „Защита на класифицираната информация“ се състои от 14</w:t>
      </w:r>
      <w:r w:rsidRPr="00021050">
        <w:rPr>
          <w:rFonts w:ascii="Times New Roman" w:eastAsia="Times New Roman" w:hAnsi="Times New Roman"/>
          <w:sz w:val="28"/>
          <w:szCs w:val="28"/>
          <w:lang w:val="en-US"/>
        </w:rPr>
        <w:t xml:space="preserve"> </w:t>
      </w:r>
      <w:r w:rsidRPr="00021050">
        <w:rPr>
          <w:rFonts w:ascii="Times New Roman" w:eastAsia="Times New Roman" w:hAnsi="Times New Roman"/>
          <w:sz w:val="28"/>
          <w:szCs w:val="28"/>
        </w:rPr>
        <w:t xml:space="preserve">служителя: 1 брой ръководител сектор, 2 броя главни специалисти, 6 броя старши специалисти, 5 броя младши специалисти. </w:t>
      </w:r>
    </w:p>
    <w:p w:rsidR="00021050" w:rsidRPr="00021050" w:rsidRDefault="00021050" w:rsidP="004D24A1">
      <w:pPr>
        <w:numPr>
          <w:ilvl w:val="0"/>
          <w:numId w:val="3"/>
        </w:numPr>
        <w:tabs>
          <w:tab w:val="left" w:pos="851"/>
        </w:tabs>
        <w:overflowPunct w:val="0"/>
        <w:autoSpaceDE w:val="0"/>
        <w:autoSpaceDN w:val="0"/>
        <w:adjustRightInd w:val="0"/>
        <w:spacing w:after="0"/>
        <w:ind w:left="0" w:firstLine="567"/>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Звено „Информационно обслужване“ се състои от 8</w:t>
      </w:r>
      <w:r w:rsidRPr="00021050">
        <w:rPr>
          <w:rFonts w:ascii="Times New Roman" w:eastAsia="Times New Roman" w:hAnsi="Times New Roman"/>
          <w:sz w:val="28"/>
          <w:szCs w:val="28"/>
          <w:lang w:val="en-US"/>
        </w:rPr>
        <w:t xml:space="preserve"> </w:t>
      </w:r>
      <w:r w:rsidRPr="00021050">
        <w:rPr>
          <w:rFonts w:ascii="Times New Roman" w:eastAsia="Times New Roman" w:hAnsi="Times New Roman"/>
          <w:sz w:val="28"/>
          <w:szCs w:val="28"/>
        </w:rPr>
        <w:t>служителя: 1 брой ръководител сектор, 2 броя системен администратор, 2 броя главни специалисти, 1 брой старши специалист-компютърна обработка, статистика и анализ /с решение на ПК на ВСС по т. 8.1. от протокол № 38/10.11.2021г. е разкрита 1 /една/ щ. бр. за длъжност „старши специалист-компютърна обработка, статистика и анализ“ в Софийска градска прокуратура/ и 2 броя младши специалисти - статистици.</w:t>
      </w:r>
    </w:p>
    <w:p w:rsidR="00021050" w:rsidRPr="00021050" w:rsidRDefault="00021050" w:rsidP="004D24A1">
      <w:pPr>
        <w:overflowPunct w:val="0"/>
        <w:autoSpaceDE w:val="0"/>
        <w:autoSpaceDN w:val="0"/>
        <w:adjustRightInd w:val="0"/>
        <w:spacing w:after="60"/>
        <w:jc w:val="both"/>
        <w:textAlignment w:val="baseline"/>
        <w:rPr>
          <w:rFonts w:ascii="Times New Roman" w:eastAsia="Times New Roman" w:hAnsi="Times New Roman"/>
          <w:sz w:val="28"/>
          <w:szCs w:val="28"/>
        </w:rPr>
      </w:pPr>
    </w:p>
    <w:p w:rsidR="00021050" w:rsidRPr="00021050" w:rsidRDefault="00021050" w:rsidP="004D24A1">
      <w:pPr>
        <w:overflowPunct w:val="0"/>
        <w:autoSpaceDE w:val="0"/>
        <w:autoSpaceDN w:val="0"/>
        <w:adjustRightInd w:val="0"/>
        <w:spacing w:after="60"/>
        <w:ind w:firstLine="708"/>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Специализираната администрация при СГП включва:</w:t>
      </w:r>
    </w:p>
    <w:p w:rsidR="00021050" w:rsidRPr="00021050" w:rsidRDefault="00021050" w:rsidP="004D24A1">
      <w:pPr>
        <w:numPr>
          <w:ilvl w:val="0"/>
          <w:numId w:val="4"/>
        </w:numPr>
        <w:tabs>
          <w:tab w:val="left" w:pos="851"/>
        </w:tabs>
        <w:overflowPunct w:val="0"/>
        <w:autoSpaceDE w:val="0"/>
        <w:autoSpaceDN w:val="0"/>
        <w:adjustRightInd w:val="0"/>
        <w:spacing w:after="60"/>
        <w:ind w:left="0"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Прокурорски помощници - 12 броя;</w:t>
      </w:r>
    </w:p>
    <w:p w:rsidR="00021050" w:rsidRPr="00021050" w:rsidRDefault="00021050" w:rsidP="004D24A1">
      <w:pPr>
        <w:numPr>
          <w:ilvl w:val="0"/>
          <w:numId w:val="4"/>
        </w:numPr>
        <w:tabs>
          <w:tab w:val="left" w:pos="851"/>
        </w:tabs>
        <w:overflowPunct w:val="0"/>
        <w:autoSpaceDE w:val="0"/>
        <w:autoSpaceDN w:val="0"/>
        <w:adjustRightInd w:val="0"/>
        <w:spacing w:after="60"/>
        <w:ind w:left="0" w:firstLine="709"/>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Служба „Обща регистратура и деловодство“ се състои от 7 броя завеждащ служба, 49,5 съдебни деловодители, разпределени както следва:</w:t>
      </w:r>
    </w:p>
    <w:p w:rsidR="00021050" w:rsidRPr="00021050" w:rsidRDefault="00021050" w:rsidP="004D24A1">
      <w:pPr>
        <w:numPr>
          <w:ilvl w:val="0"/>
          <w:numId w:val="8"/>
        </w:numPr>
        <w:tabs>
          <w:tab w:val="left" w:pos="851"/>
        </w:tabs>
        <w:spacing w:after="60"/>
        <w:ind w:left="0" w:firstLine="851"/>
        <w:contextualSpacing/>
        <w:rPr>
          <w:rFonts w:ascii="Times New Roman" w:eastAsia="Times New Roman" w:hAnsi="Times New Roman"/>
          <w:sz w:val="28"/>
          <w:szCs w:val="28"/>
        </w:rPr>
      </w:pPr>
      <w:r w:rsidRPr="00021050">
        <w:rPr>
          <w:rFonts w:ascii="Times New Roman" w:eastAsia="Times New Roman" w:hAnsi="Times New Roman"/>
          <w:sz w:val="28"/>
          <w:szCs w:val="28"/>
        </w:rPr>
        <w:t>Регистратура - 1 бр. завеждащ служба, 7 съдебни деловодителя,</w:t>
      </w:r>
    </w:p>
    <w:p w:rsidR="00021050" w:rsidRPr="00021050" w:rsidRDefault="00021050" w:rsidP="004D24A1">
      <w:pPr>
        <w:numPr>
          <w:ilvl w:val="0"/>
          <w:numId w:val="8"/>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Отдел 01 – 1 бр. завеждащ служба, 12 съдебни деловодителя,</w:t>
      </w:r>
    </w:p>
    <w:p w:rsidR="00021050" w:rsidRPr="00021050" w:rsidRDefault="00021050" w:rsidP="004D24A1">
      <w:pPr>
        <w:numPr>
          <w:ilvl w:val="0"/>
          <w:numId w:val="8"/>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Отдел 02 – 1 бр. завеждащ служба, 7 съдебни деловодителя,</w:t>
      </w:r>
    </w:p>
    <w:p w:rsidR="00021050" w:rsidRPr="00021050" w:rsidRDefault="00021050" w:rsidP="004D24A1">
      <w:pPr>
        <w:numPr>
          <w:ilvl w:val="0"/>
          <w:numId w:val="8"/>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Отдел 03 – 1 бр. завеждащ служба, 7 съдебни деловодителя,</w:t>
      </w:r>
    </w:p>
    <w:p w:rsidR="00021050" w:rsidRPr="00021050" w:rsidRDefault="00021050" w:rsidP="004D24A1">
      <w:pPr>
        <w:numPr>
          <w:ilvl w:val="0"/>
          <w:numId w:val="8"/>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Отдел 04 – 1 бр. завеждащ служба, 3 съдебни деловодителя,</w:t>
      </w:r>
    </w:p>
    <w:p w:rsidR="00021050" w:rsidRPr="00021050" w:rsidRDefault="00021050" w:rsidP="004D24A1">
      <w:pPr>
        <w:numPr>
          <w:ilvl w:val="0"/>
          <w:numId w:val="8"/>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Отдел 05 - 1 бр. завеждащ служба, 2 съдебни деловодителя,</w:t>
      </w:r>
    </w:p>
    <w:p w:rsidR="00021050" w:rsidRPr="00021050" w:rsidRDefault="00021050" w:rsidP="004D24A1">
      <w:pPr>
        <w:numPr>
          <w:ilvl w:val="0"/>
          <w:numId w:val="8"/>
        </w:numPr>
        <w:tabs>
          <w:tab w:val="left" w:pos="851"/>
        </w:tabs>
        <w:spacing w:after="60"/>
        <w:ind w:left="0" w:firstLine="851"/>
        <w:contextualSpacing/>
        <w:rPr>
          <w:rFonts w:ascii="Times New Roman" w:eastAsia="Times New Roman" w:hAnsi="Times New Roman"/>
          <w:sz w:val="28"/>
          <w:szCs w:val="28"/>
        </w:rPr>
      </w:pPr>
      <w:r w:rsidRPr="00021050">
        <w:rPr>
          <w:rFonts w:ascii="Times New Roman" w:eastAsia="Times New Roman" w:hAnsi="Times New Roman"/>
          <w:sz w:val="28"/>
          <w:szCs w:val="28"/>
        </w:rPr>
        <w:t>Звено „УИС“ - се състои от 1 брой завеждащ служба и 9 съдебни деловодителя.</w:t>
      </w:r>
    </w:p>
    <w:p w:rsidR="00021050" w:rsidRPr="00021050" w:rsidRDefault="00021050" w:rsidP="004D24A1">
      <w:pPr>
        <w:numPr>
          <w:ilvl w:val="0"/>
          <w:numId w:val="8"/>
        </w:numPr>
        <w:tabs>
          <w:tab w:val="left" w:pos="851"/>
        </w:tabs>
        <w:spacing w:after="60"/>
        <w:ind w:left="0" w:firstLine="851"/>
        <w:contextualSpacing/>
        <w:jc w:val="both"/>
        <w:rPr>
          <w:rFonts w:ascii="Times New Roman" w:eastAsia="Times New Roman" w:hAnsi="Times New Roman"/>
          <w:sz w:val="28"/>
          <w:szCs w:val="28"/>
        </w:rPr>
      </w:pPr>
      <w:r w:rsidRPr="00021050">
        <w:rPr>
          <w:rFonts w:ascii="Times New Roman" w:eastAsia="Times New Roman" w:hAnsi="Times New Roman"/>
          <w:sz w:val="28"/>
          <w:szCs w:val="28"/>
        </w:rPr>
        <w:t>Служба „Архив“ се състои от 1 брой завеждащ служба и 3 бр. съдебен архивар;</w:t>
      </w:r>
    </w:p>
    <w:p w:rsidR="00021050" w:rsidRPr="00021050" w:rsidRDefault="00021050" w:rsidP="004D24A1">
      <w:pPr>
        <w:numPr>
          <w:ilvl w:val="0"/>
          <w:numId w:val="4"/>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Служба „Регистратура и деловодство“ в СО-СГП се състои от 1 брой завеждащ служба, 19 съдебни деловодителя;</w:t>
      </w:r>
    </w:p>
    <w:p w:rsidR="00021050" w:rsidRPr="00021050" w:rsidRDefault="00021050" w:rsidP="004D24A1">
      <w:pPr>
        <w:numPr>
          <w:ilvl w:val="0"/>
          <w:numId w:val="4"/>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Служба „Призовки“ в СО – СГП се състои от 6 призовкари;</w:t>
      </w:r>
    </w:p>
    <w:p w:rsidR="00021050" w:rsidRPr="00021050" w:rsidRDefault="00021050" w:rsidP="004D24A1">
      <w:pPr>
        <w:numPr>
          <w:ilvl w:val="0"/>
          <w:numId w:val="4"/>
        </w:numPr>
        <w:tabs>
          <w:tab w:val="left" w:pos="851"/>
        </w:tabs>
        <w:overflowPunct w:val="0"/>
        <w:autoSpaceDE w:val="0"/>
        <w:autoSpaceDN w:val="0"/>
        <w:adjustRightInd w:val="0"/>
        <w:spacing w:after="60"/>
        <w:ind w:left="0" w:firstLine="851"/>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Служба „ЦИССС“ се състои 1 брой завеждащ служба и 8 съдебни деловодителя-ЦИССС.</w:t>
      </w:r>
    </w:p>
    <w:p w:rsidR="00021050" w:rsidRPr="00021050" w:rsidRDefault="00021050" w:rsidP="004D24A1">
      <w:pPr>
        <w:overflowPunct w:val="0"/>
        <w:autoSpaceDE w:val="0"/>
        <w:autoSpaceDN w:val="0"/>
        <w:adjustRightInd w:val="0"/>
        <w:spacing w:after="60"/>
        <w:contextualSpacing/>
        <w:jc w:val="both"/>
        <w:textAlignment w:val="baseline"/>
        <w:rPr>
          <w:rFonts w:ascii="Times New Roman" w:eastAsia="Times New Roman" w:hAnsi="Times New Roman"/>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Гореизложеното обуславя извод за недостатъчен брой съдебни служители. С оглед последното, ръководството на СГП предприема мерки за запълване на незаетите щатни бройки - проведени са конкурси за назначаване на съдебни служители и на прокурорски помощник.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Налице са и утвърдени правила за регулиране на административната дейност, като:</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Правилник за вътрешния трудов ред;</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en-US"/>
        </w:rPr>
      </w:pPr>
      <w:r w:rsidRPr="00021050">
        <w:rPr>
          <w:rFonts w:ascii="Times New Roman" w:eastAsia="Times New Roman" w:hAnsi="Times New Roman"/>
          <w:sz w:val="28"/>
          <w:szCs w:val="28"/>
        </w:rPr>
        <w:lastRenderedPageBreak/>
        <w:t>- Вътрешни правила за дисциплинарните производства срещу магистрати;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Вътрешни правила за дисциплинарните производства срещу съдебни служители в СГП;</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Вътрешни правила за разпределение на служебните МПС на СГП и за организиране транспортното обслужване на СГП;</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Вътрешни правила за реда и организацията на възлагане на обществени поръчки по Закона за обществените поръчки в Софийска градска прокуратура. Издадени са множество заповеди по организация дейността на администрацията;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hAnsi="Times New Roman"/>
          <w:sz w:val="28"/>
          <w:szCs w:val="28"/>
        </w:rPr>
      </w:pPr>
      <w:r w:rsidRPr="00021050">
        <w:rPr>
          <w:rFonts w:ascii="Times New Roman" w:eastAsia="Times New Roman" w:hAnsi="Times New Roman"/>
          <w:sz w:val="28"/>
          <w:szCs w:val="28"/>
        </w:rPr>
        <w:t xml:space="preserve">- </w:t>
      </w:r>
      <w:r w:rsidRPr="00021050">
        <w:rPr>
          <w:rFonts w:ascii="Times New Roman" w:hAnsi="Times New Roman"/>
          <w:sz w:val="28"/>
          <w:szCs w:val="28"/>
        </w:rPr>
        <w:t>Вътрешните правила за работата на прокурорските помощници в СГП.</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hAnsi="Times New Roman"/>
          <w:sz w:val="28"/>
          <w:szCs w:val="28"/>
        </w:rPr>
        <w:t xml:space="preserve">Същевременно се прилагат и утвърдените от главния прокурор на Република България правила и указания, касаещи дейността на Софийска градска прокуратура. </w:t>
      </w:r>
    </w:p>
    <w:p w:rsidR="00021050" w:rsidRPr="00021050" w:rsidRDefault="00021050" w:rsidP="004D24A1">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color w:val="000000"/>
          <w:sz w:val="28"/>
          <w:szCs w:val="28"/>
          <w:lang w:eastAsia="bg-BG"/>
        </w:rPr>
        <w:t xml:space="preserve">Необходимостта от повишаване на професионалната квалификация на магистратите и съдебните служители е обоснована от динамиката на промените в нормативната база, увеличаващото се разнообразие на формите на престъпна дейност и постоянно повишаващите се очаквания и изисквания към работата на магистрати и администрация (обща и специализирана). </w:t>
      </w:r>
      <w:r w:rsidRPr="00021050">
        <w:rPr>
          <w:rFonts w:ascii="Times New Roman" w:eastAsia="Times New Roman" w:hAnsi="Times New Roman"/>
          <w:sz w:val="28"/>
          <w:szCs w:val="28"/>
        </w:rPr>
        <w:t>В тази връзка през 2021 г. участията в семинари, конференции, обучения, /вкл. и като  лектори/ са 73</w:t>
      </w:r>
      <w:r w:rsidRPr="00021050">
        <w:rPr>
          <w:rFonts w:ascii="Times New Roman" w:eastAsia="Times New Roman" w:hAnsi="Times New Roman"/>
          <w:sz w:val="28"/>
          <w:szCs w:val="28"/>
          <w:lang w:val="en-US"/>
        </w:rPr>
        <w:t>.</w:t>
      </w:r>
    </w:p>
    <w:p w:rsidR="00021050" w:rsidRPr="00021050" w:rsidRDefault="00021050" w:rsidP="004D24A1">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21050" w:rsidRPr="00021050" w:rsidRDefault="00021050" w:rsidP="004D24A1">
      <w:pPr>
        <w:shd w:val="clear" w:color="auto" w:fill="FFFFFF"/>
        <w:tabs>
          <w:tab w:val="left" w:pos="826"/>
        </w:tabs>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През 2021 г. са проведени семинари на следните теми: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-„Основания по Закона за съдебната власт за прекратяване на трудовото правоотношение със съдебни служители от администрацията на Прокуратурата на Република България.“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„Участие в учебно посещение на Европейската мрежа за съдебно обучение“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„Етично поведение на съдебния служител.“</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"Основни принципи и акстуални моменти при прилагане на Закона за обществени принципи и актуални моменти при прилагане на Закона за обществени поръчки в съдебната система".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„Предоставяне на достъп до обществена информация в Прокуратурата на Република България.Съдебна практика.“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-участие в Образователната програма на ВСС "съдебна власт - информиран избор и гражданско доверие. Отворени съдилища и прокуратури"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lastRenderedPageBreak/>
        <w:t xml:space="preserve">- "Работна среща - ефективни комуникационни практики за говорители и експерти "връзки с обществеността" на прокуратурата"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"Документална сигурност на КИ. Изменения в нормативната уредба - ЗЗКИ, ППЗЗКИ, НСКИС  и задължителните указания на ДИКСИ".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„Защита на класифицираната информация в ПРБ. Изменения в нормативната уредба – ЗЗКИ, ППЗЗКИ,НСКИС и задължителните  указания на ДКСИ. Отбранително – мобилизационна подготовка“.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Участие в Образователната програма, присъствени лекции в – 91 НЕГ - София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Участие в международна конференция на тема "Защита на еврото в България, страните от Югоизточна Европа и Балканския регион, постижения и предизвикателства пред правоприлагащите органи"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Участие в Учебно посещение в Агенцията на ЕС за основните права и Службата на ООН по наркотиците и престъпността.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Документооборот и деловодна дейност в ПРБ</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Финализиране на Образователната програма на ВСС.</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"Етично поведение на съдебния служител".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"Съвместни екипи на разследване",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„Разследване, обезпечения, налагани наказания и конфискация по делата за изпиране на пари“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"Право и финансови иновации 2021"</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"Европейско право в областта на информационните технологии"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"Разследване на финансови престъпления"</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"Мандатът на младшия следовател - начало и професионално развитие"</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"Автотехнически експертизи"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"Данъчно-наказателно право- международни аспекти"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"Работа с архивни дела"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"Свобода на изразяване в дигиталната ера"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"Икономически и финансови Ратзслевадвания"</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Трафик на хора: практики в разследването и преследването. Съдебен процес и правна защита. Закрила и подкрепа на жертвите"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-Обучение на обучители в областта на трансграничното сътрудничество по наказателни дела"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-„Дисциплинарни производства срещу служители от Администрацията на прокуратурата.“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"Проблемите на интеграцията на жени, мигрантки, жертви на трафик с цел сексуална експлоатация и на други форми на насилие, основано на пола по проект „WIN – Trafficked Women Integration“.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lastRenderedPageBreak/>
        <w:t xml:space="preserve">- Право на ЕС в областта на ДДС", организиран от ЕРА /Академията по европейско право/ по проект на НИП-Модерна институция за съдебно обучение. </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„Прилагане на основните принципи за екипна ефективност в дейността на съдебната администрация в ПРБ“</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"Съвместни екипи на разследване -лидерство"</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"Защита на финансовите интереси на ЕС". Престъпни състави. Функции на ОЛАФ. Европейска прокуратура."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Обмен на опит в противодействието на трафика на хора, с представители на държавната администрация на Р Аржентина</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"Укрепване капацитета на Полицията за противодействие на нелегалния трафик на отпадъци"</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"Прилагане на Хартата на основните права на ЕС. Фокус върху правото на справедлив процес</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Работна среща на тема: „Лица с имунитет – наказателно – правната уредба, практиката на ВКС, провеждане на разследване, процедура по сваляне на имунитет и привличане в качеството на обвиняем на лице с имунитет“.</w:t>
      </w:r>
    </w:p>
    <w:p w:rsidR="00021050" w:rsidRPr="00021050" w:rsidRDefault="00021050" w:rsidP="004D24A1">
      <w:pPr>
        <w:shd w:val="clear" w:color="auto" w:fill="FFFFFF"/>
        <w:tabs>
          <w:tab w:val="left" w:pos="826"/>
        </w:tabs>
        <w:overflowPunct w:val="0"/>
        <w:autoSpaceDE w:val="0"/>
        <w:autoSpaceDN w:val="0"/>
        <w:adjustRightInd w:val="0"/>
        <w:spacing w:after="0"/>
        <w:ind w:firstLine="567"/>
        <w:contextualSpacing/>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"Достъпът до трафични данни като допустимо ограничаване на конституционни права на гражданите"</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pacing w:val="-1"/>
          <w:sz w:val="28"/>
          <w:szCs w:val="28"/>
          <w:lang w:eastAsia="bg-BG"/>
        </w:rPr>
        <w:t>Правилно планираното и добре организирано обучение на магистрати и съдебни служители допринася за преодоляване на част от възникналите в практическата работа проблеми, в това число и такива, свързани с противоречива прокурорска практика и има цялостен позитивен ефект върху качеството на изпълняваните от магистратите и съдебните служители задължения.</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r w:rsidRPr="00021050">
        <w:rPr>
          <w:rFonts w:ascii="Times New Roman" w:eastAsia="Times New Roman" w:hAnsi="Times New Roman"/>
          <w:b/>
          <w:sz w:val="28"/>
          <w:szCs w:val="28"/>
        </w:rPr>
        <w:t xml:space="preserve">Във връзка с ръководната и организационна дейност през отчетния период в Софийска градска прокуратура са издадени общо 56866 заповеди на административния ръководител, за административен ръководител, и. ф. административен ръководител относно администрирането на дейността на СГП, заповеди с организационен характер, </w:t>
      </w:r>
      <w:r w:rsidRPr="00021050">
        <w:rPr>
          <w:b/>
        </w:rPr>
        <w:t xml:space="preserve"> </w:t>
      </w:r>
      <w:r w:rsidRPr="00021050">
        <w:rPr>
          <w:rFonts w:ascii="Times New Roman" w:eastAsia="Times New Roman" w:hAnsi="Times New Roman"/>
          <w:b/>
          <w:sz w:val="28"/>
          <w:szCs w:val="28"/>
        </w:rPr>
        <w:t>по повод ползване на отпуск на магистрати и служители и др.</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Заповедите касаят:</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преразпределяне на преписки и дела на прокурори, преместени в други звена или отдели;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преразпределяне на преписки и дела на командировани прокурори или на прокурори, чието командироване е прекратено, или на прокурори, </w:t>
      </w:r>
      <w:r w:rsidRPr="00021050">
        <w:rPr>
          <w:rFonts w:ascii="Times New Roman" w:eastAsia="Times New Roman" w:hAnsi="Times New Roman"/>
          <w:sz w:val="28"/>
          <w:szCs w:val="28"/>
        </w:rPr>
        <w:lastRenderedPageBreak/>
        <w:t>които са встъпили в длъжност в друга прокуратура или институция (напр. Инспекторат на ВСС);</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заповеди за преразпределяне на преписки и дела на прокурори с продължителен болничен или предстоящо излизане в отпуск за дълъг период от време;</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заповеди за изключване на конкретни прокурори от програмата УИС-2 за определен период от време, поради извършване на ревизии;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заповеди за изключване на прокурори от системата за случайно разпределение за определен период от време поради участие в изпитни комисии по конкурси на ВСС;</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заповеди за изключване на конкретни прокурори от програмата за случайно разпределение, поради участие в семинари;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заповеди за изключване от разпределението на новопостъпили преписки и дела за конкретен период, поради значително натоварване на определен прокурор и др.</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 за възлагане на експертизи;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 за променливо работно време поради пандемичната обстановка;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заповед с цел оптимизиране на създадената организация по измерване на натовареността по Правила за измерване на натовареността на прокуратурите и на индивидуалната натовареност на всеки прокурор и следовател;</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 заповед на основание т. 77 от Указание за дейността на прокуратурата по надзора върху изпълнение на наказанията и другите принудителни мерки, утвърдено със Заповед № 5306/24.11.2014г. на главния прокурор, изменено и допълнено със Заповеди № РД-04-203/28.04.2016г. и </w:t>
      </w: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РД-04-71/19.02.2018г., във връзка с упражняване на надзор за законност върху местата за лишаване от свобода и с оглед кадрови промени в СГП;</w:t>
      </w:r>
    </w:p>
    <w:p w:rsidR="00021050" w:rsidRPr="00021050" w:rsidRDefault="00021050" w:rsidP="004D24A1">
      <w:pPr>
        <w:ind w:firstLine="705"/>
        <w:jc w:val="both"/>
        <w:rPr>
          <w:rFonts w:ascii="Times New Roman" w:hAnsi="Times New Roman"/>
          <w:sz w:val="28"/>
          <w:szCs w:val="28"/>
        </w:rPr>
      </w:pPr>
      <w:r w:rsidRPr="00021050">
        <w:rPr>
          <w:rFonts w:ascii="Times New Roman" w:hAnsi="Times New Roman"/>
          <w:sz w:val="28"/>
          <w:szCs w:val="28"/>
        </w:rPr>
        <w:t>-заповеди във връзка с процедури за парични гаранции, за възлаганена писмени и устни преводи;</w:t>
      </w:r>
    </w:p>
    <w:p w:rsidR="00021050" w:rsidRPr="00021050" w:rsidRDefault="00021050" w:rsidP="004D24A1">
      <w:pPr>
        <w:ind w:firstLine="705"/>
        <w:jc w:val="both"/>
        <w:rPr>
          <w:rFonts w:ascii="Times New Roman" w:hAnsi="Times New Roman"/>
          <w:sz w:val="28"/>
          <w:szCs w:val="28"/>
        </w:rPr>
      </w:pPr>
      <w:r w:rsidRPr="00021050">
        <w:rPr>
          <w:rFonts w:ascii="Times New Roman" w:hAnsi="Times New Roman"/>
          <w:sz w:val="28"/>
          <w:szCs w:val="28"/>
        </w:rPr>
        <w:t>- заповед за стриктно спазване на Указание за специален надзор на главния прокурор- за изготвяне и изпращане на  уведомление по Образец № 1 към т. 4.1.</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t xml:space="preserve">Също така през 2021 г. са образувани общо </w:t>
      </w:r>
      <w:r w:rsidRPr="00021050">
        <w:rPr>
          <w:rFonts w:ascii="Times New Roman" w:eastAsia="Times New Roman" w:hAnsi="Times New Roman"/>
          <w:sz w:val="28"/>
          <w:szCs w:val="28"/>
          <w:lang w:val="en-US"/>
        </w:rPr>
        <w:t>748</w:t>
      </w:r>
      <w:r w:rsidRPr="00021050">
        <w:rPr>
          <w:rFonts w:ascii="Times New Roman" w:eastAsia="Times New Roman" w:hAnsi="Times New Roman"/>
          <w:sz w:val="28"/>
          <w:szCs w:val="28"/>
        </w:rPr>
        <w:t xml:space="preserve"> броя преписки с административни номера и </w:t>
      </w:r>
      <w:r w:rsidRPr="00021050">
        <w:rPr>
          <w:rFonts w:ascii="Times New Roman" w:eastAsia="Times New Roman" w:hAnsi="Times New Roman"/>
          <w:sz w:val="28"/>
          <w:szCs w:val="28"/>
          <w:lang w:val="en-US"/>
        </w:rPr>
        <w:t>590</w:t>
      </w:r>
      <w:r w:rsidRPr="00021050">
        <w:rPr>
          <w:rFonts w:ascii="Times New Roman" w:eastAsia="Times New Roman" w:hAnsi="Times New Roman"/>
          <w:sz w:val="28"/>
          <w:szCs w:val="28"/>
        </w:rPr>
        <w:t xml:space="preserve"> броя преписки с изходящи номера. Издадени са общо </w:t>
      </w:r>
      <w:r w:rsidRPr="00021050">
        <w:rPr>
          <w:rFonts w:ascii="Times New Roman" w:eastAsia="Times New Roman" w:hAnsi="Times New Roman"/>
          <w:sz w:val="28"/>
          <w:szCs w:val="28"/>
          <w:lang w:val="en-US"/>
        </w:rPr>
        <w:t>5707</w:t>
      </w:r>
      <w:r w:rsidRPr="00021050">
        <w:rPr>
          <w:rFonts w:ascii="Times New Roman" w:eastAsia="Times New Roman" w:hAnsi="Times New Roman"/>
          <w:sz w:val="28"/>
          <w:szCs w:val="28"/>
        </w:rPr>
        <w:t xml:space="preserve"> броя удостоверения на лица, относно водени досъдебни производства.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21050">
        <w:rPr>
          <w:rFonts w:ascii="Times New Roman" w:eastAsia="Times New Roman" w:hAnsi="Times New Roman"/>
          <w:sz w:val="28"/>
          <w:szCs w:val="28"/>
        </w:rPr>
        <w:lastRenderedPageBreak/>
        <w:t xml:space="preserve">През 2021 г. са изготвени 6062 справки, 117 анализи и доклади и са предоставени 50 становища по искания на горестоящите прокуратури или по входирани изложения от други ведомства. </w:t>
      </w:r>
    </w:p>
    <w:p w:rsidR="00021050" w:rsidRPr="00021050" w:rsidRDefault="00021050" w:rsidP="004D24A1">
      <w:pPr>
        <w:overflowPunct w:val="0"/>
        <w:autoSpaceDE w:val="0"/>
        <w:autoSpaceDN w:val="0"/>
        <w:adjustRightInd w:val="0"/>
        <w:spacing w:after="0"/>
        <w:jc w:val="both"/>
        <w:textAlignment w:val="baseline"/>
        <w:rPr>
          <w:rFonts w:eastAsia="Times New Roman"/>
          <w:sz w:val="20"/>
          <w:szCs w:val="20"/>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iCs/>
          <w:sz w:val="28"/>
          <w:szCs w:val="28"/>
        </w:rPr>
      </w:pPr>
      <w:r w:rsidRPr="00021050">
        <w:rPr>
          <w:rFonts w:ascii="Times New Roman" w:eastAsia="Times New Roman" w:hAnsi="Times New Roman"/>
          <w:b/>
          <w:iCs/>
          <w:sz w:val="28"/>
          <w:szCs w:val="28"/>
        </w:rPr>
        <w:t>Проверки и ревизии. Образувани дисциплинарни и наказателни производства срещу магистрати. Наложени наказания на прокурори и следователи.</w:t>
      </w: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iCs/>
          <w:sz w:val="28"/>
          <w:szCs w:val="28"/>
        </w:rPr>
      </w:pP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iCs/>
          <w:sz w:val="28"/>
          <w:szCs w:val="28"/>
        </w:rPr>
      </w:pPr>
      <w:r w:rsidRPr="00021050">
        <w:rPr>
          <w:rFonts w:ascii="Times New Roman" w:eastAsia="Times New Roman" w:hAnsi="Times New Roman"/>
          <w:iCs/>
          <w:sz w:val="28"/>
          <w:szCs w:val="28"/>
        </w:rPr>
        <w:tab/>
        <w:t>Във връзка с осъществяването контролно – ревизионната дейност на Софийска градска прокуратура спрямо Софийска районна прокуратура през 2021г.</w:t>
      </w:r>
      <w:r w:rsidRPr="00021050">
        <w:t xml:space="preserve"> </w:t>
      </w:r>
      <w:r w:rsidRPr="00021050">
        <w:rPr>
          <w:rFonts w:ascii="Times New Roman" w:hAnsi="Times New Roman"/>
          <w:sz w:val="28"/>
          <w:szCs w:val="28"/>
        </w:rPr>
        <w:t>са</w:t>
      </w:r>
      <w:r w:rsidRPr="00021050">
        <w:t xml:space="preserve"> </w:t>
      </w:r>
      <w:r w:rsidRPr="00021050">
        <w:rPr>
          <w:rFonts w:ascii="Times New Roman" w:eastAsia="Times New Roman" w:hAnsi="Times New Roman"/>
          <w:iCs/>
          <w:sz w:val="28"/>
          <w:szCs w:val="28"/>
        </w:rPr>
        <w:t>извършени общо 12 бр. проверки на първоинстанционната прокуратура, както следва:</w:t>
      </w: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iCs/>
          <w:sz w:val="28"/>
          <w:szCs w:val="28"/>
        </w:rPr>
      </w:pPr>
    </w:p>
    <w:p w:rsidR="00021050" w:rsidRPr="00021050" w:rsidRDefault="00021050" w:rsidP="004D24A1">
      <w:pPr>
        <w:tabs>
          <w:tab w:val="left" w:pos="709"/>
          <w:tab w:val="left" w:pos="993"/>
        </w:tabs>
        <w:spacing w:after="0"/>
        <w:jc w:val="both"/>
        <w:rPr>
          <w:rFonts w:ascii="Times New Roman" w:hAnsi="Times New Roman"/>
          <w:sz w:val="28"/>
          <w:szCs w:val="28"/>
        </w:rPr>
      </w:pPr>
      <w:r w:rsidRPr="00021050">
        <w:rPr>
          <w:rFonts w:ascii="Times New Roman" w:eastAsia="Times New Roman" w:hAnsi="Times New Roman"/>
          <w:iCs/>
          <w:sz w:val="28"/>
          <w:szCs w:val="28"/>
        </w:rPr>
        <w:tab/>
        <w:t xml:space="preserve">В изпълнение на заповед на </w:t>
      </w:r>
      <w:r w:rsidRPr="00021050">
        <w:rPr>
          <w:rFonts w:ascii="Times New Roman" w:hAnsi="Times New Roman"/>
          <w:b/>
          <w:sz w:val="28"/>
          <w:szCs w:val="28"/>
        </w:rPr>
        <w:t xml:space="preserve">Заповед № РД-04-432/29.06.2021г. и Заповед № РД-04-05/05.01.2022г. </w:t>
      </w:r>
      <w:r w:rsidRPr="00021050">
        <w:rPr>
          <w:rFonts w:ascii="Times New Roman" w:hAnsi="Times New Roman"/>
          <w:sz w:val="28"/>
          <w:szCs w:val="28"/>
        </w:rPr>
        <w:t xml:space="preserve">на градския прокурор и в изпълнение на Заповед № 15/05.01.2016г., Заповед № 115/09.02.2016г. и Заповед № 591/01.07.2020г. на административния ръководител на АП – София, издадени по указателно писмо № 4727/28.12.2015г. на главния прокурор на РБ и заведени под адм. № 50/2016г. по описа на СРП, са извършени две проверки в Софийска районна прокуратура за 2021г. на всички досъдебни производства, образувани преди 01.01.2015г. за престъпления по чл.128-135 от НК. В изготвените доклади от проверяващите екипи са дадени конкретни препоръки по направените констатации. С докладите са запознати всички прокурори от </w:t>
      </w:r>
      <w:r w:rsidRPr="00021050">
        <w:rPr>
          <w:rFonts w:ascii="Times New Roman" w:hAnsi="Times New Roman"/>
          <w:sz w:val="28"/>
          <w:szCs w:val="28"/>
          <w:lang w:val="en-US"/>
        </w:rPr>
        <w:t>I</w:t>
      </w:r>
      <w:r w:rsidRPr="00021050">
        <w:rPr>
          <w:rFonts w:ascii="Times New Roman" w:hAnsi="Times New Roman"/>
          <w:sz w:val="28"/>
          <w:szCs w:val="28"/>
        </w:rPr>
        <w:t>- ви отдел при СРП, проведено е събрание и са обсъдени направените в докладите констатации и мерките за преодоляване на пропуските. Създадена е организация на наблюдаващите прокурорите да бъдат докладвани всички досъдебни производства, посочени в докладите на проверяващите екипи за изпълнение на указанията.</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В Софийска районна прокуратура продължава създадената организация по Заповед № РД-04-01-2446/24.07.2020г., като веднъж годишно се докладват на прокурорите наблюдателните материали към спрените досъдебни производства, водени за престъпления по чл.128-135 от НК за преценка налице ли са основания за възобновяване или прекратяване на производството, поради изтичане на давностния срок.</w:t>
      </w:r>
    </w:p>
    <w:p w:rsidR="00021050" w:rsidRPr="00021050" w:rsidRDefault="00021050" w:rsidP="004D24A1">
      <w:pPr>
        <w:spacing w:after="0"/>
        <w:ind w:firstLine="709"/>
        <w:jc w:val="both"/>
        <w:rPr>
          <w:rFonts w:ascii="Times New Roman" w:hAnsi="Times New Roman"/>
          <w:sz w:val="28"/>
          <w:szCs w:val="28"/>
        </w:rPr>
      </w:pPr>
    </w:p>
    <w:p w:rsidR="00021050" w:rsidRPr="00021050" w:rsidRDefault="00021050" w:rsidP="004D24A1">
      <w:pPr>
        <w:tabs>
          <w:tab w:val="left" w:pos="993"/>
        </w:tabs>
        <w:spacing w:after="0"/>
        <w:jc w:val="both"/>
        <w:rPr>
          <w:rFonts w:ascii="Times New Roman" w:hAnsi="Times New Roman"/>
          <w:sz w:val="28"/>
          <w:szCs w:val="28"/>
        </w:rPr>
      </w:pPr>
      <w:r w:rsidRPr="00021050">
        <w:rPr>
          <w:rFonts w:ascii="Times New Roman" w:hAnsi="Times New Roman"/>
          <w:sz w:val="28"/>
          <w:szCs w:val="28"/>
        </w:rPr>
        <w:tab/>
        <w:t xml:space="preserve">В изпълнение на заповед на </w:t>
      </w:r>
      <w:r w:rsidRPr="00021050">
        <w:rPr>
          <w:rFonts w:ascii="Times New Roman" w:hAnsi="Times New Roman"/>
          <w:b/>
          <w:sz w:val="28"/>
          <w:szCs w:val="28"/>
        </w:rPr>
        <w:t>Заповед № РД-04-</w:t>
      </w:r>
      <w:r w:rsidRPr="00021050">
        <w:rPr>
          <w:rFonts w:ascii="Times New Roman" w:hAnsi="Times New Roman"/>
          <w:b/>
          <w:sz w:val="28"/>
          <w:szCs w:val="28"/>
          <w:lang w:val="en-US"/>
        </w:rPr>
        <w:t>407</w:t>
      </w:r>
      <w:r w:rsidRPr="00021050">
        <w:rPr>
          <w:rFonts w:ascii="Times New Roman" w:hAnsi="Times New Roman"/>
          <w:b/>
          <w:sz w:val="28"/>
          <w:szCs w:val="28"/>
        </w:rPr>
        <w:t>/</w:t>
      </w:r>
      <w:r w:rsidRPr="00021050">
        <w:rPr>
          <w:rFonts w:ascii="Times New Roman" w:hAnsi="Times New Roman"/>
          <w:b/>
          <w:sz w:val="28"/>
          <w:szCs w:val="28"/>
          <w:lang w:val="en-US"/>
        </w:rPr>
        <w:t>16</w:t>
      </w:r>
      <w:r w:rsidRPr="00021050">
        <w:rPr>
          <w:rFonts w:ascii="Times New Roman" w:hAnsi="Times New Roman"/>
          <w:b/>
          <w:sz w:val="28"/>
          <w:szCs w:val="28"/>
        </w:rPr>
        <w:t>.06.202</w:t>
      </w:r>
      <w:r w:rsidRPr="00021050">
        <w:rPr>
          <w:rFonts w:ascii="Times New Roman" w:hAnsi="Times New Roman"/>
          <w:b/>
          <w:sz w:val="28"/>
          <w:szCs w:val="28"/>
          <w:lang w:val="en-US"/>
        </w:rPr>
        <w:t>1</w:t>
      </w:r>
      <w:r w:rsidRPr="00021050">
        <w:rPr>
          <w:rFonts w:ascii="Times New Roman" w:hAnsi="Times New Roman"/>
          <w:b/>
          <w:sz w:val="28"/>
          <w:szCs w:val="28"/>
        </w:rPr>
        <w:t>г.</w:t>
      </w:r>
      <w:r w:rsidRPr="00021050">
        <w:rPr>
          <w:rFonts w:ascii="Times New Roman" w:hAnsi="Times New Roman"/>
          <w:sz w:val="28"/>
          <w:szCs w:val="28"/>
        </w:rPr>
        <w:t xml:space="preserve"> на административния ръководител на СГП е извършена проверка на работата на Момчил Иванов Георгиев – прокурор в Софийска районна прокуратура по три досъдебни производства, наблюдавани от прокурор Георгиев, въз </w:t>
      </w:r>
      <w:r w:rsidRPr="00021050">
        <w:rPr>
          <w:rFonts w:ascii="Times New Roman" w:hAnsi="Times New Roman"/>
          <w:sz w:val="28"/>
          <w:szCs w:val="28"/>
        </w:rPr>
        <w:lastRenderedPageBreak/>
        <w:t>основа на подадени сигнали срещу прокурора от разследващи полицай при ГД“НП“ и от следовател при СО-СГП.</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 xml:space="preserve">В резултата от извършената проверка от СГП е издадена заповед № РД-04-02-2995/14.07.2021г. на административния ръководител-районен прокурор на Софийска районна прокуратура, с която срещу прокурор Момчил Георгиев е образувано дисциплинарно производство, на основание чл.307, ал.3, т.2 от ЗСВ. </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По предложение на административния ръководител на СРП чрез Главния прокурор до Прокурорската колегия към Висшия съдебен съвет е изпратено предложение за продължаване на дисциплинарното производство по реда на чл.316-322 от ЗСВ и за налагане на дисциплинарно наказание по чл.308, ал., т.2 от ЗСВ на Момчил Георгиев – прокурор при СРП.</w:t>
      </w:r>
    </w:p>
    <w:p w:rsidR="00021050" w:rsidRPr="00021050" w:rsidRDefault="00021050" w:rsidP="004D24A1">
      <w:pPr>
        <w:spacing w:after="0"/>
        <w:ind w:firstLine="709"/>
        <w:jc w:val="both"/>
        <w:rPr>
          <w:rFonts w:ascii="Times New Roman" w:hAnsi="Times New Roman"/>
          <w:sz w:val="28"/>
          <w:szCs w:val="28"/>
        </w:rPr>
      </w:pPr>
    </w:p>
    <w:p w:rsidR="00021050" w:rsidRPr="00021050" w:rsidRDefault="00021050" w:rsidP="004D24A1">
      <w:pPr>
        <w:tabs>
          <w:tab w:val="left" w:pos="993"/>
        </w:tabs>
        <w:spacing w:after="0"/>
        <w:jc w:val="both"/>
        <w:rPr>
          <w:rFonts w:ascii="Times New Roman" w:hAnsi="Times New Roman"/>
          <w:sz w:val="28"/>
          <w:szCs w:val="28"/>
        </w:rPr>
      </w:pPr>
      <w:r w:rsidRPr="00021050">
        <w:rPr>
          <w:rFonts w:ascii="Times New Roman" w:hAnsi="Times New Roman"/>
          <w:bCs/>
          <w:sz w:val="28"/>
          <w:szCs w:val="28"/>
          <w:lang w:val="en-US"/>
        </w:rPr>
        <w:tab/>
        <w:t xml:space="preserve">В изпълнение на заповед на </w:t>
      </w:r>
      <w:r w:rsidRPr="00021050">
        <w:rPr>
          <w:rFonts w:ascii="Times New Roman" w:hAnsi="Times New Roman"/>
          <w:b/>
          <w:sz w:val="28"/>
          <w:szCs w:val="28"/>
        </w:rPr>
        <w:t>Заповед № РД-04-861/02.12.2021г.</w:t>
      </w:r>
      <w:r w:rsidRPr="00021050">
        <w:rPr>
          <w:rFonts w:ascii="Times New Roman" w:hAnsi="Times New Roman"/>
          <w:bCs/>
          <w:sz w:val="28"/>
          <w:szCs w:val="28"/>
        </w:rPr>
        <w:t xml:space="preserve"> </w:t>
      </w:r>
      <w:r w:rsidRPr="00021050">
        <w:rPr>
          <w:rFonts w:ascii="Times New Roman" w:hAnsi="Times New Roman"/>
          <w:bCs/>
          <w:sz w:val="28"/>
          <w:szCs w:val="28"/>
          <w:lang w:val="en-US"/>
        </w:rPr>
        <w:t xml:space="preserve">на </w:t>
      </w:r>
      <w:r w:rsidRPr="00021050">
        <w:rPr>
          <w:rFonts w:ascii="Times New Roman" w:hAnsi="Times New Roman"/>
          <w:bCs/>
          <w:sz w:val="28"/>
          <w:szCs w:val="28"/>
        </w:rPr>
        <w:t>административния ръководител на СГП и</w:t>
      </w:r>
      <w:r w:rsidRPr="00021050">
        <w:rPr>
          <w:rFonts w:ascii="Times New Roman" w:hAnsi="Times New Roman"/>
          <w:bCs/>
          <w:sz w:val="28"/>
          <w:szCs w:val="28"/>
          <w:lang w:val="en-US"/>
        </w:rPr>
        <w:t xml:space="preserve"> в изпълнение </w:t>
      </w:r>
      <w:r w:rsidRPr="00021050">
        <w:rPr>
          <w:rFonts w:ascii="Times New Roman" w:hAnsi="Times New Roman"/>
          <w:bCs/>
          <w:sz w:val="28"/>
          <w:szCs w:val="28"/>
        </w:rPr>
        <w:t xml:space="preserve">на т.15 от Указание за организацията на работата на Прокуратурата на Република България по преписки и досъдебни производства, образувани по съобщения за осъществено домашно насилие, за закана с убийство и за нарушена заповед за защита от домашно насилие </w:t>
      </w:r>
      <w:r w:rsidRPr="00021050">
        <w:rPr>
          <w:rFonts w:ascii="Times New Roman" w:hAnsi="Times New Roman"/>
          <w:sz w:val="28"/>
          <w:szCs w:val="28"/>
        </w:rPr>
        <w:t xml:space="preserve">е извършена тематична проверка през 2021г. на случайно подбрани 80 броя прекратени и 20 броя спрени досъдебни производства в периода 01.01.2021г. – 30.11.2021г. за престъпления за осъществено домашно насилие, </w:t>
      </w:r>
      <w:r w:rsidRPr="00021050">
        <w:rPr>
          <w:rFonts w:ascii="Times New Roman" w:hAnsi="Times New Roman"/>
          <w:bCs/>
          <w:sz w:val="28"/>
          <w:szCs w:val="28"/>
        </w:rPr>
        <w:t>за закана с убийство и за нарушена заповед за защита от домашно насилие</w:t>
      </w:r>
      <w:r w:rsidRPr="00021050">
        <w:rPr>
          <w:rFonts w:ascii="Times New Roman" w:hAnsi="Times New Roman"/>
          <w:sz w:val="28"/>
          <w:szCs w:val="28"/>
        </w:rPr>
        <w:t>. С доклада от извършената проверка са запознати всички прокурори от отдел 01 при СРП чрез изпращането му по електронна поща, като изрично е обърнато внимание на прокурорите, че следва да дават конкретни указания при образуване на досъдебното производство, а впоследствие да осъществяват стриктен контрол върху ритмичността на разследването.</w:t>
      </w:r>
    </w:p>
    <w:p w:rsidR="00021050" w:rsidRPr="00021050" w:rsidRDefault="00021050" w:rsidP="004D24A1">
      <w:pPr>
        <w:spacing w:after="0"/>
        <w:ind w:firstLine="709"/>
        <w:jc w:val="both"/>
        <w:rPr>
          <w:rFonts w:ascii="Times New Roman" w:eastAsia="Times New Roman" w:hAnsi="Times New Roman"/>
          <w:sz w:val="28"/>
          <w:szCs w:val="28"/>
        </w:rPr>
      </w:pPr>
      <w:r w:rsidRPr="00021050">
        <w:rPr>
          <w:rFonts w:ascii="Times New Roman" w:eastAsia="Times New Roman" w:hAnsi="Times New Roman"/>
          <w:sz w:val="28"/>
          <w:szCs w:val="28"/>
        </w:rPr>
        <w:t>В Софийска районна прокуратура продължава създадената организация по Заповед № 1243/04.05.2018г. на административния ръководител на СРП по преписки и досъдебни производства, образувани по съобщения за осъществено домашно насилие, за закана за убийство и за нарушена заповед за защита от домашно насилие, като на всяко шестмесечие се изпраща на СГП доклад-справка за броя заведени преписки и досъдебни производства през периода, за решените и наблюдавани преписки и дела и влезли в сила присъди.</w:t>
      </w:r>
    </w:p>
    <w:p w:rsidR="00021050" w:rsidRPr="00021050" w:rsidRDefault="00021050" w:rsidP="004D24A1">
      <w:pPr>
        <w:spacing w:after="0"/>
        <w:ind w:firstLine="709"/>
        <w:jc w:val="both"/>
        <w:rPr>
          <w:rFonts w:ascii="Times New Roman" w:hAnsi="Times New Roman"/>
          <w:sz w:val="28"/>
          <w:szCs w:val="28"/>
        </w:rPr>
      </w:pPr>
    </w:p>
    <w:p w:rsidR="00021050" w:rsidRPr="00021050" w:rsidRDefault="00021050" w:rsidP="004D24A1">
      <w:pPr>
        <w:tabs>
          <w:tab w:val="left" w:pos="993"/>
        </w:tabs>
        <w:spacing w:after="0"/>
        <w:jc w:val="both"/>
        <w:rPr>
          <w:rFonts w:ascii="Times New Roman" w:hAnsi="Times New Roman"/>
          <w:bCs/>
          <w:sz w:val="28"/>
          <w:szCs w:val="28"/>
        </w:rPr>
      </w:pPr>
      <w:r w:rsidRPr="00021050">
        <w:rPr>
          <w:rFonts w:ascii="Times New Roman" w:hAnsi="Times New Roman"/>
          <w:bCs/>
          <w:sz w:val="28"/>
          <w:szCs w:val="28"/>
        </w:rPr>
        <w:tab/>
        <w:t xml:space="preserve">В изпълнение на заповед на </w:t>
      </w:r>
      <w:r w:rsidRPr="00021050">
        <w:rPr>
          <w:rFonts w:ascii="Times New Roman" w:hAnsi="Times New Roman"/>
          <w:b/>
          <w:bCs/>
          <w:sz w:val="28"/>
          <w:szCs w:val="28"/>
        </w:rPr>
        <w:t>Заповед № 487/02.06.2021г.</w:t>
      </w:r>
      <w:r w:rsidRPr="00021050">
        <w:rPr>
          <w:rFonts w:ascii="Times New Roman" w:hAnsi="Times New Roman"/>
          <w:bCs/>
          <w:sz w:val="28"/>
          <w:szCs w:val="28"/>
        </w:rPr>
        <w:t xml:space="preserve"> на административния ръководител на АП-София и в изпълнение на т.1.5 от </w:t>
      </w:r>
      <w:r w:rsidRPr="00021050">
        <w:rPr>
          <w:rFonts w:ascii="Times New Roman" w:hAnsi="Times New Roman"/>
          <w:bCs/>
          <w:sz w:val="28"/>
          <w:szCs w:val="28"/>
        </w:rPr>
        <w:lastRenderedPageBreak/>
        <w:t>решение на Пленума на ВСС по протокол № 29/22.11.2018г. са извършени проверки за актуалното състояние на образуваните преди 01.01.2018г. преписки и дела, неприключили към 30.06.2021г. и към 31.12.2021г. Със заповеди № РД-04-401/2021г. и № РД-04-894/15.12.2021г. на градския прокурор в Софийска градска прокуратура е създадена организация за проверка на всички преписки и дела, образувани преди 01.01.2018г. за предприемане на действия за приключване на делата. По отношение на Софийска районна прокуратура са изпратени указателни писма от административния ръководител на СГП до ръководството на Софийска районна прокуратура за създаване на организация за проверка на всички неприключили преписки и дела, образувани преди 01.01.2018г. и предприемане на своевременни и ефективни действия за тяхното приключване. От ръководството на СРП са изготвени доклади за извършените действия. Софийска градска прокуратура е изготвила обобщени доклади за актуалното състояние на преписките и делата, образувани преди 01.01.2018г. в СРП и СГП и същите са изпратени  в Апелативна прокуратура-София.</w:t>
      </w:r>
    </w:p>
    <w:p w:rsidR="00021050" w:rsidRPr="00021050" w:rsidRDefault="00021050" w:rsidP="004D24A1">
      <w:pPr>
        <w:spacing w:after="0"/>
        <w:ind w:firstLine="709"/>
        <w:jc w:val="both"/>
        <w:rPr>
          <w:rFonts w:ascii="Times New Roman" w:hAnsi="Times New Roman"/>
          <w:bCs/>
          <w:sz w:val="28"/>
          <w:szCs w:val="28"/>
        </w:rPr>
      </w:pPr>
      <w:r w:rsidRPr="00021050">
        <w:rPr>
          <w:rFonts w:ascii="Times New Roman" w:hAnsi="Times New Roman"/>
          <w:bCs/>
          <w:sz w:val="28"/>
          <w:szCs w:val="28"/>
        </w:rPr>
        <w:t>В изпълнение на указания в писмо адм.№ 491/2018г. от 09.07.2021г. на апелативния прокурор на АП-София и дадени препоръки в доклад на САП от извършени проверки на образуваните преди 01.01.2018г. преписки и дела, неприключени към 30.06.2021г. е указано на СГП до края на м.октомври да извърши проверка в Софийска районна прокуратура по цитираните критерии.</w:t>
      </w:r>
    </w:p>
    <w:p w:rsidR="00021050" w:rsidRPr="00021050" w:rsidRDefault="00021050" w:rsidP="004D24A1">
      <w:pPr>
        <w:spacing w:after="0"/>
        <w:ind w:firstLine="709"/>
        <w:jc w:val="both"/>
        <w:rPr>
          <w:rFonts w:ascii="Times New Roman" w:hAnsi="Times New Roman"/>
          <w:bCs/>
          <w:sz w:val="28"/>
          <w:szCs w:val="28"/>
        </w:rPr>
      </w:pPr>
    </w:p>
    <w:p w:rsidR="00021050" w:rsidRPr="00021050" w:rsidRDefault="00021050" w:rsidP="004D24A1">
      <w:pPr>
        <w:tabs>
          <w:tab w:val="left" w:pos="993"/>
        </w:tabs>
        <w:spacing w:after="0"/>
        <w:jc w:val="both"/>
        <w:rPr>
          <w:rFonts w:ascii="Times New Roman" w:hAnsi="Times New Roman"/>
          <w:bCs/>
          <w:sz w:val="28"/>
          <w:szCs w:val="28"/>
        </w:rPr>
      </w:pPr>
      <w:r w:rsidRPr="00021050">
        <w:rPr>
          <w:rFonts w:ascii="Times New Roman" w:hAnsi="Times New Roman"/>
          <w:bCs/>
          <w:sz w:val="28"/>
          <w:szCs w:val="28"/>
        </w:rPr>
        <w:tab/>
        <w:t xml:space="preserve">В изпълнение на заповед на </w:t>
      </w:r>
      <w:r w:rsidRPr="00021050">
        <w:rPr>
          <w:rFonts w:ascii="Times New Roman" w:hAnsi="Times New Roman"/>
          <w:b/>
          <w:bCs/>
          <w:sz w:val="28"/>
          <w:szCs w:val="28"/>
        </w:rPr>
        <w:t>Заповед № РД-04-664/29.09.2021г.</w:t>
      </w:r>
      <w:r w:rsidRPr="00021050">
        <w:rPr>
          <w:rFonts w:ascii="Times New Roman" w:hAnsi="Times New Roman"/>
          <w:bCs/>
          <w:sz w:val="28"/>
          <w:szCs w:val="28"/>
        </w:rPr>
        <w:t xml:space="preserve"> на административния ръководител на СГП е извършена тематична проверка на дейността на прокурорите при СРП, наблюдаващи досъдебни производства образувани преди 01.01.2018г. и неприключени към 30.06.2021г., включително и спрените такива на основание чл.244, ал.1, 1 и т.3 от НПК.</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 xml:space="preserve">С доклада от извършената проверка са запознати всички прокурори в СРП чрез изпращането му по електронна поща, като изрично </w:t>
      </w:r>
      <w:r w:rsidRPr="00021050">
        <w:rPr>
          <w:rFonts w:ascii="Times New Roman" w:hAnsi="Times New Roman"/>
          <w:sz w:val="28"/>
          <w:szCs w:val="28"/>
          <w:lang w:val="en-US"/>
        </w:rPr>
        <w:t>(</w:t>
      </w:r>
      <w:r w:rsidRPr="00021050">
        <w:rPr>
          <w:rFonts w:ascii="Times New Roman" w:hAnsi="Times New Roman"/>
          <w:sz w:val="28"/>
          <w:szCs w:val="28"/>
        </w:rPr>
        <w:t>с нарочно писмо</w:t>
      </w:r>
      <w:r w:rsidRPr="00021050">
        <w:rPr>
          <w:rFonts w:ascii="Times New Roman" w:hAnsi="Times New Roman"/>
          <w:sz w:val="28"/>
          <w:szCs w:val="28"/>
          <w:lang w:val="en-US"/>
        </w:rPr>
        <w:t>)</w:t>
      </w:r>
      <w:r w:rsidRPr="00021050">
        <w:rPr>
          <w:rFonts w:ascii="Times New Roman" w:hAnsi="Times New Roman"/>
          <w:sz w:val="28"/>
          <w:szCs w:val="28"/>
        </w:rPr>
        <w:t xml:space="preserve"> от ръководството на СРП  е обърнато внимание</w:t>
      </w:r>
      <w:r w:rsidRPr="00021050">
        <w:rPr>
          <w:rFonts w:ascii="Times New Roman" w:hAnsi="Times New Roman"/>
          <w:sz w:val="28"/>
          <w:szCs w:val="28"/>
          <w:lang w:val="en-US"/>
        </w:rPr>
        <w:t>:</w:t>
      </w:r>
      <w:r w:rsidRPr="00021050">
        <w:rPr>
          <w:rFonts w:ascii="Times New Roman" w:hAnsi="Times New Roman"/>
          <w:sz w:val="28"/>
          <w:szCs w:val="28"/>
        </w:rPr>
        <w:t xml:space="preserve"> по разследването по дела, по които има привлечени обвиняеми, да се извършва с приоритет</w:t>
      </w:r>
      <w:r w:rsidRPr="00021050">
        <w:rPr>
          <w:rFonts w:ascii="Times New Roman" w:hAnsi="Times New Roman"/>
          <w:sz w:val="28"/>
          <w:szCs w:val="28"/>
          <w:lang w:val="en-US"/>
        </w:rPr>
        <w:t>;</w:t>
      </w:r>
      <w:r w:rsidRPr="00021050">
        <w:rPr>
          <w:rFonts w:ascii="Times New Roman" w:hAnsi="Times New Roman"/>
          <w:sz w:val="28"/>
          <w:szCs w:val="28"/>
        </w:rPr>
        <w:t xml:space="preserve"> да се следи стриктно за настъпване на давността и да се предприемат съответните действия</w:t>
      </w:r>
      <w:r w:rsidRPr="00021050">
        <w:rPr>
          <w:rFonts w:ascii="Times New Roman" w:hAnsi="Times New Roman"/>
          <w:sz w:val="28"/>
          <w:szCs w:val="28"/>
          <w:lang w:val="en-US"/>
        </w:rPr>
        <w:t>;</w:t>
      </w:r>
      <w:r w:rsidRPr="00021050">
        <w:rPr>
          <w:rFonts w:ascii="Times New Roman" w:hAnsi="Times New Roman"/>
          <w:sz w:val="28"/>
          <w:szCs w:val="28"/>
        </w:rPr>
        <w:t xml:space="preserve"> при констатиране на необосновано забавяне на разследването и неизпълнение на дадените указания, своевременно да се упражняват правомощията по чл.196, ал.1, т.4 и т.5 от НПК.</w:t>
      </w:r>
    </w:p>
    <w:p w:rsidR="00021050" w:rsidRPr="00021050" w:rsidRDefault="00021050" w:rsidP="004D24A1">
      <w:pPr>
        <w:rPr>
          <w:rFonts w:ascii="Times New Roman" w:hAnsi="Times New Roman"/>
          <w:sz w:val="28"/>
          <w:szCs w:val="28"/>
        </w:rPr>
      </w:pPr>
    </w:p>
    <w:p w:rsidR="00021050" w:rsidRPr="00021050" w:rsidRDefault="00021050" w:rsidP="004D24A1">
      <w:pPr>
        <w:keepNext/>
        <w:tabs>
          <w:tab w:val="left" w:pos="993"/>
        </w:tabs>
        <w:overflowPunct w:val="0"/>
        <w:autoSpaceDE w:val="0"/>
        <w:autoSpaceDN w:val="0"/>
        <w:adjustRightInd w:val="0"/>
        <w:spacing w:after="0"/>
        <w:jc w:val="both"/>
        <w:rPr>
          <w:rFonts w:ascii="Times New Roman" w:hAnsi="Times New Roman"/>
          <w:bCs/>
          <w:sz w:val="28"/>
          <w:szCs w:val="28"/>
        </w:rPr>
      </w:pPr>
      <w:r w:rsidRPr="00021050">
        <w:rPr>
          <w:rFonts w:ascii="Times New Roman" w:hAnsi="Times New Roman"/>
          <w:bCs/>
          <w:sz w:val="28"/>
          <w:szCs w:val="28"/>
        </w:rPr>
        <w:lastRenderedPageBreak/>
        <w:tab/>
        <w:t xml:space="preserve">В изпълнение на заповед </w:t>
      </w:r>
      <w:r w:rsidRPr="00021050">
        <w:rPr>
          <w:rFonts w:ascii="Times New Roman" w:hAnsi="Times New Roman"/>
          <w:b/>
          <w:bCs/>
          <w:sz w:val="28"/>
          <w:szCs w:val="28"/>
        </w:rPr>
        <w:t>№ РД-04-22/21.01.2020г.</w:t>
      </w:r>
      <w:r w:rsidRPr="00021050">
        <w:rPr>
          <w:rFonts w:ascii="Times New Roman" w:hAnsi="Times New Roman"/>
          <w:bCs/>
          <w:sz w:val="28"/>
          <w:szCs w:val="28"/>
        </w:rPr>
        <w:t xml:space="preserve"> на главния прокурор на РБ и заповед № 72/23.01.2020г. на административния ръководител-апелативен прокурор на Апелативна прокуратура-София е създадена организация за стриктното изпълнение на Инструкцията за поддържане и използване на електронния регистър на лица с неприключили наказателни производства от 2010г. и Споразумение между ПРБ и МВР за взаимодействие при разследване на две и повече досъдебни производства срещу един и същ обвиняем. Издадени са заповед № РД-04-50/23.01.2020г. и заповед № РД-04-55/24.01.2020г. за създадена в СГП организация по цитираните дела и определяне на прокурори, които да участва съвместно със САП в извършването на периодични тематични проверки в Софийска районна прокуратура. Поради обявените извънредно положение и извънредната епидемиологична обстановка не са извършвани проверки в СРП, изискано е изготвянето на доклади по делата срещу лицата с две и повече наказателни производство, като СГП е изготвила обобщени доклади за актуалното състояние на цитираните дела.</w:t>
      </w:r>
    </w:p>
    <w:p w:rsidR="00021050" w:rsidRPr="00021050" w:rsidRDefault="00021050" w:rsidP="004D24A1">
      <w:pPr>
        <w:keepNext/>
        <w:overflowPunct w:val="0"/>
        <w:autoSpaceDE w:val="0"/>
        <w:autoSpaceDN w:val="0"/>
        <w:adjustRightInd w:val="0"/>
        <w:spacing w:after="0"/>
        <w:ind w:firstLine="709"/>
        <w:jc w:val="both"/>
        <w:rPr>
          <w:rFonts w:ascii="Times New Roman" w:hAnsi="Times New Roman"/>
          <w:bCs/>
          <w:sz w:val="28"/>
          <w:szCs w:val="28"/>
        </w:rPr>
      </w:pPr>
    </w:p>
    <w:p w:rsidR="00021050" w:rsidRPr="00021050" w:rsidRDefault="00021050" w:rsidP="004D24A1">
      <w:pPr>
        <w:keepNext/>
        <w:tabs>
          <w:tab w:val="left" w:pos="993"/>
        </w:tabs>
        <w:overflowPunct w:val="0"/>
        <w:autoSpaceDE w:val="0"/>
        <w:autoSpaceDN w:val="0"/>
        <w:adjustRightInd w:val="0"/>
        <w:spacing w:after="0"/>
        <w:jc w:val="both"/>
        <w:rPr>
          <w:rFonts w:ascii="Times New Roman" w:hAnsi="Times New Roman"/>
          <w:bCs/>
          <w:sz w:val="28"/>
          <w:szCs w:val="28"/>
        </w:rPr>
      </w:pPr>
      <w:r w:rsidRPr="00021050">
        <w:rPr>
          <w:rFonts w:ascii="Times New Roman" w:hAnsi="Times New Roman"/>
          <w:bCs/>
          <w:sz w:val="28"/>
          <w:szCs w:val="28"/>
        </w:rPr>
        <w:tab/>
        <w:t xml:space="preserve">В изпълнение на заповед на </w:t>
      </w:r>
      <w:r w:rsidRPr="00021050">
        <w:rPr>
          <w:rFonts w:ascii="Times New Roman" w:hAnsi="Times New Roman"/>
          <w:b/>
          <w:bCs/>
          <w:sz w:val="28"/>
          <w:szCs w:val="28"/>
        </w:rPr>
        <w:t xml:space="preserve">Заповед № РД-04-700/11.10.2021г. </w:t>
      </w:r>
      <w:r w:rsidRPr="00021050">
        <w:rPr>
          <w:rFonts w:ascii="Times New Roman" w:hAnsi="Times New Roman"/>
          <w:bCs/>
          <w:sz w:val="28"/>
          <w:szCs w:val="28"/>
        </w:rPr>
        <w:t>на административния ръководител на СГП е указано извършването на проверка в Софийска районна прокуратура на досъдебни производства и прокурорски преписки, образувани за извършени престъпления по чл.227б от НК. Проверката обхваща 40 броя неприключени досъдебни производства, 20 броя прекратени досъдебни производства, 20 броя спрени досъдебни производства и 20 броя преписки с постановен отказ да се образува досъдебно производство, като преписките са определени на принципа на случайния подбор от ръководител сектор „УИС“ при СГП, въз основа на справка изготвена от СРП.</w:t>
      </w:r>
    </w:p>
    <w:p w:rsidR="00021050" w:rsidRPr="00021050" w:rsidRDefault="00021050" w:rsidP="004D24A1">
      <w:pPr>
        <w:keepNext/>
        <w:overflowPunct w:val="0"/>
        <w:autoSpaceDE w:val="0"/>
        <w:autoSpaceDN w:val="0"/>
        <w:adjustRightInd w:val="0"/>
        <w:spacing w:after="0"/>
        <w:ind w:firstLine="709"/>
        <w:jc w:val="both"/>
        <w:rPr>
          <w:rFonts w:ascii="Times New Roman" w:hAnsi="Times New Roman"/>
          <w:bCs/>
          <w:sz w:val="28"/>
          <w:szCs w:val="28"/>
        </w:rPr>
      </w:pPr>
      <w:r w:rsidRPr="00021050">
        <w:rPr>
          <w:rFonts w:ascii="Times New Roman" w:hAnsi="Times New Roman"/>
          <w:bCs/>
          <w:sz w:val="28"/>
          <w:szCs w:val="28"/>
        </w:rPr>
        <w:t>Въз основа на изготвения доклад и дадените в него препоръки към наблюдаващите прокурори при СРП и към ръководството на СРП е издадена Заповед № РД-04-01-4525/24.11.2021г. на СРП за осъществяване на проверка два пъти годишно за актуалното състояние на образуваните преписки и дела за престъпления по чл.227б от НК.</w:t>
      </w:r>
    </w:p>
    <w:p w:rsidR="00021050" w:rsidRPr="00021050" w:rsidRDefault="00021050" w:rsidP="004D24A1">
      <w:pPr>
        <w:keepNext/>
        <w:overflowPunct w:val="0"/>
        <w:autoSpaceDE w:val="0"/>
        <w:autoSpaceDN w:val="0"/>
        <w:adjustRightInd w:val="0"/>
        <w:spacing w:after="0"/>
        <w:ind w:firstLine="709"/>
        <w:jc w:val="both"/>
        <w:rPr>
          <w:rFonts w:ascii="Times New Roman" w:hAnsi="Times New Roman"/>
          <w:bCs/>
          <w:sz w:val="28"/>
          <w:szCs w:val="28"/>
        </w:rPr>
      </w:pPr>
    </w:p>
    <w:p w:rsidR="00021050" w:rsidRPr="00021050" w:rsidRDefault="00021050" w:rsidP="004D24A1">
      <w:pPr>
        <w:keepNext/>
        <w:tabs>
          <w:tab w:val="left" w:pos="993"/>
        </w:tabs>
        <w:overflowPunct w:val="0"/>
        <w:autoSpaceDE w:val="0"/>
        <w:autoSpaceDN w:val="0"/>
        <w:adjustRightInd w:val="0"/>
        <w:spacing w:after="0"/>
        <w:jc w:val="both"/>
        <w:rPr>
          <w:rFonts w:ascii="Times New Roman" w:hAnsi="Times New Roman"/>
          <w:bCs/>
          <w:sz w:val="28"/>
          <w:szCs w:val="28"/>
        </w:rPr>
      </w:pPr>
      <w:r w:rsidRPr="00021050">
        <w:rPr>
          <w:rFonts w:ascii="Times New Roman" w:hAnsi="Times New Roman"/>
          <w:bCs/>
          <w:sz w:val="28"/>
          <w:szCs w:val="28"/>
        </w:rPr>
        <w:t xml:space="preserve">          В изпълнение на заповед на </w:t>
      </w:r>
      <w:r w:rsidRPr="00021050">
        <w:rPr>
          <w:rFonts w:ascii="Times New Roman" w:hAnsi="Times New Roman"/>
          <w:b/>
          <w:bCs/>
          <w:sz w:val="28"/>
          <w:szCs w:val="28"/>
        </w:rPr>
        <w:t>Заповед № РД-04-836/25.11.2021г.</w:t>
      </w:r>
      <w:r w:rsidRPr="00021050">
        <w:rPr>
          <w:rFonts w:ascii="Times New Roman" w:hAnsi="Times New Roman"/>
          <w:bCs/>
          <w:sz w:val="28"/>
          <w:szCs w:val="28"/>
        </w:rPr>
        <w:t xml:space="preserve"> на административния ръководител на СРП е указано да се извърши тематична </w:t>
      </w:r>
      <w:r w:rsidRPr="00021050">
        <w:rPr>
          <w:rFonts w:ascii="Times New Roman" w:hAnsi="Times New Roman"/>
          <w:bCs/>
          <w:sz w:val="28"/>
          <w:szCs w:val="28"/>
        </w:rPr>
        <w:lastRenderedPageBreak/>
        <w:t>проверка на дейността на Софийска районна прокуратура по привеждане в изпълнение на присъдите в периода 01.01.2020г. – 31.12.2020г.</w:t>
      </w:r>
    </w:p>
    <w:p w:rsidR="00021050" w:rsidRPr="00021050" w:rsidRDefault="00021050" w:rsidP="004D24A1">
      <w:pPr>
        <w:keepNext/>
        <w:overflowPunct w:val="0"/>
        <w:autoSpaceDE w:val="0"/>
        <w:autoSpaceDN w:val="0"/>
        <w:adjustRightInd w:val="0"/>
        <w:spacing w:after="0"/>
        <w:ind w:firstLine="709"/>
        <w:jc w:val="both"/>
        <w:rPr>
          <w:rFonts w:ascii="Times New Roman" w:hAnsi="Times New Roman"/>
          <w:bCs/>
          <w:sz w:val="28"/>
          <w:szCs w:val="28"/>
        </w:rPr>
      </w:pPr>
      <w:r w:rsidRPr="00021050">
        <w:rPr>
          <w:rFonts w:ascii="Times New Roman" w:hAnsi="Times New Roman"/>
          <w:bCs/>
          <w:sz w:val="28"/>
          <w:szCs w:val="28"/>
        </w:rPr>
        <w:t>С дадените в доклада препоръки от проверяващия екип при СГП ръководството на СРП е уведомило СГП за предприетите мерки и изпълнение на дадените указания.</w:t>
      </w:r>
    </w:p>
    <w:p w:rsidR="00021050" w:rsidRPr="00021050" w:rsidRDefault="00021050" w:rsidP="004D24A1">
      <w:pPr>
        <w:keepNext/>
        <w:overflowPunct w:val="0"/>
        <w:autoSpaceDE w:val="0"/>
        <w:autoSpaceDN w:val="0"/>
        <w:adjustRightInd w:val="0"/>
        <w:spacing w:after="0"/>
        <w:ind w:firstLine="709"/>
        <w:jc w:val="both"/>
        <w:rPr>
          <w:rFonts w:ascii="Times New Roman" w:hAnsi="Times New Roman"/>
          <w:bCs/>
          <w:sz w:val="28"/>
          <w:szCs w:val="28"/>
        </w:rPr>
      </w:pPr>
    </w:p>
    <w:p w:rsidR="00021050" w:rsidRPr="00021050" w:rsidRDefault="00021050" w:rsidP="004D24A1">
      <w:pPr>
        <w:keepNext/>
        <w:tabs>
          <w:tab w:val="left" w:pos="993"/>
        </w:tabs>
        <w:overflowPunct w:val="0"/>
        <w:autoSpaceDE w:val="0"/>
        <w:autoSpaceDN w:val="0"/>
        <w:adjustRightInd w:val="0"/>
        <w:spacing w:after="0"/>
        <w:jc w:val="both"/>
        <w:rPr>
          <w:rFonts w:ascii="Times New Roman" w:hAnsi="Times New Roman"/>
          <w:bCs/>
          <w:sz w:val="28"/>
          <w:szCs w:val="28"/>
        </w:rPr>
      </w:pPr>
      <w:r w:rsidRPr="00021050">
        <w:rPr>
          <w:rFonts w:ascii="Times New Roman" w:hAnsi="Times New Roman"/>
          <w:bCs/>
          <w:sz w:val="28"/>
          <w:szCs w:val="28"/>
        </w:rPr>
        <w:t xml:space="preserve">          В изпълнение на писмо на СГП с </w:t>
      </w:r>
      <w:r w:rsidRPr="00021050">
        <w:rPr>
          <w:rFonts w:ascii="Times New Roman" w:hAnsi="Times New Roman"/>
          <w:b/>
          <w:bCs/>
          <w:sz w:val="28"/>
          <w:szCs w:val="28"/>
        </w:rPr>
        <w:t>адм.№ 293/2021г.</w:t>
      </w:r>
      <w:r w:rsidRPr="00021050">
        <w:rPr>
          <w:rFonts w:ascii="Times New Roman" w:hAnsi="Times New Roman"/>
          <w:bCs/>
          <w:sz w:val="28"/>
          <w:szCs w:val="28"/>
        </w:rPr>
        <w:t xml:space="preserve"> от 07.06.2021г. е изискано от Софийска районна прокуратура изготвяне на подробна справка и доклад за наблюдаваните от Софийска районна прокуратура дела, по които е осъдена ПРБ по ЗОДОВ през 2020г. Обобщената информация за СГП и СРП е изпратена на АП-София.</w:t>
      </w:r>
    </w:p>
    <w:p w:rsidR="00021050" w:rsidRPr="00021050" w:rsidRDefault="00021050" w:rsidP="004D24A1">
      <w:pPr>
        <w:keepNext/>
        <w:tabs>
          <w:tab w:val="left" w:pos="993"/>
        </w:tabs>
        <w:overflowPunct w:val="0"/>
        <w:autoSpaceDE w:val="0"/>
        <w:autoSpaceDN w:val="0"/>
        <w:adjustRightInd w:val="0"/>
        <w:spacing w:after="0"/>
        <w:ind w:left="709"/>
        <w:jc w:val="both"/>
        <w:rPr>
          <w:rFonts w:ascii="Times New Roman" w:hAnsi="Times New Roman"/>
          <w:bCs/>
          <w:sz w:val="28"/>
          <w:szCs w:val="28"/>
        </w:rPr>
      </w:pPr>
    </w:p>
    <w:p w:rsidR="00021050" w:rsidRPr="00021050" w:rsidRDefault="00021050" w:rsidP="004D24A1">
      <w:pPr>
        <w:spacing w:after="0"/>
        <w:ind w:firstLine="709"/>
        <w:jc w:val="both"/>
        <w:rPr>
          <w:rFonts w:ascii="Times New Roman" w:eastAsia="Times New Roman" w:hAnsi="Times New Roman"/>
          <w:sz w:val="28"/>
          <w:szCs w:val="28"/>
        </w:rPr>
      </w:pPr>
      <w:r w:rsidRPr="00021050">
        <w:rPr>
          <w:rFonts w:ascii="Times New Roman" w:eastAsia="Times New Roman" w:hAnsi="Times New Roman"/>
          <w:sz w:val="28"/>
          <w:szCs w:val="28"/>
        </w:rPr>
        <w:t>След приключването на проверките е дадена възможност на магистратите</w:t>
      </w:r>
      <w:r w:rsidRPr="00021050">
        <w:rPr>
          <w:rFonts w:ascii="Times New Roman" w:eastAsia="Times New Roman" w:hAnsi="Times New Roman"/>
          <w:sz w:val="28"/>
          <w:szCs w:val="28"/>
          <w:lang w:val="en-US"/>
        </w:rPr>
        <w:t xml:space="preserve"> </w:t>
      </w:r>
      <w:r w:rsidRPr="00021050">
        <w:rPr>
          <w:rFonts w:ascii="Times New Roman" w:eastAsia="Times New Roman" w:hAnsi="Times New Roman"/>
          <w:sz w:val="28"/>
          <w:szCs w:val="28"/>
        </w:rPr>
        <w:t>да се запознаят с констатациите по докладите на проверяващите екипи  и да изложат писмени възражения по тях. Препоръките дадени в докладите са били предмет на обсъждане с магистратите и съдебните служители при СГП.</w:t>
      </w:r>
    </w:p>
    <w:p w:rsidR="00021050" w:rsidRPr="00021050" w:rsidRDefault="00021050" w:rsidP="004D24A1">
      <w:pPr>
        <w:spacing w:after="0"/>
        <w:ind w:firstLine="709"/>
        <w:jc w:val="both"/>
        <w:rPr>
          <w:rFonts w:ascii="Times New Roman" w:eastAsia="Times New Roman" w:hAnsi="Times New Roman"/>
          <w:sz w:val="28"/>
          <w:szCs w:val="28"/>
        </w:rPr>
      </w:pPr>
      <w:r w:rsidRPr="00021050">
        <w:rPr>
          <w:rFonts w:ascii="Times New Roman" w:eastAsia="Times New Roman" w:hAnsi="Times New Roman"/>
          <w:sz w:val="28"/>
          <w:szCs w:val="28"/>
        </w:rPr>
        <w:t>По постъпила справка от административния ръководител на Софийска районна прокуратура резултатите и препоръките, дадени в докладите от извършените проверки са били предмет на обсъждане с прокурорите и служителите в Софийска районна прокуратура.</w:t>
      </w:r>
    </w:p>
    <w:p w:rsidR="00021050" w:rsidRPr="00021050" w:rsidRDefault="00021050" w:rsidP="004D24A1">
      <w:pPr>
        <w:spacing w:after="0"/>
        <w:ind w:firstLine="709"/>
        <w:jc w:val="both"/>
        <w:rPr>
          <w:rFonts w:ascii="Times New Roman" w:eastAsia="Times New Roman" w:hAnsi="Times New Roman"/>
          <w:sz w:val="28"/>
          <w:szCs w:val="28"/>
          <w:lang w:val="en-US"/>
        </w:rPr>
      </w:pPr>
      <w:r w:rsidRPr="00021050">
        <w:rPr>
          <w:rFonts w:ascii="Times New Roman" w:eastAsia="Times New Roman" w:hAnsi="Times New Roman"/>
          <w:sz w:val="28"/>
          <w:szCs w:val="28"/>
        </w:rPr>
        <w:t>За предприетите административни мерки от страна на ръководството на СРП, Софийска градска прокуратура е уведомявана в указания от нея срок.</w:t>
      </w:r>
    </w:p>
    <w:p w:rsidR="00021050" w:rsidRPr="00021050" w:rsidRDefault="00021050" w:rsidP="004D24A1">
      <w:pPr>
        <w:spacing w:after="0"/>
        <w:jc w:val="both"/>
        <w:rPr>
          <w:rFonts w:ascii="Times New Roman" w:eastAsia="SimSun" w:hAnsi="Times New Roman"/>
          <w:color w:val="FF0000"/>
          <w:sz w:val="28"/>
          <w:szCs w:val="28"/>
          <w:lang w:val="en-US" w:eastAsia="zh-CN"/>
        </w:rPr>
      </w:pPr>
    </w:p>
    <w:p w:rsidR="00021050" w:rsidRPr="00021050" w:rsidRDefault="00021050" w:rsidP="004D24A1">
      <w:pPr>
        <w:spacing w:after="0"/>
        <w:ind w:firstLine="708"/>
        <w:jc w:val="both"/>
        <w:rPr>
          <w:rFonts w:ascii="Times New Roman" w:eastAsia="Times New Roman" w:hAnsi="Times New Roman"/>
          <w:b/>
          <w:sz w:val="28"/>
          <w:szCs w:val="28"/>
          <w:lang w:eastAsia="bg-BG"/>
        </w:rPr>
      </w:pPr>
      <w:r w:rsidRPr="00021050">
        <w:rPr>
          <w:rFonts w:ascii="Times New Roman" w:eastAsia="Times New Roman" w:hAnsi="Times New Roman"/>
          <w:b/>
          <w:sz w:val="28"/>
          <w:szCs w:val="28"/>
          <w:lang w:eastAsia="bg-BG"/>
        </w:rPr>
        <w:t>П</w:t>
      </w:r>
      <w:r w:rsidRPr="00021050">
        <w:rPr>
          <w:rFonts w:ascii="Times New Roman" w:eastAsia="Times New Roman" w:hAnsi="Times New Roman"/>
          <w:b/>
          <w:sz w:val="28"/>
          <w:szCs w:val="28"/>
          <w:lang w:val="en-US" w:eastAsia="bg-BG"/>
        </w:rPr>
        <w:t>рез 20</w:t>
      </w:r>
      <w:r w:rsidRPr="00021050">
        <w:rPr>
          <w:rFonts w:ascii="Times New Roman" w:eastAsia="Times New Roman" w:hAnsi="Times New Roman"/>
          <w:b/>
          <w:sz w:val="28"/>
          <w:szCs w:val="28"/>
          <w:lang w:eastAsia="bg-BG"/>
        </w:rPr>
        <w:t>21</w:t>
      </w:r>
      <w:r w:rsidRPr="00021050">
        <w:rPr>
          <w:rFonts w:ascii="Times New Roman" w:eastAsia="Times New Roman" w:hAnsi="Times New Roman"/>
          <w:b/>
          <w:sz w:val="28"/>
          <w:szCs w:val="28"/>
          <w:lang w:val="en-US" w:eastAsia="bg-BG"/>
        </w:rPr>
        <w:t xml:space="preserve"> г. </w:t>
      </w:r>
      <w:r w:rsidRPr="00021050">
        <w:rPr>
          <w:rFonts w:ascii="Times New Roman" w:eastAsia="Times New Roman" w:hAnsi="Times New Roman"/>
          <w:b/>
          <w:sz w:val="28"/>
          <w:szCs w:val="28"/>
          <w:lang w:eastAsia="bg-BG"/>
        </w:rPr>
        <w:t>от АП-София на СГП са</w:t>
      </w:r>
      <w:r w:rsidRPr="00021050">
        <w:rPr>
          <w:rFonts w:ascii="Times New Roman" w:eastAsia="Times New Roman" w:hAnsi="Times New Roman"/>
          <w:b/>
          <w:sz w:val="28"/>
          <w:szCs w:val="28"/>
          <w:lang w:val="en-US" w:eastAsia="bg-BG"/>
        </w:rPr>
        <w:t xml:space="preserve"> извърш</w:t>
      </w:r>
      <w:r w:rsidRPr="00021050">
        <w:rPr>
          <w:rFonts w:ascii="Times New Roman" w:eastAsia="Times New Roman" w:hAnsi="Times New Roman"/>
          <w:b/>
          <w:sz w:val="28"/>
          <w:szCs w:val="28"/>
          <w:lang w:eastAsia="bg-BG"/>
        </w:rPr>
        <w:t>ени</w:t>
      </w:r>
      <w:r w:rsidRPr="00021050">
        <w:rPr>
          <w:rFonts w:ascii="Times New Roman" w:eastAsia="Times New Roman" w:hAnsi="Times New Roman"/>
          <w:b/>
          <w:sz w:val="28"/>
          <w:szCs w:val="28"/>
          <w:lang w:val="en-US" w:eastAsia="bg-BG"/>
        </w:rPr>
        <w:t xml:space="preserve"> </w:t>
      </w:r>
      <w:r w:rsidRPr="00021050">
        <w:rPr>
          <w:rFonts w:ascii="Times New Roman" w:eastAsia="Times New Roman" w:hAnsi="Times New Roman"/>
          <w:b/>
          <w:sz w:val="28"/>
          <w:szCs w:val="28"/>
          <w:lang w:eastAsia="bg-BG"/>
        </w:rPr>
        <w:t xml:space="preserve">10 /десет/ </w:t>
      </w:r>
      <w:r w:rsidRPr="00021050">
        <w:rPr>
          <w:rFonts w:ascii="Times New Roman" w:eastAsia="Times New Roman" w:hAnsi="Times New Roman"/>
          <w:b/>
          <w:sz w:val="28"/>
          <w:szCs w:val="28"/>
          <w:lang w:val="en-US" w:eastAsia="bg-BG"/>
        </w:rPr>
        <w:t xml:space="preserve"> тематични проверки</w:t>
      </w:r>
      <w:r w:rsidRPr="00021050">
        <w:rPr>
          <w:rFonts w:ascii="Times New Roman" w:eastAsia="Times New Roman" w:hAnsi="Times New Roman"/>
          <w:b/>
          <w:sz w:val="28"/>
          <w:szCs w:val="28"/>
          <w:lang w:eastAsia="bg-BG"/>
        </w:rPr>
        <w:t>, както следва:</w:t>
      </w:r>
    </w:p>
    <w:p w:rsidR="00021050" w:rsidRPr="00021050" w:rsidRDefault="00021050" w:rsidP="004D24A1">
      <w:pPr>
        <w:spacing w:after="0"/>
        <w:ind w:firstLine="708"/>
        <w:jc w:val="both"/>
        <w:rPr>
          <w:rFonts w:ascii="Times New Roman" w:eastAsia="Times New Roman" w:hAnsi="Times New Roman"/>
          <w:b/>
          <w:sz w:val="28"/>
          <w:szCs w:val="28"/>
          <w:lang w:eastAsia="bg-BG"/>
        </w:rPr>
      </w:pP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1.</w:t>
      </w:r>
      <w:r w:rsidRPr="00021050">
        <w:rPr>
          <w:rFonts w:ascii="Times New Roman" w:eastAsia="Times New Roman" w:hAnsi="Times New Roman"/>
          <w:bCs/>
          <w:sz w:val="28"/>
          <w:szCs w:val="28"/>
          <w:lang w:eastAsia="bg-BG"/>
        </w:rPr>
        <w:tab/>
        <w:t>Във връзка със заповед № 1113/26.11.2021г. на административния ръководител на АП-София е разпоредено извършване на проверка на неприключените и спрени досъдебни производства за престъпления по чл.343-343а от НК. Доклада от проверката е изпратен на прокурорите от отдел 02 „Криминален“ от СГП за подаване на възражения. Изискано е от СГП да се предоставят 4 броя преписки за извършване на служебен контрол, престой същите да бъдат изпратени в САП.</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2.</w:t>
      </w:r>
      <w:r w:rsidRPr="00021050">
        <w:rPr>
          <w:rFonts w:ascii="Times New Roman" w:eastAsia="Times New Roman" w:hAnsi="Times New Roman"/>
          <w:bCs/>
          <w:sz w:val="28"/>
          <w:szCs w:val="28"/>
          <w:lang w:eastAsia="bg-BG"/>
        </w:rPr>
        <w:tab/>
        <w:t xml:space="preserve">Във връзка със Заповед № 487/02.06.2021г. на административния ръководител на АП-София и в изпълнение на т.1.5 от решение на Пленума на ВСС по протокол № 29/22.11.2018г. е указано извършването на проверки за актуалното състояние на образуваните преди </w:t>
      </w:r>
      <w:r w:rsidRPr="00021050">
        <w:rPr>
          <w:rFonts w:ascii="Times New Roman" w:eastAsia="Times New Roman" w:hAnsi="Times New Roman"/>
          <w:bCs/>
          <w:sz w:val="28"/>
          <w:szCs w:val="28"/>
          <w:lang w:eastAsia="bg-BG"/>
        </w:rPr>
        <w:lastRenderedPageBreak/>
        <w:t>01.01.2018г. преписки и дела, неприключили към 30.06.2021г. и към 31.12.2021г. Със заповеди № РД-04-401/2021г. и № РД-04-894/15.12.2021г. на градския прокурор в Софийска градска прокуратура е създадена организация за проверка на всички преписки и дела, образувани преди 01.01.2018г. за предприемане на действия за приключване на делата. По отношение на Софийска районна прокуратура са изпратени указателни писма от административния ръководител на СГП до ръководството на Софийска районна прокуратура за създаване на организация за проверка на всички неприключили преписки и дела, образувани преди 01.01.2018г. и предприемане на своевременни и ефективни действия за тяхното приключване. От ръководството на СРП са изготвени доклади за извършените действия. Софийска градска прокуратура е изготвила обобщени доклади за актуалното състояние на преписките и делата, образувани преди 01.01.2018г. в СРП и СГП и същите са изпратени  в Апелативна прокуратура-София.</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3.</w:t>
      </w:r>
      <w:r w:rsidRPr="00021050">
        <w:rPr>
          <w:rFonts w:ascii="Times New Roman" w:eastAsia="Times New Roman" w:hAnsi="Times New Roman"/>
          <w:bCs/>
          <w:sz w:val="28"/>
          <w:szCs w:val="28"/>
          <w:lang w:eastAsia="bg-BG"/>
        </w:rPr>
        <w:tab/>
        <w:t>В изпълнение на заповед № РД-04-22/21.01.2020г. на главния прокурор на РБ и заповед № 72/23.01.2020г. на административния ръководител-апелативен прокурор на Апелативна прокуратура-София е създадена организация за стриктното изпълнение на Инструкцията за поддържане и използване на електронния регистър на лица с неприключили наказателни производства от 2010г. и Споразумение между ПРБ и МВР за взаимодействие при разследване на две и повече досъдебни производства срещу един и същ обвиняем. Издадени са заповед № РД-04-50/23.01.2020г. и заповед № РД-04-55/24.01.2020г. за създадена в СГП организация по цитираните дела и определяне на прокурори, които да участва съвместно със САП в извършването на периодични тематични проверки в Софийска районна прокуратура. Поради обявените извънредно положение и извънредната епидемиологична обстановка не са извършвани проверки в СРП, изискано е изготвянето на доклади по делата срещу лицата с две и повече наказателни производство, като СГП е изготвила обобщени доклади за актуалното състояние на цитираните дела.</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4.</w:t>
      </w:r>
      <w:r w:rsidRPr="00021050">
        <w:rPr>
          <w:rFonts w:ascii="Times New Roman" w:eastAsia="Times New Roman" w:hAnsi="Times New Roman"/>
          <w:bCs/>
          <w:sz w:val="28"/>
          <w:szCs w:val="28"/>
          <w:lang w:eastAsia="bg-BG"/>
        </w:rPr>
        <w:tab/>
        <w:t>С писмо на СГП адм.№ 293/2021г. от 07.06.2021г. е изискано от Софийска районна прокуратура изготвяне на подробна справка и доклад за наблюдаваните от Софийска районна прокуратура дела, по които е осъдена ПРБ по ЗОДОВ през 2020г. Обобщената информация за СГП и СРП е изпратена на АП-София.</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5.</w:t>
      </w:r>
      <w:r w:rsidRPr="00021050">
        <w:rPr>
          <w:rFonts w:ascii="Times New Roman" w:eastAsia="Times New Roman" w:hAnsi="Times New Roman"/>
          <w:bCs/>
          <w:sz w:val="28"/>
          <w:szCs w:val="28"/>
          <w:lang w:eastAsia="bg-BG"/>
        </w:rPr>
        <w:tab/>
        <w:t xml:space="preserve">Със Заповед № 1048/16.11.2021г. и изменена със Заповед № 1104/26.11.2021г. на административния ръководител – апелативен прокурор </w:t>
      </w:r>
      <w:r w:rsidRPr="00021050">
        <w:rPr>
          <w:rFonts w:ascii="Times New Roman" w:eastAsia="Times New Roman" w:hAnsi="Times New Roman"/>
          <w:bCs/>
          <w:sz w:val="28"/>
          <w:szCs w:val="28"/>
          <w:lang w:eastAsia="bg-BG"/>
        </w:rPr>
        <w:lastRenderedPageBreak/>
        <w:t xml:space="preserve">на АП-София за извършване на цялостна проверка на дейността на Иван Тасков – прокурор при СГП за периода 01.01.2020г-01.11.2021г. </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С оглед обосновани констатации и изводи, дадени в доклад на САП, административния ръководител на СГП със Заповед № РД-04-62/26.01.2022г. образува дисциплинарно производство срещу прокурор Иван Тасков, на основание чл.307, ал.3, т.1 и т.2 от ЗСВ.</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Изискани са преписки на СГП за осъществяване на служебен контрол.</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6.</w:t>
      </w:r>
      <w:r w:rsidRPr="00021050">
        <w:rPr>
          <w:rFonts w:ascii="Times New Roman" w:eastAsia="Times New Roman" w:hAnsi="Times New Roman"/>
          <w:bCs/>
          <w:sz w:val="28"/>
          <w:szCs w:val="28"/>
          <w:lang w:eastAsia="bg-BG"/>
        </w:rPr>
        <w:tab/>
        <w:t>Във връзка с План за дейността на Апелативна прокуратура – София за 2021г. в частта за контролно – ревизионната дейност е извършена проверка на прекратените през 2020г. поради липса на извършено престъпление досъдебни производства за корупционни престъпления /чл. 243, ал.1, вр. чл. 24, ал.1, т. 1 от НПК/ и на прекратените поради изтекла давност досъдебни производства за корупционни престъпления /чл. 243, ал.1, вр. чл. 24, ал.1, т. 3 от НПК/ в Софийска градска прокуратура. С адм.№ 416/2021г. на АП-София е изпратен доклад за запознаване и изпълнение.</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7.</w:t>
      </w:r>
      <w:r w:rsidRPr="00021050">
        <w:rPr>
          <w:rFonts w:ascii="Times New Roman" w:eastAsia="Times New Roman" w:hAnsi="Times New Roman"/>
          <w:bCs/>
          <w:sz w:val="28"/>
          <w:szCs w:val="28"/>
          <w:lang w:eastAsia="bg-BG"/>
        </w:rPr>
        <w:tab/>
        <w:t xml:space="preserve">С писмо изх.№ 33/2021г. на АП-София е изискано от Софийска градска прокуратура да предостави справка за оттеглените и неподържани въззивни и касационни протести през 2020г. </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Доклад с адм.№ 299/2021г. на САП е изпратен на СГП за запознаване.</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8.</w:t>
      </w:r>
      <w:r w:rsidRPr="00021050">
        <w:rPr>
          <w:rFonts w:ascii="Times New Roman" w:eastAsia="Times New Roman" w:hAnsi="Times New Roman"/>
          <w:bCs/>
          <w:sz w:val="28"/>
          <w:szCs w:val="28"/>
          <w:lang w:eastAsia="bg-BG"/>
        </w:rPr>
        <w:tab/>
        <w:t>В изпълнение на планова задача с писма изх. № 29/2021г. и адм.№ 198/2021г. е изискано от СГП предоставяне на справки за спазване на сроковете по реда на чл.145, ал.1, т.2 и т.З от ЗСВ, забавени проверки и просрочени произнасяния по тях. В изпратени от САП доклади не са дадени препоръки за СГП.</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9.</w:t>
      </w:r>
      <w:r w:rsidRPr="00021050">
        <w:rPr>
          <w:rFonts w:ascii="Times New Roman" w:eastAsia="Times New Roman" w:hAnsi="Times New Roman"/>
          <w:bCs/>
          <w:sz w:val="28"/>
          <w:szCs w:val="28"/>
          <w:lang w:eastAsia="bg-BG"/>
        </w:rPr>
        <w:tab/>
        <w:t>С писмо изх.№ 44/2021г. на АП-София е изискано от Софийска градска прокуратура да предостави справка относно натовареността на следователите през 2020г. и възлагане разследването на следователите, съгласно разпоредбите ча чл.194, ал.1, т.4 от НПК.</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Доклад с адм.№ 366/2021г. на САП е изпратен на СГП за запознаване и изпълнение на препоръките.</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10.</w:t>
      </w:r>
      <w:r w:rsidRPr="00021050">
        <w:rPr>
          <w:rFonts w:ascii="Times New Roman" w:eastAsia="Times New Roman" w:hAnsi="Times New Roman"/>
          <w:bCs/>
          <w:sz w:val="28"/>
          <w:szCs w:val="28"/>
          <w:lang w:eastAsia="bg-BG"/>
        </w:rPr>
        <w:tab/>
        <w:t>С писмо адм.№ 177/2021г. на САП е указано извършване на проверка на спазване на процедурата с която се установява концентрация на алкохол кръвта на водачите на МПС и наркотични вещества.</w:t>
      </w:r>
    </w:p>
    <w:p w:rsidR="00021050" w:rsidRPr="00021050" w:rsidRDefault="00021050" w:rsidP="004D24A1">
      <w:pPr>
        <w:spacing w:after="0"/>
        <w:ind w:firstLine="708"/>
        <w:jc w:val="both"/>
        <w:rPr>
          <w:rFonts w:ascii="Times New Roman" w:eastAsia="Times New Roman" w:hAnsi="Times New Roman"/>
          <w:bCs/>
          <w:sz w:val="28"/>
          <w:szCs w:val="28"/>
          <w:lang w:eastAsia="bg-BG"/>
        </w:rPr>
      </w:pPr>
      <w:r w:rsidRPr="00021050">
        <w:rPr>
          <w:rFonts w:ascii="Times New Roman" w:eastAsia="Times New Roman" w:hAnsi="Times New Roman"/>
          <w:bCs/>
          <w:sz w:val="28"/>
          <w:szCs w:val="28"/>
          <w:lang w:eastAsia="bg-BG"/>
        </w:rPr>
        <w:t>Със заповед № РД-04-499/21.07.2021г. на административния ръководител на СГП е разпоредено сформиране на екип от СГП за проверка на административно-наказателната дейност в службите за контрол /КАТ-СДВР/ по реализирането на административнонаказателната отговорност. На СГП е предоставен доклад от САП с препоръки, който е изпратен и на СРП.</w:t>
      </w:r>
    </w:p>
    <w:p w:rsidR="00021050" w:rsidRPr="00021050" w:rsidRDefault="00021050" w:rsidP="004D24A1">
      <w:pPr>
        <w:spacing w:after="0"/>
        <w:jc w:val="both"/>
        <w:rPr>
          <w:rFonts w:ascii="Times New Roman" w:eastAsia="Times New Roman" w:hAnsi="Times New Roman"/>
          <w:color w:val="FF0000"/>
          <w:sz w:val="28"/>
          <w:szCs w:val="28"/>
          <w:lang w:eastAsia="bg-BG"/>
        </w:rPr>
      </w:pPr>
    </w:p>
    <w:p w:rsidR="00021050" w:rsidRPr="00021050" w:rsidRDefault="00021050" w:rsidP="004D24A1">
      <w:pPr>
        <w:spacing w:after="0"/>
        <w:ind w:firstLine="709"/>
        <w:jc w:val="both"/>
        <w:rPr>
          <w:rFonts w:ascii="Times New Roman" w:eastAsia="Times New Roman" w:hAnsi="Times New Roman"/>
          <w:sz w:val="28"/>
          <w:szCs w:val="28"/>
          <w:lang w:eastAsia="bg-BG"/>
        </w:rPr>
      </w:pPr>
      <w:r w:rsidRPr="00021050">
        <w:rPr>
          <w:rFonts w:ascii="Times New Roman" w:eastAsia="Times New Roman" w:hAnsi="Times New Roman"/>
          <w:sz w:val="28"/>
          <w:szCs w:val="28"/>
          <w:lang w:eastAsia="bg-BG"/>
        </w:rPr>
        <w:lastRenderedPageBreak/>
        <w:t>С оглед гореизложеното, следва да се посочи че резултатите и констатациите по извършените проверки през 2021 г. са били предмет на обсъждане от магистратите и съдебните служители в Софийска градска прокуратура.</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Препоръките, касаещи деловодната дейност и задълженията на съдебните служители се анализират съвместно с тях, като се полагат постоянни усилия за преодоляване на пропуските в работата им.</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 xml:space="preserve">При постъпване на констатации и препоръки по извършени от Апелативна прокуратура-София проверки на СГП през 2021г. по отношение дейността по разследването, същите незабавно са предоставяни на вниманието на прокурорите чрез изпращането им по електронната поща, като е дадена възможност на магистратите да се запознаят с констатациите по докладите на проверяващите екипи  и да изложат писмени възражения по тях. </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В случаите, когато в докладите са упоменати пропуски по конкретни дела, ръководството на СГП е предприемало мерки за своевременното им отстраняване от наблюдаващите прокурори.</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Във всеки конкретен случай писмено е указано на наблюдаващите прокурори по съответните дела да осъществяват стриктен надзор над дейността на разследващите органи с цел обективно, всестранно и пълно изследване на всички факти и обстоятелства по делото, респективно да бъдат давани конкретни указания в съответствие с предмета на разследване, като изначало да се преценява налице ли са предпоставките по чл.194, ал.1, т.4 от НПК; да съблюдават сроковете за разследване и своевременно да се изготвят искания за тяхното продължаване; да се следи изтичането на давностните срокове за наказателно преследване.</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Поради това, след анализ на препоръките, когато е установено че липсва причина за промяна на действаща заповед, а неспазването се дължи на субективен фактор, са предприемани мерки за ангажиране вниманието на задължените по заповедта лица и разясняване отново на разписаните им задължения.</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Предприетите административни мерки в изпълнение на дадените от Апелативна прокуратура - София препоръки през 2021г. са както следва:</w:t>
      </w:r>
    </w:p>
    <w:p w:rsidR="00021050" w:rsidRPr="00021050" w:rsidRDefault="00021050" w:rsidP="004D24A1">
      <w:pPr>
        <w:spacing w:after="0"/>
        <w:ind w:right="20"/>
        <w:jc w:val="both"/>
        <w:rPr>
          <w:rFonts w:ascii="Times New Roman" w:eastAsia="Times New Roman" w:hAnsi="Times New Roman"/>
          <w:sz w:val="28"/>
          <w:szCs w:val="28"/>
        </w:rPr>
      </w:pPr>
      <w:r w:rsidRPr="00021050">
        <w:rPr>
          <w:rFonts w:ascii="Times New Roman" w:eastAsia="Times New Roman" w:hAnsi="Times New Roman"/>
          <w:sz w:val="28"/>
          <w:szCs w:val="28"/>
        </w:rPr>
        <w:t xml:space="preserve">Със заповед № РД-04-375/01.06.2021г. и заповед № РД-04-894/15.12.2021г. на градския прокурор в Софийска градска прокуратура е създадена организация за проверка на всички преписки и дела, образувани преди 01.01.2018г. за предприемане на действия за приключване на делата. По отношение на Софийска районна прокуратура са изпратени указателни писма от административния ръководител на СГП до ръководството на </w:t>
      </w:r>
      <w:r w:rsidRPr="00021050">
        <w:rPr>
          <w:rFonts w:ascii="Times New Roman" w:eastAsia="Times New Roman" w:hAnsi="Times New Roman"/>
          <w:sz w:val="28"/>
          <w:szCs w:val="28"/>
        </w:rPr>
        <w:lastRenderedPageBreak/>
        <w:t>Софийска районна прокуратура за създаване на организация за проверка на всички неприключили преписки и дела, образувани преди 01.01.2018г. и предприемане на своевременни и ефективни действия за тяхното приключване.</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Със Заповед № РД-04-664/29.09.2021г. на административен ръководител на СГП е разпоредено извършване на тематична проверка на дейността на СРП на неприключените към 30.06.2021г. дела, образувани преди 01.01.2018г., по указания на АП-София.</w:t>
      </w:r>
    </w:p>
    <w:p w:rsidR="00021050" w:rsidRPr="00021050" w:rsidRDefault="00021050" w:rsidP="004D24A1">
      <w:pPr>
        <w:spacing w:after="0"/>
        <w:ind w:right="20"/>
        <w:jc w:val="both"/>
        <w:rPr>
          <w:rFonts w:ascii="Times New Roman" w:eastAsia="Times New Roman" w:hAnsi="Times New Roman"/>
          <w:sz w:val="28"/>
          <w:szCs w:val="28"/>
        </w:rPr>
      </w:pP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В Софийска градска прокуратура продължава създадената организация за работа по следните заповеди:</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 Заповед № 2865/31.07.2018 г. и 2866/31.07. 2018 г. на градския прокурор относно дейността по спрените досъдебни производства в СГП и СРП.</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 Заповед № РД-04-776/01.10.2020г. на градския прокурор на СГП с оглед подобряване на дейността на СГП чрез ефективно използване на „Електронен регистър за срочността на разследването и проверките, произнасянето от прокурор и задържането под стража“.</w:t>
      </w:r>
    </w:p>
    <w:p w:rsidR="00021050" w:rsidRPr="00021050" w:rsidRDefault="00021050" w:rsidP="004D24A1">
      <w:pPr>
        <w:spacing w:after="0"/>
        <w:ind w:right="20"/>
        <w:jc w:val="both"/>
        <w:rPr>
          <w:rFonts w:ascii="Times New Roman" w:eastAsia="Times New Roman" w:hAnsi="Times New Roman"/>
          <w:sz w:val="28"/>
          <w:szCs w:val="28"/>
        </w:rPr>
      </w:pPr>
      <w:r w:rsidRPr="00021050">
        <w:rPr>
          <w:rFonts w:ascii="Times New Roman" w:eastAsia="Times New Roman" w:hAnsi="Times New Roman"/>
          <w:sz w:val="28"/>
          <w:szCs w:val="28"/>
        </w:rPr>
        <w:tab/>
        <w:t>- Заповед № 395/12.02.2018 г. на градския прокурор с която ежемесечно се докладват спрените срещу известен извършител досъдебни производства на основание чл.244, ал.1, т.3 от НПК, във връзка с възобновяването им за провеждане на задочно производство или за използване на всички възможни средства, включително и за издаване на европейски заповеди за арест или предложения до ВКП, отдел „Международен“, за обявяване на международно издирване с цел арест и последваща екстрадиция на територията на Р.България за продължаване на разследването с тяхно участие, респ. взимане на съответните мерки за своевременното им приключване.</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 xml:space="preserve">- В изпълнение на заповед № РД-04-22/21.01.2020г. на главния прокурор на РБ и заповед № 72/23.01.2020г. на административния ръководител-апелативен прокурор на Апелативна прокуратура-София е създадена организация за стриктното изпълнение на Инструкцията за поддържане и използване на електронния регистър на лица с неприключили наказателни производства от 2010г. и Споразумение между ПРБ и МВР за взаимодействие при разследване на две и повече досъдебни производства срещу един и същ обвиняем. Издадени са заповед № РД-04-50/23.01.2020г. и заповед № РД-04-55/24.01.2020г., изменена със Заповед № РД-04-118/17.02.2021г. на градския прокурор за създадена в СГП организация по цитираните дела и определяне на прокурори, които да участва съвместно </w:t>
      </w:r>
      <w:r w:rsidRPr="00021050">
        <w:rPr>
          <w:rFonts w:ascii="Times New Roman" w:eastAsia="Times New Roman" w:hAnsi="Times New Roman"/>
          <w:sz w:val="28"/>
          <w:szCs w:val="28"/>
        </w:rPr>
        <w:lastRenderedPageBreak/>
        <w:t>със САП в извършването на периодични тематични проверки в Софийска районна прокуратура.</w:t>
      </w:r>
    </w:p>
    <w:p w:rsidR="00021050" w:rsidRPr="00021050" w:rsidRDefault="00021050" w:rsidP="004D24A1">
      <w:pPr>
        <w:spacing w:after="0"/>
        <w:ind w:right="20" w:firstLine="708"/>
        <w:jc w:val="both"/>
        <w:rPr>
          <w:rFonts w:ascii="Times New Roman" w:eastAsia="Times New Roman" w:hAnsi="Times New Roman"/>
          <w:sz w:val="28"/>
          <w:szCs w:val="28"/>
        </w:rPr>
      </w:pPr>
      <w:r w:rsidRPr="00021050">
        <w:rPr>
          <w:rFonts w:ascii="Times New Roman" w:eastAsia="Times New Roman" w:hAnsi="Times New Roman"/>
          <w:sz w:val="28"/>
          <w:szCs w:val="28"/>
        </w:rPr>
        <w:t>През 2021г. по отношение на Софийска градска не са извършвани ревизии и проверки от ИВСС, с изключение на такива по конкретни прокурорски преписки във връзка със сигнали от конкретни лица.</w:t>
      </w:r>
    </w:p>
    <w:p w:rsidR="00021050" w:rsidRPr="00021050" w:rsidRDefault="00021050" w:rsidP="004D24A1">
      <w:pPr>
        <w:spacing w:after="0"/>
        <w:ind w:right="20"/>
        <w:jc w:val="both"/>
        <w:rPr>
          <w:rFonts w:ascii="Times New Roman" w:eastAsia="Times New Roman" w:hAnsi="Times New Roman"/>
          <w:sz w:val="28"/>
          <w:szCs w:val="28"/>
        </w:rPr>
      </w:pPr>
    </w:p>
    <w:p w:rsidR="00021050" w:rsidRPr="00021050" w:rsidRDefault="00021050" w:rsidP="004D24A1">
      <w:pPr>
        <w:spacing w:after="0"/>
        <w:ind w:firstLine="708"/>
        <w:jc w:val="both"/>
        <w:rPr>
          <w:rFonts w:ascii="Times New Roman" w:eastAsia="Times New Roman" w:hAnsi="Times New Roman"/>
          <w:iCs/>
          <w:sz w:val="28"/>
          <w:szCs w:val="28"/>
        </w:rPr>
      </w:pPr>
      <w:r w:rsidRPr="00021050">
        <w:rPr>
          <w:rFonts w:ascii="Times New Roman" w:eastAsia="Times New Roman" w:hAnsi="Times New Roman"/>
          <w:sz w:val="28"/>
          <w:szCs w:val="28"/>
          <w:lang w:eastAsia="bg-BG"/>
        </w:rPr>
        <w:t xml:space="preserve">През 2021 г. по повод извършване на периодично атестиране, както и за повишаване в ранг са атестирани 30 магистрати от СГП и 51 от СРП, а през 2020 г. са били атестирани 15 магистрати от СГП. През 2019 г. </w:t>
      </w:r>
      <w:r w:rsidRPr="00021050">
        <w:rPr>
          <w:rFonts w:ascii="Times New Roman" w:eastAsia="Times New Roman" w:hAnsi="Times New Roman"/>
          <w:iCs/>
          <w:sz w:val="28"/>
          <w:szCs w:val="28"/>
        </w:rPr>
        <w:t>са атестирани 53 магистрати от СГП и 71 от СРП,</w:t>
      </w:r>
      <w:r w:rsidRPr="00021050">
        <w:t xml:space="preserve"> </w:t>
      </w:r>
      <w:r w:rsidRPr="00021050">
        <w:rPr>
          <w:rFonts w:ascii="Times New Roman" w:eastAsia="Times New Roman" w:hAnsi="Times New Roman"/>
          <w:iCs/>
          <w:sz w:val="28"/>
          <w:szCs w:val="28"/>
        </w:rPr>
        <w:t>по повод извършване на периодично атестиране, както и за повишаване в ранг.</w:t>
      </w:r>
    </w:p>
    <w:p w:rsidR="00021050" w:rsidRPr="00021050" w:rsidRDefault="00021050" w:rsidP="004D24A1">
      <w:pPr>
        <w:spacing w:after="0"/>
        <w:ind w:firstLine="708"/>
        <w:jc w:val="both"/>
        <w:rPr>
          <w:rFonts w:ascii="Times New Roman" w:eastAsia="Times New Roman" w:hAnsi="Times New Roman"/>
          <w:sz w:val="28"/>
          <w:szCs w:val="28"/>
          <w:lang w:eastAsia="bg-BG"/>
        </w:rPr>
      </w:pPr>
      <w:r w:rsidRPr="00021050">
        <w:rPr>
          <w:rFonts w:ascii="Times New Roman" w:eastAsia="Times New Roman" w:hAnsi="Times New Roman"/>
          <w:color w:val="FF0000"/>
          <w:sz w:val="28"/>
          <w:szCs w:val="28"/>
          <w:lang w:eastAsia="bg-BG"/>
        </w:rPr>
        <w:tab/>
      </w:r>
      <w:r w:rsidRPr="00021050">
        <w:rPr>
          <w:rFonts w:ascii="Times New Roman" w:eastAsia="Times New Roman" w:hAnsi="Times New Roman"/>
          <w:color w:val="FF0000"/>
          <w:sz w:val="28"/>
          <w:szCs w:val="28"/>
          <w:lang w:eastAsia="bg-BG"/>
        </w:rPr>
        <w:tab/>
      </w:r>
      <w:r w:rsidRPr="00021050">
        <w:rPr>
          <w:rFonts w:ascii="Times New Roman" w:eastAsia="Times New Roman" w:hAnsi="Times New Roman"/>
          <w:sz w:val="28"/>
          <w:szCs w:val="28"/>
          <w:lang w:eastAsia="bg-BG"/>
        </w:rPr>
        <w:tab/>
      </w:r>
    </w:p>
    <w:p w:rsidR="00021050" w:rsidRPr="00021050" w:rsidRDefault="00021050" w:rsidP="004D24A1">
      <w:pPr>
        <w:spacing w:after="0"/>
        <w:ind w:firstLine="709"/>
        <w:jc w:val="both"/>
        <w:rPr>
          <w:rFonts w:ascii="Times New Roman" w:eastAsia="Times New Roman" w:hAnsi="Times New Roman"/>
          <w:sz w:val="28"/>
          <w:szCs w:val="28"/>
          <w:lang w:eastAsia="bg-BG"/>
        </w:rPr>
      </w:pPr>
      <w:r w:rsidRPr="00021050">
        <w:rPr>
          <w:rFonts w:ascii="Times New Roman" w:eastAsia="Times New Roman" w:hAnsi="Times New Roman"/>
          <w:sz w:val="28"/>
          <w:szCs w:val="28"/>
          <w:lang w:eastAsia="bg-BG"/>
        </w:rPr>
        <w:t>През 2021 г. по предложение на апелативния прокурор на АП-София до главния прокурор е поощрена с отличие-плакет на „Прокуратура на Република България“ Илиана Кирилова – административен ръководител на СГП проявен висок професионализъм и безупречно изпълнение на служебните задължения като административен ръководител.</w:t>
      </w:r>
    </w:p>
    <w:p w:rsidR="00021050" w:rsidRPr="00021050" w:rsidRDefault="00021050" w:rsidP="004D24A1">
      <w:pPr>
        <w:spacing w:after="0"/>
        <w:ind w:firstLine="709"/>
        <w:jc w:val="both"/>
        <w:rPr>
          <w:rFonts w:ascii="Times New Roman" w:eastAsia="Times New Roman" w:hAnsi="Times New Roman"/>
          <w:sz w:val="28"/>
          <w:szCs w:val="28"/>
          <w:lang w:eastAsia="bg-BG"/>
        </w:rPr>
      </w:pPr>
      <w:r w:rsidRPr="00021050">
        <w:rPr>
          <w:rFonts w:ascii="Times New Roman" w:eastAsia="Times New Roman" w:hAnsi="Times New Roman"/>
          <w:sz w:val="28"/>
          <w:szCs w:val="28"/>
          <w:lang w:eastAsia="bg-BG"/>
        </w:rPr>
        <w:t>По предложение на административния ръководител на Софийска градска прокуратура до главния прокурор са поощрени с отличие „Служебна благодарност“ следните прокурори и следователи – Иво Илиев, Чавдар Пастованов, Екатерина Микова, Ваня Атанасова, Татяна Садай, Ахмед Кокоев, Юлиан Лефтеров, Йордан Петров, Вихра Попхристова, Божидара Ганева-Димова, Любомир Мирчев, Илиян Банков, Иван Кучиев, Елица Точева, Господин Бумбаров, Атанас Доцински, Атанас Атанасов, Снежанка Кондева-Караджова и Велислав Величков за проявен висок професионализъм и безупречно изпълнение на служебните задължения. През 2021 г. са били поощрени и следните магистрати от СРП- Елица Юриева Василева и Валентин Ненков Филипов - прокурор в Софийска районна прокуратура,  с отличие „Служебна благодарност“ от ВСС.</w:t>
      </w:r>
    </w:p>
    <w:p w:rsidR="00021050" w:rsidRPr="00021050" w:rsidRDefault="00021050" w:rsidP="004D24A1">
      <w:pPr>
        <w:spacing w:after="0"/>
        <w:jc w:val="both"/>
        <w:rPr>
          <w:rFonts w:ascii="Times New Roman" w:eastAsia="Times New Roman" w:hAnsi="Times New Roman"/>
          <w:sz w:val="28"/>
          <w:szCs w:val="28"/>
          <w:lang w:eastAsia="bg-BG"/>
        </w:rPr>
      </w:pP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През 2021 г. в СГП са образувани и водени следните дисциплинарни производства срещу магистрати:</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 xml:space="preserve">Във връзка с извършена проверка на работата на Радост Нацева – прокурор при СГП по Заповед № РД-04-116/09.04.2021г. на за главен прокурор с оглед направените препоръки от проверяващия екип от ВКП към административния ръководител на СГП за предприемане на вменените по ЗСВ правомощия, за реализиране на дисциплинарна отговорност по реда на Глава 16, Раздел I от ЗСВ по отношение на проверявания прокурор и по </w:t>
      </w:r>
      <w:r w:rsidRPr="00021050">
        <w:rPr>
          <w:rFonts w:ascii="Times New Roman" w:hAnsi="Times New Roman"/>
          <w:sz w:val="28"/>
          <w:szCs w:val="28"/>
        </w:rPr>
        <w:lastRenderedPageBreak/>
        <w:t>отношение на прокурори при СГП, са образувани дисциплинарни производства, както следва:</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w:t>
      </w:r>
      <w:r w:rsidRPr="00021050">
        <w:rPr>
          <w:rFonts w:ascii="Times New Roman" w:hAnsi="Times New Roman"/>
          <w:sz w:val="28"/>
          <w:szCs w:val="28"/>
        </w:rPr>
        <w:tab/>
        <w:t>Заповед № РД-04-460/06.07.2021г. е образувано дисциплинарно производство срещу Свилен Цеков – следовател при СО-СГП, на основание чл.307, ал.3, т.2 от ЗСВ;</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w:t>
      </w:r>
      <w:r w:rsidRPr="00021050">
        <w:rPr>
          <w:rFonts w:ascii="Times New Roman" w:hAnsi="Times New Roman"/>
          <w:sz w:val="28"/>
          <w:szCs w:val="28"/>
        </w:rPr>
        <w:tab/>
        <w:t>Заповед № РД-04-455/06.07.2021г. е образувано дисциплинарно производство срещу Иван Тасков – прокурор при СГП, на основание чл.307, ал.3, т.2 от ЗСВ;</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w:t>
      </w:r>
      <w:r w:rsidRPr="00021050">
        <w:rPr>
          <w:rFonts w:ascii="Times New Roman" w:hAnsi="Times New Roman"/>
          <w:sz w:val="28"/>
          <w:szCs w:val="28"/>
        </w:rPr>
        <w:tab/>
        <w:t>Заповед № РД-04-456/06.07.2021г. е образувано дисциплинарно производство срещу Любомир Русев – прокурор при СГП, на основание чл.307, ал.3, т.2 от ЗСВ;</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w:t>
      </w:r>
      <w:r w:rsidRPr="00021050">
        <w:rPr>
          <w:rFonts w:ascii="Times New Roman" w:hAnsi="Times New Roman"/>
          <w:sz w:val="28"/>
          <w:szCs w:val="28"/>
        </w:rPr>
        <w:tab/>
        <w:t>Заповед № РД-04-457/06.07.2021г. е образувано дисциплинарно производство срещу Чавдар Железчев – прокурор при СГП, на основание чл.307, ал.3, т.2 от ЗСВ;</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w:t>
      </w:r>
      <w:r w:rsidRPr="00021050">
        <w:rPr>
          <w:rFonts w:ascii="Times New Roman" w:hAnsi="Times New Roman"/>
          <w:sz w:val="28"/>
          <w:szCs w:val="28"/>
        </w:rPr>
        <w:tab/>
        <w:t>Заповед № РД-04-458/06.07.2021г. е образувано дисциплинарно производство срещу Детелин Георгиев – прокурор при СГП, на основание чл.307, ал.3, т.2 от ЗСВ;</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w:t>
      </w:r>
      <w:r w:rsidRPr="00021050">
        <w:rPr>
          <w:rFonts w:ascii="Times New Roman" w:hAnsi="Times New Roman"/>
          <w:sz w:val="28"/>
          <w:szCs w:val="28"/>
        </w:rPr>
        <w:tab/>
        <w:t>Заповед № РД-04-476/12.07.2021г. е образувано дисциплинарно производство срещу Радост Нацева – прокурор при СГП, на основание чл.307, ал.3, т.4 от ЗСВ;</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Като по отношение на:</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1.</w:t>
      </w:r>
      <w:r w:rsidRPr="00021050">
        <w:rPr>
          <w:rFonts w:ascii="Times New Roman" w:hAnsi="Times New Roman"/>
          <w:sz w:val="28"/>
          <w:szCs w:val="28"/>
        </w:rPr>
        <w:tab/>
        <w:t>прокурор Радост Нацева със Заповед № РД-04-673/2021г. от 01.10.2021г. на административния ръководител на СГП е наложена санкция по реда на чл. 327 от ЗСВ „Обръщане на внимание“, заповедта е връчена на прокурора на 04.10.2021г., като 14-дневния срок е обжалвана.</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2.</w:t>
      </w:r>
      <w:r w:rsidRPr="00021050">
        <w:rPr>
          <w:rFonts w:ascii="Times New Roman" w:hAnsi="Times New Roman"/>
          <w:sz w:val="28"/>
          <w:szCs w:val="28"/>
        </w:rPr>
        <w:tab/>
        <w:t>По образуваното дисциплинарно производство срещу Детелин Георгиев – прокурор при СГП със Заповед № РД-04-671/2021г. от 01.10.2021г. на административния ръководител на СГП е наложена санкция по реда на чл. 327 от ЗСВ „Обръщане на внимание“, заповедта е връчена на прокурора на 04.10.2021г., като 14-дневния срок е обжалвана.</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3.</w:t>
      </w:r>
      <w:r w:rsidRPr="00021050">
        <w:rPr>
          <w:rFonts w:ascii="Times New Roman" w:hAnsi="Times New Roman"/>
          <w:sz w:val="28"/>
          <w:szCs w:val="28"/>
        </w:rPr>
        <w:tab/>
        <w:t>Образуваното дисциплинарно производство срещу Чавдар Железчев – прокурор при СГП е прекратено със Заповед № РД-04-657/2021г. от 27.09.2021г. на административния ръководител на СГП.</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4.</w:t>
      </w:r>
      <w:r w:rsidRPr="00021050">
        <w:rPr>
          <w:rFonts w:ascii="Times New Roman" w:hAnsi="Times New Roman"/>
          <w:sz w:val="28"/>
          <w:szCs w:val="28"/>
        </w:rPr>
        <w:tab/>
        <w:t>Образуваното дисциплинарно производство срещу Любомир Русев – прокурор при СГП е прекратено със Заповед № РД-04-658/2021г. от 27.09.2021г. на административния ръководител на СГП.</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5.</w:t>
      </w:r>
      <w:r w:rsidRPr="00021050">
        <w:rPr>
          <w:rFonts w:ascii="Times New Roman" w:hAnsi="Times New Roman"/>
          <w:sz w:val="28"/>
          <w:szCs w:val="28"/>
        </w:rPr>
        <w:tab/>
        <w:t xml:space="preserve">По отношение на образуваното дисциплинарно производство срещу Иван Тасков – прокурор при СГП със Заповед № РД-04-679/2021г. от 01.10.2021г. на административния ръководител на СГП е наложено </w:t>
      </w:r>
      <w:r w:rsidRPr="00021050">
        <w:rPr>
          <w:rFonts w:ascii="Times New Roman" w:hAnsi="Times New Roman"/>
          <w:sz w:val="28"/>
          <w:szCs w:val="28"/>
        </w:rPr>
        <w:lastRenderedPageBreak/>
        <w:t>дисциплинарно наказание „Забележка“, заповедта е връчена на прокурора на 04.10.2021г., с решение на ПК-ВСС от 10.11.2021г., на основание чл.314, ал.4 от ЗСВ е отменено наложеното наказание. Решението е обжалвано от страна на СГП.</w:t>
      </w: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6.</w:t>
      </w:r>
      <w:r w:rsidRPr="00021050">
        <w:rPr>
          <w:rFonts w:ascii="Times New Roman" w:hAnsi="Times New Roman"/>
          <w:sz w:val="28"/>
          <w:szCs w:val="28"/>
        </w:rPr>
        <w:tab/>
        <w:t>По образуваното дисциплинарно производство срещу Свилен Цеков – следовател при СО-СГП със Заповед № РД-04-672/2021г. от 01.10.2021г. на административния ръководител на СГП е наложена санкция по реда на чл. 327 от ЗСВ „Обръщане на внимание“, заповедта е връчена на следователя на 06.10.2021г., като 14-дневния срок не е обжалвана. Преписката е изпратена на ПК-ВСС.</w:t>
      </w:r>
    </w:p>
    <w:p w:rsidR="00021050" w:rsidRPr="00021050" w:rsidRDefault="00021050" w:rsidP="004D24A1">
      <w:pPr>
        <w:spacing w:after="0"/>
        <w:jc w:val="both"/>
        <w:rPr>
          <w:rFonts w:ascii="Times New Roman" w:hAnsi="Times New Roman"/>
          <w:sz w:val="28"/>
          <w:szCs w:val="28"/>
        </w:rPr>
      </w:pPr>
    </w:p>
    <w:p w:rsidR="00021050" w:rsidRPr="00021050" w:rsidRDefault="00021050" w:rsidP="004D24A1">
      <w:pPr>
        <w:spacing w:after="0"/>
        <w:ind w:firstLine="709"/>
        <w:jc w:val="both"/>
        <w:rPr>
          <w:rFonts w:ascii="Times New Roman" w:hAnsi="Times New Roman"/>
          <w:sz w:val="28"/>
          <w:szCs w:val="28"/>
        </w:rPr>
      </w:pPr>
      <w:r w:rsidRPr="00021050">
        <w:rPr>
          <w:rFonts w:ascii="Times New Roman" w:hAnsi="Times New Roman"/>
          <w:sz w:val="28"/>
          <w:szCs w:val="28"/>
        </w:rPr>
        <w:t>Във връзка с извършена цялостна проверка на дейността на Иван Тасков – прокурор при СГП, възложена със Заповед № 1048/16.11.2021г. и изменена със Заповед № 1104/26.11.2021г. на административния ръководител – апелативен прокурор на АП-София и с оглед обосновани констатации и изводи, дадени в доклад на САП, административния ръководител на СГП със Заповед № РД-04-62/26.01.2022г. образува дисциплинарно производство срещу прокурор Иван Тасков, на основание чл.307, ал.3, т.1 и т.2 от ЗСВ.</w:t>
      </w:r>
    </w:p>
    <w:p w:rsidR="00021050" w:rsidRPr="00021050" w:rsidRDefault="00021050" w:rsidP="004D24A1">
      <w:pPr>
        <w:spacing w:after="0"/>
        <w:jc w:val="both"/>
        <w:rPr>
          <w:rFonts w:ascii="Times New Roman" w:hAnsi="Times New Roman"/>
          <w:sz w:val="28"/>
          <w:szCs w:val="28"/>
        </w:rPr>
      </w:pPr>
    </w:p>
    <w:p w:rsidR="00021050" w:rsidRPr="00021050" w:rsidRDefault="00021050" w:rsidP="004D24A1">
      <w:pPr>
        <w:spacing w:after="0"/>
        <w:ind w:firstLine="708"/>
        <w:jc w:val="both"/>
        <w:rPr>
          <w:rFonts w:ascii="Times New Roman" w:hAnsi="Times New Roman"/>
          <w:sz w:val="28"/>
          <w:szCs w:val="28"/>
        </w:rPr>
      </w:pPr>
      <w:r w:rsidRPr="00021050">
        <w:rPr>
          <w:rFonts w:ascii="Times New Roman" w:hAnsi="Times New Roman"/>
          <w:sz w:val="28"/>
          <w:szCs w:val="28"/>
        </w:rPr>
        <w:t xml:space="preserve">За СРП: </w:t>
      </w:r>
    </w:p>
    <w:p w:rsidR="00021050" w:rsidRPr="00021050" w:rsidRDefault="00021050" w:rsidP="004D24A1">
      <w:pPr>
        <w:spacing w:after="0"/>
        <w:ind w:firstLine="708"/>
        <w:jc w:val="both"/>
        <w:rPr>
          <w:rFonts w:ascii="Times New Roman" w:hAnsi="Times New Roman"/>
          <w:sz w:val="28"/>
          <w:szCs w:val="28"/>
        </w:rPr>
      </w:pPr>
      <w:r w:rsidRPr="00021050">
        <w:rPr>
          <w:rFonts w:ascii="Times New Roman" w:hAnsi="Times New Roman"/>
          <w:sz w:val="28"/>
          <w:szCs w:val="28"/>
        </w:rPr>
        <w:t>Със заповед № РД-04-02-4035/13.10.2021 г. на административния ръководител – районен прокурор на Софийска районна прокуратура  на осн. чл.327, ал.1 от ЗСВ е „обърнато на внимание" на Любомира Илиева Апостолова – прокурор в СРП.</w:t>
      </w:r>
    </w:p>
    <w:p w:rsidR="00021050" w:rsidRPr="00021050" w:rsidRDefault="00021050" w:rsidP="004D24A1">
      <w:pPr>
        <w:spacing w:after="0"/>
        <w:ind w:firstLine="708"/>
        <w:jc w:val="both"/>
        <w:rPr>
          <w:rFonts w:ascii="Times New Roman" w:hAnsi="Times New Roman"/>
          <w:sz w:val="28"/>
          <w:szCs w:val="28"/>
        </w:rPr>
      </w:pPr>
    </w:p>
    <w:p w:rsidR="00021050" w:rsidRPr="00021050" w:rsidRDefault="00021050" w:rsidP="004D24A1">
      <w:pPr>
        <w:spacing w:after="0"/>
        <w:ind w:firstLine="708"/>
        <w:jc w:val="both"/>
        <w:rPr>
          <w:rFonts w:ascii="Times New Roman" w:hAnsi="Times New Roman"/>
          <w:sz w:val="28"/>
          <w:szCs w:val="28"/>
        </w:rPr>
      </w:pPr>
    </w:p>
    <w:p w:rsidR="00021050" w:rsidRPr="00021050" w:rsidRDefault="00021050"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b/>
          <w:sz w:val="28"/>
          <w:szCs w:val="28"/>
        </w:rPr>
      </w:pPr>
      <w:r w:rsidRPr="00021050">
        <w:rPr>
          <w:rFonts w:ascii="Times New Roman" w:eastAsia="Times New Roman" w:hAnsi="Times New Roman"/>
          <w:b/>
          <w:sz w:val="28"/>
          <w:szCs w:val="28"/>
        </w:rPr>
        <w:t>VІ. НАТОВАРЕНОСТ НА ПРОКУРОРСКИТЕ И НА СЛЕДСТВЕНИТЕ ОРГАНИ.</w:t>
      </w:r>
    </w:p>
    <w:p w:rsidR="00021050" w:rsidRPr="00021050" w:rsidRDefault="00021050"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b/>
          <w:sz w:val="28"/>
          <w:szCs w:val="28"/>
        </w:rPr>
      </w:pPr>
    </w:p>
    <w:p w:rsidR="00E35431" w:rsidRDefault="00021050"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sz w:val="28"/>
          <w:szCs w:val="28"/>
        </w:rPr>
      </w:pPr>
      <w:r w:rsidRPr="00021050">
        <w:rPr>
          <w:rFonts w:ascii="Times New Roman" w:eastAsia="Times New Roman" w:hAnsi="Times New Roman"/>
          <w:sz w:val="28"/>
          <w:szCs w:val="28"/>
        </w:rPr>
        <w:t>За отчетната 20</w:t>
      </w:r>
      <w:r w:rsidRPr="00021050">
        <w:rPr>
          <w:rFonts w:ascii="Times New Roman" w:eastAsia="Times New Roman" w:hAnsi="Times New Roman"/>
          <w:sz w:val="28"/>
          <w:szCs w:val="28"/>
          <w:lang w:val="en-US"/>
        </w:rPr>
        <w:t>2</w:t>
      </w:r>
      <w:r w:rsidR="002341DA">
        <w:rPr>
          <w:rFonts w:ascii="Times New Roman" w:eastAsia="Times New Roman" w:hAnsi="Times New Roman"/>
          <w:sz w:val="28"/>
          <w:szCs w:val="28"/>
          <w:lang w:val="en-US"/>
        </w:rPr>
        <w:t>1</w:t>
      </w:r>
      <w:r w:rsidRPr="00021050">
        <w:rPr>
          <w:rFonts w:ascii="Times New Roman" w:eastAsia="Times New Roman" w:hAnsi="Times New Roman"/>
          <w:sz w:val="28"/>
          <w:szCs w:val="28"/>
        </w:rPr>
        <w:t xml:space="preserve"> год., </w:t>
      </w:r>
      <w:r w:rsidR="00E35431" w:rsidRPr="00E35431">
        <w:rPr>
          <w:rFonts w:ascii="Times New Roman" w:eastAsia="Times New Roman" w:hAnsi="Times New Roman"/>
          <w:sz w:val="28"/>
          <w:szCs w:val="28"/>
        </w:rPr>
        <w:t xml:space="preserve">натовареността на прокурорите и следствените органи в Софийска градска прокуратура и Софийска районна прокуратура </w:t>
      </w:r>
      <w:r w:rsidR="00E35431">
        <w:rPr>
          <w:rFonts w:ascii="Times New Roman" w:eastAsia="Times New Roman" w:hAnsi="Times New Roman"/>
          <w:sz w:val="28"/>
          <w:szCs w:val="28"/>
        </w:rPr>
        <w:t xml:space="preserve">е отчетена съобразно </w:t>
      </w:r>
      <w:r w:rsidR="00E35431" w:rsidRPr="00E35431">
        <w:rPr>
          <w:rFonts w:ascii="Times New Roman" w:eastAsia="Times New Roman" w:hAnsi="Times New Roman"/>
          <w:sz w:val="28"/>
          <w:szCs w:val="28"/>
        </w:rPr>
        <w:t>указаното в т. 15.2. от Заповед РД-02-20/05.07.2021 г. на главния прокурор, с която е изменено Указание за организация на информационната дейност в ПРБ, утвърдено със Заповед № ЛС - 1985 от 30.05.2014 г. на ГП, изм. и доп. със Заповед № РД-02-27/21.11.2017 г.  и Заповед № РД-02-17 от 27.06.2019 г.</w:t>
      </w:r>
    </w:p>
    <w:p w:rsidR="00E35431" w:rsidRDefault="00E35431"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sz w:val="28"/>
          <w:szCs w:val="28"/>
        </w:rPr>
      </w:pPr>
      <w:r>
        <w:rPr>
          <w:rFonts w:ascii="Times New Roman" w:eastAsia="Times New Roman" w:hAnsi="Times New Roman"/>
          <w:sz w:val="28"/>
          <w:szCs w:val="28"/>
        </w:rPr>
        <w:t xml:space="preserve">Съгласно създадената </w:t>
      </w:r>
      <w:r w:rsidRPr="00E35431">
        <w:rPr>
          <w:rFonts w:ascii="Times New Roman" w:eastAsia="Times New Roman" w:hAnsi="Times New Roman"/>
          <w:sz w:val="28"/>
          <w:szCs w:val="28"/>
        </w:rPr>
        <w:t xml:space="preserve">нова т. 15.2. </w:t>
      </w:r>
      <w:r w:rsidR="00D20D40">
        <w:rPr>
          <w:rFonts w:ascii="Times New Roman" w:eastAsia="Times New Roman" w:hAnsi="Times New Roman"/>
          <w:sz w:val="28"/>
          <w:szCs w:val="28"/>
        </w:rPr>
        <w:t>н</w:t>
      </w:r>
      <w:r w:rsidRPr="00E35431">
        <w:rPr>
          <w:rFonts w:ascii="Times New Roman" w:eastAsia="Times New Roman" w:hAnsi="Times New Roman"/>
          <w:sz w:val="28"/>
          <w:szCs w:val="28"/>
        </w:rPr>
        <w:t xml:space="preserve">атовареността на всички прокуратури, следствени отдели и НСлС, както и на прокурорите и </w:t>
      </w:r>
      <w:r w:rsidRPr="00E35431">
        <w:rPr>
          <w:rFonts w:ascii="Times New Roman" w:eastAsia="Times New Roman" w:hAnsi="Times New Roman"/>
          <w:sz w:val="28"/>
          <w:szCs w:val="28"/>
        </w:rPr>
        <w:lastRenderedPageBreak/>
        <w:t>следователите се извършва по приетите от ВСС Правила за измерване натовареността на прокуратурите и на индивидуалната натовареност на всеки прокурор и следовател, като данните се изве</w:t>
      </w:r>
      <w:r w:rsidR="00D20D40">
        <w:rPr>
          <w:rFonts w:ascii="Times New Roman" w:eastAsia="Times New Roman" w:hAnsi="Times New Roman"/>
          <w:sz w:val="28"/>
          <w:szCs w:val="28"/>
        </w:rPr>
        <w:t>ж</w:t>
      </w:r>
      <w:r w:rsidRPr="00E35431">
        <w:rPr>
          <w:rFonts w:ascii="Times New Roman" w:eastAsia="Times New Roman" w:hAnsi="Times New Roman"/>
          <w:sz w:val="28"/>
          <w:szCs w:val="28"/>
        </w:rPr>
        <w:t xml:space="preserve">дат от Унифицираната информационна система на ПРБ. Извеждат се и данни за натовареността по административно-ръководната дейност на административните ръководители, техните заместници и завеждащите отделите. </w:t>
      </w:r>
    </w:p>
    <w:p w:rsidR="00021050" w:rsidRPr="00021050" w:rsidRDefault="003515B0"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sz w:val="28"/>
          <w:szCs w:val="28"/>
        </w:rPr>
      </w:pPr>
      <w:r>
        <w:rPr>
          <w:rFonts w:ascii="Times New Roman" w:eastAsia="Times New Roman" w:hAnsi="Times New Roman"/>
          <w:sz w:val="28"/>
          <w:szCs w:val="28"/>
        </w:rPr>
        <w:t>За сравнение, п</w:t>
      </w:r>
      <w:r w:rsidR="00021050" w:rsidRPr="00021050">
        <w:rPr>
          <w:rFonts w:ascii="Times New Roman" w:eastAsia="Times New Roman" w:hAnsi="Times New Roman"/>
          <w:sz w:val="28"/>
          <w:szCs w:val="28"/>
        </w:rPr>
        <w:t>рез 20</w:t>
      </w:r>
      <w:r w:rsidR="002341DA">
        <w:rPr>
          <w:rFonts w:ascii="Times New Roman" w:eastAsia="Times New Roman" w:hAnsi="Times New Roman"/>
          <w:sz w:val="28"/>
          <w:szCs w:val="28"/>
          <w:lang w:val="en-US"/>
        </w:rPr>
        <w:t>20</w:t>
      </w:r>
      <w:r w:rsidR="00021050" w:rsidRPr="00021050">
        <w:rPr>
          <w:rFonts w:ascii="Times New Roman" w:eastAsia="Times New Roman" w:hAnsi="Times New Roman"/>
          <w:sz w:val="28"/>
          <w:szCs w:val="28"/>
        </w:rPr>
        <w:t xml:space="preserve"> г. и 20</w:t>
      </w:r>
      <w:r w:rsidR="002341DA">
        <w:rPr>
          <w:rFonts w:ascii="Times New Roman" w:eastAsia="Times New Roman" w:hAnsi="Times New Roman"/>
          <w:sz w:val="28"/>
          <w:szCs w:val="28"/>
          <w:lang w:val="en-US"/>
        </w:rPr>
        <w:t>19</w:t>
      </w:r>
      <w:r w:rsidR="00021050" w:rsidRPr="00021050">
        <w:rPr>
          <w:rFonts w:ascii="Times New Roman" w:eastAsia="Times New Roman" w:hAnsi="Times New Roman"/>
          <w:sz w:val="28"/>
          <w:szCs w:val="28"/>
        </w:rPr>
        <w:t xml:space="preserve"> г.</w:t>
      </w:r>
      <w:r w:rsidR="00D20D40">
        <w:rPr>
          <w:rFonts w:ascii="Times New Roman" w:eastAsia="Times New Roman" w:hAnsi="Times New Roman"/>
          <w:sz w:val="28"/>
          <w:szCs w:val="28"/>
        </w:rPr>
        <w:t>,</w:t>
      </w:r>
      <w:r w:rsidR="00021050" w:rsidRPr="00021050">
        <w:rPr>
          <w:rFonts w:ascii="Times New Roman" w:eastAsia="Times New Roman" w:hAnsi="Times New Roman"/>
          <w:sz w:val="28"/>
          <w:szCs w:val="28"/>
        </w:rPr>
        <w:t xml:space="preserve"> натовареността на прокурорите и следствените органи в Софийска градска прокуратура и Софийска районна прокуратура се </w:t>
      </w:r>
      <w:r w:rsidR="00D20D40">
        <w:rPr>
          <w:rFonts w:ascii="Times New Roman" w:eastAsia="Times New Roman" w:hAnsi="Times New Roman"/>
          <w:sz w:val="28"/>
          <w:szCs w:val="28"/>
        </w:rPr>
        <w:t xml:space="preserve">е </w:t>
      </w:r>
      <w:r w:rsidR="00021050" w:rsidRPr="00021050">
        <w:rPr>
          <w:rFonts w:ascii="Times New Roman" w:eastAsia="Times New Roman" w:hAnsi="Times New Roman"/>
          <w:sz w:val="28"/>
          <w:szCs w:val="28"/>
        </w:rPr>
        <w:t>отчита</w:t>
      </w:r>
      <w:r w:rsidR="00D20D40">
        <w:rPr>
          <w:rFonts w:ascii="Times New Roman" w:eastAsia="Times New Roman" w:hAnsi="Times New Roman"/>
          <w:sz w:val="28"/>
          <w:szCs w:val="28"/>
        </w:rPr>
        <w:t>ла</w:t>
      </w:r>
      <w:r w:rsidR="00021050" w:rsidRPr="00021050">
        <w:rPr>
          <w:rFonts w:ascii="Times New Roman" w:eastAsia="Times New Roman" w:hAnsi="Times New Roman"/>
          <w:sz w:val="28"/>
          <w:szCs w:val="28"/>
        </w:rPr>
        <w:t xml:space="preserve"> по два метода:</w:t>
      </w:r>
    </w:p>
    <w:p w:rsidR="00021050" w:rsidRPr="00021050" w:rsidRDefault="00021050" w:rsidP="004D24A1">
      <w:pPr>
        <w:overflowPunct w:val="0"/>
        <w:autoSpaceDE w:val="0"/>
        <w:autoSpaceDN w:val="0"/>
        <w:adjustRightInd w:val="0"/>
        <w:spacing w:after="0"/>
        <w:ind w:firstLine="709"/>
        <w:jc w:val="both"/>
        <w:textAlignment w:val="baseline"/>
        <w:outlineLvl w:val="0"/>
        <w:rPr>
          <w:rFonts w:ascii="Times New Roman" w:eastAsia="Times New Roman" w:hAnsi="Times New Roman"/>
          <w:sz w:val="28"/>
          <w:szCs w:val="28"/>
        </w:rPr>
      </w:pPr>
      <w:r w:rsidRPr="00021050">
        <w:rPr>
          <w:rFonts w:ascii="Times New Roman" w:eastAsia="Times New Roman" w:hAnsi="Times New Roman"/>
          <w:sz w:val="28"/>
          <w:szCs w:val="28"/>
        </w:rPr>
        <w:t>- Съобразно Указанието за организация на информационната дейност на ПРБ, утвърдено от главния прокурор със заповед № ЛС-1985 от 30.05.2014 г. - статистическа таблица 5 – Актуализиран обем на дейността и Актуализирана средна натовареност на един прокурор и на един следовател.</w:t>
      </w:r>
    </w:p>
    <w:p w:rsidR="00021050" w:rsidRPr="00021050" w:rsidRDefault="00021050" w:rsidP="004D24A1">
      <w:pPr>
        <w:overflowPunct w:val="0"/>
        <w:autoSpaceDE w:val="0"/>
        <w:autoSpaceDN w:val="0"/>
        <w:adjustRightInd w:val="0"/>
        <w:spacing w:after="0"/>
        <w:ind w:firstLine="709"/>
        <w:jc w:val="both"/>
        <w:textAlignment w:val="baseline"/>
        <w:outlineLvl w:val="0"/>
        <w:rPr>
          <w:rFonts w:ascii="Times New Roman" w:eastAsia="Times New Roman" w:hAnsi="Times New Roman"/>
          <w:sz w:val="28"/>
          <w:szCs w:val="28"/>
        </w:rPr>
      </w:pPr>
      <w:r w:rsidRPr="00021050">
        <w:rPr>
          <w:rFonts w:ascii="Times New Roman" w:eastAsia="Times New Roman" w:hAnsi="Times New Roman"/>
          <w:sz w:val="28"/>
          <w:szCs w:val="28"/>
        </w:rPr>
        <w:t>- Съобразно Правилата за измерване на натовареността, приети от ВСС с решение по Протокол № 60 от 11.12.2014 г.</w:t>
      </w:r>
    </w:p>
    <w:p w:rsidR="00021050" w:rsidRPr="00021050" w:rsidRDefault="00021050"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b/>
          <w:iCs/>
          <w:sz w:val="28"/>
          <w:szCs w:val="28"/>
          <w:lang w:val="en-US"/>
        </w:rPr>
      </w:pPr>
      <w:r w:rsidRPr="00021050">
        <w:rPr>
          <w:rFonts w:ascii="Times New Roman" w:eastAsia="Times New Roman" w:hAnsi="Times New Roman"/>
          <w:b/>
          <w:iCs/>
          <w:sz w:val="28"/>
          <w:szCs w:val="28"/>
        </w:rPr>
        <w:t xml:space="preserve"> </w:t>
      </w:r>
    </w:p>
    <w:p w:rsidR="00021050" w:rsidRPr="00021050" w:rsidRDefault="00021050" w:rsidP="004D24A1">
      <w:pPr>
        <w:overflowPunct w:val="0"/>
        <w:autoSpaceDE w:val="0"/>
        <w:autoSpaceDN w:val="0"/>
        <w:adjustRightInd w:val="0"/>
        <w:spacing w:after="0"/>
        <w:ind w:firstLine="708"/>
        <w:jc w:val="both"/>
        <w:textAlignment w:val="baseline"/>
        <w:outlineLvl w:val="0"/>
        <w:rPr>
          <w:rFonts w:ascii="Times New Roman" w:eastAsia="Times New Roman" w:hAnsi="Times New Roman"/>
          <w:b/>
          <w:iCs/>
          <w:sz w:val="28"/>
          <w:szCs w:val="28"/>
        </w:rPr>
      </w:pPr>
      <w:r w:rsidRPr="00021050">
        <w:rPr>
          <w:rFonts w:ascii="Times New Roman" w:eastAsia="Times New Roman" w:hAnsi="Times New Roman"/>
          <w:b/>
          <w:iCs/>
          <w:sz w:val="28"/>
          <w:szCs w:val="28"/>
        </w:rPr>
        <w:t xml:space="preserve">Обем на прокурорската дейност в прокуратурите от района на Софийска градска прокуратура </w:t>
      </w:r>
    </w:p>
    <w:p w:rsidR="00150907" w:rsidRPr="00150907" w:rsidRDefault="00150907" w:rsidP="004D24A1">
      <w:pPr>
        <w:overflowPunct w:val="0"/>
        <w:autoSpaceDE w:val="0"/>
        <w:autoSpaceDN w:val="0"/>
        <w:adjustRightInd w:val="0"/>
        <w:spacing w:after="0"/>
        <w:jc w:val="both"/>
        <w:textAlignment w:val="baseline"/>
        <w:rPr>
          <w:rFonts w:ascii="Times New Roman" w:eastAsia="Times New Roman" w:hAnsi="Times New Roman"/>
          <w:iCs/>
          <w:sz w:val="28"/>
          <w:szCs w:val="28"/>
        </w:rPr>
      </w:pPr>
    </w:p>
    <w:p w:rsidR="00150907" w:rsidRPr="00150907" w:rsidRDefault="00150907" w:rsidP="004D24A1">
      <w:pPr>
        <w:overflowPunct w:val="0"/>
        <w:autoSpaceDE w:val="0"/>
        <w:autoSpaceDN w:val="0"/>
        <w:adjustRightInd w:val="0"/>
        <w:spacing w:after="0"/>
        <w:ind w:firstLine="708"/>
        <w:jc w:val="both"/>
        <w:textAlignment w:val="baseline"/>
        <w:rPr>
          <w:rFonts w:ascii="Times New Roman" w:eastAsia="Times New Roman" w:hAnsi="Times New Roman"/>
          <w:b/>
          <w:bCs/>
          <w:iCs/>
          <w:sz w:val="28"/>
          <w:szCs w:val="28"/>
        </w:rPr>
      </w:pPr>
      <w:r w:rsidRPr="00150907">
        <w:rPr>
          <w:rFonts w:ascii="Times New Roman" w:eastAsia="Times New Roman" w:hAnsi="Times New Roman"/>
          <w:b/>
          <w:bCs/>
          <w:iCs/>
          <w:sz w:val="28"/>
          <w:szCs w:val="28"/>
        </w:rPr>
        <w:t>При отчитане на  натовареността на прокурорите по приетите от ВСС Правила за измерване натовареността на прокуратурите и на индивидуалната натовареност на всеки прокурор и следовател данните се извеждат от Унифицираната информационна система на ПРБ и включват всички актове/действия по броими показатели, отчетени в УИС/.</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iCs/>
          <w:sz w:val="28"/>
          <w:szCs w:val="28"/>
        </w:rPr>
        <w:t xml:space="preserve">През отчетния период в общо в района на Софийска градска прокуратура при щат </w:t>
      </w:r>
      <w:r w:rsidRPr="00021050">
        <w:rPr>
          <w:rFonts w:ascii="Times New Roman" w:eastAsia="Times New Roman" w:hAnsi="Times New Roman"/>
          <w:b/>
          <w:iCs/>
          <w:sz w:val="28"/>
          <w:szCs w:val="28"/>
          <w:lang w:val="en-US"/>
        </w:rPr>
        <w:t>3</w:t>
      </w:r>
      <w:r w:rsidRPr="00021050">
        <w:rPr>
          <w:rFonts w:ascii="Times New Roman" w:eastAsia="Times New Roman" w:hAnsi="Times New Roman"/>
          <w:b/>
          <w:iCs/>
          <w:sz w:val="28"/>
          <w:szCs w:val="28"/>
        </w:rPr>
        <w:t>28</w:t>
      </w:r>
      <w:r w:rsidRPr="00021050">
        <w:rPr>
          <w:rFonts w:ascii="Times New Roman" w:eastAsia="Times New Roman" w:hAnsi="Times New Roman"/>
          <w:iCs/>
          <w:sz w:val="28"/>
          <w:szCs w:val="28"/>
        </w:rPr>
        <w:t xml:space="preserve"> прокурори реално са работили </w:t>
      </w:r>
      <w:r w:rsidRPr="00021050">
        <w:rPr>
          <w:rFonts w:ascii="Times New Roman" w:eastAsia="Times New Roman" w:hAnsi="Times New Roman"/>
          <w:b/>
          <w:iCs/>
          <w:sz w:val="28"/>
          <w:szCs w:val="28"/>
          <w:lang w:val="en-US"/>
        </w:rPr>
        <w:t>2</w:t>
      </w:r>
      <w:r w:rsidRPr="00021050">
        <w:rPr>
          <w:rFonts w:ascii="Times New Roman" w:eastAsia="Times New Roman" w:hAnsi="Times New Roman"/>
          <w:b/>
          <w:iCs/>
          <w:sz w:val="28"/>
          <w:szCs w:val="28"/>
        </w:rPr>
        <w:t>3</w:t>
      </w:r>
      <w:r w:rsidRPr="00021050">
        <w:rPr>
          <w:rFonts w:ascii="Times New Roman" w:eastAsia="Times New Roman" w:hAnsi="Times New Roman"/>
          <w:b/>
          <w:iCs/>
          <w:sz w:val="28"/>
          <w:szCs w:val="28"/>
          <w:lang w:val="en-US"/>
        </w:rPr>
        <w:t>8</w:t>
      </w:r>
      <w:r w:rsidRPr="00021050">
        <w:rPr>
          <w:rFonts w:ascii="Times New Roman" w:eastAsia="Times New Roman" w:hAnsi="Times New Roman"/>
          <w:iCs/>
          <w:sz w:val="28"/>
          <w:szCs w:val="28"/>
        </w:rPr>
        <w:t xml:space="preserve"> прокурори</w:t>
      </w:r>
      <w:r w:rsidRPr="00021050">
        <w:rPr>
          <w:rFonts w:ascii="Times New Roman" w:eastAsia="Times New Roman" w:hAnsi="Times New Roman"/>
          <w:bCs/>
          <w:iCs/>
          <w:sz w:val="28"/>
          <w:szCs w:val="28"/>
        </w:rPr>
        <w:t xml:space="preserve"> /спрямо 2</w:t>
      </w:r>
      <w:r w:rsidRPr="00021050">
        <w:rPr>
          <w:rFonts w:ascii="Times New Roman" w:eastAsia="Times New Roman" w:hAnsi="Times New Roman"/>
          <w:bCs/>
          <w:iCs/>
          <w:sz w:val="28"/>
          <w:szCs w:val="28"/>
          <w:lang w:val="en-US"/>
        </w:rPr>
        <w:t xml:space="preserve">57 </w:t>
      </w:r>
      <w:r w:rsidRPr="00021050">
        <w:rPr>
          <w:rFonts w:ascii="Times New Roman" w:eastAsia="Times New Roman" w:hAnsi="Times New Roman"/>
          <w:bCs/>
          <w:iCs/>
          <w:sz w:val="28"/>
          <w:szCs w:val="28"/>
        </w:rPr>
        <w:t>за 201</w:t>
      </w:r>
      <w:r w:rsidRPr="00021050">
        <w:rPr>
          <w:rFonts w:ascii="Times New Roman" w:eastAsia="Times New Roman" w:hAnsi="Times New Roman"/>
          <w:bCs/>
          <w:iCs/>
          <w:sz w:val="28"/>
          <w:szCs w:val="28"/>
          <w:lang w:val="en-US"/>
        </w:rPr>
        <w:t>9</w:t>
      </w:r>
      <w:r w:rsidRPr="00021050">
        <w:rPr>
          <w:rFonts w:ascii="Times New Roman" w:eastAsia="Times New Roman" w:hAnsi="Times New Roman"/>
          <w:bCs/>
          <w:iCs/>
          <w:sz w:val="28"/>
          <w:szCs w:val="28"/>
        </w:rPr>
        <w:t xml:space="preserve"> г. и спрямо 248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lang w:val="en-US"/>
        </w:rPr>
      </w:pPr>
      <w:r w:rsidRPr="00021050">
        <w:rPr>
          <w:rFonts w:ascii="Times New Roman" w:eastAsia="Times New Roman" w:hAnsi="Times New Roman"/>
          <w:bCs/>
          <w:iCs/>
          <w:sz w:val="28"/>
          <w:szCs w:val="28"/>
        </w:rPr>
        <w:t xml:space="preserve">В Софийска градска прокуратура през 2021 г. при </w:t>
      </w:r>
      <w:r w:rsidRPr="00021050">
        <w:rPr>
          <w:rFonts w:ascii="Times New Roman" w:eastAsia="Times New Roman" w:hAnsi="Times New Roman"/>
          <w:b/>
          <w:bCs/>
          <w:iCs/>
          <w:sz w:val="28"/>
          <w:szCs w:val="28"/>
        </w:rPr>
        <w:t>щат 110 прокурори,</w:t>
      </w:r>
      <w:r w:rsidRPr="00021050">
        <w:rPr>
          <w:rFonts w:ascii="Times New Roman" w:eastAsia="Times New Roman" w:hAnsi="Times New Roman"/>
          <w:bCs/>
          <w:iCs/>
          <w:sz w:val="28"/>
          <w:szCs w:val="28"/>
        </w:rPr>
        <w:t xml:space="preserve"> реално са работили</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
          <w:bCs/>
          <w:iCs/>
          <w:sz w:val="28"/>
          <w:szCs w:val="28"/>
          <w:lang w:val="en-US"/>
        </w:rPr>
        <w:t>89</w:t>
      </w:r>
      <w:r w:rsidRPr="00021050">
        <w:rPr>
          <w:rFonts w:ascii="Times New Roman" w:eastAsia="Times New Roman" w:hAnsi="Times New Roman"/>
          <w:bCs/>
          <w:iCs/>
          <w:sz w:val="28"/>
          <w:szCs w:val="28"/>
        </w:rPr>
        <w:t xml:space="preserve"> прокурори /  при </w:t>
      </w:r>
      <w:r w:rsidRPr="00021050">
        <w:rPr>
          <w:rFonts w:ascii="Times New Roman" w:eastAsia="Times New Roman" w:hAnsi="Times New Roman"/>
          <w:bCs/>
          <w:iCs/>
          <w:sz w:val="28"/>
          <w:szCs w:val="28"/>
          <w:lang w:val="en-US"/>
        </w:rPr>
        <w:t xml:space="preserve">94 </w:t>
      </w:r>
      <w:r w:rsidRPr="00021050">
        <w:rPr>
          <w:rFonts w:ascii="Times New Roman" w:eastAsia="Times New Roman" w:hAnsi="Times New Roman"/>
          <w:bCs/>
          <w:iCs/>
          <w:sz w:val="28"/>
          <w:szCs w:val="28"/>
        </w:rPr>
        <w:t>за 2019 г. и 89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В Софийска районна  прокуратура през 2020 г. при </w:t>
      </w:r>
      <w:r w:rsidRPr="00021050">
        <w:rPr>
          <w:rFonts w:ascii="Times New Roman" w:eastAsia="Times New Roman" w:hAnsi="Times New Roman"/>
          <w:b/>
          <w:bCs/>
          <w:iCs/>
          <w:sz w:val="28"/>
          <w:szCs w:val="28"/>
        </w:rPr>
        <w:t>щат 218 прокурори</w:t>
      </w:r>
      <w:r w:rsidRPr="00021050">
        <w:rPr>
          <w:rFonts w:ascii="Times New Roman" w:eastAsia="Times New Roman" w:hAnsi="Times New Roman"/>
          <w:bCs/>
          <w:iCs/>
          <w:sz w:val="28"/>
          <w:szCs w:val="28"/>
        </w:rPr>
        <w:t>, реално са работили</w:t>
      </w:r>
      <w:r w:rsidRPr="00021050">
        <w:rPr>
          <w:rFonts w:ascii="Times New Roman" w:eastAsia="Times New Roman" w:hAnsi="Times New Roman"/>
          <w:b/>
          <w:bCs/>
          <w:iCs/>
          <w:sz w:val="28"/>
          <w:szCs w:val="28"/>
        </w:rPr>
        <w:t xml:space="preserve"> 149 </w:t>
      </w:r>
      <w:r w:rsidRPr="00021050">
        <w:rPr>
          <w:rFonts w:ascii="Times New Roman" w:eastAsia="Times New Roman" w:hAnsi="Times New Roman"/>
          <w:bCs/>
          <w:iCs/>
          <w:sz w:val="28"/>
          <w:szCs w:val="28"/>
        </w:rPr>
        <w:t>прокурори</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/при 163 за 2019 г. и при 159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Извършваната прокурорска дейност е с голям обем и многообразие по всички видове надзори, които определят трайно висока натовареност.</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lang w:val="en-US"/>
        </w:rPr>
      </w:pPr>
      <w:r w:rsidRPr="00021050">
        <w:rPr>
          <w:rFonts w:ascii="Times New Roman" w:eastAsia="Times New Roman" w:hAnsi="Times New Roman"/>
          <w:bCs/>
          <w:iCs/>
          <w:sz w:val="28"/>
          <w:szCs w:val="28"/>
        </w:rPr>
        <w:t xml:space="preserve">През 2021 г. общият брой на прокурорските актове, участие в съдебни заседания и други прокурорски дейности и актове за </w:t>
      </w:r>
      <w:r w:rsidRPr="00021050">
        <w:rPr>
          <w:rFonts w:ascii="Times New Roman" w:eastAsia="Times New Roman" w:hAnsi="Times New Roman"/>
          <w:b/>
          <w:bCs/>
          <w:iCs/>
          <w:sz w:val="28"/>
          <w:szCs w:val="28"/>
        </w:rPr>
        <w:t xml:space="preserve">СГП </w:t>
      </w:r>
      <w:r w:rsidRPr="00021050">
        <w:rPr>
          <w:rFonts w:ascii="Times New Roman" w:eastAsia="Times New Roman" w:hAnsi="Times New Roman"/>
          <w:bCs/>
          <w:iCs/>
          <w:sz w:val="28"/>
          <w:szCs w:val="28"/>
        </w:rPr>
        <w:t xml:space="preserve">е </w:t>
      </w:r>
      <w:r w:rsidRPr="00021050">
        <w:rPr>
          <w:rFonts w:ascii="Times New Roman" w:eastAsia="Times New Roman" w:hAnsi="Times New Roman"/>
          <w:b/>
          <w:bCs/>
          <w:iCs/>
          <w:sz w:val="28"/>
          <w:szCs w:val="28"/>
        </w:rPr>
        <w:t>153698 бр.</w:t>
      </w:r>
      <w:r w:rsidRPr="00021050">
        <w:rPr>
          <w:rFonts w:ascii="Times New Roman" w:eastAsia="Times New Roman" w:hAnsi="Times New Roman"/>
          <w:bCs/>
          <w:iCs/>
          <w:sz w:val="28"/>
          <w:szCs w:val="28"/>
        </w:rPr>
        <w:t xml:space="preserve">, при 111070 бр. за 2019 г. и  120713 за 2020 г. </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lastRenderedPageBreak/>
        <w:t xml:space="preserve">За целия район през 2020 год. общия брой на прокурорските актове, участия в съдебни заседания и други прокурорски дейности и актове е </w:t>
      </w:r>
      <w:r w:rsidRPr="00021050">
        <w:rPr>
          <w:rFonts w:ascii="Times New Roman" w:eastAsia="Times New Roman" w:hAnsi="Times New Roman"/>
          <w:b/>
          <w:bCs/>
          <w:iCs/>
          <w:sz w:val="28"/>
          <w:szCs w:val="28"/>
        </w:rPr>
        <w:t>467204 бр.</w:t>
      </w:r>
      <w:r w:rsidRPr="00021050">
        <w:rPr>
          <w:rFonts w:ascii="Times New Roman" w:eastAsia="Times New Roman" w:hAnsi="Times New Roman"/>
          <w:bCs/>
          <w:iCs/>
          <w:sz w:val="28"/>
          <w:szCs w:val="28"/>
        </w:rPr>
        <w:t>, при 419819 бр. за 2019 г. и</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 xml:space="preserve">394078 бр. за 2020 г. </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Данните от общия обем на прокурорската дейност за 2021 година, съпоставени с тези за същия отчетен период за 2019 г. и 2020 г., показват значително увеличаване на общата натовареност спрямо предходните два периода на общата натовареност на прокурорите от района на СГП.</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Общият обем на прокурорската дейност за 202</w:t>
      </w:r>
      <w:r w:rsidR="00714CB7">
        <w:rPr>
          <w:rFonts w:ascii="Times New Roman" w:eastAsia="Times New Roman" w:hAnsi="Times New Roman"/>
          <w:bCs/>
          <w:iCs/>
          <w:sz w:val="28"/>
          <w:szCs w:val="28"/>
        </w:rPr>
        <w:t>1</w:t>
      </w:r>
      <w:r w:rsidRPr="00021050">
        <w:rPr>
          <w:rFonts w:ascii="Times New Roman" w:eastAsia="Times New Roman" w:hAnsi="Times New Roman"/>
          <w:bCs/>
          <w:iCs/>
          <w:sz w:val="28"/>
          <w:szCs w:val="28"/>
        </w:rPr>
        <w:t xml:space="preserve"> г. е разпределен по прокуратури, както следва:</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СГП </w:t>
      </w:r>
      <w:r w:rsidRPr="00021050">
        <w:rPr>
          <w:rFonts w:ascii="Times New Roman" w:eastAsia="Times New Roman" w:hAnsi="Times New Roman"/>
          <w:bCs/>
          <w:iCs/>
          <w:sz w:val="28"/>
          <w:szCs w:val="28"/>
          <w:lang w:val="en-US"/>
        </w:rPr>
        <w:t>–</w:t>
      </w:r>
      <w:r w:rsidRPr="00021050">
        <w:rPr>
          <w:rFonts w:ascii="Times New Roman" w:eastAsia="Times New Roman" w:hAnsi="Times New Roman"/>
          <w:b/>
          <w:iCs/>
          <w:sz w:val="28"/>
          <w:szCs w:val="28"/>
          <w:lang w:val="en-US"/>
        </w:rPr>
        <w:t>153698</w:t>
      </w:r>
      <w:r w:rsidRPr="00021050">
        <w:rPr>
          <w:rFonts w:ascii="Times New Roman" w:eastAsia="Times New Roman" w:hAnsi="Times New Roman"/>
          <w:b/>
          <w:iCs/>
          <w:sz w:val="28"/>
          <w:szCs w:val="28"/>
        </w:rPr>
        <w:t xml:space="preserve"> </w:t>
      </w:r>
      <w:r w:rsidRPr="00021050">
        <w:rPr>
          <w:rFonts w:ascii="Times New Roman" w:eastAsia="Times New Roman" w:hAnsi="Times New Roman"/>
          <w:b/>
          <w:bCs/>
          <w:iCs/>
          <w:sz w:val="28"/>
          <w:szCs w:val="28"/>
        </w:rPr>
        <w:t>бр</w:t>
      </w:r>
      <w:r w:rsidRPr="00021050">
        <w:rPr>
          <w:rFonts w:ascii="Times New Roman" w:eastAsia="Times New Roman" w:hAnsi="Times New Roman"/>
          <w:bCs/>
          <w:iCs/>
          <w:sz w:val="28"/>
          <w:szCs w:val="28"/>
        </w:rPr>
        <w:t>. /спрямо111070</w:t>
      </w:r>
      <w:r w:rsidRPr="00021050">
        <w:rPr>
          <w:rFonts w:ascii="Times New Roman" w:eastAsia="Times New Roman" w:hAnsi="Times New Roman"/>
          <w:bCs/>
          <w:iCs/>
          <w:sz w:val="28"/>
          <w:szCs w:val="28"/>
          <w:lang w:val="en-US"/>
        </w:rPr>
        <w:t xml:space="preserve"> </w:t>
      </w:r>
      <w:r w:rsidRPr="00021050">
        <w:rPr>
          <w:rFonts w:ascii="Times New Roman" w:eastAsia="Times New Roman" w:hAnsi="Times New Roman"/>
          <w:bCs/>
          <w:iCs/>
          <w:sz w:val="28"/>
          <w:szCs w:val="28"/>
        </w:rPr>
        <w:t>бр. за 2019 г. и спрямо 120713 бр.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СРП –</w:t>
      </w:r>
      <w:r w:rsidRPr="00021050">
        <w:rPr>
          <w:rFonts w:ascii="Times New Roman" w:eastAsia="Times New Roman" w:hAnsi="Times New Roman"/>
          <w:b/>
          <w:bCs/>
          <w:iCs/>
          <w:sz w:val="28"/>
          <w:szCs w:val="28"/>
        </w:rPr>
        <w:t>313506 бр</w:t>
      </w:r>
      <w:r w:rsidRPr="00021050">
        <w:rPr>
          <w:rFonts w:ascii="Times New Roman" w:eastAsia="Times New Roman" w:hAnsi="Times New Roman"/>
          <w:bCs/>
          <w:iCs/>
          <w:sz w:val="28"/>
          <w:szCs w:val="28"/>
        </w:rPr>
        <w:t>./спрямо 308749 бр. за 2019 г. и спрямо 273365 бр.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p>
    <w:p w:rsidR="00021050" w:rsidRPr="00021050" w:rsidRDefault="003515B0" w:rsidP="004D24A1">
      <w:pPr>
        <w:overflowPunct w:val="0"/>
        <w:autoSpaceDE w:val="0"/>
        <w:autoSpaceDN w:val="0"/>
        <w:adjustRightInd w:val="0"/>
        <w:spacing w:after="0"/>
        <w:textAlignment w:val="baseline"/>
        <w:rPr>
          <w:rFonts w:eastAsia="Times New Roman"/>
          <w:sz w:val="28"/>
          <w:szCs w:val="20"/>
        </w:rPr>
      </w:pPr>
      <w:r w:rsidRPr="00846F18">
        <w:rPr>
          <w:noProof/>
          <w:lang w:eastAsia="bg-BG"/>
        </w:rPr>
        <w:drawing>
          <wp:inline distT="0" distB="0" distL="0" distR="0" wp14:anchorId="791C6508" wp14:editId="4C93EA6A">
            <wp:extent cx="5899785" cy="2639695"/>
            <wp:effectExtent l="0" t="0" r="5715" b="8255"/>
            <wp:docPr id="73" name="Обект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
          <w:bCs/>
          <w:iCs/>
          <w:sz w:val="28"/>
          <w:szCs w:val="28"/>
        </w:rPr>
      </w:pP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
          <w:bCs/>
          <w:iCs/>
          <w:sz w:val="28"/>
          <w:szCs w:val="28"/>
        </w:rPr>
      </w:pP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
          <w:bCs/>
          <w:iCs/>
          <w:sz w:val="28"/>
          <w:szCs w:val="28"/>
        </w:rPr>
      </w:pP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t>Прокурорски актове, внесени в съда</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През 2020 г. общият брой на прокурорските актове внесени в съда за района на СГП е </w:t>
      </w:r>
      <w:r w:rsidRPr="00021050">
        <w:rPr>
          <w:rFonts w:ascii="Times New Roman" w:eastAsia="Times New Roman" w:hAnsi="Times New Roman"/>
          <w:b/>
          <w:bCs/>
          <w:iCs/>
          <w:sz w:val="28"/>
          <w:szCs w:val="28"/>
        </w:rPr>
        <w:t>3146 бр</w:t>
      </w:r>
      <w:r w:rsidRPr="00021050">
        <w:rPr>
          <w:rFonts w:ascii="Times New Roman" w:eastAsia="Times New Roman" w:hAnsi="Times New Roman"/>
          <w:bCs/>
          <w:iCs/>
          <w:sz w:val="28"/>
          <w:szCs w:val="28"/>
        </w:rPr>
        <w:t>., като за сравнение през 2019 г. прокурорските актове внесени в съда са 3303 бр., а през 2020 г. - 2817 бр.</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Общият брой на прокурорските актове, внесени в съда за 2021 г. е разпределен по прокуратури, както следва:</w:t>
      </w:r>
    </w:p>
    <w:p w:rsidR="00021050" w:rsidRPr="00021050" w:rsidRDefault="00021050" w:rsidP="004D24A1">
      <w:pPr>
        <w:overflowPunct w:val="0"/>
        <w:autoSpaceDE w:val="0"/>
        <w:autoSpaceDN w:val="0"/>
        <w:adjustRightInd w:val="0"/>
        <w:spacing w:after="0"/>
        <w:ind w:firstLine="720"/>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СГП –  </w:t>
      </w:r>
      <w:r w:rsidRPr="00021050">
        <w:rPr>
          <w:rFonts w:ascii="Times New Roman" w:eastAsia="Times New Roman" w:hAnsi="Times New Roman"/>
          <w:b/>
          <w:bCs/>
          <w:iCs/>
          <w:sz w:val="28"/>
          <w:szCs w:val="28"/>
        </w:rPr>
        <w:t>486 бр</w:t>
      </w:r>
      <w:r w:rsidRPr="00021050">
        <w:rPr>
          <w:rFonts w:ascii="Times New Roman" w:eastAsia="Times New Roman" w:hAnsi="Times New Roman"/>
          <w:bCs/>
          <w:iCs/>
          <w:sz w:val="28"/>
          <w:szCs w:val="28"/>
        </w:rPr>
        <w:t>. /спрямо 406 за 2019  г. и 437 бр. за 2020 г./;</w:t>
      </w:r>
    </w:p>
    <w:p w:rsidR="00021050" w:rsidRPr="00021050" w:rsidRDefault="00021050" w:rsidP="004D24A1">
      <w:pPr>
        <w:overflowPunct w:val="0"/>
        <w:autoSpaceDE w:val="0"/>
        <w:autoSpaceDN w:val="0"/>
        <w:adjustRightInd w:val="0"/>
        <w:spacing w:after="0"/>
        <w:ind w:firstLine="720"/>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СРП – </w:t>
      </w:r>
      <w:r w:rsidRPr="00021050">
        <w:rPr>
          <w:rFonts w:ascii="Times New Roman" w:eastAsia="Times New Roman" w:hAnsi="Times New Roman"/>
          <w:b/>
          <w:bCs/>
          <w:iCs/>
          <w:sz w:val="28"/>
          <w:szCs w:val="28"/>
        </w:rPr>
        <w:t>2660 бр</w:t>
      </w:r>
      <w:r w:rsidRPr="00021050">
        <w:rPr>
          <w:rFonts w:ascii="Times New Roman" w:eastAsia="Times New Roman" w:hAnsi="Times New Roman"/>
          <w:bCs/>
          <w:iCs/>
          <w:sz w:val="28"/>
          <w:szCs w:val="28"/>
        </w:rPr>
        <w:t>. /спрямо 2897 бр. за 2019 г. и 2380 бр. за 2020 г./;</w:t>
      </w:r>
    </w:p>
    <w:p w:rsidR="00021050" w:rsidRDefault="00021050" w:rsidP="004D24A1">
      <w:pPr>
        <w:overflowPunct w:val="0"/>
        <w:autoSpaceDE w:val="0"/>
        <w:autoSpaceDN w:val="0"/>
        <w:adjustRightInd w:val="0"/>
        <w:spacing w:after="0"/>
        <w:ind w:firstLine="720"/>
        <w:jc w:val="both"/>
        <w:textAlignment w:val="baseline"/>
        <w:rPr>
          <w:rFonts w:ascii="Times New Roman" w:eastAsia="Times New Roman" w:hAnsi="Times New Roman"/>
          <w:bCs/>
          <w:iCs/>
          <w:sz w:val="28"/>
          <w:szCs w:val="28"/>
        </w:rPr>
      </w:pPr>
    </w:p>
    <w:p w:rsidR="00A412C9" w:rsidRDefault="00A412C9" w:rsidP="004D24A1">
      <w:pPr>
        <w:overflowPunct w:val="0"/>
        <w:autoSpaceDE w:val="0"/>
        <w:autoSpaceDN w:val="0"/>
        <w:adjustRightInd w:val="0"/>
        <w:spacing w:after="0"/>
        <w:ind w:firstLine="720"/>
        <w:jc w:val="both"/>
        <w:textAlignment w:val="baseline"/>
        <w:rPr>
          <w:rFonts w:ascii="Times New Roman" w:eastAsia="Times New Roman" w:hAnsi="Times New Roman"/>
          <w:bCs/>
          <w:iCs/>
          <w:sz w:val="28"/>
          <w:szCs w:val="28"/>
        </w:rPr>
      </w:pPr>
    </w:p>
    <w:p w:rsidR="00A412C9" w:rsidRPr="00021050" w:rsidRDefault="00A412C9" w:rsidP="004D24A1">
      <w:pPr>
        <w:overflowPunct w:val="0"/>
        <w:autoSpaceDE w:val="0"/>
        <w:autoSpaceDN w:val="0"/>
        <w:adjustRightInd w:val="0"/>
        <w:spacing w:after="0"/>
        <w:ind w:firstLine="720"/>
        <w:jc w:val="both"/>
        <w:textAlignment w:val="baseline"/>
        <w:rPr>
          <w:rFonts w:ascii="Times New Roman" w:eastAsia="Times New Roman" w:hAnsi="Times New Roman"/>
          <w:bCs/>
          <w:iCs/>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lastRenderedPageBreak/>
        <w:t>Общо участия в съдебни заседания.</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През 2021 г. за целия район на СГП участията в съдебни заседания на прокурори е 29748 бр. /при 32654 бр. за 2019 г. и при 25011 за 2020 г./.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Общият брой на участията в съдебни заседания за 2021 г. е разпределен по прокуратури, както следва: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СГП – 13093  бр./спрямо 14352 бр. за 2019 г. и 10706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lang w:val="en-US"/>
        </w:rPr>
      </w:pPr>
      <w:r w:rsidRPr="00021050">
        <w:rPr>
          <w:rFonts w:ascii="Times New Roman" w:eastAsia="Times New Roman" w:hAnsi="Times New Roman"/>
          <w:bCs/>
          <w:iCs/>
          <w:sz w:val="28"/>
          <w:szCs w:val="28"/>
        </w:rPr>
        <w:t>СРП – 16655  бр./ спрямо 18302 бр. за 2019 г. и 14305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От данните е видно, че през отчетния период  участието на прокурори от района на СГП в  с.з. бележи увеличение, сравнено с 2020 г. и леко намаление, сравнено с 2019 г.</w:t>
      </w: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
          <w:bCs/>
          <w:iCs/>
          <w:color w:val="0070C0"/>
          <w:sz w:val="28"/>
          <w:szCs w:val="28"/>
          <w:lang w:val="en-US"/>
        </w:rPr>
      </w:pPr>
      <w:r w:rsidRPr="00021050">
        <w:rPr>
          <w:rFonts w:ascii="Times New Roman" w:eastAsia="Times New Roman" w:hAnsi="Times New Roman"/>
          <w:b/>
          <w:bCs/>
          <w:iCs/>
          <w:color w:val="0070C0"/>
          <w:sz w:val="28"/>
          <w:szCs w:val="28"/>
          <w:lang w:val="en-US"/>
        </w:rPr>
        <w:tab/>
      </w:r>
    </w:p>
    <w:p w:rsidR="00021050" w:rsidRPr="00021050" w:rsidRDefault="003515B0" w:rsidP="004D24A1">
      <w:pPr>
        <w:overflowPunct w:val="0"/>
        <w:autoSpaceDE w:val="0"/>
        <w:autoSpaceDN w:val="0"/>
        <w:adjustRightInd w:val="0"/>
        <w:spacing w:after="0"/>
        <w:jc w:val="center"/>
        <w:textAlignment w:val="baseline"/>
        <w:rPr>
          <w:rFonts w:ascii="Times New Roman" w:eastAsia="Times New Roman" w:hAnsi="Times New Roman"/>
          <w:b/>
          <w:bCs/>
          <w:iCs/>
          <w:color w:val="0070C0"/>
          <w:sz w:val="28"/>
          <w:szCs w:val="28"/>
        </w:rPr>
      </w:pPr>
      <w:r w:rsidRPr="00021050">
        <w:rPr>
          <w:rFonts w:ascii="Times New Roman" w:eastAsia="Times New Roman" w:hAnsi="Times New Roman"/>
          <w:b/>
          <w:noProof/>
          <w:color w:val="0070C0"/>
          <w:sz w:val="28"/>
          <w:szCs w:val="28"/>
          <w:lang w:eastAsia="bg-BG"/>
        </w:rPr>
        <w:drawing>
          <wp:inline distT="0" distB="0" distL="0" distR="0" wp14:anchorId="515CE42F" wp14:editId="0E96D1CE">
            <wp:extent cx="5685155" cy="2632075"/>
            <wp:effectExtent l="0" t="0" r="10795" b="15875"/>
            <wp:docPr id="42" name="Ди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
          <w:bCs/>
          <w:iCs/>
          <w:color w:val="0070C0"/>
          <w:sz w:val="28"/>
          <w:szCs w:val="28"/>
          <w:lang w:val="en-US"/>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t>Общо други прокурорски актове и дейности по всички видове надзори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16"/>
          <w:szCs w:val="16"/>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През 2021 г. общият брой на други прокурорски актове и дейности по всички видове надзори за целия район на Софийска градска прокуратура са </w:t>
      </w:r>
      <w:r w:rsidRPr="00021050">
        <w:rPr>
          <w:rFonts w:ascii="Times New Roman" w:eastAsia="Times New Roman" w:hAnsi="Times New Roman"/>
          <w:b/>
          <w:iCs/>
          <w:sz w:val="28"/>
          <w:szCs w:val="28"/>
        </w:rPr>
        <w:t>434310</w:t>
      </w:r>
      <w:r w:rsidRPr="00021050">
        <w:rPr>
          <w:rFonts w:ascii="Times New Roman" w:eastAsia="Times New Roman" w:hAnsi="Times New Roman"/>
          <w:b/>
          <w:bCs/>
          <w:iCs/>
          <w:sz w:val="28"/>
          <w:szCs w:val="28"/>
        </w:rPr>
        <w:t xml:space="preserve"> бр.,</w:t>
      </w:r>
      <w:r w:rsidRPr="00021050">
        <w:rPr>
          <w:rFonts w:ascii="Times New Roman" w:eastAsia="Times New Roman" w:hAnsi="Times New Roman"/>
          <w:bCs/>
          <w:iCs/>
          <w:sz w:val="28"/>
          <w:szCs w:val="28"/>
        </w:rPr>
        <w:t xml:space="preserve"> при 383862 бр. за 2019 г. и</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 xml:space="preserve">при 366250 бр. за 2020г.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Разпределението им по прокуратури е както следва: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СГП – </w:t>
      </w:r>
      <w:r w:rsidRPr="00021050">
        <w:rPr>
          <w:rFonts w:ascii="Times New Roman" w:eastAsia="Times New Roman" w:hAnsi="Times New Roman"/>
          <w:b/>
          <w:bCs/>
          <w:iCs/>
          <w:sz w:val="28"/>
          <w:szCs w:val="28"/>
        </w:rPr>
        <w:t>140119  бр</w:t>
      </w:r>
      <w:r w:rsidRPr="00021050">
        <w:rPr>
          <w:rFonts w:ascii="Times New Roman" w:eastAsia="Times New Roman" w:hAnsi="Times New Roman"/>
          <w:bCs/>
          <w:iCs/>
          <w:sz w:val="28"/>
          <w:szCs w:val="28"/>
        </w:rPr>
        <w:t>./ спрямо 96312 за 2019 г. и 109570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СРП – </w:t>
      </w:r>
      <w:r w:rsidRPr="00021050">
        <w:rPr>
          <w:rFonts w:ascii="Times New Roman" w:eastAsia="Times New Roman" w:hAnsi="Times New Roman"/>
          <w:b/>
          <w:bCs/>
          <w:iCs/>
          <w:sz w:val="28"/>
          <w:szCs w:val="28"/>
        </w:rPr>
        <w:t>294291 бр.</w:t>
      </w:r>
      <w:r w:rsidRPr="00021050">
        <w:rPr>
          <w:rFonts w:ascii="Times New Roman" w:eastAsia="Times New Roman" w:hAnsi="Times New Roman"/>
          <w:bCs/>
          <w:iCs/>
          <w:sz w:val="28"/>
          <w:szCs w:val="28"/>
        </w:rPr>
        <w:t xml:space="preserve"> /спрямо 287550 за 2019 г. и 256680 бр.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Видно от горните цифрови показатели, прави впечатление, че през отчетния период общият брой на други прокурорски актове и дейности по всички видове надзор за СГП е  по-голям сравнено с 2019 г. и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 </w:t>
      </w:r>
    </w:p>
    <w:p w:rsidR="00021050" w:rsidRPr="00021050" w:rsidRDefault="003515B0" w:rsidP="004D24A1">
      <w:pPr>
        <w:overflowPunct w:val="0"/>
        <w:autoSpaceDE w:val="0"/>
        <w:autoSpaceDN w:val="0"/>
        <w:adjustRightInd w:val="0"/>
        <w:spacing w:after="0"/>
        <w:ind w:firstLine="90"/>
        <w:jc w:val="both"/>
        <w:textAlignment w:val="baseline"/>
        <w:rPr>
          <w:rFonts w:ascii="Times New Roman" w:eastAsia="Times New Roman" w:hAnsi="Times New Roman"/>
          <w:bCs/>
          <w:iCs/>
          <w:color w:val="0070C0"/>
          <w:sz w:val="28"/>
          <w:szCs w:val="28"/>
        </w:rPr>
      </w:pPr>
      <w:r w:rsidRPr="00846F18">
        <w:rPr>
          <w:noProof/>
          <w:lang w:eastAsia="bg-BG"/>
        </w:rPr>
        <w:lastRenderedPageBreak/>
        <w:drawing>
          <wp:inline distT="0" distB="0" distL="0" distR="0" wp14:anchorId="73AAB7B6" wp14:editId="0560E497">
            <wp:extent cx="5788660" cy="2655570"/>
            <wp:effectExtent l="0" t="0" r="2540" b="11430"/>
            <wp:docPr id="4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70C0"/>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Общо за района на Софийска градска прокуратура за 2021 г. са налице </w:t>
      </w:r>
      <w:r w:rsidRPr="00021050">
        <w:rPr>
          <w:rFonts w:ascii="Times New Roman" w:eastAsia="Times New Roman" w:hAnsi="Times New Roman"/>
          <w:b/>
          <w:bCs/>
          <w:iCs/>
          <w:sz w:val="28"/>
          <w:szCs w:val="28"/>
        </w:rPr>
        <w:t>294524</w:t>
      </w:r>
      <w:r w:rsidRPr="00021050">
        <w:rPr>
          <w:rFonts w:ascii="Times New Roman" w:eastAsia="Times New Roman" w:hAnsi="Times New Roman"/>
          <w:bCs/>
          <w:iCs/>
          <w:sz w:val="28"/>
          <w:szCs w:val="28"/>
        </w:rPr>
        <w:t xml:space="preserve"> </w:t>
      </w:r>
      <w:r w:rsidRPr="00021050">
        <w:rPr>
          <w:rFonts w:ascii="Times New Roman" w:eastAsia="Times New Roman" w:hAnsi="Times New Roman"/>
          <w:b/>
          <w:bCs/>
          <w:iCs/>
          <w:sz w:val="28"/>
          <w:szCs w:val="28"/>
        </w:rPr>
        <w:t>бр.</w:t>
      </w:r>
      <w:r w:rsidRPr="00021050">
        <w:rPr>
          <w:rFonts w:ascii="Times New Roman" w:eastAsia="Times New Roman" w:hAnsi="Times New Roman"/>
          <w:bCs/>
          <w:iCs/>
          <w:sz w:val="28"/>
          <w:szCs w:val="28"/>
          <w:lang w:val="en-US"/>
        </w:rPr>
        <w:t xml:space="preserve"> </w:t>
      </w:r>
      <w:r w:rsidRPr="00021050">
        <w:rPr>
          <w:rFonts w:ascii="Times New Roman" w:eastAsia="Times New Roman" w:hAnsi="Times New Roman"/>
          <w:bCs/>
          <w:iCs/>
          <w:sz w:val="28"/>
          <w:szCs w:val="28"/>
        </w:rPr>
        <w:t>постановления/произнасяния и актове по следствения надзор/, спрямо 312513</w:t>
      </w:r>
      <w:r w:rsidRPr="00021050">
        <w:rPr>
          <w:rFonts w:ascii="Times New Roman" w:eastAsia="Times New Roman" w:hAnsi="Times New Roman"/>
          <w:bCs/>
          <w:iCs/>
          <w:sz w:val="28"/>
          <w:szCs w:val="28"/>
          <w:lang w:val="en-US"/>
        </w:rPr>
        <w:t xml:space="preserve"> </w:t>
      </w:r>
      <w:r w:rsidRPr="00021050">
        <w:rPr>
          <w:rFonts w:ascii="Times New Roman" w:eastAsia="Times New Roman" w:hAnsi="Times New Roman"/>
          <w:bCs/>
          <w:iCs/>
          <w:sz w:val="28"/>
          <w:szCs w:val="28"/>
        </w:rPr>
        <w:t>бр. за 2019</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г. и спрямо 282511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Постановените прокурорски актове по преписките са </w:t>
      </w:r>
      <w:r w:rsidRPr="00021050">
        <w:rPr>
          <w:rFonts w:ascii="Times New Roman" w:eastAsia="Times New Roman" w:hAnsi="Times New Roman"/>
          <w:b/>
          <w:bCs/>
          <w:iCs/>
          <w:sz w:val="28"/>
          <w:szCs w:val="28"/>
        </w:rPr>
        <w:t>96903</w:t>
      </w:r>
      <w:r w:rsidRPr="00021050">
        <w:rPr>
          <w:rFonts w:ascii="Times New Roman" w:eastAsia="Times New Roman" w:hAnsi="Times New Roman"/>
          <w:bCs/>
          <w:iCs/>
          <w:sz w:val="28"/>
          <w:szCs w:val="28"/>
        </w:rPr>
        <w:t xml:space="preserve"> </w:t>
      </w:r>
      <w:r w:rsidRPr="00021050">
        <w:rPr>
          <w:rFonts w:ascii="Times New Roman" w:eastAsia="Times New Roman" w:hAnsi="Times New Roman"/>
          <w:b/>
          <w:bCs/>
          <w:iCs/>
          <w:sz w:val="28"/>
          <w:szCs w:val="28"/>
        </w:rPr>
        <w:t>бр.</w:t>
      </w:r>
      <w:r w:rsidRPr="00021050">
        <w:rPr>
          <w:rFonts w:ascii="Times New Roman" w:eastAsia="Times New Roman" w:hAnsi="Times New Roman"/>
          <w:bCs/>
          <w:iCs/>
          <w:sz w:val="28"/>
          <w:szCs w:val="28"/>
        </w:rPr>
        <w:t xml:space="preserve">                  /спрямо 128596 бр. за 2019г. и спрямо 88925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Общо постановените актове по наказателно-съдебен надзор са </w:t>
      </w:r>
      <w:r w:rsidRPr="00021050">
        <w:rPr>
          <w:rFonts w:ascii="Times New Roman" w:eastAsia="Times New Roman" w:hAnsi="Times New Roman"/>
          <w:b/>
          <w:bCs/>
          <w:iCs/>
          <w:sz w:val="28"/>
          <w:szCs w:val="28"/>
        </w:rPr>
        <w:t>335   бр.</w:t>
      </w:r>
      <w:r w:rsidRPr="00021050">
        <w:rPr>
          <w:rFonts w:ascii="Times New Roman" w:eastAsia="Times New Roman" w:hAnsi="Times New Roman"/>
          <w:sz w:val="28"/>
          <w:szCs w:val="28"/>
        </w:rPr>
        <w:t xml:space="preserve"> </w:t>
      </w:r>
      <w:r w:rsidRPr="00021050">
        <w:rPr>
          <w:rFonts w:ascii="Times New Roman" w:eastAsia="Times New Roman" w:hAnsi="Times New Roman"/>
          <w:bCs/>
          <w:iCs/>
          <w:sz w:val="28"/>
          <w:szCs w:val="28"/>
        </w:rPr>
        <w:t>/спрямо 447 бр. за 2019</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г. и 248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Общо постановените актове във връзка с изпълнение на наказанията </w:t>
      </w:r>
      <w:r w:rsidRPr="00021050">
        <w:rPr>
          <w:rFonts w:ascii="Times New Roman" w:eastAsia="Times New Roman" w:hAnsi="Times New Roman"/>
          <w:b/>
          <w:bCs/>
          <w:iCs/>
          <w:sz w:val="28"/>
          <w:szCs w:val="28"/>
        </w:rPr>
        <w:t>са 2798</w:t>
      </w:r>
      <w:r w:rsidRPr="00021050">
        <w:rPr>
          <w:rFonts w:ascii="Times New Roman" w:eastAsia="Times New Roman" w:hAnsi="Times New Roman"/>
          <w:bCs/>
          <w:iCs/>
          <w:sz w:val="28"/>
          <w:szCs w:val="28"/>
        </w:rPr>
        <w:t xml:space="preserve"> </w:t>
      </w:r>
      <w:r w:rsidRPr="00021050">
        <w:rPr>
          <w:rFonts w:ascii="Times New Roman" w:eastAsia="Times New Roman" w:hAnsi="Times New Roman"/>
          <w:b/>
          <w:bCs/>
          <w:iCs/>
          <w:sz w:val="28"/>
          <w:szCs w:val="28"/>
        </w:rPr>
        <w:t xml:space="preserve">  бр. </w:t>
      </w:r>
      <w:r w:rsidRPr="00021050">
        <w:rPr>
          <w:rFonts w:ascii="Times New Roman" w:eastAsia="Times New Roman" w:hAnsi="Times New Roman"/>
          <w:bCs/>
          <w:iCs/>
          <w:sz w:val="28"/>
          <w:szCs w:val="28"/>
        </w:rPr>
        <w:t>/ спрямо 3455 бр. за 2019 г. и 2296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Общо постановените актове по гражданско-съдебния надзор са </w:t>
      </w:r>
      <w:r w:rsidRPr="00021050">
        <w:rPr>
          <w:rFonts w:ascii="Times New Roman" w:eastAsia="Times New Roman" w:hAnsi="Times New Roman"/>
          <w:b/>
          <w:bCs/>
          <w:iCs/>
          <w:sz w:val="28"/>
          <w:szCs w:val="28"/>
        </w:rPr>
        <w:t>1712</w:t>
      </w:r>
      <w:r w:rsidRPr="00021050">
        <w:rPr>
          <w:rFonts w:ascii="Times New Roman" w:eastAsia="Times New Roman" w:hAnsi="Times New Roman"/>
          <w:bCs/>
          <w:iCs/>
          <w:sz w:val="28"/>
          <w:szCs w:val="28"/>
        </w:rPr>
        <w:t xml:space="preserve"> </w:t>
      </w:r>
      <w:r w:rsidRPr="00021050">
        <w:rPr>
          <w:rFonts w:ascii="Times New Roman" w:eastAsia="Times New Roman" w:hAnsi="Times New Roman"/>
          <w:b/>
          <w:bCs/>
          <w:iCs/>
          <w:sz w:val="28"/>
          <w:szCs w:val="28"/>
        </w:rPr>
        <w:t xml:space="preserve"> бр.</w:t>
      </w:r>
      <w:r w:rsidRPr="00021050">
        <w:rPr>
          <w:rFonts w:ascii="Times New Roman" w:eastAsia="Times New Roman" w:hAnsi="Times New Roman"/>
          <w:bCs/>
          <w:iCs/>
          <w:sz w:val="28"/>
          <w:szCs w:val="28"/>
        </w:rPr>
        <w:t xml:space="preserve"> / спрямо 575 бр. за 2019 г. и 518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Общо проверките и актовете по административния надзор за законност </w:t>
      </w:r>
      <w:r w:rsidRPr="00021050">
        <w:rPr>
          <w:rFonts w:ascii="Times New Roman" w:eastAsia="Times New Roman" w:hAnsi="Times New Roman"/>
          <w:b/>
          <w:bCs/>
          <w:iCs/>
          <w:sz w:val="28"/>
          <w:szCs w:val="28"/>
        </w:rPr>
        <w:t>са 471</w:t>
      </w:r>
      <w:r w:rsidRPr="00021050">
        <w:rPr>
          <w:rFonts w:ascii="Times New Roman" w:eastAsia="Times New Roman" w:hAnsi="Times New Roman"/>
          <w:bCs/>
          <w:iCs/>
          <w:sz w:val="28"/>
          <w:szCs w:val="28"/>
        </w:rPr>
        <w:t xml:space="preserve">  </w:t>
      </w:r>
      <w:r w:rsidRPr="00021050">
        <w:rPr>
          <w:rFonts w:ascii="Times New Roman" w:eastAsia="Times New Roman" w:hAnsi="Times New Roman"/>
          <w:b/>
          <w:bCs/>
          <w:iCs/>
          <w:sz w:val="28"/>
          <w:szCs w:val="28"/>
        </w:rPr>
        <w:t xml:space="preserve"> бр</w:t>
      </w:r>
      <w:r w:rsidRPr="00021050">
        <w:rPr>
          <w:rFonts w:ascii="Times New Roman" w:eastAsia="Times New Roman" w:hAnsi="Times New Roman"/>
          <w:bCs/>
          <w:iCs/>
          <w:sz w:val="28"/>
          <w:szCs w:val="28"/>
        </w:rPr>
        <w:t>. /спрямо 260 бр. за 2019 г. и 443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Общо актовете, свързани с други дейности са </w:t>
      </w:r>
      <w:r w:rsidRPr="00021050">
        <w:rPr>
          <w:rFonts w:ascii="Times New Roman" w:eastAsia="Times New Roman" w:hAnsi="Times New Roman"/>
          <w:b/>
          <w:bCs/>
          <w:iCs/>
          <w:sz w:val="28"/>
          <w:szCs w:val="28"/>
        </w:rPr>
        <w:t>134470 бр.</w:t>
      </w:r>
      <w:r w:rsidRPr="00021050">
        <w:rPr>
          <w:rFonts w:ascii="Times New Roman" w:eastAsia="Times New Roman" w:hAnsi="Times New Roman"/>
          <w:bCs/>
          <w:iCs/>
          <w:sz w:val="28"/>
          <w:szCs w:val="28"/>
        </w:rPr>
        <w:t xml:space="preserve"> /спрямо 66612  бр.</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 xml:space="preserve"> за 2019 г. и  80234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Горепосочените данни обосновават извода, че е налице трайна тенденция за увеличение на показателите, спрямо от предходните отчетни периоди. </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70C0"/>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t>2. ОБЕМ НА ДЕЙНОСТ НА СЛЕДОВАТЕЛИТЕ В СЛЕДСТВЕНИЯ ОТДЕЛ НА СОФИЙСКА ГРАДСКА ПРОКУРАТУРА ЗА 202</w:t>
      </w:r>
      <w:r w:rsidR="00D9343A">
        <w:rPr>
          <w:rFonts w:ascii="Times New Roman" w:eastAsia="Times New Roman" w:hAnsi="Times New Roman"/>
          <w:b/>
          <w:bCs/>
          <w:iCs/>
          <w:sz w:val="28"/>
          <w:szCs w:val="28"/>
        </w:rPr>
        <w:t>1</w:t>
      </w:r>
      <w:r w:rsidRPr="00021050">
        <w:rPr>
          <w:rFonts w:ascii="Times New Roman" w:eastAsia="Times New Roman" w:hAnsi="Times New Roman"/>
          <w:b/>
          <w:bCs/>
          <w:iCs/>
          <w:sz w:val="28"/>
          <w:szCs w:val="28"/>
        </w:rPr>
        <w:t xml:space="preserve">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16"/>
          <w:szCs w:val="16"/>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За 2020 год. обемът на дейността на следователите в следствения отдел на Софийска градска прокуратура е </w:t>
      </w:r>
      <w:r w:rsidRPr="00021050">
        <w:rPr>
          <w:rFonts w:ascii="Times New Roman" w:eastAsia="Times New Roman" w:hAnsi="Times New Roman"/>
          <w:b/>
          <w:bCs/>
          <w:iCs/>
          <w:sz w:val="28"/>
          <w:szCs w:val="28"/>
        </w:rPr>
        <w:t>3396 бр.</w:t>
      </w:r>
      <w:r w:rsidRPr="00021050">
        <w:rPr>
          <w:rFonts w:ascii="Times New Roman" w:eastAsia="Times New Roman" w:hAnsi="Times New Roman"/>
          <w:bCs/>
          <w:iCs/>
          <w:sz w:val="28"/>
          <w:szCs w:val="28"/>
        </w:rPr>
        <w:t xml:space="preserve"> /спрямо 2907 бр.</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 xml:space="preserve"> за 2019 г. и 3380 бр.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lastRenderedPageBreak/>
        <w:t xml:space="preserve">В тази дейност на следователите се включват сумарно </w:t>
      </w:r>
      <w:r w:rsidRPr="00021050">
        <w:rPr>
          <w:rFonts w:ascii="Times New Roman" w:eastAsia="Times New Roman" w:hAnsi="Times New Roman"/>
          <w:b/>
          <w:bCs/>
          <w:iCs/>
          <w:sz w:val="28"/>
          <w:szCs w:val="28"/>
        </w:rPr>
        <w:t>1567</w:t>
      </w:r>
      <w:r w:rsidRPr="00021050">
        <w:rPr>
          <w:rFonts w:ascii="Times New Roman" w:eastAsia="Times New Roman" w:hAnsi="Times New Roman"/>
          <w:bCs/>
          <w:iCs/>
          <w:sz w:val="28"/>
          <w:szCs w:val="28"/>
        </w:rPr>
        <w:t xml:space="preserve"> бр. дела, разследвани от следователи по закон или възложените им, </w:t>
      </w:r>
      <w:r w:rsidRPr="00021050">
        <w:rPr>
          <w:rFonts w:ascii="Times New Roman" w:eastAsia="Times New Roman" w:hAnsi="Times New Roman"/>
          <w:b/>
          <w:bCs/>
          <w:iCs/>
          <w:sz w:val="28"/>
          <w:szCs w:val="28"/>
        </w:rPr>
        <w:t>1436</w:t>
      </w:r>
      <w:r w:rsidRPr="00021050">
        <w:rPr>
          <w:rFonts w:ascii="Times New Roman" w:eastAsia="Times New Roman" w:hAnsi="Times New Roman"/>
          <w:bCs/>
          <w:iCs/>
          <w:sz w:val="28"/>
          <w:szCs w:val="28"/>
        </w:rPr>
        <w:t xml:space="preserve"> броя дела, получени по делегация  и разследвани през отчетния период и  </w:t>
      </w:r>
      <w:r w:rsidRPr="00021050">
        <w:rPr>
          <w:rFonts w:ascii="Times New Roman" w:eastAsia="Times New Roman" w:hAnsi="Times New Roman"/>
          <w:b/>
          <w:bCs/>
          <w:iCs/>
          <w:sz w:val="28"/>
          <w:szCs w:val="28"/>
        </w:rPr>
        <w:t>393</w:t>
      </w:r>
      <w:r w:rsidRPr="00021050">
        <w:rPr>
          <w:rFonts w:ascii="Times New Roman" w:eastAsia="Times New Roman" w:hAnsi="Times New Roman"/>
          <w:bCs/>
          <w:iCs/>
          <w:sz w:val="28"/>
          <w:szCs w:val="28"/>
        </w:rPr>
        <w:t xml:space="preserve"> броя международни поръчки.</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70C0"/>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t>3. АКТУАЛИЗИРАНА СРЕДНА НАТОВАРЕНОСТ НА ЕДИН ПРОКУРОР И НА ЕДИН СЛЕДОВАТЕЛ ЗА 202</w:t>
      </w:r>
      <w:r w:rsidR="00D9343A">
        <w:rPr>
          <w:rFonts w:ascii="Times New Roman" w:eastAsia="Times New Roman" w:hAnsi="Times New Roman"/>
          <w:b/>
          <w:bCs/>
          <w:iCs/>
          <w:sz w:val="28"/>
          <w:szCs w:val="28"/>
        </w:rPr>
        <w:t>1</w:t>
      </w:r>
      <w:r w:rsidRPr="00021050">
        <w:rPr>
          <w:rFonts w:ascii="Times New Roman" w:eastAsia="Times New Roman" w:hAnsi="Times New Roman"/>
          <w:b/>
          <w:bCs/>
          <w:iCs/>
          <w:sz w:val="28"/>
          <w:szCs w:val="28"/>
        </w:rPr>
        <w:t xml:space="preserve"> г.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t>Актуализирана средна натовареност на един прокурор</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През отчетния период средната натовареност на един прокурор от Софийска градска прокуратура е </w:t>
      </w:r>
      <w:r w:rsidRPr="00021050">
        <w:rPr>
          <w:rFonts w:ascii="Times New Roman" w:eastAsia="Times New Roman" w:hAnsi="Times New Roman"/>
          <w:b/>
          <w:bCs/>
          <w:iCs/>
          <w:sz w:val="28"/>
          <w:szCs w:val="28"/>
        </w:rPr>
        <w:t>1726,9</w:t>
      </w:r>
      <w:r w:rsidRPr="00021050">
        <w:rPr>
          <w:rFonts w:ascii="Times New Roman" w:eastAsia="Times New Roman" w:hAnsi="Times New Roman"/>
          <w:bCs/>
          <w:iCs/>
          <w:sz w:val="28"/>
          <w:szCs w:val="28"/>
        </w:rPr>
        <w:t xml:space="preserve"> /спрямо 1181,6  за 2019 г. и</w:t>
      </w:r>
      <w:r w:rsidRPr="00021050">
        <w:rPr>
          <w:rFonts w:ascii="Times New Roman" w:eastAsia="Times New Roman" w:hAnsi="Times New Roman"/>
          <w:bCs/>
          <w:iCs/>
          <w:sz w:val="28"/>
          <w:szCs w:val="28"/>
          <w:lang w:val="en-US"/>
        </w:rPr>
        <w:t xml:space="preserve"> 1356,3 </w:t>
      </w:r>
      <w:r w:rsidRPr="00021050">
        <w:rPr>
          <w:rFonts w:ascii="Times New Roman" w:eastAsia="Times New Roman" w:hAnsi="Times New Roman"/>
          <w:bCs/>
          <w:iCs/>
          <w:sz w:val="28"/>
          <w:szCs w:val="28"/>
        </w:rPr>
        <w:t xml:space="preserve">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Средната натовареност на един прокурор от района на Софийска градска прокуратура е </w:t>
      </w:r>
      <w:r w:rsidRPr="00021050">
        <w:rPr>
          <w:rFonts w:ascii="Times New Roman" w:eastAsia="Times New Roman" w:hAnsi="Times New Roman"/>
          <w:b/>
          <w:bCs/>
          <w:iCs/>
          <w:sz w:val="28"/>
          <w:szCs w:val="28"/>
        </w:rPr>
        <w:t>1963,0</w:t>
      </w:r>
      <w:r w:rsidRPr="00021050">
        <w:rPr>
          <w:rFonts w:ascii="Times New Roman" w:eastAsia="Times New Roman" w:hAnsi="Times New Roman"/>
          <w:bCs/>
          <w:iCs/>
          <w:sz w:val="28"/>
          <w:szCs w:val="28"/>
        </w:rPr>
        <w:t xml:space="preserve">  /спрямо 1633,5 за 2019 г. и 1589,0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За Софийска градска прокуратура и за Софийска районна прокуратура актуализирана средна натовареност на един прокурор за 2021 г. е, както следва: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СГП – </w:t>
      </w:r>
      <w:r w:rsidRPr="00021050">
        <w:rPr>
          <w:rFonts w:ascii="Times New Roman" w:eastAsia="Times New Roman" w:hAnsi="Times New Roman"/>
          <w:b/>
          <w:bCs/>
          <w:iCs/>
          <w:sz w:val="28"/>
          <w:szCs w:val="28"/>
        </w:rPr>
        <w:t>1726,9</w:t>
      </w:r>
      <w:r w:rsidRPr="00021050">
        <w:rPr>
          <w:rFonts w:ascii="Times New Roman" w:eastAsia="Times New Roman" w:hAnsi="Times New Roman"/>
          <w:bCs/>
          <w:iCs/>
          <w:sz w:val="28"/>
          <w:szCs w:val="28"/>
        </w:rPr>
        <w:t xml:space="preserve">  /спрямо 1181,6 за 2019 г. и 1356,3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СРП – </w:t>
      </w:r>
      <w:r w:rsidRPr="00021050">
        <w:rPr>
          <w:rFonts w:ascii="Times New Roman" w:eastAsia="Times New Roman" w:hAnsi="Times New Roman"/>
          <w:b/>
          <w:bCs/>
          <w:iCs/>
          <w:sz w:val="28"/>
          <w:szCs w:val="28"/>
        </w:rPr>
        <w:t>2104,1</w:t>
      </w:r>
      <w:r w:rsidRPr="00021050">
        <w:rPr>
          <w:rFonts w:ascii="Times New Roman" w:eastAsia="Times New Roman" w:hAnsi="Times New Roman"/>
          <w:bCs/>
          <w:iCs/>
          <w:sz w:val="28"/>
          <w:szCs w:val="28"/>
        </w:rPr>
        <w:t xml:space="preserve"> /спрямо 1894,2 за 2019 г. и 1719,3 за 2020 г./;</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Налице </w:t>
      </w:r>
      <w:r w:rsidRPr="00021050">
        <w:rPr>
          <w:rFonts w:ascii="Times New Roman" w:eastAsia="Times New Roman" w:hAnsi="Times New Roman"/>
          <w:bCs/>
          <w:iCs/>
          <w:color w:val="000000"/>
          <w:sz w:val="28"/>
          <w:szCs w:val="28"/>
        </w:rPr>
        <w:t xml:space="preserve">е трайно увеличение на </w:t>
      </w:r>
      <w:r w:rsidRPr="00021050">
        <w:rPr>
          <w:rFonts w:ascii="Times New Roman" w:eastAsia="Times New Roman" w:hAnsi="Times New Roman"/>
          <w:bCs/>
          <w:iCs/>
          <w:sz w:val="28"/>
          <w:szCs w:val="28"/>
        </w:rPr>
        <w:t>процента на средната натовареност на един прокурор от СГП спрямо данните по този показател от предходните два отчетни периода.</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По отношение натовареността на прокурор в СРП също се наблюдава трайно увеличение спрямо 2019 г., както и  спрямо 2020 г.</w:t>
      </w: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Cs/>
          <w:iCs/>
          <w:color w:val="0070C0"/>
          <w:sz w:val="28"/>
          <w:szCs w:val="28"/>
        </w:rPr>
      </w:pPr>
    </w:p>
    <w:p w:rsidR="00021050" w:rsidRPr="00021050" w:rsidRDefault="003515B0" w:rsidP="004D24A1">
      <w:pPr>
        <w:overflowPunct w:val="0"/>
        <w:autoSpaceDE w:val="0"/>
        <w:autoSpaceDN w:val="0"/>
        <w:adjustRightInd w:val="0"/>
        <w:spacing w:after="0"/>
        <w:jc w:val="center"/>
        <w:textAlignment w:val="baseline"/>
        <w:rPr>
          <w:rFonts w:ascii="Times New Roman" w:eastAsia="Times New Roman" w:hAnsi="Times New Roman"/>
          <w:bCs/>
          <w:iCs/>
          <w:color w:val="0070C0"/>
          <w:sz w:val="28"/>
          <w:szCs w:val="28"/>
        </w:rPr>
      </w:pPr>
      <w:r w:rsidRPr="00846F18">
        <w:rPr>
          <w:noProof/>
          <w:lang w:eastAsia="bg-BG"/>
        </w:rPr>
        <w:drawing>
          <wp:inline distT="0" distB="0" distL="0" distR="0" wp14:anchorId="7756BCBF" wp14:editId="042C686D">
            <wp:extent cx="5788660" cy="2655570"/>
            <wp:effectExtent l="0" t="0" r="2540" b="11430"/>
            <wp:docPr id="44"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21050" w:rsidRPr="00021050" w:rsidRDefault="00021050" w:rsidP="004D24A1">
      <w:pPr>
        <w:overflowPunct w:val="0"/>
        <w:autoSpaceDE w:val="0"/>
        <w:autoSpaceDN w:val="0"/>
        <w:adjustRightInd w:val="0"/>
        <w:spacing w:after="0"/>
        <w:textAlignment w:val="baseline"/>
        <w:rPr>
          <w:rFonts w:ascii="Times New Roman" w:eastAsia="Times New Roman" w:hAnsi="Times New Roman"/>
          <w:b/>
          <w:bCs/>
          <w:iCs/>
          <w:color w:val="0070C0"/>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bCs/>
          <w:iCs/>
          <w:sz w:val="28"/>
          <w:szCs w:val="28"/>
        </w:rPr>
      </w:pPr>
      <w:r w:rsidRPr="00021050">
        <w:rPr>
          <w:rFonts w:ascii="Times New Roman" w:eastAsia="Times New Roman" w:hAnsi="Times New Roman"/>
          <w:b/>
          <w:bCs/>
          <w:iCs/>
          <w:sz w:val="28"/>
          <w:szCs w:val="28"/>
        </w:rPr>
        <w:t>Актуализирана средна натовареност на един следовател</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lastRenderedPageBreak/>
        <w:t xml:space="preserve">Броят на реално работилите следователи в СО-СГП през 2020 г. е </w:t>
      </w:r>
      <w:r w:rsidRPr="00021050">
        <w:rPr>
          <w:rFonts w:ascii="Times New Roman" w:eastAsia="Times New Roman" w:hAnsi="Times New Roman"/>
          <w:b/>
          <w:bCs/>
          <w:iCs/>
          <w:sz w:val="28"/>
          <w:szCs w:val="28"/>
        </w:rPr>
        <w:t xml:space="preserve">54 следователи </w:t>
      </w:r>
      <w:r w:rsidRPr="00021050">
        <w:rPr>
          <w:rFonts w:ascii="Times New Roman" w:eastAsia="Times New Roman" w:hAnsi="Times New Roman"/>
          <w:bCs/>
          <w:iCs/>
          <w:sz w:val="28"/>
          <w:szCs w:val="28"/>
        </w:rPr>
        <w:t xml:space="preserve">/спрямо 61 за 2019 г. и спрямо 57 за 2020 г./.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За 2020 г. актуализираната средна натовареност на следовател в СО-СГП е </w:t>
      </w:r>
      <w:r w:rsidRPr="00021050">
        <w:rPr>
          <w:rFonts w:ascii="Times New Roman" w:eastAsia="Times New Roman" w:hAnsi="Times New Roman"/>
          <w:b/>
          <w:bCs/>
          <w:iCs/>
          <w:sz w:val="28"/>
          <w:szCs w:val="28"/>
        </w:rPr>
        <w:t>62,9</w:t>
      </w:r>
      <w:r w:rsidRPr="00021050">
        <w:rPr>
          <w:rFonts w:ascii="Times New Roman" w:eastAsia="Times New Roman" w:hAnsi="Times New Roman"/>
          <w:bCs/>
          <w:iCs/>
          <w:sz w:val="28"/>
          <w:szCs w:val="28"/>
        </w:rPr>
        <w:t xml:space="preserve"> / спрямо 47,7 за 2019 г. и 59,3 за 2020 г./.</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70C0"/>
          <w:sz w:val="28"/>
          <w:szCs w:val="28"/>
        </w:rPr>
      </w:pPr>
    </w:p>
    <w:p w:rsidR="00021050" w:rsidRPr="00A47F7A" w:rsidRDefault="00021050" w:rsidP="004D24A1">
      <w:pPr>
        <w:overflowPunct w:val="0"/>
        <w:autoSpaceDE w:val="0"/>
        <w:autoSpaceDN w:val="0"/>
        <w:adjustRightInd w:val="0"/>
        <w:spacing w:after="0"/>
        <w:jc w:val="both"/>
        <w:textAlignment w:val="baseline"/>
        <w:rPr>
          <w:rFonts w:ascii="Times New Roman" w:eastAsia="Times New Roman" w:hAnsi="Times New Roman"/>
          <w:b/>
          <w:iCs/>
          <w:color w:val="0070C0"/>
          <w:sz w:val="16"/>
          <w:szCs w:val="16"/>
        </w:rPr>
      </w:pPr>
      <w:bookmarkStart w:id="3" w:name="_Hlk95227129"/>
    </w:p>
    <w:p w:rsid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
          <w:iCs/>
          <w:sz w:val="28"/>
          <w:szCs w:val="28"/>
        </w:rPr>
      </w:pPr>
      <w:bookmarkStart w:id="4" w:name="_Hlk95230509"/>
      <w:r w:rsidRPr="00A47F7A">
        <w:rPr>
          <w:rFonts w:ascii="Times New Roman" w:eastAsia="Times New Roman" w:hAnsi="Times New Roman"/>
          <w:b/>
          <w:iCs/>
          <w:sz w:val="28"/>
          <w:szCs w:val="28"/>
        </w:rPr>
        <w:t xml:space="preserve">При отчитане на  натовареността на прокурорите </w:t>
      </w:r>
      <w:r w:rsidR="00A47F7A" w:rsidRPr="00A47F7A">
        <w:rPr>
          <w:rFonts w:ascii="Times New Roman" w:eastAsia="Times New Roman" w:hAnsi="Times New Roman"/>
          <w:b/>
          <w:iCs/>
          <w:sz w:val="28"/>
          <w:szCs w:val="28"/>
        </w:rPr>
        <w:t xml:space="preserve">по приетите от ВСС Правила за измерване натовареността на прокуратурите и на индивидуалната натовареност на всеки прокурор и следовател данните се извеждат от Унифицираната информационна система на ПРБ и </w:t>
      </w:r>
      <w:r w:rsidRPr="00A47F7A">
        <w:rPr>
          <w:rFonts w:ascii="Times New Roman" w:eastAsia="Times New Roman" w:hAnsi="Times New Roman"/>
          <w:b/>
          <w:iCs/>
          <w:sz w:val="28"/>
          <w:szCs w:val="28"/>
        </w:rPr>
        <w:t>включват всички актове</w:t>
      </w:r>
      <w:r w:rsidR="00D9343A">
        <w:rPr>
          <w:rFonts w:ascii="Times New Roman" w:eastAsia="Times New Roman" w:hAnsi="Times New Roman"/>
          <w:b/>
          <w:iCs/>
          <w:sz w:val="28"/>
          <w:szCs w:val="28"/>
        </w:rPr>
        <w:t xml:space="preserve"> </w:t>
      </w:r>
      <w:r w:rsidRPr="00A47F7A">
        <w:rPr>
          <w:rFonts w:ascii="Times New Roman" w:eastAsia="Times New Roman" w:hAnsi="Times New Roman"/>
          <w:b/>
          <w:iCs/>
          <w:sz w:val="28"/>
          <w:szCs w:val="28"/>
        </w:rPr>
        <w:t>/действия по броими показатели, отчетени в УИС/.</w:t>
      </w:r>
    </w:p>
    <w:bookmarkEnd w:id="4"/>
    <w:p w:rsidR="00DC2250" w:rsidRDefault="00DC22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DC2250">
        <w:rPr>
          <w:rFonts w:ascii="Times New Roman" w:eastAsia="Times New Roman" w:hAnsi="Times New Roman"/>
          <w:bCs/>
          <w:iCs/>
          <w:sz w:val="28"/>
          <w:szCs w:val="28"/>
        </w:rPr>
        <w:t xml:space="preserve">За 2021 г. </w:t>
      </w:r>
      <w:r>
        <w:rPr>
          <w:rFonts w:ascii="Times New Roman" w:eastAsia="Times New Roman" w:hAnsi="Times New Roman"/>
          <w:bCs/>
          <w:iCs/>
          <w:sz w:val="28"/>
          <w:szCs w:val="28"/>
        </w:rPr>
        <w:t xml:space="preserve">контролната дейност на административния ръководител и неговити заместници спрямо прокурорите в СГП възлиза на </w:t>
      </w:r>
      <w:r w:rsidRPr="00DC2250">
        <w:rPr>
          <w:rFonts w:ascii="Times New Roman" w:eastAsia="Times New Roman" w:hAnsi="Times New Roman"/>
          <w:b/>
          <w:iCs/>
          <w:sz w:val="28"/>
          <w:szCs w:val="28"/>
        </w:rPr>
        <w:t>общо на 56182 броя актове или 28091 броя точки</w:t>
      </w:r>
      <w:r>
        <w:rPr>
          <w:rFonts w:ascii="Times New Roman" w:eastAsia="Times New Roman" w:hAnsi="Times New Roman"/>
          <w:bCs/>
          <w:iCs/>
          <w:sz w:val="28"/>
          <w:szCs w:val="28"/>
        </w:rPr>
        <w:t>. За 2021 г. дейността по администриране</w:t>
      </w:r>
      <w:r w:rsidR="00F70270">
        <w:rPr>
          <w:rFonts w:ascii="Times New Roman" w:eastAsia="Times New Roman" w:hAnsi="Times New Roman"/>
          <w:bCs/>
          <w:iCs/>
          <w:sz w:val="28"/>
          <w:szCs w:val="28"/>
        </w:rPr>
        <w:t xml:space="preserve"> </w:t>
      </w:r>
      <w:r w:rsidRPr="00DC2250">
        <w:rPr>
          <w:rFonts w:ascii="Times New Roman" w:eastAsia="Times New Roman" w:hAnsi="Times New Roman"/>
          <w:bCs/>
          <w:iCs/>
          <w:sz w:val="28"/>
          <w:szCs w:val="28"/>
        </w:rPr>
        <w:t>на административния ръководител и негов</w:t>
      </w:r>
      <w:r w:rsidR="00F70270">
        <w:rPr>
          <w:rFonts w:ascii="Times New Roman" w:eastAsia="Times New Roman" w:hAnsi="Times New Roman"/>
          <w:bCs/>
          <w:iCs/>
          <w:sz w:val="28"/>
          <w:szCs w:val="28"/>
        </w:rPr>
        <w:t>и</w:t>
      </w:r>
      <w:r w:rsidRPr="00DC2250">
        <w:rPr>
          <w:rFonts w:ascii="Times New Roman" w:eastAsia="Times New Roman" w:hAnsi="Times New Roman"/>
          <w:bCs/>
          <w:iCs/>
          <w:sz w:val="28"/>
          <w:szCs w:val="28"/>
        </w:rPr>
        <w:t>т</w:t>
      </w:r>
      <w:r w:rsidR="00F70270">
        <w:rPr>
          <w:rFonts w:ascii="Times New Roman" w:eastAsia="Times New Roman" w:hAnsi="Times New Roman"/>
          <w:bCs/>
          <w:iCs/>
          <w:sz w:val="28"/>
          <w:szCs w:val="28"/>
        </w:rPr>
        <w:t>е</w:t>
      </w:r>
      <w:r w:rsidRPr="00DC2250">
        <w:rPr>
          <w:rFonts w:ascii="Times New Roman" w:eastAsia="Times New Roman" w:hAnsi="Times New Roman"/>
          <w:bCs/>
          <w:iCs/>
          <w:sz w:val="28"/>
          <w:szCs w:val="28"/>
        </w:rPr>
        <w:t xml:space="preserve"> заместници в СГП</w:t>
      </w:r>
      <w:r>
        <w:rPr>
          <w:rFonts w:ascii="Times New Roman" w:eastAsia="Times New Roman" w:hAnsi="Times New Roman"/>
          <w:bCs/>
          <w:iCs/>
          <w:sz w:val="28"/>
          <w:szCs w:val="28"/>
        </w:rPr>
        <w:t xml:space="preserve"> възлиза </w:t>
      </w:r>
      <w:r w:rsidR="00F70270" w:rsidRPr="00713124">
        <w:rPr>
          <w:rFonts w:ascii="Times New Roman" w:eastAsia="Times New Roman" w:hAnsi="Times New Roman"/>
          <w:b/>
          <w:iCs/>
          <w:sz w:val="28"/>
          <w:szCs w:val="28"/>
        </w:rPr>
        <w:t>о</w:t>
      </w:r>
      <w:r w:rsidRPr="00713124">
        <w:rPr>
          <w:rFonts w:ascii="Times New Roman" w:eastAsia="Times New Roman" w:hAnsi="Times New Roman"/>
          <w:b/>
          <w:iCs/>
          <w:sz w:val="28"/>
          <w:szCs w:val="28"/>
        </w:rPr>
        <w:t>бщо на 63018 броя акта или 30720,7 броя точки.</w:t>
      </w:r>
    </w:p>
    <w:p w:rsidR="00DC2250" w:rsidRDefault="00DC22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DC2250">
        <w:rPr>
          <w:rFonts w:ascii="Times New Roman" w:eastAsia="Times New Roman" w:hAnsi="Times New Roman"/>
          <w:bCs/>
          <w:iCs/>
          <w:sz w:val="28"/>
          <w:szCs w:val="28"/>
        </w:rPr>
        <w:t>За 2021 г. контролната дейност на административния ръководител и неговити заместници спрямо прокурорите в С</w:t>
      </w:r>
      <w:r w:rsidR="00F70270">
        <w:rPr>
          <w:rFonts w:ascii="Times New Roman" w:eastAsia="Times New Roman" w:hAnsi="Times New Roman"/>
          <w:bCs/>
          <w:iCs/>
          <w:sz w:val="28"/>
          <w:szCs w:val="28"/>
        </w:rPr>
        <w:t>Р</w:t>
      </w:r>
      <w:r w:rsidRPr="00DC2250">
        <w:rPr>
          <w:rFonts w:ascii="Times New Roman" w:eastAsia="Times New Roman" w:hAnsi="Times New Roman"/>
          <w:bCs/>
          <w:iCs/>
          <w:sz w:val="28"/>
          <w:szCs w:val="28"/>
        </w:rPr>
        <w:t xml:space="preserve">П възлиза на </w:t>
      </w:r>
      <w:r w:rsidRPr="00713124">
        <w:rPr>
          <w:rFonts w:ascii="Times New Roman" w:eastAsia="Times New Roman" w:hAnsi="Times New Roman"/>
          <w:b/>
          <w:iCs/>
          <w:sz w:val="28"/>
          <w:szCs w:val="28"/>
        </w:rPr>
        <w:t xml:space="preserve">общо на </w:t>
      </w:r>
      <w:r w:rsidR="00F70270" w:rsidRPr="00713124">
        <w:rPr>
          <w:rFonts w:ascii="Times New Roman" w:eastAsia="Times New Roman" w:hAnsi="Times New Roman"/>
          <w:b/>
          <w:iCs/>
          <w:sz w:val="28"/>
          <w:szCs w:val="28"/>
        </w:rPr>
        <w:t>64255</w:t>
      </w:r>
      <w:r w:rsidRPr="00713124">
        <w:rPr>
          <w:rFonts w:ascii="Times New Roman" w:eastAsia="Times New Roman" w:hAnsi="Times New Roman"/>
          <w:b/>
          <w:iCs/>
          <w:sz w:val="28"/>
          <w:szCs w:val="28"/>
        </w:rPr>
        <w:t xml:space="preserve"> броя актове или </w:t>
      </w:r>
      <w:r w:rsidR="00F70270" w:rsidRPr="00713124">
        <w:rPr>
          <w:rFonts w:ascii="Times New Roman" w:eastAsia="Times New Roman" w:hAnsi="Times New Roman"/>
          <w:b/>
          <w:iCs/>
          <w:sz w:val="28"/>
          <w:szCs w:val="28"/>
        </w:rPr>
        <w:t>32127,5</w:t>
      </w:r>
      <w:r w:rsidRPr="00713124">
        <w:rPr>
          <w:rFonts w:ascii="Times New Roman" w:eastAsia="Times New Roman" w:hAnsi="Times New Roman"/>
          <w:b/>
          <w:iCs/>
          <w:sz w:val="28"/>
          <w:szCs w:val="28"/>
        </w:rPr>
        <w:t xml:space="preserve"> броя точки</w:t>
      </w:r>
      <w:r w:rsidRPr="00DC2250">
        <w:rPr>
          <w:rFonts w:ascii="Times New Roman" w:eastAsia="Times New Roman" w:hAnsi="Times New Roman"/>
          <w:bCs/>
          <w:iCs/>
          <w:sz w:val="28"/>
          <w:szCs w:val="28"/>
        </w:rPr>
        <w:t>. За 2021 г. дейността по администриране</w:t>
      </w:r>
      <w:r w:rsidR="00F70270">
        <w:rPr>
          <w:rFonts w:ascii="Times New Roman" w:eastAsia="Times New Roman" w:hAnsi="Times New Roman"/>
          <w:bCs/>
          <w:iCs/>
          <w:sz w:val="28"/>
          <w:szCs w:val="28"/>
        </w:rPr>
        <w:t xml:space="preserve"> </w:t>
      </w:r>
      <w:r w:rsidRPr="00DC2250">
        <w:rPr>
          <w:rFonts w:ascii="Times New Roman" w:eastAsia="Times New Roman" w:hAnsi="Times New Roman"/>
          <w:bCs/>
          <w:iCs/>
          <w:sz w:val="28"/>
          <w:szCs w:val="28"/>
        </w:rPr>
        <w:t>на на административния ръководител и негов</w:t>
      </w:r>
      <w:r w:rsidR="00F70270">
        <w:rPr>
          <w:rFonts w:ascii="Times New Roman" w:eastAsia="Times New Roman" w:hAnsi="Times New Roman"/>
          <w:bCs/>
          <w:iCs/>
          <w:sz w:val="28"/>
          <w:szCs w:val="28"/>
        </w:rPr>
        <w:t>и</w:t>
      </w:r>
      <w:r w:rsidRPr="00DC2250">
        <w:rPr>
          <w:rFonts w:ascii="Times New Roman" w:eastAsia="Times New Roman" w:hAnsi="Times New Roman"/>
          <w:bCs/>
          <w:iCs/>
          <w:sz w:val="28"/>
          <w:szCs w:val="28"/>
        </w:rPr>
        <w:t>т</w:t>
      </w:r>
      <w:r w:rsidR="00F70270">
        <w:rPr>
          <w:rFonts w:ascii="Times New Roman" w:eastAsia="Times New Roman" w:hAnsi="Times New Roman"/>
          <w:bCs/>
          <w:iCs/>
          <w:sz w:val="28"/>
          <w:szCs w:val="28"/>
        </w:rPr>
        <w:t>е</w:t>
      </w:r>
      <w:r w:rsidRPr="00DC2250">
        <w:rPr>
          <w:rFonts w:ascii="Times New Roman" w:eastAsia="Times New Roman" w:hAnsi="Times New Roman"/>
          <w:bCs/>
          <w:iCs/>
          <w:sz w:val="28"/>
          <w:szCs w:val="28"/>
        </w:rPr>
        <w:t xml:space="preserve"> заместници </w:t>
      </w:r>
      <w:r w:rsidR="00713124">
        <w:rPr>
          <w:rFonts w:ascii="Times New Roman" w:eastAsia="Times New Roman" w:hAnsi="Times New Roman"/>
          <w:bCs/>
          <w:iCs/>
          <w:sz w:val="28"/>
          <w:szCs w:val="28"/>
        </w:rPr>
        <w:t xml:space="preserve">в СРП </w:t>
      </w:r>
      <w:r w:rsidRPr="00DC2250">
        <w:rPr>
          <w:rFonts w:ascii="Times New Roman" w:eastAsia="Times New Roman" w:hAnsi="Times New Roman"/>
          <w:bCs/>
          <w:iCs/>
          <w:sz w:val="28"/>
          <w:szCs w:val="28"/>
        </w:rPr>
        <w:t xml:space="preserve">възлиза </w:t>
      </w:r>
      <w:r w:rsidR="00F70270" w:rsidRPr="00713124">
        <w:rPr>
          <w:rFonts w:ascii="Times New Roman" w:eastAsia="Times New Roman" w:hAnsi="Times New Roman"/>
          <w:b/>
          <w:iCs/>
          <w:sz w:val="28"/>
          <w:szCs w:val="28"/>
        </w:rPr>
        <w:t>о</w:t>
      </w:r>
      <w:r w:rsidRPr="00713124">
        <w:rPr>
          <w:rFonts w:ascii="Times New Roman" w:eastAsia="Times New Roman" w:hAnsi="Times New Roman"/>
          <w:b/>
          <w:iCs/>
          <w:sz w:val="28"/>
          <w:szCs w:val="28"/>
        </w:rPr>
        <w:t xml:space="preserve">бщо на </w:t>
      </w:r>
      <w:r w:rsidR="00F70270" w:rsidRPr="00713124">
        <w:rPr>
          <w:rFonts w:ascii="Times New Roman" w:eastAsia="Times New Roman" w:hAnsi="Times New Roman"/>
          <w:b/>
          <w:iCs/>
          <w:sz w:val="28"/>
          <w:szCs w:val="28"/>
        </w:rPr>
        <w:t>66637</w:t>
      </w:r>
      <w:r w:rsidRPr="00713124">
        <w:rPr>
          <w:rFonts w:ascii="Times New Roman" w:eastAsia="Times New Roman" w:hAnsi="Times New Roman"/>
          <w:b/>
          <w:iCs/>
          <w:sz w:val="28"/>
          <w:szCs w:val="28"/>
        </w:rPr>
        <w:t xml:space="preserve"> броя акта или 3</w:t>
      </w:r>
      <w:r w:rsidR="00F70270" w:rsidRPr="00713124">
        <w:rPr>
          <w:rFonts w:ascii="Times New Roman" w:eastAsia="Times New Roman" w:hAnsi="Times New Roman"/>
          <w:b/>
          <w:iCs/>
          <w:sz w:val="28"/>
          <w:szCs w:val="28"/>
        </w:rPr>
        <w:t>3582</w:t>
      </w:r>
      <w:r w:rsidRPr="00713124">
        <w:rPr>
          <w:rFonts w:ascii="Times New Roman" w:eastAsia="Times New Roman" w:hAnsi="Times New Roman"/>
          <w:b/>
          <w:iCs/>
          <w:sz w:val="28"/>
          <w:szCs w:val="28"/>
        </w:rPr>
        <w:t>,</w:t>
      </w:r>
      <w:r w:rsidR="00F70270" w:rsidRPr="00713124">
        <w:rPr>
          <w:rFonts w:ascii="Times New Roman" w:eastAsia="Times New Roman" w:hAnsi="Times New Roman"/>
          <w:b/>
          <w:iCs/>
          <w:sz w:val="28"/>
          <w:szCs w:val="28"/>
        </w:rPr>
        <w:t>4</w:t>
      </w:r>
      <w:r w:rsidRPr="00713124">
        <w:rPr>
          <w:rFonts w:ascii="Times New Roman" w:eastAsia="Times New Roman" w:hAnsi="Times New Roman"/>
          <w:b/>
          <w:iCs/>
          <w:sz w:val="28"/>
          <w:szCs w:val="28"/>
        </w:rPr>
        <w:t xml:space="preserve"> броя точки</w:t>
      </w:r>
      <w:r w:rsidRPr="00DC2250">
        <w:rPr>
          <w:rFonts w:ascii="Times New Roman" w:eastAsia="Times New Roman" w:hAnsi="Times New Roman"/>
          <w:bCs/>
          <w:iCs/>
          <w:sz w:val="28"/>
          <w:szCs w:val="28"/>
        </w:rPr>
        <w:t>.</w:t>
      </w:r>
    </w:p>
    <w:p w:rsidR="00F70270" w:rsidRPr="00DC2250" w:rsidRDefault="00F7027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p>
    <w:bookmarkEnd w:id="3"/>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8"/>
        </w:rPr>
      </w:pPr>
      <w:r w:rsidRPr="00021050">
        <w:rPr>
          <w:rFonts w:ascii="Times New Roman" w:eastAsia="Times New Roman" w:hAnsi="Times New Roman"/>
          <w:color w:val="000000"/>
          <w:sz w:val="28"/>
          <w:szCs w:val="28"/>
        </w:rPr>
        <w:t>За 20</w:t>
      </w:r>
      <w:r w:rsidRPr="00021050">
        <w:rPr>
          <w:rFonts w:ascii="Times New Roman" w:eastAsia="Times New Roman" w:hAnsi="Times New Roman"/>
          <w:color w:val="000000"/>
          <w:sz w:val="28"/>
          <w:szCs w:val="28"/>
          <w:lang w:val="en-US"/>
        </w:rPr>
        <w:t>2</w:t>
      </w:r>
      <w:r w:rsidRPr="00021050">
        <w:rPr>
          <w:rFonts w:ascii="Times New Roman" w:eastAsia="Times New Roman" w:hAnsi="Times New Roman"/>
          <w:color w:val="000000"/>
          <w:sz w:val="28"/>
          <w:szCs w:val="28"/>
        </w:rPr>
        <w:t>1 г. общата натовареност на прокурорите от района на СГП е както следва:</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
          <w:bCs/>
          <w:iCs/>
          <w:color w:val="000000"/>
          <w:sz w:val="28"/>
          <w:szCs w:val="28"/>
        </w:rPr>
        <w:t>СГП</w:t>
      </w:r>
      <w:r w:rsidRPr="00021050">
        <w:rPr>
          <w:rFonts w:ascii="Times New Roman" w:eastAsia="Times New Roman" w:hAnsi="Times New Roman"/>
          <w:bCs/>
          <w:iCs/>
          <w:color w:val="000000"/>
          <w:sz w:val="28"/>
          <w:szCs w:val="28"/>
        </w:rPr>
        <w:t xml:space="preserve"> като брой актове </w:t>
      </w:r>
      <w:r w:rsidRPr="00021050">
        <w:rPr>
          <w:rFonts w:ascii="Times New Roman" w:eastAsia="Times New Roman" w:hAnsi="Times New Roman"/>
          <w:b/>
          <w:bCs/>
          <w:iCs/>
          <w:color w:val="000000"/>
          <w:sz w:val="28"/>
          <w:szCs w:val="28"/>
        </w:rPr>
        <w:t>е 56696 броя актове или 26020,6 броя точки</w:t>
      </w:r>
      <w:r w:rsidRPr="00021050">
        <w:rPr>
          <w:rFonts w:ascii="Times New Roman" w:eastAsia="Times New Roman" w:hAnsi="Times New Roman"/>
          <w:bCs/>
          <w:iCs/>
          <w:color w:val="000000"/>
          <w:sz w:val="28"/>
          <w:szCs w:val="28"/>
        </w:rPr>
        <w:t xml:space="preserve">. </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Cs/>
          <w:iCs/>
          <w:color w:val="000000"/>
          <w:sz w:val="28"/>
          <w:szCs w:val="28"/>
        </w:rPr>
        <w:t>През 2019г. е 50900 броя актове или 24969 броя точки, а през 2020 г. е 50605 броя актове или 22497,2 броя точки;</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
          <w:bCs/>
          <w:iCs/>
          <w:color w:val="000000"/>
          <w:sz w:val="28"/>
          <w:szCs w:val="28"/>
        </w:rPr>
        <w:t xml:space="preserve">СРП </w:t>
      </w:r>
      <w:r w:rsidRPr="00021050">
        <w:rPr>
          <w:rFonts w:ascii="Times New Roman" w:eastAsia="Times New Roman" w:hAnsi="Times New Roman"/>
          <w:bCs/>
          <w:iCs/>
          <w:color w:val="000000"/>
          <w:sz w:val="28"/>
          <w:szCs w:val="28"/>
        </w:rPr>
        <w:t xml:space="preserve">като брой актове е </w:t>
      </w:r>
      <w:r w:rsidRPr="00021050">
        <w:rPr>
          <w:rFonts w:ascii="Times New Roman" w:eastAsia="Times New Roman" w:hAnsi="Times New Roman"/>
          <w:b/>
          <w:bCs/>
          <w:iCs/>
          <w:color w:val="000000"/>
          <w:sz w:val="28"/>
          <w:szCs w:val="28"/>
          <w:lang w:val="en-US"/>
        </w:rPr>
        <w:t>2</w:t>
      </w:r>
      <w:r w:rsidRPr="00021050">
        <w:rPr>
          <w:rFonts w:ascii="Times New Roman" w:eastAsia="Times New Roman" w:hAnsi="Times New Roman"/>
          <w:b/>
          <w:bCs/>
          <w:iCs/>
          <w:color w:val="000000"/>
          <w:sz w:val="28"/>
          <w:szCs w:val="28"/>
        </w:rPr>
        <w:t>34590 броя актове или  116560,5 броя точки</w:t>
      </w:r>
      <w:r w:rsidRPr="00021050">
        <w:rPr>
          <w:rFonts w:ascii="Times New Roman" w:eastAsia="Times New Roman" w:hAnsi="Times New Roman"/>
          <w:bCs/>
          <w:iCs/>
          <w:color w:val="000000"/>
          <w:sz w:val="28"/>
          <w:szCs w:val="28"/>
        </w:rPr>
        <w:t xml:space="preserve">; </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Cs/>
          <w:iCs/>
          <w:color w:val="000000"/>
          <w:sz w:val="28"/>
          <w:szCs w:val="28"/>
        </w:rPr>
        <w:t>През 2019г. е 204690 броя актове или 113127 броя точки, а през 2020 г. е 205084 броя актове или  104840, 9 броя точки;</w:t>
      </w:r>
    </w:p>
    <w:p w:rsidR="00021050" w:rsidRPr="00021050" w:rsidRDefault="00021050" w:rsidP="004D24A1">
      <w:pPr>
        <w:overflowPunct w:val="0"/>
        <w:autoSpaceDE w:val="0"/>
        <w:autoSpaceDN w:val="0"/>
        <w:adjustRightInd w:val="0"/>
        <w:spacing w:after="0"/>
        <w:ind w:left="567" w:firstLine="141"/>
        <w:jc w:val="both"/>
        <w:textAlignment w:val="baseline"/>
        <w:rPr>
          <w:rFonts w:ascii="Times New Roman" w:eastAsia="Times New Roman" w:hAnsi="Times New Roman"/>
          <w:bCs/>
          <w:iCs/>
          <w:color w:val="FF0000"/>
          <w:sz w:val="28"/>
          <w:szCs w:val="28"/>
        </w:rPr>
      </w:pPr>
    </w:p>
    <w:p w:rsidR="00021050" w:rsidRPr="00021050" w:rsidRDefault="003515B0" w:rsidP="004D24A1">
      <w:pPr>
        <w:overflowPunct w:val="0"/>
        <w:autoSpaceDE w:val="0"/>
        <w:autoSpaceDN w:val="0"/>
        <w:adjustRightInd w:val="0"/>
        <w:spacing w:after="0"/>
        <w:ind w:left="567" w:hanging="477"/>
        <w:jc w:val="both"/>
        <w:textAlignment w:val="baseline"/>
        <w:rPr>
          <w:rFonts w:ascii="Times New Roman" w:eastAsia="Times New Roman" w:hAnsi="Times New Roman"/>
          <w:bCs/>
          <w:iCs/>
          <w:sz w:val="28"/>
          <w:szCs w:val="28"/>
        </w:rPr>
      </w:pPr>
      <w:r w:rsidRPr="00846F18">
        <w:rPr>
          <w:noProof/>
          <w:lang w:eastAsia="bg-BG"/>
        </w:rPr>
        <w:lastRenderedPageBreak/>
        <w:drawing>
          <wp:inline distT="0" distB="0" distL="0" distR="0" wp14:anchorId="5593E080" wp14:editId="4E22C946">
            <wp:extent cx="5621655" cy="2655570"/>
            <wp:effectExtent l="0" t="0" r="17145" b="11430"/>
            <wp:docPr id="4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21050" w:rsidRPr="00021050" w:rsidRDefault="00021050" w:rsidP="004D24A1">
      <w:pPr>
        <w:overflowPunct w:val="0"/>
        <w:autoSpaceDE w:val="0"/>
        <w:autoSpaceDN w:val="0"/>
        <w:adjustRightInd w:val="0"/>
        <w:spacing w:after="0"/>
        <w:ind w:left="567" w:firstLine="141"/>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 </w:t>
      </w:r>
    </w:p>
    <w:p w:rsidR="00021050" w:rsidRPr="00021050" w:rsidRDefault="003515B0" w:rsidP="004D24A1">
      <w:pPr>
        <w:overflowPunct w:val="0"/>
        <w:autoSpaceDE w:val="0"/>
        <w:autoSpaceDN w:val="0"/>
        <w:adjustRightInd w:val="0"/>
        <w:spacing w:after="0"/>
        <w:ind w:left="567" w:hanging="477"/>
        <w:jc w:val="both"/>
        <w:textAlignment w:val="baseline"/>
        <w:rPr>
          <w:rFonts w:ascii="Times New Roman" w:eastAsia="Times New Roman" w:hAnsi="Times New Roman"/>
          <w:bCs/>
          <w:iCs/>
          <w:sz w:val="28"/>
          <w:szCs w:val="28"/>
        </w:rPr>
      </w:pPr>
      <w:r w:rsidRPr="00846F18">
        <w:rPr>
          <w:noProof/>
          <w:lang w:eastAsia="bg-BG"/>
        </w:rPr>
        <w:drawing>
          <wp:inline distT="0" distB="0" distL="0" distR="0" wp14:anchorId="16562EFA" wp14:editId="4C19AC74">
            <wp:extent cx="5621655" cy="2655570"/>
            <wp:effectExtent l="0" t="0" r="17145" b="11430"/>
            <wp:docPr id="6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r w:rsidRPr="00021050">
        <w:rPr>
          <w:rFonts w:ascii="Times New Roman" w:eastAsia="Times New Roman" w:hAnsi="Times New Roman"/>
          <w:bCs/>
          <w:iCs/>
          <w:sz w:val="28"/>
          <w:szCs w:val="28"/>
        </w:rPr>
        <w:t xml:space="preserve">Средната натовареност на прокурор от </w:t>
      </w:r>
      <w:r w:rsidRPr="00021050">
        <w:rPr>
          <w:rFonts w:ascii="Times New Roman" w:eastAsia="Times New Roman" w:hAnsi="Times New Roman"/>
          <w:b/>
          <w:bCs/>
          <w:iCs/>
          <w:sz w:val="28"/>
          <w:szCs w:val="28"/>
        </w:rPr>
        <w:t>Софийска градска прокуратура за 202</w:t>
      </w:r>
      <w:r w:rsidR="0081463D">
        <w:rPr>
          <w:rFonts w:ascii="Times New Roman" w:eastAsia="Times New Roman" w:hAnsi="Times New Roman"/>
          <w:b/>
          <w:bCs/>
          <w:iCs/>
          <w:sz w:val="28"/>
          <w:szCs w:val="28"/>
        </w:rPr>
        <w:t>1</w:t>
      </w:r>
      <w:r w:rsidRPr="00021050">
        <w:rPr>
          <w:rFonts w:ascii="Times New Roman" w:eastAsia="Times New Roman" w:hAnsi="Times New Roman"/>
          <w:b/>
          <w:bCs/>
          <w:iCs/>
          <w:sz w:val="28"/>
          <w:szCs w:val="28"/>
        </w:rPr>
        <w:t xml:space="preserve"> г. като брой актове е 2,</w:t>
      </w:r>
      <w:r w:rsidR="0081463D">
        <w:rPr>
          <w:rFonts w:ascii="Times New Roman" w:eastAsia="Times New Roman" w:hAnsi="Times New Roman"/>
          <w:b/>
          <w:bCs/>
          <w:iCs/>
          <w:sz w:val="28"/>
          <w:szCs w:val="28"/>
        </w:rPr>
        <w:t>57</w:t>
      </w:r>
      <w:r w:rsidRPr="00021050">
        <w:rPr>
          <w:rFonts w:ascii="Times New Roman" w:eastAsia="Times New Roman" w:hAnsi="Times New Roman"/>
          <w:b/>
          <w:bCs/>
          <w:iCs/>
          <w:sz w:val="28"/>
          <w:szCs w:val="28"/>
        </w:rPr>
        <w:t xml:space="preserve">  или 1,</w:t>
      </w:r>
      <w:r w:rsidR="0081463D">
        <w:rPr>
          <w:rFonts w:ascii="Times New Roman" w:eastAsia="Times New Roman" w:hAnsi="Times New Roman"/>
          <w:b/>
          <w:bCs/>
          <w:iCs/>
          <w:sz w:val="28"/>
          <w:szCs w:val="28"/>
        </w:rPr>
        <w:t>21</w:t>
      </w:r>
      <w:r w:rsidRPr="00021050">
        <w:rPr>
          <w:rFonts w:ascii="Times New Roman" w:eastAsia="Times New Roman" w:hAnsi="Times New Roman"/>
          <w:b/>
          <w:bCs/>
          <w:iCs/>
          <w:sz w:val="28"/>
          <w:szCs w:val="28"/>
        </w:rPr>
        <w:t xml:space="preserve">  брой точки, </w:t>
      </w:r>
      <w:r w:rsidRPr="00021050">
        <w:rPr>
          <w:rFonts w:ascii="Times New Roman" w:eastAsia="Times New Roman" w:hAnsi="Times New Roman"/>
          <w:bCs/>
          <w:iCs/>
          <w:sz w:val="28"/>
          <w:szCs w:val="28"/>
        </w:rPr>
        <w:t>за 2019 г. като брой актове е 3 или 1</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брой точки, а</w:t>
      </w:r>
      <w:r w:rsidRPr="00021050">
        <w:rPr>
          <w:rFonts w:ascii="Times New Roman" w:eastAsia="Times New Roman" w:hAnsi="Times New Roman"/>
          <w:b/>
          <w:bCs/>
          <w:iCs/>
          <w:sz w:val="28"/>
          <w:szCs w:val="28"/>
        </w:rPr>
        <w:t xml:space="preserve"> </w:t>
      </w:r>
      <w:r w:rsidRPr="00021050">
        <w:rPr>
          <w:rFonts w:ascii="Times New Roman" w:eastAsia="Times New Roman" w:hAnsi="Times New Roman"/>
          <w:bCs/>
          <w:iCs/>
          <w:sz w:val="28"/>
          <w:szCs w:val="28"/>
        </w:rPr>
        <w:t>за 2020 г като брой актове е 2,62  или 1,17  брой точки. При отчитането се взема предвид общия брой актове/точки на действително отработени дни на прокурор.</w:t>
      </w:r>
    </w:p>
    <w:p w:rsidR="00021050" w:rsidRPr="00021050" w:rsidRDefault="00021050" w:rsidP="004D24A1">
      <w:pPr>
        <w:overflowPunct w:val="0"/>
        <w:autoSpaceDE w:val="0"/>
        <w:autoSpaceDN w:val="0"/>
        <w:adjustRightInd w:val="0"/>
        <w:spacing w:after="0"/>
        <w:ind w:firstLine="709"/>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Cs/>
          <w:iCs/>
          <w:color w:val="000000"/>
          <w:sz w:val="28"/>
          <w:szCs w:val="28"/>
        </w:rPr>
        <w:t>За 2021 г., при отчитане на общия брой актове/точки на действително отработени дни на прокурор, средната  натовареност на прокурор от района на СГП е както следва:</w:t>
      </w:r>
    </w:p>
    <w:p w:rsidR="00021050" w:rsidRPr="00021050" w:rsidRDefault="00021050" w:rsidP="004D24A1">
      <w:pPr>
        <w:overflowPunct w:val="0"/>
        <w:autoSpaceDE w:val="0"/>
        <w:autoSpaceDN w:val="0"/>
        <w:adjustRightInd w:val="0"/>
        <w:spacing w:after="0"/>
        <w:ind w:left="708" w:firstLine="1"/>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
          <w:bCs/>
          <w:iCs/>
          <w:color w:val="000000"/>
          <w:sz w:val="28"/>
          <w:szCs w:val="28"/>
        </w:rPr>
        <w:t xml:space="preserve">СГП </w:t>
      </w:r>
      <w:r w:rsidRPr="00021050">
        <w:rPr>
          <w:rFonts w:ascii="Times New Roman" w:eastAsia="Times New Roman" w:hAnsi="Times New Roman"/>
          <w:bCs/>
          <w:iCs/>
          <w:color w:val="000000"/>
          <w:sz w:val="28"/>
          <w:szCs w:val="28"/>
        </w:rPr>
        <w:t xml:space="preserve">- като брой актове е </w:t>
      </w:r>
      <w:r w:rsidRPr="00021050">
        <w:rPr>
          <w:rFonts w:ascii="Times New Roman" w:eastAsia="Times New Roman" w:hAnsi="Times New Roman"/>
          <w:b/>
          <w:bCs/>
          <w:iCs/>
          <w:color w:val="000000"/>
          <w:sz w:val="28"/>
          <w:szCs w:val="28"/>
        </w:rPr>
        <w:t>2,57</w:t>
      </w:r>
      <w:r w:rsidRPr="00021050">
        <w:rPr>
          <w:rFonts w:ascii="Times New Roman" w:eastAsia="Times New Roman" w:hAnsi="Times New Roman"/>
          <w:bCs/>
          <w:iCs/>
          <w:color w:val="000000"/>
          <w:sz w:val="28"/>
          <w:szCs w:val="28"/>
        </w:rPr>
        <w:t xml:space="preserve">  или </w:t>
      </w:r>
      <w:r w:rsidRPr="00021050">
        <w:rPr>
          <w:rFonts w:ascii="Times New Roman" w:eastAsia="Times New Roman" w:hAnsi="Times New Roman"/>
          <w:b/>
          <w:bCs/>
          <w:iCs/>
          <w:color w:val="000000"/>
          <w:sz w:val="28"/>
          <w:szCs w:val="28"/>
        </w:rPr>
        <w:t>1,21  брой точки</w:t>
      </w:r>
      <w:r w:rsidRPr="00021050">
        <w:rPr>
          <w:rFonts w:ascii="Times New Roman" w:eastAsia="Times New Roman" w:hAnsi="Times New Roman"/>
          <w:bCs/>
          <w:iCs/>
          <w:color w:val="000000"/>
          <w:sz w:val="28"/>
          <w:szCs w:val="28"/>
        </w:rPr>
        <w:t>.</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Cs/>
          <w:iCs/>
          <w:color w:val="000000"/>
          <w:sz w:val="28"/>
          <w:szCs w:val="28"/>
        </w:rPr>
        <w:t>През 2019 г. като брой актове е 3 или 1  брой точки, а за 2020 г. като брой актове е 2,62  или 1,17  брой точки;</w:t>
      </w:r>
    </w:p>
    <w:p w:rsidR="00021050" w:rsidRPr="00021050" w:rsidRDefault="00021050" w:rsidP="004D24A1">
      <w:pPr>
        <w:overflowPunct w:val="0"/>
        <w:autoSpaceDE w:val="0"/>
        <w:autoSpaceDN w:val="0"/>
        <w:adjustRightInd w:val="0"/>
        <w:spacing w:after="0"/>
        <w:ind w:left="708" w:firstLine="1"/>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
          <w:bCs/>
          <w:iCs/>
          <w:color w:val="000000"/>
          <w:sz w:val="28"/>
          <w:szCs w:val="28"/>
        </w:rPr>
        <w:t>СРП</w:t>
      </w:r>
      <w:r w:rsidRPr="00021050">
        <w:rPr>
          <w:rFonts w:ascii="Times New Roman" w:eastAsia="Times New Roman" w:hAnsi="Times New Roman"/>
          <w:bCs/>
          <w:iCs/>
          <w:color w:val="000000"/>
          <w:sz w:val="28"/>
          <w:szCs w:val="28"/>
        </w:rPr>
        <w:t xml:space="preserve"> – като брой актове е </w:t>
      </w:r>
      <w:r w:rsidRPr="00021050">
        <w:rPr>
          <w:rFonts w:ascii="Times New Roman" w:eastAsia="Times New Roman" w:hAnsi="Times New Roman"/>
          <w:b/>
          <w:bCs/>
          <w:iCs/>
          <w:color w:val="000000"/>
          <w:sz w:val="28"/>
          <w:szCs w:val="28"/>
        </w:rPr>
        <w:t>5</w:t>
      </w:r>
      <w:r w:rsidRPr="00021050">
        <w:rPr>
          <w:rFonts w:ascii="Times New Roman" w:eastAsia="Times New Roman" w:hAnsi="Times New Roman"/>
          <w:b/>
          <w:bCs/>
          <w:iCs/>
          <w:color w:val="000000"/>
          <w:sz w:val="28"/>
          <w:szCs w:val="28"/>
          <w:lang w:val="en-US"/>
        </w:rPr>
        <w:t>,</w:t>
      </w:r>
      <w:r w:rsidRPr="00021050">
        <w:rPr>
          <w:rFonts w:ascii="Times New Roman" w:eastAsia="Times New Roman" w:hAnsi="Times New Roman"/>
          <w:b/>
          <w:bCs/>
          <w:iCs/>
          <w:color w:val="000000"/>
          <w:sz w:val="28"/>
          <w:szCs w:val="28"/>
        </w:rPr>
        <w:t>7</w:t>
      </w:r>
      <w:r w:rsidRPr="00021050">
        <w:rPr>
          <w:rFonts w:ascii="Times New Roman" w:eastAsia="Times New Roman" w:hAnsi="Times New Roman"/>
          <w:bCs/>
          <w:iCs/>
          <w:color w:val="000000"/>
          <w:sz w:val="28"/>
          <w:szCs w:val="28"/>
        </w:rPr>
        <w:t xml:space="preserve"> или </w:t>
      </w:r>
      <w:r w:rsidRPr="00021050">
        <w:rPr>
          <w:rFonts w:ascii="Times New Roman" w:eastAsia="Times New Roman" w:hAnsi="Times New Roman"/>
          <w:b/>
          <w:bCs/>
          <w:iCs/>
          <w:color w:val="000000"/>
          <w:sz w:val="28"/>
          <w:szCs w:val="28"/>
        </w:rPr>
        <w:t>2</w:t>
      </w:r>
      <w:r w:rsidRPr="00021050">
        <w:rPr>
          <w:rFonts w:ascii="Times New Roman" w:eastAsia="Times New Roman" w:hAnsi="Times New Roman"/>
          <w:b/>
          <w:bCs/>
          <w:iCs/>
          <w:color w:val="000000"/>
          <w:sz w:val="28"/>
          <w:szCs w:val="28"/>
          <w:lang w:val="en-US"/>
        </w:rPr>
        <w:t>,</w:t>
      </w:r>
      <w:r w:rsidRPr="00021050">
        <w:rPr>
          <w:rFonts w:ascii="Times New Roman" w:eastAsia="Times New Roman" w:hAnsi="Times New Roman"/>
          <w:b/>
          <w:bCs/>
          <w:iCs/>
          <w:color w:val="000000"/>
          <w:sz w:val="28"/>
          <w:szCs w:val="28"/>
        </w:rPr>
        <w:t>9 брой точки</w:t>
      </w:r>
      <w:r w:rsidRPr="00021050">
        <w:rPr>
          <w:rFonts w:ascii="Times New Roman" w:eastAsia="Times New Roman" w:hAnsi="Times New Roman"/>
          <w:bCs/>
          <w:iCs/>
          <w:color w:val="000000"/>
          <w:sz w:val="28"/>
          <w:szCs w:val="28"/>
        </w:rPr>
        <w:t xml:space="preserve">. </w:t>
      </w:r>
    </w:p>
    <w:p w:rsidR="00021050" w:rsidRPr="00021050" w:rsidRDefault="00021050" w:rsidP="004D24A1">
      <w:pPr>
        <w:overflowPunct w:val="0"/>
        <w:autoSpaceDE w:val="0"/>
        <w:autoSpaceDN w:val="0"/>
        <w:adjustRightInd w:val="0"/>
        <w:spacing w:after="0"/>
        <w:ind w:firstLine="708"/>
        <w:jc w:val="both"/>
        <w:textAlignment w:val="baseline"/>
        <w:rPr>
          <w:rFonts w:ascii="Times New Roman" w:eastAsia="Times New Roman" w:hAnsi="Times New Roman"/>
          <w:bCs/>
          <w:iCs/>
          <w:color w:val="000000"/>
          <w:sz w:val="28"/>
          <w:szCs w:val="28"/>
        </w:rPr>
      </w:pPr>
      <w:r w:rsidRPr="00021050">
        <w:rPr>
          <w:rFonts w:ascii="Times New Roman" w:eastAsia="Times New Roman" w:hAnsi="Times New Roman"/>
          <w:bCs/>
          <w:iCs/>
          <w:color w:val="000000"/>
          <w:sz w:val="28"/>
          <w:szCs w:val="28"/>
        </w:rPr>
        <w:t>През 2019 г. като брой актове е 6 или 3 брой точки, а през 2020 г.- 6,85 акта  или 3,5 брой точки;</w:t>
      </w:r>
    </w:p>
    <w:p w:rsidR="00021050" w:rsidRPr="00021050" w:rsidRDefault="003515B0" w:rsidP="004D24A1">
      <w:pPr>
        <w:overflowPunct w:val="0"/>
        <w:autoSpaceDE w:val="0"/>
        <w:autoSpaceDN w:val="0"/>
        <w:adjustRightInd w:val="0"/>
        <w:spacing w:after="0"/>
        <w:ind w:left="90"/>
        <w:jc w:val="both"/>
        <w:textAlignment w:val="baseline"/>
        <w:rPr>
          <w:rFonts w:ascii="Times New Roman" w:eastAsia="Times New Roman" w:hAnsi="Times New Roman"/>
          <w:bCs/>
          <w:iCs/>
          <w:sz w:val="28"/>
          <w:szCs w:val="28"/>
        </w:rPr>
      </w:pPr>
      <w:r w:rsidRPr="00846F18">
        <w:rPr>
          <w:noProof/>
          <w:lang w:eastAsia="bg-BG"/>
        </w:rPr>
        <w:lastRenderedPageBreak/>
        <w:drawing>
          <wp:inline distT="0" distB="0" distL="0" distR="0" wp14:anchorId="251864BF" wp14:editId="19D11127">
            <wp:extent cx="5701030" cy="2655570"/>
            <wp:effectExtent l="0" t="0" r="13970" b="11430"/>
            <wp:docPr id="4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21050" w:rsidRPr="00021050" w:rsidRDefault="00021050" w:rsidP="004D24A1">
      <w:pPr>
        <w:overflowPunct w:val="0"/>
        <w:autoSpaceDE w:val="0"/>
        <w:autoSpaceDN w:val="0"/>
        <w:adjustRightInd w:val="0"/>
        <w:spacing w:after="0"/>
        <w:ind w:left="708" w:firstLine="1"/>
        <w:jc w:val="both"/>
        <w:textAlignment w:val="baseline"/>
        <w:rPr>
          <w:rFonts w:ascii="Times New Roman" w:eastAsia="Times New Roman" w:hAnsi="Times New Roman"/>
          <w:bCs/>
          <w:iCs/>
          <w:sz w:val="28"/>
          <w:szCs w:val="28"/>
        </w:rPr>
      </w:pPr>
    </w:p>
    <w:p w:rsidR="00021050" w:rsidRPr="00021050" w:rsidRDefault="003515B0" w:rsidP="004D24A1">
      <w:pPr>
        <w:overflowPunct w:val="0"/>
        <w:autoSpaceDE w:val="0"/>
        <w:autoSpaceDN w:val="0"/>
        <w:adjustRightInd w:val="0"/>
        <w:spacing w:after="0"/>
        <w:ind w:left="708" w:hanging="618"/>
        <w:jc w:val="both"/>
        <w:textAlignment w:val="baseline"/>
        <w:rPr>
          <w:rFonts w:ascii="Times New Roman" w:eastAsia="Times New Roman" w:hAnsi="Times New Roman"/>
          <w:bCs/>
          <w:iCs/>
          <w:sz w:val="28"/>
          <w:szCs w:val="28"/>
        </w:rPr>
      </w:pPr>
      <w:r w:rsidRPr="00846F18">
        <w:rPr>
          <w:noProof/>
          <w:lang w:eastAsia="bg-BG"/>
        </w:rPr>
        <w:drawing>
          <wp:inline distT="0" distB="0" distL="0" distR="0" wp14:anchorId="0354EC10" wp14:editId="78749665">
            <wp:extent cx="5764530" cy="2655570"/>
            <wp:effectExtent l="0" t="0" r="7620" b="11430"/>
            <wp:docPr id="65"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21050" w:rsidRDefault="00021050" w:rsidP="004D24A1">
      <w:pPr>
        <w:overflowPunct w:val="0"/>
        <w:autoSpaceDE w:val="0"/>
        <w:autoSpaceDN w:val="0"/>
        <w:adjustRightInd w:val="0"/>
        <w:spacing w:after="0"/>
        <w:ind w:left="708" w:firstLine="1"/>
        <w:jc w:val="both"/>
        <w:textAlignment w:val="baseline"/>
        <w:rPr>
          <w:rFonts w:ascii="Times New Roman" w:eastAsia="Times New Roman" w:hAnsi="Times New Roman"/>
          <w:bCs/>
          <w:iCs/>
          <w:sz w:val="28"/>
          <w:szCs w:val="28"/>
        </w:rPr>
      </w:pPr>
    </w:p>
    <w:p w:rsidR="003F1B73" w:rsidRDefault="003F1B73" w:rsidP="004D24A1">
      <w:pPr>
        <w:overflowPunct w:val="0"/>
        <w:autoSpaceDE w:val="0"/>
        <w:autoSpaceDN w:val="0"/>
        <w:adjustRightInd w:val="0"/>
        <w:spacing w:after="0"/>
        <w:ind w:firstLine="709"/>
        <w:jc w:val="both"/>
        <w:textAlignment w:val="baseline"/>
        <w:rPr>
          <w:rFonts w:ascii="Times New Roman" w:eastAsia="Times New Roman" w:hAnsi="Times New Roman"/>
          <w:b/>
          <w:iCs/>
          <w:sz w:val="28"/>
          <w:szCs w:val="28"/>
        </w:rPr>
      </w:pPr>
      <w:r w:rsidRPr="00A47F7A">
        <w:rPr>
          <w:rFonts w:ascii="Times New Roman" w:eastAsia="Times New Roman" w:hAnsi="Times New Roman"/>
          <w:b/>
          <w:iCs/>
          <w:sz w:val="28"/>
          <w:szCs w:val="28"/>
        </w:rPr>
        <w:t>При отчитане на  натовареността на прокурорите по приетите от ВСС Правила за измерване натовареността на прокуратурите и на индивидуалната натовареност на всеки прокурор и следовател данните се извеждат от Унифицираната информационна система на ПРБ и включват всички актове</w:t>
      </w:r>
      <w:r>
        <w:rPr>
          <w:rFonts w:ascii="Times New Roman" w:eastAsia="Times New Roman" w:hAnsi="Times New Roman"/>
          <w:b/>
          <w:iCs/>
          <w:sz w:val="28"/>
          <w:szCs w:val="28"/>
        </w:rPr>
        <w:t xml:space="preserve"> </w:t>
      </w:r>
      <w:r w:rsidRPr="00A47F7A">
        <w:rPr>
          <w:rFonts w:ascii="Times New Roman" w:eastAsia="Times New Roman" w:hAnsi="Times New Roman"/>
          <w:b/>
          <w:iCs/>
          <w:sz w:val="28"/>
          <w:szCs w:val="28"/>
        </w:rPr>
        <w:t>/действия по броими показатели, отчетени в УИС/</w:t>
      </w:r>
      <w:r>
        <w:rPr>
          <w:rFonts w:ascii="Times New Roman" w:eastAsia="Times New Roman" w:hAnsi="Times New Roman"/>
          <w:b/>
          <w:iCs/>
          <w:sz w:val="28"/>
          <w:szCs w:val="28"/>
        </w:rPr>
        <w:t xml:space="preserve"> и относно магистратите от Следствения отдел при Софийска градска прокуратура, обобщено следва да се посочат коефициент 10956,1, брой действия 47741, утежняващ коефициент 3,39 и общ коефицент 0,55.</w:t>
      </w:r>
    </w:p>
    <w:p w:rsidR="003F1B73" w:rsidRPr="00021050" w:rsidRDefault="003F1B73" w:rsidP="004D24A1">
      <w:pPr>
        <w:overflowPunct w:val="0"/>
        <w:autoSpaceDE w:val="0"/>
        <w:autoSpaceDN w:val="0"/>
        <w:adjustRightInd w:val="0"/>
        <w:spacing w:after="0"/>
        <w:ind w:left="708" w:firstLine="1"/>
        <w:jc w:val="both"/>
        <w:textAlignment w:val="baseline"/>
        <w:rPr>
          <w:rFonts w:ascii="Times New Roman" w:eastAsia="Times New Roman" w:hAnsi="Times New Roman"/>
          <w:bCs/>
          <w:iCs/>
          <w:sz w:val="28"/>
          <w:szCs w:val="28"/>
        </w:rPr>
      </w:pPr>
    </w:p>
    <w:p w:rsidR="00021050" w:rsidRPr="00021050" w:rsidRDefault="00021050" w:rsidP="004D24A1">
      <w:pPr>
        <w:overflowPunct w:val="0"/>
        <w:autoSpaceDE w:val="0"/>
        <w:autoSpaceDN w:val="0"/>
        <w:adjustRightInd w:val="0"/>
        <w:spacing w:after="0"/>
        <w:jc w:val="both"/>
        <w:textAlignment w:val="baseline"/>
        <w:rPr>
          <w:rFonts w:ascii="Times New Roman" w:eastAsia="Times New Roman" w:hAnsi="Times New Roman"/>
          <w:bCs/>
          <w:iCs/>
          <w:sz w:val="28"/>
          <w:szCs w:val="28"/>
        </w:rPr>
      </w:pPr>
    </w:p>
    <w:p w:rsid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p>
    <w:p w:rsidR="00B91F2B" w:rsidRDefault="00B91F2B" w:rsidP="004D24A1">
      <w:pPr>
        <w:overflowPunct w:val="0"/>
        <w:autoSpaceDE w:val="0"/>
        <w:autoSpaceDN w:val="0"/>
        <w:adjustRightInd w:val="0"/>
        <w:spacing w:after="0"/>
        <w:jc w:val="center"/>
        <w:rPr>
          <w:rFonts w:ascii="Times New Roman" w:eastAsia="Times New Roman" w:hAnsi="Times New Roman"/>
          <w:b/>
          <w:sz w:val="28"/>
          <w:szCs w:val="28"/>
        </w:rPr>
      </w:pPr>
    </w:p>
    <w:p w:rsidR="00B91F2B" w:rsidRDefault="00B91F2B" w:rsidP="004D24A1">
      <w:pPr>
        <w:overflowPunct w:val="0"/>
        <w:autoSpaceDE w:val="0"/>
        <w:autoSpaceDN w:val="0"/>
        <w:adjustRightInd w:val="0"/>
        <w:spacing w:after="0"/>
        <w:jc w:val="center"/>
        <w:rPr>
          <w:rFonts w:ascii="Times New Roman" w:eastAsia="Times New Roman" w:hAnsi="Times New Roman"/>
          <w:b/>
          <w:sz w:val="28"/>
          <w:szCs w:val="28"/>
        </w:rPr>
      </w:pPr>
    </w:p>
    <w:p w:rsidR="000B075D" w:rsidRPr="000B075D" w:rsidRDefault="000B075D" w:rsidP="004D24A1">
      <w:pPr>
        <w:overflowPunct w:val="0"/>
        <w:autoSpaceDE w:val="0"/>
        <w:autoSpaceDN w:val="0"/>
        <w:adjustRightInd w:val="0"/>
        <w:spacing w:after="0"/>
        <w:jc w:val="center"/>
        <w:rPr>
          <w:rFonts w:ascii="Times New Roman" w:eastAsia="Times New Roman" w:hAnsi="Times New Roman"/>
          <w:b/>
          <w:sz w:val="28"/>
          <w:szCs w:val="28"/>
        </w:rPr>
      </w:pPr>
      <w:r w:rsidRPr="000B075D">
        <w:rPr>
          <w:rFonts w:ascii="Times New Roman" w:eastAsia="Times New Roman" w:hAnsi="Times New Roman"/>
          <w:b/>
          <w:sz w:val="28"/>
          <w:szCs w:val="28"/>
        </w:rPr>
        <w:lastRenderedPageBreak/>
        <w:t xml:space="preserve">РАЗДЕЛ </w:t>
      </w:r>
      <w:r w:rsidRPr="000B075D">
        <w:rPr>
          <w:rFonts w:ascii="Times New Roman" w:eastAsia="Times New Roman" w:hAnsi="Times New Roman"/>
          <w:b/>
          <w:sz w:val="28"/>
          <w:szCs w:val="28"/>
          <w:lang w:val="en-US"/>
        </w:rPr>
        <w:t>IV</w:t>
      </w:r>
    </w:p>
    <w:p w:rsidR="000B075D" w:rsidRPr="000B075D" w:rsidRDefault="000B075D" w:rsidP="004D24A1">
      <w:pPr>
        <w:overflowPunct w:val="0"/>
        <w:autoSpaceDE w:val="0"/>
        <w:autoSpaceDN w:val="0"/>
        <w:adjustRightInd w:val="0"/>
        <w:spacing w:after="0"/>
        <w:jc w:val="center"/>
        <w:rPr>
          <w:rFonts w:ascii="Times New Roman" w:eastAsia="Times New Roman" w:hAnsi="Times New Roman"/>
          <w:b/>
          <w:sz w:val="28"/>
          <w:szCs w:val="28"/>
        </w:rPr>
      </w:pPr>
      <w:r w:rsidRPr="000B075D">
        <w:rPr>
          <w:rFonts w:ascii="Times New Roman" w:eastAsia="Times New Roman" w:hAnsi="Times New Roman"/>
          <w:b/>
          <w:sz w:val="28"/>
          <w:szCs w:val="28"/>
        </w:rPr>
        <w:t>АДМИНИСТРАТИВНО-СЪДЕБЕН НАДЗОР И НАДЗОР ЗА ЗАКОННОСТ</w:t>
      </w:r>
    </w:p>
    <w:p w:rsidR="000B075D" w:rsidRPr="000B075D" w:rsidRDefault="000B075D" w:rsidP="004D24A1">
      <w:pPr>
        <w:overflowPunct w:val="0"/>
        <w:autoSpaceDE w:val="0"/>
        <w:autoSpaceDN w:val="0"/>
        <w:adjustRightInd w:val="0"/>
        <w:spacing w:after="0"/>
        <w:jc w:val="center"/>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rPr>
          <w:rFonts w:ascii="Times New Roman" w:eastAsia="Times New Roman" w:hAnsi="Times New Roman"/>
          <w:b/>
          <w:sz w:val="28"/>
          <w:szCs w:val="28"/>
        </w:rPr>
      </w:pPr>
      <w:r w:rsidRPr="000B075D">
        <w:rPr>
          <w:rFonts w:ascii="Times New Roman" w:eastAsia="Times New Roman" w:hAnsi="Times New Roman"/>
          <w:b/>
          <w:sz w:val="28"/>
          <w:szCs w:val="28"/>
        </w:rPr>
        <w:t xml:space="preserve">I. ДЕЙНОСТ НА ТЕРИТОРИАЛНИТЕ ПРОКУРАТУРИ </w:t>
      </w:r>
    </w:p>
    <w:p w:rsidR="000B075D" w:rsidRPr="000B075D" w:rsidRDefault="000B075D" w:rsidP="004D24A1">
      <w:pPr>
        <w:overflowPunct w:val="0"/>
        <w:autoSpaceDE w:val="0"/>
        <w:autoSpaceDN w:val="0"/>
        <w:adjustRightInd w:val="0"/>
        <w:spacing w:after="0"/>
        <w:ind w:firstLine="709"/>
        <w:jc w:val="both"/>
        <w:rPr>
          <w:rFonts w:ascii="Times New Roman" w:eastAsia="Times New Roman" w:hAnsi="Times New Roman"/>
          <w:b/>
          <w:sz w:val="28"/>
          <w:szCs w:val="28"/>
        </w:rPr>
      </w:pPr>
    </w:p>
    <w:p w:rsidR="000B075D" w:rsidRPr="000B075D" w:rsidRDefault="000B075D" w:rsidP="004D24A1">
      <w:pPr>
        <w:autoSpaceDN w:val="0"/>
        <w:spacing w:after="0"/>
        <w:ind w:firstLine="709"/>
        <w:jc w:val="both"/>
        <w:rPr>
          <w:rFonts w:ascii="Times New Roman" w:eastAsia="Times New Roman" w:hAnsi="Times New Roman"/>
          <w:sz w:val="28"/>
          <w:szCs w:val="28"/>
          <w:lang w:eastAsia="bg-BG"/>
        </w:rPr>
      </w:pPr>
      <w:r w:rsidRPr="000B075D">
        <w:rPr>
          <w:rFonts w:ascii="Times New Roman" w:eastAsia="Times New Roman" w:hAnsi="Times New Roman"/>
          <w:sz w:val="28"/>
          <w:szCs w:val="28"/>
          <w:lang w:eastAsia="bg-BG"/>
        </w:rPr>
        <w:t xml:space="preserve">Дейността на прокурорите от отдел </w:t>
      </w:r>
      <w:r w:rsidRPr="000B075D">
        <w:rPr>
          <w:rFonts w:ascii="Times New Roman" w:eastAsia="Times New Roman" w:hAnsi="Times New Roman"/>
          <w:sz w:val="28"/>
          <w:szCs w:val="28"/>
          <w:lang w:val="en-US" w:eastAsia="bg-BG"/>
        </w:rPr>
        <w:t xml:space="preserve">„Гражданско-съдебен надзор, административно-съдебен надзор и надзор за законност” в Софийска градска прокуратура и отдел „Надзор за законност и </w:t>
      </w:r>
      <w:r w:rsidRPr="000B075D">
        <w:rPr>
          <w:rFonts w:ascii="Times New Roman" w:eastAsia="Times New Roman" w:hAnsi="Times New Roman"/>
          <w:sz w:val="28"/>
          <w:szCs w:val="28"/>
          <w:lang w:eastAsia="bg-BG"/>
        </w:rPr>
        <w:t>административно</w:t>
      </w:r>
      <w:r w:rsidRPr="000B075D">
        <w:rPr>
          <w:rFonts w:ascii="Times New Roman" w:eastAsia="Times New Roman" w:hAnsi="Times New Roman"/>
          <w:sz w:val="28"/>
          <w:szCs w:val="28"/>
          <w:lang w:val="en-US" w:eastAsia="bg-BG"/>
        </w:rPr>
        <w:t>-съдебен надзор“ в С</w:t>
      </w:r>
      <w:r w:rsidRPr="000B075D">
        <w:rPr>
          <w:rFonts w:ascii="Times New Roman" w:eastAsia="Times New Roman" w:hAnsi="Times New Roman"/>
          <w:sz w:val="28"/>
          <w:szCs w:val="28"/>
          <w:lang w:eastAsia="bg-BG"/>
        </w:rPr>
        <w:t xml:space="preserve">офийска районна прокуратура е насочена към разкриването и отстраняването на закононарушения в дейността на органите на държавното и общинско управление, държавна и общинска администрация, специализирани и контролни органи. Прокурорите срочно и качествено изпълняват поставените им задачи в плана за дейността на съответната прокуратура по реда на надзора за законност. Реализират проверки чрез метода на самосезиране  по изнесени </w:t>
      </w:r>
      <w:r w:rsidRPr="000B075D">
        <w:rPr>
          <w:rFonts w:ascii="Times New Roman" w:eastAsia="Times New Roman" w:hAnsi="Times New Roman" w:hint="eastAsia"/>
          <w:sz w:val="28"/>
          <w:szCs w:val="28"/>
          <w:lang w:eastAsia="bg-BG"/>
        </w:rPr>
        <w:t>в</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средствата</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за</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масово</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осведомяване</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данни</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за</w:t>
      </w:r>
      <w:r w:rsidRPr="000B075D">
        <w:rPr>
          <w:rFonts w:ascii="Times New Roman" w:eastAsia="Times New Roman" w:hAnsi="Times New Roman"/>
          <w:sz w:val="28"/>
          <w:szCs w:val="28"/>
          <w:lang w:eastAsia="bg-BG"/>
        </w:rPr>
        <w:t xml:space="preserve"> </w:t>
      </w:r>
      <w:r w:rsidRPr="000B075D">
        <w:rPr>
          <w:rFonts w:ascii="Times New Roman" w:eastAsia="Times New Roman" w:hAnsi="Times New Roman" w:hint="eastAsia"/>
          <w:sz w:val="28"/>
          <w:szCs w:val="28"/>
          <w:lang w:eastAsia="bg-BG"/>
        </w:rPr>
        <w:t>закононарушения</w:t>
      </w:r>
      <w:r w:rsidRPr="000B075D">
        <w:rPr>
          <w:rFonts w:ascii="Times New Roman" w:eastAsia="Times New Roman" w:hAnsi="Times New Roman"/>
          <w:sz w:val="28"/>
          <w:szCs w:val="28"/>
          <w:lang w:eastAsia="bg-BG"/>
        </w:rPr>
        <w:t>.</w:t>
      </w:r>
    </w:p>
    <w:p w:rsidR="000B075D" w:rsidRPr="000B075D" w:rsidRDefault="000B075D" w:rsidP="004D24A1">
      <w:pPr>
        <w:autoSpaceDN w:val="0"/>
        <w:spacing w:after="0"/>
        <w:ind w:firstLine="709"/>
        <w:jc w:val="both"/>
        <w:rPr>
          <w:rFonts w:ascii="Times New Roman" w:eastAsia="Times New Roman" w:hAnsi="Times New Roman"/>
          <w:sz w:val="28"/>
          <w:szCs w:val="28"/>
          <w:lang w:eastAsia="bg-BG"/>
        </w:rPr>
      </w:pPr>
      <w:r w:rsidRPr="000B075D">
        <w:rPr>
          <w:rFonts w:ascii="Times New Roman" w:eastAsia="Times New Roman" w:hAnsi="Times New Roman"/>
          <w:sz w:val="28"/>
          <w:szCs w:val="28"/>
          <w:lang w:eastAsia="bg-BG"/>
        </w:rPr>
        <w:t xml:space="preserve">В отделите се осъществява дейност от една страна по разкриване и отстраняване на нарушения в дейността на органите на изпълнителната власт, засягащи важни държавни или обществени интереси, както и производства по дела свързани с правомощията на прокуратурата по отделните закони в сферата на административното право и от друга пряко участие в съдебния процес при разглеждане на конкретни дела в административен съд. </w:t>
      </w:r>
    </w:p>
    <w:p w:rsidR="000B075D" w:rsidRPr="000B075D" w:rsidRDefault="000B075D" w:rsidP="004D24A1">
      <w:pPr>
        <w:overflowPunct w:val="0"/>
        <w:autoSpaceDE w:val="0"/>
        <w:autoSpaceDN w:val="0"/>
        <w:adjustRightInd w:val="0"/>
        <w:spacing w:after="0"/>
        <w:ind w:firstLine="709"/>
        <w:jc w:val="both"/>
        <w:rPr>
          <w:rFonts w:ascii="Times New Roman" w:eastAsia="Times New Roman" w:hAnsi="Times New Roman"/>
          <w:b/>
          <w:sz w:val="28"/>
          <w:szCs w:val="28"/>
        </w:rPr>
      </w:pPr>
    </w:p>
    <w:p w:rsidR="000B075D" w:rsidRPr="000B075D" w:rsidRDefault="000B075D" w:rsidP="004D24A1">
      <w:pPr>
        <w:overflowPunct w:val="0"/>
        <w:autoSpaceDE w:val="0"/>
        <w:autoSpaceDN w:val="0"/>
        <w:adjustRightInd w:val="0"/>
        <w:spacing w:after="120"/>
        <w:jc w:val="both"/>
        <w:rPr>
          <w:rFonts w:ascii="Times New Roman" w:eastAsia="Times New Roman" w:hAnsi="Times New Roman"/>
          <w:b/>
          <w:sz w:val="28"/>
          <w:szCs w:val="28"/>
        </w:rPr>
      </w:pPr>
      <w:r w:rsidRPr="000B075D">
        <w:rPr>
          <w:rFonts w:ascii="Times New Roman" w:eastAsia="Times New Roman" w:hAnsi="Times New Roman"/>
          <w:b/>
          <w:sz w:val="28"/>
          <w:szCs w:val="28"/>
        </w:rPr>
        <w:tab/>
        <w:t xml:space="preserve">Кадрово обезпечаване, квалификация и натовареност на прокурорите, участие в съдебни заседания по административни дела.  </w:t>
      </w:r>
    </w:p>
    <w:p w:rsidR="000B075D" w:rsidRPr="000B075D" w:rsidRDefault="000B075D"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0B075D">
        <w:rPr>
          <w:rFonts w:ascii="Times New Roman" w:eastAsia="Times New Roman" w:hAnsi="Times New Roman"/>
          <w:sz w:val="28"/>
          <w:szCs w:val="28"/>
        </w:rPr>
        <w:t>През 20</w:t>
      </w:r>
      <w:r w:rsidRPr="000B075D">
        <w:rPr>
          <w:rFonts w:ascii="Times New Roman" w:eastAsia="Times New Roman" w:hAnsi="Times New Roman"/>
          <w:sz w:val="28"/>
          <w:szCs w:val="28"/>
          <w:lang w:val="en-US"/>
        </w:rPr>
        <w:t>2</w:t>
      </w:r>
      <w:r w:rsidRPr="000B075D">
        <w:rPr>
          <w:rFonts w:ascii="Times New Roman" w:eastAsia="Times New Roman" w:hAnsi="Times New Roman"/>
          <w:sz w:val="28"/>
          <w:szCs w:val="28"/>
        </w:rPr>
        <w:t xml:space="preserve">1 година по административно-съдебния надзор и по надзора за законност /АСН и НЗ/ в съдебния район на СГП /СГП и СРП/ </w:t>
      </w:r>
      <w:r w:rsidRPr="000B075D">
        <w:rPr>
          <w:rFonts w:ascii="Times New Roman" w:eastAsia="Times New Roman" w:hAnsi="Times New Roman"/>
          <w:sz w:val="28"/>
          <w:szCs w:val="28"/>
          <w:lang w:val="en-US"/>
        </w:rPr>
        <w:t>/</w:t>
      </w:r>
      <w:r w:rsidRPr="000B075D">
        <w:rPr>
          <w:rFonts w:ascii="Times New Roman" w:eastAsia="Times New Roman" w:hAnsi="Times New Roman"/>
          <w:sz w:val="28"/>
          <w:szCs w:val="28"/>
        </w:rPr>
        <w:t xml:space="preserve"> броят на прокурорите по щат е  18, като 16 от тях са реално работилите за отчетния период. За 2020 г. броят на прокурорите е бил 19,</w:t>
      </w:r>
      <w:r w:rsidRPr="000B075D">
        <w:rPr>
          <w:rFonts w:ascii="Times New Roman" w:eastAsia="Times New Roman" w:hAnsi="Times New Roman"/>
          <w:sz w:val="28"/>
          <w:szCs w:val="28"/>
          <w:lang w:val="en-US"/>
        </w:rPr>
        <w:t xml:space="preserve"> от които реално са работили 1</w:t>
      </w:r>
      <w:r w:rsidRPr="000B075D">
        <w:rPr>
          <w:rFonts w:ascii="Times New Roman" w:eastAsia="Times New Roman" w:hAnsi="Times New Roman"/>
          <w:sz w:val="28"/>
          <w:szCs w:val="28"/>
        </w:rPr>
        <w:t>9, а</w:t>
      </w:r>
      <w:r w:rsidRPr="000B075D">
        <w:rPr>
          <w:rFonts w:ascii="Times New Roman" w:eastAsia="Times New Roman" w:hAnsi="Times New Roman"/>
          <w:sz w:val="28"/>
          <w:szCs w:val="28"/>
          <w:lang w:val="en-US"/>
        </w:rPr>
        <w:t xml:space="preserve"> за 201</w:t>
      </w:r>
      <w:r w:rsidRPr="000B075D">
        <w:rPr>
          <w:rFonts w:ascii="Times New Roman" w:eastAsia="Times New Roman" w:hAnsi="Times New Roman"/>
          <w:sz w:val="28"/>
          <w:szCs w:val="28"/>
        </w:rPr>
        <w:t>9</w:t>
      </w:r>
      <w:r w:rsidRPr="000B075D">
        <w:rPr>
          <w:rFonts w:ascii="Times New Roman" w:eastAsia="Times New Roman" w:hAnsi="Times New Roman"/>
          <w:sz w:val="28"/>
          <w:szCs w:val="28"/>
          <w:lang w:val="en-US"/>
        </w:rPr>
        <w:t xml:space="preserve"> г. броят </w:t>
      </w:r>
      <w:r w:rsidRPr="000B075D">
        <w:rPr>
          <w:rFonts w:ascii="Times New Roman" w:eastAsia="Times New Roman" w:hAnsi="Times New Roman"/>
          <w:sz w:val="28"/>
          <w:szCs w:val="28"/>
        </w:rPr>
        <w:t>е бил</w:t>
      </w:r>
      <w:r w:rsidRPr="000B075D">
        <w:rPr>
          <w:rFonts w:ascii="Times New Roman" w:eastAsia="Times New Roman" w:hAnsi="Times New Roman"/>
          <w:sz w:val="28"/>
          <w:szCs w:val="28"/>
          <w:lang w:val="en-US"/>
        </w:rPr>
        <w:t xml:space="preserve"> 1</w:t>
      </w:r>
      <w:r w:rsidRPr="000B075D">
        <w:rPr>
          <w:rFonts w:ascii="Times New Roman" w:eastAsia="Times New Roman" w:hAnsi="Times New Roman"/>
          <w:sz w:val="28"/>
          <w:szCs w:val="28"/>
        </w:rPr>
        <w:t>9 прокурора</w:t>
      </w:r>
      <w:r w:rsidRPr="000B075D">
        <w:rPr>
          <w:rFonts w:ascii="Times New Roman" w:eastAsia="Times New Roman" w:hAnsi="Times New Roman"/>
          <w:sz w:val="28"/>
          <w:szCs w:val="28"/>
          <w:lang w:val="en-US"/>
        </w:rPr>
        <w:t xml:space="preserve">, като от тях </w:t>
      </w:r>
      <w:r w:rsidRPr="000B075D">
        <w:rPr>
          <w:rFonts w:ascii="Times New Roman" w:eastAsia="Times New Roman" w:hAnsi="Times New Roman"/>
          <w:sz w:val="28"/>
          <w:szCs w:val="28"/>
        </w:rPr>
        <w:t xml:space="preserve">18 са </w:t>
      </w:r>
      <w:r w:rsidRPr="000B075D">
        <w:rPr>
          <w:rFonts w:ascii="Times New Roman" w:eastAsia="Times New Roman" w:hAnsi="Times New Roman"/>
          <w:sz w:val="28"/>
          <w:szCs w:val="28"/>
          <w:lang w:val="en-US"/>
        </w:rPr>
        <w:t>реално работилите</w:t>
      </w:r>
      <w:r w:rsidRPr="000B075D">
        <w:rPr>
          <w:rFonts w:ascii="Times New Roman" w:eastAsia="Times New Roman" w:hAnsi="Times New Roman"/>
          <w:sz w:val="28"/>
          <w:szCs w:val="28"/>
        </w:rPr>
        <w:t>.</w:t>
      </w:r>
    </w:p>
    <w:p w:rsidR="000B075D" w:rsidRPr="000B075D" w:rsidRDefault="000B075D"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0B075D">
        <w:rPr>
          <w:rFonts w:ascii="Times New Roman" w:eastAsia="Times New Roman" w:hAnsi="Times New Roman"/>
          <w:sz w:val="28"/>
          <w:szCs w:val="28"/>
        </w:rPr>
        <w:t>В Софийска градска прокуратура за отчетния период</w:t>
      </w:r>
      <w:r w:rsidRPr="000B075D">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на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г. броят на прокурорите в отдела по щат е 14, от които реално са работили 1</w:t>
      </w:r>
      <w:r w:rsidRPr="000B075D">
        <w:rPr>
          <w:rFonts w:ascii="Times New Roman" w:eastAsia="Times New Roman" w:hAnsi="Times New Roman"/>
          <w:sz w:val="28"/>
          <w:szCs w:val="28"/>
          <w:lang w:val="en-US"/>
        </w:rPr>
        <w:t>2</w:t>
      </w:r>
      <w:r w:rsidRPr="000B075D">
        <w:rPr>
          <w:rFonts w:ascii="Times New Roman" w:eastAsia="Times New Roman" w:hAnsi="Times New Roman"/>
          <w:sz w:val="28"/>
          <w:szCs w:val="28"/>
        </w:rPr>
        <w:t xml:space="preserve"> прокурори.  През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 г. в</w:t>
      </w:r>
      <w:r w:rsidRPr="000B075D">
        <w:rPr>
          <w:rFonts w:ascii="Times New Roman" w:eastAsia="Times New Roman" w:hAnsi="Times New Roman"/>
          <w:sz w:val="28"/>
          <w:szCs w:val="28"/>
          <w:lang w:val="en-US"/>
        </w:rPr>
        <w:t xml:space="preserve"> Софийска градска прокуратура броят на прокурорите в отдел  „Гражданско-съдебен надзор, административно-съдебен надзор и надзор за законност” </w:t>
      </w:r>
      <w:r w:rsidRPr="000B075D">
        <w:rPr>
          <w:rFonts w:ascii="Times New Roman" w:eastAsia="Times New Roman" w:hAnsi="Times New Roman"/>
          <w:sz w:val="28"/>
          <w:szCs w:val="28"/>
        </w:rPr>
        <w:t xml:space="preserve"> по щат </w:t>
      </w:r>
      <w:r w:rsidRPr="000B075D">
        <w:rPr>
          <w:rFonts w:ascii="Times New Roman" w:eastAsia="Times New Roman" w:hAnsi="Times New Roman"/>
          <w:sz w:val="28"/>
          <w:szCs w:val="28"/>
          <w:lang w:val="en-US"/>
        </w:rPr>
        <w:t xml:space="preserve">е </w:t>
      </w:r>
      <w:r w:rsidRPr="000B075D">
        <w:rPr>
          <w:rFonts w:ascii="Times New Roman" w:eastAsia="Times New Roman" w:hAnsi="Times New Roman"/>
          <w:sz w:val="28"/>
          <w:szCs w:val="28"/>
        </w:rPr>
        <w:t xml:space="preserve">бил </w:t>
      </w:r>
      <w:r w:rsidRPr="000B075D">
        <w:rPr>
          <w:rFonts w:ascii="Times New Roman" w:eastAsia="Times New Roman" w:hAnsi="Times New Roman"/>
          <w:sz w:val="28"/>
          <w:szCs w:val="28"/>
          <w:lang w:val="en-US"/>
        </w:rPr>
        <w:t>14, от които реално са работили 14</w:t>
      </w:r>
      <w:r w:rsidRPr="000B075D">
        <w:rPr>
          <w:rFonts w:ascii="Times New Roman" w:eastAsia="Times New Roman" w:hAnsi="Times New Roman"/>
          <w:sz w:val="28"/>
          <w:szCs w:val="28"/>
        </w:rPr>
        <w:t xml:space="preserve"> прокурори</w:t>
      </w:r>
      <w:r w:rsidRPr="000B075D">
        <w:rPr>
          <w:rFonts w:ascii="Times New Roman" w:eastAsia="Times New Roman" w:hAnsi="Times New Roman"/>
          <w:sz w:val="28"/>
          <w:szCs w:val="28"/>
          <w:lang w:val="en-US"/>
        </w:rPr>
        <w:t xml:space="preserve">. За 2019 г. броят прокурорите в отдела </w:t>
      </w:r>
      <w:r w:rsidRPr="000B075D">
        <w:rPr>
          <w:rFonts w:ascii="Times New Roman" w:eastAsia="Times New Roman" w:hAnsi="Times New Roman"/>
          <w:sz w:val="28"/>
          <w:szCs w:val="28"/>
        </w:rPr>
        <w:t xml:space="preserve">по щат </w:t>
      </w:r>
      <w:r w:rsidRPr="000B075D">
        <w:rPr>
          <w:rFonts w:ascii="Times New Roman" w:eastAsia="Times New Roman" w:hAnsi="Times New Roman"/>
          <w:sz w:val="28"/>
          <w:szCs w:val="28"/>
          <w:lang w:val="en-US"/>
        </w:rPr>
        <w:t xml:space="preserve">е бил </w:t>
      </w:r>
      <w:r w:rsidRPr="000B075D">
        <w:rPr>
          <w:rFonts w:ascii="Times New Roman" w:eastAsia="Times New Roman" w:hAnsi="Times New Roman"/>
          <w:sz w:val="28"/>
          <w:szCs w:val="28"/>
          <w:lang w:val="en-US"/>
        </w:rPr>
        <w:lastRenderedPageBreak/>
        <w:t>14, като от тях реално работили са 13.</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С</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оглед</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вътрешно</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разпределение</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на</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участието</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в</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съдебни</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заседания</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броят</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на</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прокурорите</w:t>
      </w:r>
      <w:r w:rsidRPr="000B075D">
        <w:rPr>
          <w:rFonts w:ascii="Times New Roman" w:eastAsia="Times New Roman" w:hAnsi="Times New Roman"/>
          <w:sz w:val="28"/>
          <w:szCs w:val="28"/>
        </w:rPr>
        <w:t xml:space="preserve"> от СГП, </w:t>
      </w:r>
      <w:r w:rsidRPr="000B075D">
        <w:rPr>
          <w:rFonts w:ascii="Times New Roman" w:eastAsia="Times New Roman" w:hAnsi="Times New Roman" w:hint="eastAsia"/>
          <w:sz w:val="28"/>
          <w:szCs w:val="28"/>
        </w:rPr>
        <w:t>които</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са</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участвали</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в</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заседания</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по</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АСН</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за</w:t>
      </w:r>
      <w:r w:rsidRPr="000B075D">
        <w:rPr>
          <w:rFonts w:ascii="Times New Roman" w:eastAsia="Times New Roman" w:hAnsi="Times New Roman"/>
          <w:sz w:val="28"/>
          <w:szCs w:val="28"/>
        </w:rPr>
        <w:t xml:space="preserve"> </w:t>
      </w:r>
      <w:r w:rsidRPr="000B075D">
        <w:rPr>
          <w:rFonts w:ascii="Times New Roman" w:eastAsia="Times New Roman" w:hAnsi="Times New Roman"/>
          <w:sz w:val="28"/>
          <w:szCs w:val="28"/>
          <w:lang w:val="en-US"/>
        </w:rPr>
        <w:t>2021</w:t>
      </w:r>
      <w:r w:rsidRPr="000B075D">
        <w:rPr>
          <w:rFonts w:ascii="Times New Roman" w:eastAsia="Times New Roman" w:hAnsi="Times New Roman"/>
          <w:sz w:val="28"/>
          <w:szCs w:val="28"/>
        </w:rPr>
        <w:t xml:space="preserve">г. е 7 прокурори, като за 2020 г. е 9, а за 2019 </w:t>
      </w:r>
      <w:r w:rsidRPr="000B075D">
        <w:rPr>
          <w:rFonts w:ascii="Times New Roman" w:eastAsia="Times New Roman" w:hAnsi="Times New Roman" w:hint="eastAsia"/>
          <w:sz w:val="28"/>
          <w:szCs w:val="28"/>
        </w:rPr>
        <w:t>г</w:t>
      </w:r>
      <w:r w:rsidRPr="000B075D">
        <w:rPr>
          <w:rFonts w:ascii="Times New Roman" w:eastAsia="Times New Roman" w:hAnsi="Times New Roman"/>
          <w:sz w:val="28"/>
          <w:szCs w:val="28"/>
        </w:rPr>
        <w:t xml:space="preserve">. </w:t>
      </w:r>
      <w:r w:rsidRPr="000B075D">
        <w:rPr>
          <w:rFonts w:ascii="Times New Roman" w:eastAsia="Times New Roman" w:hAnsi="Times New Roman" w:hint="eastAsia"/>
          <w:sz w:val="28"/>
          <w:szCs w:val="28"/>
        </w:rPr>
        <w:t>е</w:t>
      </w:r>
      <w:r w:rsidRPr="000B075D">
        <w:rPr>
          <w:rFonts w:ascii="Times New Roman" w:eastAsia="Times New Roman" w:hAnsi="Times New Roman"/>
          <w:sz w:val="28"/>
          <w:szCs w:val="28"/>
        </w:rPr>
        <w:t xml:space="preserve"> 8.</w:t>
      </w:r>
    </w:p>
    <w:p w:rsidR="000B075D" w:rsidRPr="000B075D" w:rsidRDefault="000B075D" w:rsidP="004D24A1">
      <w:pPr>
        <w:overflowPunct w:val="0"/>
        <w:autoSpaceDE w:val="0"/>
        <w:autoSpaceDN w:val="0"/>
        <w:adjustRightInd w:val="0"/>
        <w:spacing w:after="0"/>
        <w:ind w:firstLine="709"/>
        <w:jc w:val="both"/>
        <w:rPr>
          <w:rFonts w:ascii="Times New Roman" w:eastAsia="Times New Roman" w:hAnsi="Times New Roman"/>
          <w:sz w:val="28"/>
          <w:szCs w:val="28"/>
        </w:rPr>
      </w:pPr>
      <w:r w:rsidRPr="000B075D">
        <w:rPr>
          <w:rFonts w:ascii="Times New Roman" w:eastAsia="Times New Roman" w:hAnsi="Times New Roman"/>
          <w:sz w:val="28"/>
          <w:szCs w:val="28"/>
        </w:rPr>
        <w:t>За периода на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 г. в СРП броят на прокурорите по щат в отдела е </w:t>
      </w:r>
      <w:r w:rsidRPr="000B075D">
        <w:rPr>
          <w:rFonts w:ascii="Times New Roman" w:eastAsia="Times New Roman" w:hAnsi="Times New Roman"/>
          <w:sz w:val="28"/>
          <w:szCs w:val="28"/>
          <w:lang w:val="en-US"/>
        </w:rPr>
        <w:t>4</w:t>
      </w:r>
      <w:r w:rsidRPr="000B075D">
        <w:rPr>
          <w:rFonts w:ascii="Times New Roman" w:eastAsia="Times New Roman" w:hAnsi="Times New Roman"/>
          <w:sz w:val="28"/>
          <w:szCs w:val="28"/>
        </w:rPr>
        <w:t xml:space="preserve">, от които всички са реално работили, като броят за предходната година и за 2018г. е </w:t>
      </w:r>
      <w:r w:rsidRPr="000B075D">
        <w:rPr>
          <w:rFonts w:ascii="Times New Roman" w:eastAsia="Times New Roman" w:hAnsi="Times New Roman"/>
          <w:sz w:val="28"/>
          <w:szCs w:val="28"/>
          <w:lang w:val="en-US"/>
        </w:rPr>
        <w:t>5</w:t>
      </w:r>
      <w:r w:rsidRPr="000B075D">
        <w:rPr>
          <w:rFonts w:ascii="Times New Roman" w:eastAsia="Times New Roman" w:hAnsi="Times New Roman"/>
          <w:sz w:val="28"/>
          <w:szCs w:val="28"/>
        </w:rPr>
        <w:t xml:space="preserve">.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Прокурорите от отдел „Гражданско-съдебен надзор, административно-съдебен надзор и надзор за законност” при СГП са участвали в съдебни заседания в Административен съд – София-град, в който за 20</w:t>
      </w:r>
      <w:r w:rsidRPr="000B075D">
        <w:rPr>
          <w:rFonts w:ascii="Times New Roman" w:eastAsia="Times New Roman" w:hAnsi="Times New Roman"/>
          <w:sz w:val="28"/>
          <w:szCs w:val="28"/>
          <w:lang w:val="en-US"/>
        </w:rPr>
        <w:t>21</w:t>
      </w:r>
      <w:r w:rsidRPr="000B075D">
        <w:rPr>
          <w:rFonts w:ascii="Times New Roman" w:eastAsia="Times New Roman" w:hAnsi="Times New Roman"/>
          <w:sz w:val="28"/>
          <w:szCs w:val="28"/>
        </w:rPr>
        <w:t xml:space="preserve"> г. са заседавали </w:t>
      </w:r>
      <w:r w:rsidRPr="000B075D">
        <w:rPr>
          <w:rFonts w:ascii="Times New Roman" w:eastAsia="Times New Roman" w:hAnsi="Times New Roman"/>
          <w:sz w:val="28"/>
          <w:szCs w:val="28"/>
          <w:lang w:val="en-US"/>
        </w:rPr>
        <w:t>70</w:t>
      </w:r>
      <w:r w:rsidRPr="000B075D">
        <w:rPr>
          <w:rFonts w:ascii="Times New Roman" w:eastAsia="Times New Roman" w:hAnsi="Times New Roman"/>
          <w:sz w:val="28"/>
          <w:szCs w:val="28"/>
        </w:rPr>
        <w:t xml:space="preserve"> първоинстанционни съдебни състава и 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 касационни състава.  За отчетния период на 2021г. прокурорите от отдела са взели участие в 5315 броя съдебни заседания,  за 2020 г. в 4493 броя съдебни заседания по административни дела в АССГ. През 2019 г. съдебните заседания са били  7154 по административни дела в АССГ (адм. дела, ч.к.а.д, к.а.н.д. и к.а.д.). Общият брой на делата, по които прокурорите от отдела са взели участие за 2021 г. е 7933 броя, за 2020 г. общият брой е бил 4445, а за 2019г. са били 4909 броя.  Тъй като от статистическата таблица за отчетната 2021г. е отпаднал показателят „решени административни дела“, то не е възможно да се направи съпоставка с предходните два периода, каквато е била направена за предходния отчетен период на 2020г.  По показателя „общ брой административни дела“ е налице растяща тенденция с 18,30 % спрямо предходната 2020 г. , както и спрямо 2019г. - ръст с 8,27%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en-US"/>
        </w:rPr>
      </w:pPr>
      <w:r w:rsidRPr="000B075D">
        <w:rPr>
          <w:rFonts w:ascii="Times New Roman" w:eastAsia="Times New Roman" w:hAnsi="Times New Roman"/>
          <w:sz w:val="28"/>
          <w:szCs w:val="28"/>
        </w:rPr>
        <w:t>От тях първоинстанционните дела за 2021г. са били 5311 броя, като за 2020г. те са били 2156 броя, като за 2019г. са били 1959 броя. Касационните дела са били 2622 броя, при  2288 броя за 2020г. и  2946 броя за 2019г. Първоинстанционните дела са се увеличили  с 146,34% спрямо 2020 г. и с 171,11 % спрямо 2019 г. При  касационните дела по които са участвали прокурорите се наблюдава ръст с 14,60% спрямо 2020г. и спад с 11% спрямо 2019</w:t>
      </w:r>
      <w:r w:rsidR="00A412C9">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 xml:space="preserve">г. </w:t>
      </w: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16"/>
          <w:szCs w:val="16"/>
        </w:rPr>
      </w:pPr>
      <w:r w:rsidRPr="000B075D">
        <w:rPr>
          <w:rFonts w:ascii="Times New Roman" w:eastAsia="Times New Roman" w:hAnsi="Times New Roman"/>
          <w:noProof/>
          <w:sz w:val="28"/>
          <w:szCs w:val="28"/>
          <w:lang w:eastAsia="bg-BG"/>
        </w:rPr>
        <w:drawing>
          <wp:inline distT="0" distB="0" distL="0" distR="0" wp14:anchorId="33DDA97C" wp14:editId="40E866F3">
            <wp:extent cx="5764530" cy="1510665"/>
            <wp:effectExtent l="0" t="0" r="0" b="0"/>
            <wp:docPr id="47" name="Диагра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16"/>
          <w:szCs w:val="16"/>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Средната натовареност по административно-съдебния надзор, където участие в съдебни заседания вземат прокурори от Софийска градска </w:t>
      </w:r>
      <w:r w:rsidRPr="000B075D">
        <w:rPr>
          <w:rFonts w:ascii="Times New Roman" w:eastAsia="Times New Roman" w:hAnsi="Times New Roman"/>
          <w:sz w:val="28"/>
          <w:szCs w:val="28"/>
        </w:rPr>
        <w:lastRenderedPageBreak/>
        <w:t xml:space="preserve">прокуратура, за 2021г. е средно 737,5 при 317,5 за 2020г. и при </w:t>
      </w:r>
      <w:r w:rsidRPr="000B075D">
        <w:rPr>
          <w:rFonts w:ascii="Times New Roman" w:eastAsia="Times New Roman" w:hAnsi="Times New Roman"/>
          <w:sz w:val="28"/>
          <w:szCs w:val="28"/>
          <w:lang w:val="en-US"/>
        </w:rPr>
        <w:t>377</w:t>
      </w:r>
      <w:r w:rsidRPr="000B075D">
        <w:rPr>
          <w:rFonts w:ascii="Times New Roman" w:eastAsia="Times New Roman" w:hAnsi="Times New Roman"/>
          <w:sz w:val="28"/>
          <w:szCs w:val="28"/>
        </w:rPr>
        <w:t>,</w:t>
      </w:r>
      <w:r w:rsidRPr="000B075D">
        <w:rPr>
          <w:rFonts w:ascii="Times New Roman" w:eastAsia="Times New Roman" w:hAnsi="Times New Roman"/>
          <w:sz w:val="28"/>
          <w:szCs w:val="28"/>
          <w:lang w:val="en-US"/>
        </w:rPr>
        <w:t>6</w:t>
      </w:r>
      <w:r w:rsidRPr="000B075D">
        <w:rPr>
          <w:rFonts w:ascii="Times New Roman" w:eastAsia="Times New Roman" w:hAnsi="Times New Roman"/>
          <w:sz w:val="28"/>
          <w:szCs w:val="28"/>
        </w:rPr>
        <w:t xml:space="preserve">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w:t>
      </w:r>
      <w:r w:rsidRPr="000B075D">
        <w:rPr>
          <w:rFonts w:ascii="Times New Roman" w:eastAsia="Times New Roman" w:hAnsi="Times New Roman"/>
          <w:b/>
          <w:sz w:val="28"/>
          <w:szCs w:val="28"/>
        </w:rPr>
        <w:t xml:space="preserve"> </w:t>
      </w:r>
      <w:r w:rsidRPr="000B075D">
        <w:rPr>
          <w:rFonts w:ascii="Times New Roman" w:eastAsia="Times New Roman" w:hAnsi="Times New Roman"/>
          <w:sz w:val="28"/>
          <w:szCs w:val="28"/>
        </w:rPr>
        <w:t>което означава, че натовареността значително се е увеличила в сравнение с предходните отчетни години /ръст с 132,28% спрямо 2020г. и ръст с 95,31% спрямо 2019г./.</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59BBD96E" wp14:editId="020F1528">
            <wp:extent cx="5709285" cy="2027555"/>
            <wp:effectExtent l="0" t="0" r="0" b="0"/>
            <wp:docPr id="48" name="Ди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По критерия „средна натовареност“ по административно-съдебния надзор за отчетния период, то следва да се отбележи, че от реално работилите 12 прокурори, то съобразно вътрешноведомственото разпределение, от тях  7 броя прокурори от СГП, от които и завеждащият отдела заместник градски прокурор, са участвали общо в 5315 броя съдебни заседания през 2021г. / т.е. по 759 броя съдебни заседания на един прокурор/ по административни дела, които се провеждат в едва 6 броя заседателни зали на АССГ, което от своя страна налага целодневен престой в съда на всеки прокурор. Четирима от останалите прокурори участват в съдебни заседания по ГСН пред Софийски градски съд, а двама участват както в заседания пред АССГ, така и пред СГС.</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По реда на надзора за законност в СГП и СРП през</w:t>
      </w:r>
      <w:r w:rsidRPr="000B075D">
        <w:rPr>
          <w:rFonts w:ascii="Times New Roman" w:eastAsia="Times New Roman" w:hAnsi="Times New Roman"/>
          <w:sz w:val="28"/>
          <w:szCs w:val="28"/>
          <w:lang w:val="en-US"/>
        </w:rPr>
        <w:t xml:space="preserve"> 2021</w:t>
      </w:r>
      <w:r w:rsidRPr="000B075D">
        <w:rPr>
          <w:rFonts w:ascii="Times New Roman" w:eastAsia="Times New Roman" w:hAnsi="Times New Roman"/>
          <w:sz w:val="28"/>
          <w:szCs w:val="28"/>
        </w:rPr>
        <w:t xml:space="preserve">г. са образувани общо </w:t>
      </w:r>
      <w:r w:rsidRPr="000B075D">
        <w:rPr>
          <w:rFonts w:ascii="Times New Roman" w:eastAsia="Times New Roman" w:hAnsi="Times New Roman"/>
          <w:sz w:val="28"/>
          <w:szCs w:val="28"/>
          <w:lang w:val="en-US"/>
        </w:rPr>
        <w:t>488</w:t>
      </w:r>
      <w:r w:rsidRPr="000B075D">
        <w:rPr>
          <w:rFonts w:ascii="Times New Roman" w:eastAsia="Times New Roman" w:hAnsi="Times New Roman"/>
          <w:sz w:val="28"/>
          <w:szCs w:val="28"/>
        </w:rPr>
        <w:t xml:space="preserve"> броя преписки, по които са извършени общо </w:t>
      </w:r>
      <w:r w:rsidRPr="000B075D">
        <w:rPr>
          <w:rFonts w:ascii="Times New Roman" w:eastAsia="Times New Roman" w:hAnsi="Times New Roman"/>
          <w:sz w:val="28"/>
          <w:szCs w:val="28"/>
          <w:lang w:val="en-US"/>
        </w:rPr>
        <w:t>312</w:t>
      </w:r>
      <w:r w:rsidRPr="000B075D">
        <w:rPr>
          <w:rFonts w:ascii="Times New Roman" w:eastAsia="Times New Roman" w:hAnsi="Times New Roman"/>
          <w:sz w:val="28"/>
          <w:szCs w:val="28"/>
        </w:rPr>
        <w:t xml:space="preserve"> броя  проверки по реда на чл.145, ал.1-3 ЗСВ. За периода на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 г. са образувани общо </w:t>
      </w:r>
      <w:r w:rsidRPr="000B075D">
        <w:rPr>
          <w:rFonts w:ascii="Times New Roman" w:eastAsia="Times New Roman" w:hAnsi="Times New Roman"/>
          <w:sz w:val="28"/>
          <w:szCs w:val="28"/>
          <w:lang w:val="en-US"/>
        </w:rPr>
        <w:t>443</w:t>
      </w:r>
      <w:r w:rsidRPr="000B075D">
        <w:rPr>
          <w:rFonts w:ascii="Times New Roman" w:eastAsia="Times New Roman" w:hAnsi="Times New Roman"/>
          <w:sz w:val="28"/>
          <w:szCs w:val="28"/>
        </w:rPr>
        <w:t xml:space="preserve"> преписки, по които са извършени 2</w:t>
      </w:r>
      <w:r w:rsidRPr="000B075D">
        <w:rPr>
          <w:rFonts w:ascii="Times New Roman" w:eastAsia="Times New Roman" w:hAnsi="Times New Roman"/>
          <w:sz w:val="28"/>
          <w:szCs w:val="28"/>
          <w:lang w:val="en-US"/>
        </w:rPr>
        <w:t>89</w:t>
      </w:r>
      <w:r w:rsidRPr="000B075D">
        <w:rPr>
          <w:rFonts w:ascii="Times New Roman" w:eastAsia="Times New Roman" w:hAnsi="Times New Roman"/>
          <w:sz w:val="28"/>
          <w:szCs w:val="28"/>
        </w:rPr>
        <w:t xml:space="preserve"> проверки по реда на чл.145, ал.1-3 ЗСВ,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пък са образувани общо 3</w:t>
      </w:r>
      <w:r w:rsidRPr="000B075D">
        <w:rPr>
          <w:rFonts w:ascii="Times New Roman" w:eastAsia="Times New Roman" w:hAnsi="Times New Roman"/>
          <w:sz w:val="28"/>
          <w:szCs w:val="28"/>
          <w:lang w:val="en-US"/>
        </w:rPr>
        <w:t>12</w:t>
      </w:r>
      <w:r w:rsidRPr="000B075D">
        <w:rPr>
          <w:rFonts w:ascii="Times New Roman" w:eastAsia="Times New Roman" w:hAnsi="Times New Roman"/>
          <w:sz w:val="28"/>
          <w:szCs w:val="28"/>
        </w:rPr>
        <w:t xml:space="preserve">  преписки, по които са извършени </w:t>
      </w:r>
      <w:r w:rsidRPr="000B075D">
        <w:rPr>
          <w:rFonts w:ascii="Times New Roman" w:eastAsia="Times New Roman" w:hAnsi="Times New Roman"/>
          <w:sz w:val="28"/>
          <w:szCs w:val="28"/>
          <w:lang w:val="en-US"/>
        </w:rPr>
        <w:t>230</w:t>
      </w:r>
      <w:r w:rsidRPr="000B075D">
        <w:rPr>
          <w:rFonts w:ascii="Times New Roman" w:eastAsia="Times New Roman" w:hAnsi="Times New Roman"/>
          <w:sz w:val="28"/>
          <w:szCs w:val="28"/>
        </w:rPr>
        <w:t xml:space="preserve"> проверки по реда на чл.145, ал.1-3 ЗСВ. Наблюдава се ръст на общо образуваните преписки през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 г. с </w:t>
      </w:r>
      <w:r w:rsidRPr="000B075D">
        <w:rPr>
          <w:rFonts w:ascii="Times New Roman" w:eastAsia="Times New Roman" w:hAnsi="Times New Roman"/>
          <w:sz w:val="28"/>
          <w:szCs w:val="28"/>
          <w:lang w:val="en-US"/>
        </w:rPr>
        <w:t>10.16</w:t>
      </w:r>
      <w:r w:rsidRPr="000B075D">
        <w:rPr>
          <w:rFonts w:ascii="Times New Roman" w:eastAsia="Times New Roman" w:hAnsi="Times New Roman"/>
          <w:sz w:val="28"/>
          <w:szCs w:val="28"/>
        </w:rPr>
        <w:t>% спрямо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г. и с </w:t>
      </w:r>
      <w:r w:rsidRPr="000B075D">
        <w:rPr>
          <w:rFonts w:ascii="Times New Roman" w:eastAsia="Times New Roman" w:hAnsi="Times New Roman"/>
          <w:sz w:val="28"/>
          <w:szCs w:val="28"/>
          <w:lang w:val="en-US"/>
        </w:rPr>
        <w:t>56.41</w:t>
      </w:r>
      <w:r w:rsidRPr="000B075D">
        <w:rPr>
          <w:rFonts w:ascii="Times New Roman" w:eastAsia="Times New Roman" w:hAnsi="Times New Roman"/>
          <w:sz w:val="28"/>
          <w:szCs w:val="28"/>
        </w:rPr>
        <w:t>% спрямо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г.</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Увеличение се наблюдава и в броя на извършените проверки, което е в размер на  </w:t>
      </w:r>
      <w:r w:rsidRPr="000B075D">
        <w:rPr>
          <w:rFonts w:ascii="Times New Roman" w:eastAsia="Times New Roman" w:hAnsi="Times New Roman"/>
          <w:sz w:val="28"/>
          <w:szCs w:val="28"/>
          <w:lang w:val="en-US"/>
        </w:rPr>
        <w:t>7.96</w:t>
      </w:r>
      <w:r w:rsidRPr="000B075D">
        <w:rPr>
          <w:rFonts w:ascii="Times New Roman" w:eastAsia="Times New Roman" w:hAnsi="Times New Roman"/>
          <w:sz w:val="28"/>
          <w:szCs w:val="28"/>
        </w:rPr>
        <w:t xml:space="preserve">% спрямо предходната отчетна година и </w:t>
      </w:r>
      <w:r w:rsidRPr="000B075D">
        <w:rPr>
          <w:rFonts w:ascii="Times New Roman" w:eastAsia="Times New Roman" w:hAnsi="Times New Roman"/>
          <w:sz w:val="28"/>
          <w:szCs w:val="28"/>
          <w:lang w:val="en-US"/>
        </w:rPr>
        <w:t>35.65</w:t>
      </w:r>
      <w:r w:rsidRPr="000B075D">
        <w:rPr>
          <w:rFonts w:ascii="Times New Roman" w:eastAsia="Times New Roman" w:hAnsi="Times New Roman"/>
          <w:sz w:val="28"/>
          <w:szCs w:val="28"/>
        </w:rPr>
        <w:t>% спрямо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г.</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lastRenderedPageBreak/>
        <w:t>Образуваните в СГП преписки през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са </w:t>
      </w:r>
      <w:r w:rsidRPr="000B075D">
        <w:rPr>
          <w:rFonts w:ascii="Times New Roman" w:eastAsia="Times New Roman" w:hAnsi="Times New Roman"/>
          <w:sz w:val="28"/>
          <w:szCs w:val="28"/>
          <w:lang w:val="en-US"/>
        </w:rPr>
        <w:t>2</w:t>
      </w:r>
      <w:r w:rsidRPr="000B075D">
        <w:rPr>
          <w:rFonts w:ascii="Times New Roman" w:eastAsia="Times New Roman" w:hAnsi="Times New Roman"/>
          <w:sz w:val="28"/>
          <w:szCs w:val="28"/>
        </w:rPr>
        <w:t>86 броя, като през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 г. са 1</w:t>
      </w:r>
      <w:r w:rsidRPr="000B075D">
        <w:rPr>
          <w:rFonts w:ascii="Times New Roman" w:eastAsia="Times New Roman" w:hAnsi="Times New Roman"/>
          <w:sz w:val="28"/>
          <w:szCs w:val="28"/>
          <w:lang w:val="en-US"/>
        </w:rPr>
        <w:t>86</w:t>
      </w:r>
      <w:r w:rsidRPr="000B075D">
        <w:rPr>
          <w:rFonts w:ascii="Times New Roman" w:eastAsia="Times New Roman" w:hAnsi="Times New Roman"/>
          <w:sz w:val="28"/>
          <w:szCs w:val="28"/>
        </w:rPr>
        <w:t xml:space="preserve"> броя, а през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г. е бил </w:t>
      </w:r>
      <w:r w:rsidRPr="000B075D">
        <w:rPr>
          <w:rFonts w:ascii="Times New Roman" w:eastAsia="Times New Roman" w:hAnsi="Times New Roman"/>
          <w:sz w:val="28"/>
          <w:szCs w:val="28"/>
          <w:lang w:val="en-US"/>
        </w:rPr>
        <w:t>139</w:t>
      </w:r>
      <w:r w:rsidRPr="000B075D">
        <w:rPr>
          <w:rFonts w:ascii="Times New Roman" w:eastAsia="Times New Roman" w:hAnsi="Times New Roman"/>
          <w:sz w:val="28"/>
          <w:szCs w:val="28"/>
        </w:rPr>
        <w:t xml:space="preserve"> броя, а извършените проверки по реда на чл.145, ал.1-3 ЗСВ са </w:t>
      </w:r>
      <w:r w:rsidRPr="000B075D">
        <w:rPr>
          <w:rFonts w:ascii="Times New Roman" w:eastAsia="Times New Roman" w:hAnsi="Times New Roman"/>
          <w:sz w:val="28"/>
          <w:szCs w:val="28"/>
          <w:lang w:val="en-US"/>
        </w:rPr>
        <w:t>169</w:t>
      </w:r>
      <w:r w:rsidRPr="000B075D">
        <w:rPr>
          <w:rFonts w:ascii="Times New Roman" w:eastAsia="Times New Roman" w:hAnsi="Times New Roman"/>
          <w:sz w:val="28"/>
          <w:szCs w:val="28"/>
        </w:rPr>
        <w:t xml:space="preserve"> броя, при </w:t>
      </w:r>
      <w:r w:rsidRPr="000B075D">
        <w:rPr>
          <w:rFonts w:ascii="Times New Roman" w:eastAsia="Times New Roman" w:hAnsi="Times New Roman"/>
          <w:sz w:val="28"/>
          <w:szCs w:val="28"/>
          <w:lang w:val="en-US"/>
        </w:rPr>
        <w:t>198</w:t>
      </w:r>
      <w:r w:rsidRPr="000B075D">
        <w:rPr>
          <w:rFonts w:ascii="Times New Roman" w:eastAsia="Times New Roman" w:hAnsi="Times New Roman"/>
          <w:sz w:val="28"/>
          <w:szCs w:val="28"/>
        </w:rPr>
        <w:t xml:space="preserve"> броя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г. и  </w:t>
      </w:r>
      <w:r w:rsidRPr="000B075D">
        <w:rPr>
          <w:rFonts w:ascii="Times New Roman" w:eastAsia="Times New Roman" w:hAnsi="Times New Roman"/>
          <w:sz w:val="28"/>
          <w:szCs w:val="28"/>
          <w:lang w:val="en-US"/>
        </w:rPr>
        <w:t>91</w:t>
      </w:r>
      <w:r w:rsidRPr="000B075D">
        <w:rPr>
          <w:rFonts w:ascii="Times New Roman" w:eastAsia="Times New Roman" w:hAnsi="Times New Roman"/>
          <w:sz w:val="28"/>
          <w:szCs w:val="28"/>
        </w:rPr>
        <w:t xml:space="preserve"> броя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Наблюдава се ръст на броя на образуваните преписки в СГП с  53,76% спрямо 2020г. и 105,76% спрямо 2019</w:t>
      </w:r>
      <w:r w:rsidR="00A412C9">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 xml:space="preserve">г. За отчетния период се наблюдава сравнително нисък спад на броя на извършените проверки по реда на чл.145, ал.1-3 ЗСВ от прокурорите при СГП с 14,65% спрямо 2020г. и ръст с 85,71% спрямо 2019г.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Образуваните в СРП преписки за отчетната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са </w:t>
      </w:r>
      <w:r w:rsidRPr="000B075D">
        <w:rPr>
          <w:rFonts w:ascii="Times New Roman" w:eastAsia="Times New Roman" w:hAnsi="Times New Roman"/>
          <w:sz w:val="28"/>
          <w:szCs w:val="28"/>
          <w:lang w:val="en-US"/>
        </w:rPr>
        <w:t>202</w:t>
      </w:r>
      <w:r w:rsidRPr="000B075D">
        <w:rPr>
          <w:rFonts w:ascii="Times New Roman" w:eastAsia="Times New Roman" w:hAnsi="Times New Roman"/>
          <w:sz w:val="28"/>
          <w:szCs w:val="28"/>
        </w:rPr>
        <w:t xml:space="preserve"> броя,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 г. са </w:t>
      </w:r>
      <w:r w:rsidRPr="000B075D">
        <w:rPr>
          <w:rFonts w:ascii="Times New Roman" w:eastAsia="Times New Roman" w:hAnsi="Times New Roman"/>
          <w:sz w:val="28"/>
          <w:szCs w:val="28"/>
          <w:lang w:val="en-US"/>
        </w:rPr>
        <w:t>257</w:t>
      </w:r>
      <w:r w:rsidRPr="000B075D">
        <w:rPr>
          <w:rFonts w:ascii="Times New Roman" w:eastAsia="Times New Roman" w:hAnsi="Times New Roman"/>
          <w:sz w:val="28"/>
          <w:szCs w:val="28"/>
        </w:rPr>
        <w:t xml:space="preserve"> броя и </w:t>
      </w:r>
      <w:r w:rsidRPr="000B075D">
        <w:rPr>
          <w:rFonts w:ascii="Times New Roman" w:eastAsia="Times New Roman" w:hAnsi="Times New Roman"/>
          <w:sz w:val="28"/>
          <w:szCs w:val="28"/>
          <w:lang w:val="en-US"/>
        </w:rPr>
        <w:t>173</w:t>
      </w:r>
      <w:r w:rsidRPr="000B075D">
        <w:rPr>
          <w:rFonts w:ascii="Times New Roman" w:eastAsia="Times New Roman" w:hAnsi="Times New Roman"/>
          <w:sz w:val="28"/>
          <w:szCs w:val="28"/>
        </w:rPr>
        <w:t xml:space="preserve"> броя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а извършените проверки по реда на чл.145, ал.1-3 ЗСВ за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са </w:t>
      </w:r>
      <w:r w:rsidRPr="000B075D">
        <w:rPr>
          <w:rFonts w:ascii="Times New Roman" w:eastAsia="Times New Roman" w:hAnsi="Times New Roman"/>
          <w:sz w:val="28"/>
          <w:szCs w:val="28"/>
          <w:lang w:val="en-US"/>
        </w:rPr>
        <w:t>143</w:t>
      </w:r>
      <w:r w:rsidRPr="000B075D">
        <w:rPr>
          <w:rFonts w:ascii="Times New Roman" w:eastAsia="Times New Roman" w:hAnsi="Times New Roman"/>
          <w:sz w:val="28"/>
          <w:szCs w:val="28"/>
        </w:rPr>
        <w:t xml:space="preserve"> броя, при </w:t>
      </w:r>
      <w:r w:rsidRPr="000B075D">
        <w:rPr>
          <w:rFonts w:ascii="Times New Roman" w:eastAsia="Times New Roman" w:hAnsi="Times New Roman"/>
          <w:sz w:val="28"/>
          <w:szCs w:val="28"/>
          <w:lang w:val="en-US"/>
        </w:rPr>
        <w:t>91</w:t>
      </w:r>
      <w:r w:rsidRPr="000B075D">
        <w:rPr>
          <w:rFonts w:ascii="Times New Roman" w:eastAsia="Times New Roman" w:hAnsi="Times New Roman"/>
          <w:sz w:val="28"/>
          <w:szCs w:val="28"/>
        </w:rPr>
        <w:t xml:space="preserve"> броя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г. и  13</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броя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При образуваните в СРП преписки се наблюдава спад с 21,40% спрямо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г и ръст с 16,76% спрямо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г., но при извършените проверки по реда на чл.145, ал.1-3 ЗСВ се наблюдава ръст с 57,14% спрямо 2020г. и 2,88% спрямо 2019г.</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Продължава устойчивата тенденция в дейността на СГП и СРП предимно  да се назначават проверки по реда на чл. 145, ал.1, т.3 от ЗСВ /възлагателна проверка/.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en-US"/>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16913392" wp14:editId="478B8779">
            <wp:extent cx="5732780" cy="1939925"/>
            <wp:effectExtent l="0" t="0" r="0" b="0"/>
            <wp:docPr id="49" name="Ди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Средната натовареност на прокурорите в съдебния район (СГП и СРП) общо за отчетния период на 2021г. е 30,5, за 2020г. е бил 23,3 и  за 2019 г.  е бил 17,3, което бележи ръст  с 30,90% спрямо 2020г. и 76,30% спрямо 2019г.</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Ръст е налице и при показателите за средната натовареност на прокурорите в СГП - през 2021г. е 23,8, за 2020 г.</w:t>
      </w:r>
      <w:r w:rsidRPr="000B075D">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 xml:space="preserve"> е бил 13,3 и за 2019 г. – 10,7. Натовареността на прокурорите при СРП бележи устойчива тенденция по този показател  за 2021г. е 50,5 и за 2020г. – 51,4, а за 2019г. при натовареност 34,6, бележи ръст с 45,95%.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lastRenderedPageBreak/>
        <w:drawing>
          <wp:inline distT="0" distB="0" distL="0" distR="0" wp14:anchorId="6BF0E0FA" wp14:editId="46D0C21A">
            <wp:extent cx="5843905" cy="1614170"/>
            <wp:effectExtent l="0" t="0" r="0" b="0"/>
            <wp:docPr id="66" name="Ди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b/>
          <w:sz w:val="28"/>
          <w:szCs w:val="28"/>
        </w:rPr>
      </w:pPr>
      <w:r w:rsidRPr="000B075D">
        <w:rPr>
          <w:rFonts w:ascii="Times New Roman" w:eastAsia="Times New Roman" w:hAnsi="Times New Roman"/>
          <w:b/>
          <w:sz w:val="28"/>
          <w:szCs w:val="28"/>
        </w:rPr>
        <w:t>Дейност на административния отдел на СГП по административно-съдебния надзор.</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b/>
          <w:sz w:val="16"/>
          <w:szCs w:val="16"/>
        </w:rPr>
      </w:pP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lang w:val="en-US"/>
        </w:rPr>
      </w:pPr>
      <w:r w:rsidRPr="000B075D">
        <w:rPr>
          <w:rFonts w:ascii="Times New Roman" w:eastAsia="Times New Roman" w:hAnsi="Times New Roman"/>
          <w:sz w:val="28"/>
          <w:szCs w:val="28"/>
        </w:rPr>
        <w:tab/>
        <w:t>За отчетния период на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общият брой образувани преписки по административно-съдебния надзор в СГП е </w:t>
      </w:r>
      <w:r w:rsidRPr="000B075D">
        <w:rPr>
          <w:rFonts w:ascii="Times New Roman" w:eastAsia="Times New Roman" w:hAnsi="Times New Roman"/>
          <w:sz w:val="28"/>
          <w:szCs w:val="28"/>
          <w:lang w:val="en-US"/>
        </w:rPr>
        <w:t>917</w:t>
      </w:r>
      <w:r w:rsidRPr="000B075D">
        <w:rPr>
          <w:rFonts w:ascii="Times New Roman" w:eastAsia="Times New Roman" w:hAnsi="Times New Roman"/>
          <w:sz w:val="28"/>
          <w:szCs w:val="28"/>
        </w:rPr>
        <w:t xml:space="preserve"> броя, като за предходните отчетни периоди съответно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 г. общият брой е бил  875 бр., а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г. – </w:t>
      </w:r>
      <w:r w:rsidRPr="000B075D">
        <w:rPr>
          <w:rFonts w:ascii="Times New Roman" w:eastAsia="Times New Roman" w:hAnsi="Times New Roman"/>
          <w:sz w:val="28"/>
          <w:szCs w:val="28"/>
          <w:lang w:val="en-US"/>
        </w:rPr>
        <w:t>875</w:t>
      </w:r>
      <w:r w:rsidRPr="000B075D">
        <w:rPr>
          <w:rFonts w:ascii="Times New Roman" w:eastAsia="Times New Roman" w:hAnsi="Times New Roman"/>
          <w:sz w:val="28"/>
          <w:szCs w:val="28"/>
        </w:rPr>
        <w:t xml:space="preserve"> броя. Съобразно статистическите данни се наблюдава ръст с </w:t>
      </w:r>
      <w:r w:rsidRPr="000B075D">
        <w:rPr>
          <w:rFonts w:ascii="Times New Roman" w:eastAsia="Times New Roman" w:hAnsi="Times New Roman"/>
          <w:sz w:val="28"/>
          <w:szCs w:val="28"/>
          <w:lang w:val="en-US"/>
        </w:rPr>
        <w:t>4</w:t>
      </w:r>
      <w:r w:rsidRPr="000B075D">
        <w:rPr>
          <w:rFonts w:ascii="Times New Roman" w:eastAsia="Times New Roman" w:hAnsi="Times New Roman"/>
          <w:sz w:val="28"/>
          <w:szCs w:val="28"/>
        </w:rPr>
        <w:t>,</w:t>
      </w:r>
      <w:r w:rsidRPr="000B075D">
        <w:rPr>
          <w:rFonts w:ascii="Times New Roman" w:eastAsia="Times New Roman" w:hAnsi="Times New Roman"/>
          <w:sz w:val="28"/>
          <w:szCs w:val="28"/>
          <w:lang w:val="en-US"/>
        </w:rPr>
        <w:t>80</w:t>
      </w:r>
      <w:r w:rsidRPr="000B075D">
        <w:rPr>
          <w:rFonts w:ascii="Times New Roman" w:eastAsia="Times New Roman" w:hAnsi="Times New Roman"/>
          <w:sz w:val="28"/>
          <w:szCs w:val="28"/>
        </w:rPr>
        <w:t>% спрямо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г. и 2019г.</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 </w:t>
      </w:r>
      <w:r w:rsidRPr="000B075D">
        <w:rPr>
          <w:rFonts w:ascii="Times New Roman" w:eastAsia="Times New Roman" w:hAnsi="Times New Roman"/>
          <w:sz w:val="28"/>
          <w:szCs w:val="28"/>
        </w:rPr>
        <w:tab/>
        <w:t xml:space="preserve">През 2021г. новообразувани са 917 броя преписки, през 2020г. те са били 867 броя, а през 2019г. – 870 броя. </w:t>
      </w: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От общо образуваните </w:t>
      </w:r>
      <w:r w:rsidRPr="000B075D">
        <w:rPr>
          <w:rFonts w:ascii="Times New Roman" w:eastAsia="Times New Roman" w:hAnsi="Times New Roman"/>
          <w:sz w:val="28"/>
          <w:szCs w:val="28"/>
          <w:lang w:val="en-US"/>
        </w:rPr>
        <w:t>917</w:t>
      </w:r>
      <w:r w:rsidRPr="000B075D">
        <w:rPr>
          <w:rFonts w:ascii="Times New Roman" w:eastAsia="Times New Roman" w:hAnsi="Times New Roman"/>
          <w:sz w:val="28"/>
          <w:szCs w:val="28"/>
        </w:rPr>
        <w:t xml:space="preserve"> броя преписки за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г., няма преписки останали от предходен период,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г. от общо 875 броя преписки – </w:t>
      </w:r>
      <w:r w:rsidRPr="000B075D">
        <w:rPr>
          <w:rFonts w:ascii="Times New Roman" w:eastAsia="Times New Roman" w:hAnsi="Times New Roman"/>
          <w:sz w:val="28"/>
          <w:szCs w:val="28"/>
          <w:lang w:val="en-US"/>
        </w:rPr>
        <w:t>8</w:t>
      </w:r>
      <w:r w:rsidRPr="000B075D">
        <w:rPr>
          <w:rFonts w:ascii="Times New Roman" w:eastAsia="Times New Roman" w:hAnsi="Times New Roman"/>
          <w:sz w:val="28"/>
          <w:szCs w:val="28"/>
        </w:rPr>
        <w:t xml:space="preserve"> броя са останали от предходен период, а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г. от общо </w:t>
      </w:r>
      <w:r w:rsidRPr="000B075D">
        <w:rPr>
          <w:rFonts w:ascii="Times New Roman" w:eastAsia="Times New Roman" w:hAnsi="Times New Roman"/>
          <w:sz w:val="28"/>
          <w:szCs w:val="28"/>
          <w:lang w:val="en-US"/>
        </w:rPr>
        <w:t xml:space="preserve">875 </w:t>
      </w:r>
      <w:r w:rsidRPr="000B075D">
        <w:rPr>
          <w:rFonts w:ascii="Times New Roman" w:eastAsia="Times New Roman" w:hAnsi="Times New Roman"/>
          <w:sz w:val="28"/>
          <w:szCs w:val="28"/>
        </w:rPr>
        <w:t xml:space="preserve">броя – </w:t>
      </w:r>
      <w:r w:rsidRPr="000B075D">
        <w:rPr>
          <w:rFonts w:ascii="Times New Roman" w:eastAsia="Times New Roman" w:hAnsi="Times New Roman"/>
          <w:sz w:val="28"/>
          <w:szCs w:val="28"/>
          <w:lang w:val="en-US"/>
        </w:rPr>
        <w:t>5</w:t>
      </w:r>
      <w:r w:rsidRPr="000B075D">
        <w:rPr>
          <w:rFonts w:ascii="Times New Roman" w:eastAsia="Times New Roman" w:hAnsi="Times New Roman"/>
          <w:sz w:val="28"/>
          <w:szCs w:val="28"/>
        </w:rPr>
        <w:t xml:space="preserve"> броя са останали от предходен период. </w:t>
      </w: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За отчетния период на 2021г. от общо образуваните 917 броя преписки, общият брой на решените преписки е 895 броя /от които 881 броя решени по същество и 14 броя изпратени по компетентност/.  През 2020г. от общо образуваните 875 броя преписки, решените са 850броя / от които 839бр. по същество и 11 бр. изпратени по компетентност/, а през 2019г.  от общо  875 броя преписки са решени 867 броя / от които 847бр. по същество и 20бр. изпратени по компетентност/. </w:t>
      </w: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По статистическите показатели при решените преписки  за 2021г. спрямо 2020г. и 2019г. се наблюдава сравнително устойчива тенденция, тъй като ръстът е едва 2,29%.</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ab/>
        <w:t xml:space="preserve">Броят на неприключените преписки за периода е 22 броя, като за 2020г. е бил 25 броя, а за 2019 г. те са били 8 броя. От неприключилите 22 броя преписки, 13 броя чакат окомплектоване, а 9 са на доклад при прокурор за решаване в законоустановения срок.  </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lastRenderedPageBreak/>
        <w:drawing>
          <wp:inline distT="0" distB="0" distL="0" distR="0" wp14:anchorId="5B741D03" wp14:editId="76C96294">
            <wp:extent cx="5709285" cy="2154555"/>
            <wp:effectExtent l="0" t="0" r="0" b="0"/>
            <wp:docPr id="50" name="Диагра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16"/>
          <w:szCs w:val="16"/>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Броят дела за 2021 г., които касаят обжалване на подзаконови нормативни актове е 64 броя, при  16 броя за 2020г., а за 2019 г. техният брой е бил 18 броя.  Делата, които са водени по други предвидени в закон случаи  през 2021г. са 4208 броя, при 1642 броя за 2020г. и  1247 бр. за 2019г.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en-US"/>
        </w:rPr>
      </w:pPr>
      <w:r w:rsidRPr="000B075D">
        <w:rPr>
          <w:rFonts w:ascii="Times New Roman" w:eastAsia="Times New Roman" w:hAnsi="Times New Roman"/>
          <w:sz w:val="28"/>
          <w:szCs w:val="28"/>
        </w:rPr>
        <w:t>Съобразно Заповед № ЛС-4496/13.10.2014г. на главен прокурор, поради важен държавен или обществен интерес, през 2021г. прокурорите от отдела са участвали в съдебни заседания по 883 броя административни дела, което съставлява 16,62%  от общо 5311 броя първоинстанционни дела. За 2020г. съотношението е 14,75% / 318 броя адм. дела съобразно заповедта спрямо 2156 общ брой първоинстанционни дела/ и за 2019г. съотношението е било 17,86% / 350 брой адм. дела съобразно заповедта спрямо 1959 общ брой първоинстанционни дела/.</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en-US"/>
        </w:rPr>
      </w:pPr>
      <w:r w:rsidRPr="000B075D">
        <w:rPr>
          <w:rFonts w:ascii="Times New Roman" w:eastAsia="Times New Roman" w:hAnsi="Times New Roman"/>
          <w:sz w:val="28"/>
          <w:szCs w:val="28"/>
        </w:rPr>
        <w:t xml:space="preserve">През 2021г. по лична преценка прокурорите са взели участие в 156 броя дела, делата 2020г. са били  180броя, при 344 за отчетната 2019 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16"/>
          <w:szCs w:val="16"/>
          <w:lang w:val="en-US"/>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lang w:val="en-US"/>
        </w:rPr>
      </w:pPr>
      <w:r w:rsidRPr="000B075D">
        <w:rPr>
          <w:rFonts w:ascii="Times New Roman" w:eastAsia="Times New Roman" w:hAnsi="Times New Roman"/>
          <w:noProof/>
          <w:sz w:val="28"/>
          <w:szCs w:val="28"/>
          <w:lang w:eastAsia="bg-BG"/>
        </w:rPr>
        <w:drawing>
          <wp:inline distT="0" distB="0" distL="0" distR="0" wp14:anchorId="1089E60B" wp14:editId="72240A74">
            <wp:extent cx="5454650" cy="2440940"/>
            <wp:effectExtent l="0" t="0" r="0" b="0"/>
            <wp:docPr id="51" name="Ди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През 2021 г. по инициатива на прокурорите в отдел „Гражданско-съдебен надзор, административно-съдебен надзор и надзор за законност” </w:t>
      </w:r>
      <w:r w:rsidRPr="000B075D">
        <w:rPr>
          <w:rFonts w:ascii="Times New Roman" w:eastAsia="Times New Roman" w:hAnsi="Times New Roman"/>
          <w:sz w:val="28"/>
          <w:szCs w:val="28"/>
        </w:rPr>
        <w:lastRenderedPageBreak/>
        <w:t>няма изготвени предложения за възобновяване на административно- наказателни производства на основание чл. 72 от ЗАНН, спрямо 1</w:t>
      </w:r>
      <w:r w:rsidRPr="000B075D">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броя за 2020 г. и 4 броя за 2019 г.- от тях разгледани 2 броя. За 2020г.  и 2019г. предложенията не са уважени.</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През отчетния период на 2021г. има общо 2 броя постановени откази за възобновяване по ЗАНН. Обжалван е 1 брой отказ, който е потвърден по реда на инстанционния контрол. През 2020г. няма постановени откази, като през 2019г. те са били  8 броя откази за изготвяне на предложение, от които за 2019 г. са обжалвани 3 броя откази, като броят на потвърдените откази е бил 2 броя. Основателно е да се отбележи, че броят на протестите срещу административни актове и предложенията по чл. 72 от ЗАНН не зависи изцяло от активността на прокурорите от отдел „Гражданско-съдебен надзор, административно-съдебен надзор и надзор за законност”, а преди всичко от сезирането на прокуратурата с такива искания.</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lang w:val="en-US"/>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154AE155" wp14:editId="156ADBC4">
            <wp:extent cx="5725160" cy="3053080"/>
            <wp:effectExtent l="0" t="0" r="0" b="0"/>
            <wp:docPr id="52" name="Ди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ab/>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r w:rsidRPr="000B075D">
        <w:rPr>
          <w:rFonts w:ascii="Times New Roman" w:eastAsia="Times New Roman" w:hAnsi="Times New Roman"/>
          <w:b/>
          <w:sz w:val="28"/>
          <w:szCs w:val="28"/>
        </w:rPr>
        <w:t xml:space="preserve">Дейност по надзора за законност. Създадена организация на работата по надзора за законност, обем и основни области, в които е осъществяван надзорът за законност през 2021 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p>
    <w:p w:rsidR="000B075D" w:rsidRPr="000B075D" w:rsidRDefault="000B075D" w:rsidP="004D24A1">
      <w:pPr>
        <w:tabs>
          <w:tab w:val="left" w:pos="709"/>
        </w:tabs>
        <w:autoSpaceDN w:val="0"/>
        <w:spacing w:after="0"/>
        <w:ind w:firstLine="708"/>
        <w:jc w:val="both"/>
        <w:rPr>
          <w:rFonts w:ascii="Times New Roman" w:hAnsi="Times New Roman"/>
          <w:sz w:val="28"/>
          <w:szCs w:val="28"/>
        </w:rPr>
      </w:pPr>
      <w:r w:rsidRPr="000B075D">
        <w:rPr>
          <w:rFonts w:ascii="Times New Roman" w:hAnsi="Times New Roman"/>
          <w:sz w:val="28"/>
          <w:szCs w:val="28"/>
        </w:rPr>
        <w:t>Водещо  начало и приоритет в дейността по надзора за законност е наличието на важен държавен или обществен интерес, който се засяга при такъв вид правоотношения.</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lang w:val="en-US"/>
        </w:rPr>
      </w:pPr>
      <w:r w:rsidRPr="000B075D">
        <w:rPr>
          <w:rFonts w:ascii="Times New Roman" w:eastAsia="Times New Roman" w:hAnsi="Times New Roman"/>
          <w:sz w:val="28"/>
          <w:szCs w:val="28"/>
        </w:rPr>
        <w:lastRenderedPageBreak/>
        <w:t>През отчетната 2021 г. прокурорите от отдел 04 „Гражданско-съдебен надзор, административно-съдебен надзор и надзор за законност” в Софийска градска прокуратура са продължили да следят и завеждат своевременно, като преписки сигналите в средствата за масова информация, чрез осъществяване на медиен мониторинг на данни за допуснати закононарушения или издадени незаконосъобразни административни актове и да предприемат предвидените по закон действия,</w:t>
      </w:r>
      <w:r w:rsidRPr="000B075D">
        <w:t xml:space="preserve"> </w:t>
      </w:r>
      <w:r w:rsidRPr="000B075D">
        <w:rPr>
          <w:rFonts w:ascii="Times New Roman" w:eastAsia="Times New Roman" w:hAnsi="Times New Roman"/>
          <w:sz w:val="28"/>
          <w:szCs w:val="28"/>
        </w:rPr>
        <w:t>за да бъде защитен в максимална степен обществения интерес</w:t>
      </w:r>
      <w:r w:rsidRPr="000B075D">
        <w:rPr>
          <w:rFonts w:ascii="Times New Roman" w:eastAsia="Times New Roman" w:hAnsi="Times New Roman"/>
          <w:sz w:val="28"/>
          <w:szCs w:val="28"/>
          <w:lang w:val="en-US"/>
        </w:rPr>
        <w:t>.</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Също така, с цел превенция на закононарушенията, прокурорите от отдела са инициирали проверки за законност по Закона за храните чрез изпълнителния директор на ОДБАБХ София-град по спазване на изискванията за качество и безопасност на храните от кухни на училища и на детски градини; проверки за законност на кметове на общини за установяване на незаконни сметища, почистването им и налагането на санкции на виновните лица; проверки за законност чрез директора на СДВР, отдел „Пътна полиция“ по съблюдаване на правилата за движение на триколесни МПС за регистрация и управление от правоспособни лица; проверка по Закона за политическите партии, кои политически партии не са представили годишен отчет, както и не са участвали в изборния процес, с цел прецезиране на действия пред СГС по заличаване на същите.</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Прокурорите от отдел „Гражданско-съдебен надзор, административно-съдебен надзор и надзор за законност” в Софийска градска прокуратура са спазвали стриктно утвърдения за 20</w:t>
      </w:r>
      <w:r w:rsidRPr="000B075D">
        <w:rPr>
          <w:rFonts w:ascii="Times New Roman" w:eastAsia="Times New Roman" w:hAnsi="Times New Roman"/>
          <w:sz w:val="28"/>
          <w:szCs w:val="28"/>
          <w:lang w:val="en-US"/>
        </w:rPr>
        <w:t>2</w:t>
      </w:r>
      <w:r w:rsidRPr="000B075D">
        <w:rPr>
          <w:rFonts w:ascii="Times New Roman" w:eastAsia="Times New Roman" w:hAnsi="Times New Roman"/>
          <w:sz w:val="28"/>
          <w:szCs w:val="28"/>
        </w:rPr>
        <w:t>1 г. план за дейността, като в същото време, освен продължаването на работата по споменатите вече, образувани по техен почин преписки чрез метода на самосезиране през предходни години, са извършвали голям брой проверки по сигнали на граждани, организации, държавни органи, както и по казуси с голям обществен интерес.</w:t>
      </w:r>
      <w:r w:rsidRPr="000B075D">
        <w:rPr>
          <w:rFonts w:ascii="Times New Roman" w:eastAsia="Times New Roman" w:hAnsi="Times New Roman"/>
          <w:sz w:val="28"/>
          <w:szCs w:val="28"/>
          <w:lang w:val="en-US"/>
        </w:rPr>
        <w:t xml:space="preserve">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hAnsi="Times New Roman"/>
          <w:sz w:val="28"/>
          <w:szCs w:val="28"/>
        </w:rPr>
        <w:t>Също така прокурорите от този отдел на СРП извършват проверки на съответните държавни органи и институции, както и общински администрации и други специализирани (контролни) учреждения, според териториалната  им компетентност.</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Общият брой на получените и образувани преписки по реда на надзора за законност в съдебния район /за СРП и СГП/ за 2021г. е 488 броя, през 2020 г. е 443 броя, а за 2019 г. е 312 броя.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Новообразуваните преписки за 2021г. / за СГП и СРП/ са 484 броя, за 2020 г.  са 381, при 267 за 2019 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От посочените общ брой 488 образувани преписки, отново най – голям дял заемат образуваните по искане на граждани и организации – 350 броя.</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lastRenderedPageBreak/>
        <w:t xml:space="preserve"> За 2020г. от общия брой 443 преписки също така най-голям дял заемат образуваните по жалби на граждани и организации – 304 броя, като за 2019 г. са били 259, като в този смисъл е налице устойчива тенденция, наблюдавана и през предходните две години /най-голям е делът на преписките, образувани по този показател/. Преписките, образувани по инициатива на прокурор, за отчетния период са общо 138 броя, при 139 бр. за 2020 г., а през 2019г. – 53 броя, като по този показател  не може да не се отбележи приноса на прокурорите от СРП, по чиято инициатива са образувани 123 броя преписки за отчетния период на 2021г. , спрямо 15 броя образувани по инициатива на прокурорите от СГП.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През отчетния период, решените преписки общо за СГП и СРП са </w:t>
      </w:r>
      <w:r w:rsidRPr="000B075D">
        <w:rPr>
          <w:rFonts w:ascii="Times New Roman" w:eastAsia="Times New Roman" w:hAnsi="Times New Roman"/>
          <w:sz w:val="28"/>
          <w:szCs w:val="28"/>
          <w:lang w:val="en-US"/>
        </w:rPr>
        <w:t xml:space="preserve">440 </w:t>
      </w:r>
      <w:r w:rsidRPr="000B075D">
        <w:rPr>
          <w:rFonts w:ascii="Times New Roman" w:eastAsia="Times New Roman" w:hAnsi="Times New Roman"/>
          <w:sz w:val="28"/>
          <w:szCs w:val="28"/>
        </w:rPr>
        <w:t>броя, от които решени по същество 3</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1бр., а останалите </w:t>
      </w:r>
      <w:r w:rsidRPr="000B075D">
        <w:rPr>
          <w:rFonts w:ascii="Times New Roman" w:eastAsia="Times New Roman" w:hAnsi="Times New Roman"/>
          <w:sz w:val="28"/>
          <w:szCs w:val="28"/>
          <w:lang w:val="en-US"/>
        </w:rPr>
        <w:t xml:space="preserve">49 </w:t>
      </w:r>
      <w:r w:rsidRPr="000B075D">
        <w:rPr>
          <w:rFonts w:ascii="Times New Roman" w:eastAsia="Times New Roman" w:hAnsi="Times New Roman"/>
          <w:sz w:val="28"/>
          <w:szCs w:val="28"/>
        </w:rPr>
        <w:t>бр. са изпратени по компетентност. През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г. – общо решени </w:t>
      </w:r>
      <w:r w:rsidRPr="000B075D">
        <w:rPr>
          <w:rFonts w:ascii="Times New Roman" w:eastAsia="Times New Roman" w:hAnsi="Times New Roman"/>
          <w:sz w:val="28"/>
          <w:szCs w:val="28"/>
          <w:lang w:val="en-US"/>
        </w:rPr>
        <w:t>433</w:t>
      </w:r>
      <w:r w:rsidRPr="000B075D">
        <w:rPr>
          <w:rFonts w:ascii="Times New Roman" w:eastAsia="Times New Roman" w:hAnsi="Times New Roman"/>
          <w:sz w:val="28"/>
          <w:szCs w:val="28"/>
        </w:rPr>
        <w:t xml:space="preserve"> бр., от които </w:t>
      </w:r>
      <w:r w:rsidRPr="000B075D">
        <w:rPr>
          <w:rFonts w:ascii="Times New Roman" w:eastAsia="Times New Roman" w:hAnsi="Times New Roman"/>
          <w:sz w:val="28"/>
          <w:szCs w:val="28"/>
          <w:lang w:val="en-US"/>
        </w:rPr>
        <w:t>381</w:t>
      </w:r>
      <w:r w:rsidRPr="000B075D">
        <w:rPr>
          <w:rFonts w:ascii="Times New Roman" w:eastAsia="Times New Roman" w:hAnsi="Times New Roman"/>
          <w:sz w:val="28"/>
          <w:szCs w:val="28"/>
        </w:rPr>
        <w:t xml:space="preserve"> са били решени по същество, а останалите 5</w:t>
      </w:r>
      <w:r w:rsidRPr="000B075D">
        <w:rPr>
          <w:rFonts w:ascii="Times New Roman" w:eastAsia="Times New Roman" w:hAnsi="Times New Roman"/>
          <w:sz w:val="28"/>
          <w:szCs w:val="28"/>
          <w:lang w:val="en-US"/>
        </w:rPr>
        <w:t>2</w:t>
      </w:r>
      <w:r w:rsidRPr="000B075D">
        <w:rPr>
          <w:rFonts w:ascii="Times New Roman" w:eastAsia="Times New Roman" w:hAnsi="Times New Roman"/>
          <w:sz w:val="28"/>
          <w:szCs w:val="28"/>
        </w:rPr>
        <w:t xml:space="preserve"> бр. са били изпратени по компетентност, като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броят им е бил 27</w:t>
      </w:r>
      <w:r w:rsidRPr="000B075D">
        <w:rPr>
          <w:rFonts w:ascii="Times New Roman" w:eastAsia="Times New Roman" w:hAnsi="Times New Roman"/>
          <w:sz w:val="28"/>
          <w:szCs w:val="28"/>
          <w:lang w:val="en-US"/>
        </w:rPr>
        <w:t>5</w:t>
      </w:r>
      <w:r w:rsidRPr="000B075D">
        <w:rPr>
          <w:rFonts w:ascii="Times New Roman" w:eastAsia="Times New Roman" w:hAnsi="Times New Roman"/>
          <w:sz w:val="28"/>
          <w:szCs w:val="28"/>
        </w:rPr>
        <w:t xml:space="preserve"> бр., от които 2</w:t>
      </w:r>
      <w:r w:rsidRPr="000B075D">
        <w:rPr>
          <w:rFonts w:ascii="Times New Roman" w:eastAsia="Times New Roman" w:hAnsi="Times New Roman"/>
          <w:sz w:val="28"/>
          <w:szCs w:val="28"/>
          <w:lang w:val="en-US"/>
        </w:rPr>
        <w:t>22</w:t>
      </w:r>
      <w:r w:rsidRPr="000B075D">
        <w:rPr>
          <w:rFonts w:ascii="Times New Roman" w:eastAsia="Times New Roman" w:hAnsi="Times New Roman"/>
          <w:sz w:val="28"/>
          <w:szCs w:val="28"/>
        </w:rPr>
        <w:t xml:space="preserve"> са били решени по същество, а останалите </w:t>
      </w:r>
      <w:r w:rsidRPr="000B075D">
        <w:rPr>
          <w:rFonts w:ascii="Times New Roman" w:eastAsia="Times New Roman" w:hAnsi="Times New Roman"/>
          <w:sz w:val="28"/>
          <w:szCs w:val="28"/>
          <w:lang w:val="en-US"/>
        </w:rPr>
        <w:t>53</w:t>
      </w:r>
      <w:r w:rsidRPr="000B075D">
        <w:rPr>
          <w:rFonts w:ascii="Times New Roman" w:eastAsia="Times New Roman" w:hAnsi="Times New Roman"/>
          <w:sz w:val="28"/>
          <w:szCs w:val="28"/>
        </w:rPr>
        <w:t xml:space="preserve"> бр. са били изпратени по компетентност. По този показател „решени по същество“ с оглед статистическите данни за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се наблюдава ръст с </w:t>
      </w:r>
      <w:r w:rsidRPr="000B075D">
        <w:rPr>
          <w:rFonts w:ascii="Times New Roman" w:eastAsia="Times New Roman" w:hAnsi="Times New Roman"/>
          <w:sz w:val="28"/>
          <w:szCs w:val="28"/>
          <w:lang w:val="en-US"/>
        </w:rPr>
        <w:t>2.62</w:t>
      </w:r>
      <w:r w:rsidRPr="000B075D">
        <w:rPr>
          <w:rFonts w:ascii="Times New Roman" w:eastAsia="Times New Roman" w:hAnsi="Times New Roman"/>
          <w:sz w:val="28"/>
          <w:szCs w:val="28"/>
        </w:rPr>
        <w:t>% спрямо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г. и </w:t>
      </w:r>
      <w:r w:rsidRPr="000B075D">
        <w:rPr>
          <w:rFonts w:ascii="Times New Roman" w:eastAsia="Times New Roman" w:hAnsi="Times New Roman"/>
          <w:sz w:val="28"/>
          <w:szCs w:val="28"/>
          <w:lang w:val="en-US"/>
        </w:rPr>
        <w:t>76.13</w:t>
      </w:r>
      <w:r w:rsidRPr="000B075D">
        <w:rPr>
          <w:rFonts w:ascii="Times New Roman" w:eastAsia="Times New Roman" w:hAnsi="Times New Roman"/>
          <w:sz w:val="28"/>
          <w:szCs w:val="28"/>
        </w:rPr>
        <w:t>% спрямо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г.</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При извършените проверки през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от прокурорите при СРП и СГП, най – голям дял заемат тези по чл. 145, ал. 1, т. 3 от ЗСВ /възлагателни проверки/ - </w:t>
      </w:r>
      <w:r w:rsidRPr="000B075D">
        <w:rPr>
          <w:rFonts w:ascii="Times New Roman" w:eastAsia="Times New Roman" w:hAnsi="Times New Roman"/>
          <w:sz w:val="28"/>
          <w:szCs w:val="28"/>
          <w:lang w:val="en-US"/>
        </w:rPr>
        <w:t xml:space="preserve">243 </w:t>
      </w:r>
      <w:r w:rsidRPr="000B075D">
        <w:rPr>
          <w:rFonts w:ascii="Times New Roman" w:eastAsia="Times New Roman" w:hAnsi="Times New Roman"/>
          <w:sz w:val="28"/>
          <w:szCs w:val="28"/>
        </w:rPr>
        <w:t>броя, през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г. те са били 1</w:t>
      </w:r>
      <w:r w:rsidRPr="000B075D">
        <w:rPr>
          <w:rFonts w:ascii="Times New Roman" w:eastAsia="Times New Roman" w:hAnsi="Times New Roman"/>
          <w:sz w:val="28"/>
          <w:szCs w:val="28"/>
          <w:lang w:val="en-US"/>
        </w:rPr>
        <w:t xml:space="preserve">84 </w:t>
      </w:r>
      <w:r w:rsidRPr="000B075D">
        <w:rPr>
          <w:rFonts w:ascii="Times New Roman" w:eastAsia="Times New Roman" w:hAnsi="Times New Roman"/>
          <w:sz w:val="28"/>
          <w:szCs w:val="28"/>
        </w:rPr>
        <w:t>бр. и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г. - 1</w:t>
      </w:r>
      <w:r w:rsidRPr="000B075D">
        <w:rPr>
          <w:rFonts w:ascii="Times New Roman" w:eastAsia="Times New Roman" w:hAnsi="Times New Roman"/>
          <w:sz w:val="28"/>
          <w:szCs w:val="28"/>
          <w:lang w:val="en-US"/>
        </w:rPr>
        <w:t>76</w:t>
      </w:r>
      <w:r w:rsidRPr="000B075D">
        <w:rPr>
          <w:rFonts w:ascii="Times New Roman" w:eastAsia="Times New Roman" w:hAnsi="Times New Roman"/>
          <w:sz w:val="28"/>
          <w:szCs w:val="28"/>
        </w:rPr>
        <w:t xml:space="preserve"> бр.  Проверки по чл. 145, ал. 1, т. 2 от ЗСВ през отчетния период са извършени 2бр., за 2020 г. са извършени 40броя, а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г. е 40бр. Проверките по чл. 145, ал. 1, т. 1 ЗСВ през 2021г. са 67бр., извършени  през 2020 г. са 65бр., а за 2019 г. – 54бр.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Съобразно статистическите данни се наблюдава ръст на общия брой възложени проверки от СРП и СГП за периода на 2021г. с 7,96% спрямо 2020г. и 35,65% спрямо 2019г.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През 2021г. от прокурорите при СГП са проверени 2106 бр. административни актове /индивидуални, общи и нормативни/ , през 2020г. от прокурорите при СГП и СРП те са били проверени 1130бр. административни акта, при 2301 за 2019 г., като по този показател спрямо 2020г. се наблюдава значителен ръст с 86,37%, като спрямо 2019г. се наблюдава лек спад  с 8,47%.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Общият брой внесени протести от СГП и СРП  в съда през 2021г. са 11 броя /10 броя внесени от СГП и 1 брой от СРП/, от които 1 протест на СГП е бил уважен , 1брой не е уважен и 8 броя са висящи. Внесеният протест от СРП е висящ.  През 2020г. са внесени 9броя протести, от които уважени </w:t>
      </w:r>
      <w:r w:rsidRPr="000B075D">
        <w:rPr>
          <w:rFonts w:ascii="Times New Roman" w:eastAsia="Times New Roman" w:hAnsi="Times New Roman"/>
          <w:sz w:val="28"/>
          <w:szCs w:val="28"/>
        </w:rPr>
        <w:lastRenderedPageBreak/>
        <w:t>са 3 бр., останалите са висящи. През 2019г. са внесени  20 бр. протести, от които уважени са 8, неуважени са били 2бр., а останалите 10 са висящи. Внесените в съда протести през отчетния период са повече  с 22,22% спрямо 2020г. и  по-малко с 45% спрямо 2019 г. Продължава да се наблюдава значителен спад при уважените протести от съда спрямо внесените такива – 66,67% за 2020г., като през 2019г. процентното съотношение е било 87,50%.</w:t>
      </w:r>
    </w:p>
    <w:p w:rsidR="000B075D" w:rsidRPr="000B075D" w:rsidRDefault="000B075D" w:rsidP="004D24A1">
      <w:pPr>
        <w:overflowPunct w:val="0"/>
        <w:autoSpaceDE w:val="0"/>
        <w:autoSpaceDN w:val="0"/>
        <w:adjustRightInd w:val="0"/>
        <w:spacing w:after="0"/>
        <w:ind w:firstLine="708"/>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За отчетния период общо от СРП и СГП са изготвени и подадени 10 бр. предложения, като те са направени по реда на чл.145, ал.1, т.5 и т.6 от ЗСВ, като 3 броя от тях са били уважени, а 7 броя са висящи. През 2020г. са общо 6 броя предложения  и всичките са били уважени. За 2019 г. те са били  7броя по реда на чл.145, ал.1, т.5 и т.6 от ЗСВ, като 6 бр. от тях са уважени и 1бр. е бил висящ. Наблюдава се увеличаване на активността на прокурорите по този показател.</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В частност за СГП, отдел „Гражданско-съдебен надзор, административно-съдебен надзор и надзор за законност” образуваните преписки по реда на надзора за законност за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са </w:t>
      </w:r>
      <w:r w:rsidRPr="000B075D">
        <w:rPr>
          <w:rFonts w:ascii="Times New Roman" w:eastAsia="Times New Roman" w:hAnsi="Times New Roman"/>
          <w:sz w:val="28"/>
          <w:szCs w:val="28"/>
          <w:lang w:val="en-US"/>
        </w:rPr>
        <w:t>2</w:t>
      </w:r>
      <w:r w:rsidRPr="000B075D">
        <w:rPr>
          <w:rFonts w:ascii="Times New Roman" w:eastAsia="Times New Roman" w:hAnsi="Times New Roman"/>
          <w:sz w:val="28"/>
          <w:szCs w:val="28"/>
        </w:rPr>
        <w:t>86бр.,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 г. са били </w:t>
      </w:r>
      <w:r w:rsidRPr="000B075D">
        <w:rPr>
          <w:rFonts w:ascii="Times New Roman" w:eastAsia="Times New Roman" w:hAnsi="Times New Roman"/>
          <w:sz w:val="28"/>
          <w:szCs w:val="28"/>
          <w:lang w:val="en-US"/>
        </w:rPr>
        <w:t>186</w:t>
      </w:r>
      <w:r w:rsidRPr="000B075D">
        <w:rPr>
          <w:rFonts w:ascii="Times New Roman" w:eastAsia="Times New Roman" w:hAnsi="Times New Roman"/>
          <w:sz w:val="28"/>
          <w:szCs w:val="28"/>
        </w:rPr>
        <w:t>бр.,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са </w:t>
      </w:r>
      <w:r w:rsidRPr="000B075D">
        <w:rPr>
          <w:rFonts w:ascii="Times New Roman" w:eastAsia="Times New Roman" w:hAnsi="Times New Roman"/>
          <w:sz w:val="28"/>
          <w:szCs w:val="28"/>
          <w:lang w:val="en-US"/>
        </w:rPr>
        <w:t>139</w:t>
      </w:r>
      <w:r w:rsidRPr="000B075D">
        <w:rPr>
          <w:rFonts w:ascii="Times New Roman" w:eastAsia="Times New Roman" w:hAnsi="Times New Roman"/>
          <w:sz w:val="28"/>
          <w:szCs w:val="28"/>
        </w:rPr>
        <w:t>бр. Извършените през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от СГП проверки са </w:t>
      </w:r>
      <w:r w:rsidRPr="000B075D">
        <w:rPr>
          <w:rFonts w:ascii="Times New Roman" w:eastAsia="Times New Roman" w:hAnsi="Times New Roman"/>
          <w:sz w:val="28"/>
          <w:szCs w:val="28"/>
          <w:lang w:val="en-US"/>
        </w:rPr>
        <w:t>169</w:t>
      </w:r>
      <w:r w:rsidRPr="000B075D">
        <w:rPr>
          <w:rFonts w:ascii="Times New Roman" w:eastAsia="Times New Roman" w:hAnsi="Times New Roman"/>
          <w:sz w:val="28"/>
          <w:szCs w:val="28"/>
        </w:rPr>
        <w:t xml:space="preserve">бр., за предходния отчетен период- </w:t>
      </w:r>
      <w:r w:rsidRPr="000B075D">
        <w:rPr>
          <w:rFonts w:ascii="Times New Roman" w:eastAsia="Times New Roman" w:hAnsi="Times New Roman"/>
          <w:sz w:val="28"/>
          <w:szCs w:val="28"/>
          <w:lang w:val="en-US"/>
        </w:rPr>
        <w:t>198</w:t>
      </w:r>
      <w:r w:rsidRPr="000B075D">
        <w:rPr>
          <w:rFonts w:ascii="Times New Roman" w:eastAsia="Times New Roman" w:hAnsi="Times New Roman"/>
          <w:sz w:val="28"/>
          <w:szCs w:val="28"/>
        </w:rPr>
        <w:t xml:space="preserve">бр., при </w:t>
      </w:r>
      <w:r w:rsidRPr="000B075D">
        <w:rPr>
          <w:rFonts w:ascii="Times New Roman" w:eastAsia="Times New Roman" w:hAnsi="Times New Roman"/>
          <w:sz w:val="28"/>
          <w:szCs w:val="28"/>
          <w:lang w:val="en-US"/>
        </w:rPr>
        <w:t>91</w:t>
      </w:r>
      <w:r w:rsidRPr="000B075D">
        <w:rPr>
          <w:rFonts w:ascii="Times New Roman" w:eastAsia="Times New Roman" w:hAnsi="Times New Roman"/>
          <w:sz w:val="28"/>
          <w:szCs w:val="28"/>
        </w:rPr>
        <w:t>бр.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Средната натовареност на прокурорите по надзора за законност СГП за 2021г.</w:t>
      </w:r>
      <w:r w:rsidRPr="000B075D">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 xml:space="preserve"> е </w:t>
      </w:r>
      <w:r w:rsidRPr="000B075D">
        <w:rPr>
          <w:rFonts w:ascii="Times New Roman" w:eastAsia="Times New Roman" w:hAnsi="Times New Roman"/>
          <w:sz w:val="28"/>
          <w:szCs w:val="28"/>
          <w:lang w:val="en-US"/>
        </w:rPr>
        <w:t>23.8</w:t>
      </w:r>
      <w:r w:rsidRPr="000B075D">
        <w:rPr>
          <w:rFonts w:ascii="Times New Roman" w:eastAsia="Times New Roman" w:hAnsi="Times New Roman"/>
          <w:sz w:val="28"/>
          <w:szCs w:val="28"/>
        </w:rPr>
        <w:t xml:space="preserve">, при </w:t>
      </w:r>
      <w:r w:rsidRPr="000B075D">
        <w:rPr>
          <w:rFonts w:ascii="Times New Roman" w:eastAsia="Times New Roman" w:hAnsi="Times New Roman"/>
          <w:sz w:val="28"/>
          <w:szCs w:val="28"/>
          <w:lang w:val="en-US"/>
        </w:rPr>
        <w:t>13.3</w:t>
      </w:r>
      <w:r w:rsidRPr="000B075D">
        <w:rPr>
          <w:rFonts w:ascii="Times New Roman" w:eastAsia="Times New Roman" w:hAnsi="Times New Roman"/>
          <w:sz w:val="28"/>
          <w:szCs w:val="28"/>
        </w:rPr>
        <w:t xml:space="preserve">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 xml:space="preserve">г. и  при </w:t>
      </w:r>
      <w:r w:rsidRPr="000B075D">
        <w:rPr>
          <w:rFonts w:ascii="Times New Roman" w:eastAsia="Times New Roman" w:hAnsi="Times New Roman"/>
          <w:sz w:val="28"/>
          <w:szCs w:val="28"/>
          <w:lang w:val="en-US"/>
        </w:rPr>
        <w:t>10.7</w:t>
      </w:r>
      <w:r w:rsidRPr="000B075D">
        <w:rPr>
          <w:rFonts w:ascii="Times New Roman" w:eastAsia="Times New Roman" w:hAnsi="Times New Roman"/>
          <w:sz w:val="28"/>
          <w:szCs w:val="28"/>
        </w:rPr>
        <w:t xml:space="preserve">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което показва ръст в натовареността на прокурорите по надзора за законност.</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Проверени са 2106бр. административни акта, при 1050бр. за 2020г. и 1011бр. за 2019 г. Видно от изложеното е налице значителен ръст с 100,57% спрямо 2020г. и с 108,31% спрямо 2019г.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От общо 286 бр. образувани преписки, новообразувани са 285 бр., останала е 1брой преписка от минал период.  Най-висок остава делът образувани преписки по искане на граждани и организации – 271бр. /2020г.- 170бр. и 2019г. 139бр./ Наблюдава се устойчива тенденция при преписките, образувани през 2021г. по инициатива на прокурор – 15бр., през 2020г.- 16броя, а през 2018г. – няма.</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Също така при общия брой на решените преписки за отчетния период, който е 264бр., при 179бр. за 2020г. и  127бр. за 2019 г. се наблюдава ръст с 47,49% спрямо 2020г. и 107,87% спрямо 2019г.</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 От общия брой 264 решени преписки през 2021г., решените по същество от прокурор са 225бр. и изпратени по компетентност 39бр., като за 2020г. от 179бр. решени преписки, решени по същество са 131бр., а 48бр. са изпратени по компетентност; за 2019 г. - общо 127бр., от които 83бр. са решени по същество и 44бр. - изпратени по компетентност.</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lastRenderedPageBreak/>
        <w:t xml:space="preserve">И за отчетната 2021 г. продължава положителната тенденция да не са налице произнасяния извън законоустановените срокове. </w:t>
      </w: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74B3293B" wp14:editId="707F4B40">
            <wp:extent cx="5558155" cy="3267710"/>
            <wp:effectExtent l="0" t="0" r="0" b="0"/>
            <wp:docPr id="53" name="Ди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Съобразно статистическите данни за отчетния период най-голям брой имат проверките по чл.145, ал.1, т.3 от ЗСВ, възложени от прокурорите при СГП – 102бр., при 121бр. за 2020г. и  68бр. за 2019 г., като се наблюдава спад с 15,79% на броят на извършените проверки спрямо 2020г. и ръст с 50% спрямо 2019 г. Наблюдава се значителен спад при извършването на личните проверки от прокурорите при СГП по чл.145, ал.1,т.2 от ЗСВ – 1бр. спрямо 2020г. - 40 бр. За периода на 2019г. не е имало лични проверки от прокурор.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lang w:val="ru-RU"/>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1841B4D9" wp14:editId="7EB5D179">
            <wp:extent cx="5756910" cy="2977117"/>
            <wp:effectExtent l="0" t="0" r="15240" b="13970"/>
            <wp:docPr id="54" name="Ди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lastRenderedPageBreak/>
        <w:t xml:space="preserve">Прокурорите от отдел „Гражданско-съдебен надзор, административно-съдебен надзор и надзор за законност” при СГП са предприели действия в резултат на установени от тях, извършени закононарушения, внасяйки предложения за отстраняването на въпросните, както и на последствията от тях, до съответните компетентни власти. Внесените предложения до административните органи за периода са 10бр., от които 3 бр. са уважени; при  5бр. за 2020г., от които всичките са били уважени; за 2019 г. броят им е бил 11бр., от които уважени са били 4бр. броя. </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2BC3986A" wp14:editId="2EAD1E46">
            <wp:extent cx="5812155" cy="3172460"/>
            <wp:effectExtent l="0" t="0" r="0" b="0"/>
            <wp:docPr id="55" name="Ди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В СРП, отдел „Надзор за законност“, образуваните преписки за 2021г. са 202 броя, за 2020г. са били 257 броя, а за 2019г. са били 173 броя. Извършените през 202</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 xml:space="preserve">г. от СРП проверки са </w:t>
      </w:r>
      <w:r w:rsidRPr="000B075D">
        <w:rPr>
          <w:rFonts w:ascii="Times New Roman" w:eastAsia="Times New Roman" w:hAnsi="Times New Roman"/>
          <w:sz w:val="28"/>
          <w:szCs w:val="28"/>
          <w:lang w:val="en-US"/>
        </w:rPr>
        <w:t>1</w:t>
      </w:r>
      <w:r w:rsidRPr="000B075D">
        <w:rPr>
          <w:rFonts w:ascii="Times New Roman" w:eastAsia="Times New Roman" w:hAnsi="Times New Roman"/>
          <w:sz w:val="28"/>
          <w:szCs w:val="28"/>
        </w:rPr>
        <w:t>43бр., за предходния отчетен период- 91бр., при 139бр.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Средната натовареност на прокурорите по надзора за законност СРП за 2021г.</w:t>
      </w:r>
      <w:r w:rsidRPr="000B075D">
        <w:rPr>
          <w:rFonts w:ascii="Times New Roman" w:eastAsia="Times New Roman" w:hAnsi="Times New Roman"/>
          <w:sz w:val="28"/>
          <w:szCs w:val="28"/>
          <w:lang w:val="en-US"/>
        </w:rPr>
        <w:t xml:space="preserve"> </w:t>
      </w:r>
      <w:r w:rsidRPr="000B075D">
        <w:rPr>
          <w:rFonts w:ascii="Times New Roman" w:eastAsia="Times New Roman" w:hAnsi="Times New Roman"/>
          <w:sz w:val="28"/>
          <w:szCs w:val="28"/>
        </w:rPr>
        <w:t xml:space="preserve"> е 50,5; при 51,4 за 20</w:t>
      </w:r>
      <w:r w:rsidRPr="000B075D">
        <w:rPr>
          <w:rFonts w:ascii="Times New Roman" w:eastAsia="Times New Roman" w:hAnsi="Times New Roman"/>
          <w:sz w:val="28"/>
          <w:szCs w:val="28"/>
          <w:lang w:val="en-US"/>
        </w:rPr>
        <w:t>20</w:t>
      </w:r>
      <w:r w:rsidRPr="000B075D">
        <w:rPr>
          <w:rFonts w:ascii="Times New Roman" w:eastAsia="Times New Roman" w:hAnsi="Times New Roman"/>
          <w:sz w:val="28"/>
          <w:szCs w:val="28"/>
        </w:rPr>
        <w:t>г. и  при 34,6 за 201</w:t>
      </w:r>
      <w:r w:rsidRPr="000B075D">
        <w:rPr>
          <w:rFonts w:ascii="Times New Roman" w:eastAsia="Times New Roman" w:hAnsi="Times New Roman"/>
          <w:sz w:val="28"/>
          <w:szCs w:val="28"/>
          <w:lang w:val="en-US"/>
        </w:rPr>
        <w:t>9</w:t>
      </w:r>
      <w:r w:rsidRPr="000B075D">
        <w:rPr>
          <w:rFonts w:ascii="Times New Roman" w:eastAsia="Times New Roman" w:hAnsi="Times New Roman"/>
          <w:sz w:val="28"/>
          <w:szCs w:val="28"/>
        </w:rPr>
        <w:t xml:space="preserve"> г., което показва, че значителният ръст на натовареността на прокурорите по надзора за законност е запазен.</w:t>
      </w:r>
    </w:p>
    <w:p w:rsidR="000B075D" w:rsidRPr="000B075D" w:rsidRDefault="000B075D" w:rsidP="004D24A1">
      <w:pPr>
        <w:tabs>
          <w:tab w:val="left" w:pos="709"/>
        </w:tabs>
        <w:spacing w:after="0"/>
        <w:ind w:firstLine="708"/>
        <w:jc w:val="both"/>
        <w:rPr>
          <w:rFonts w:ascii="Times New Roman" w:hAnsi="Times New Roman"/>
          <w:sz w:val="28"/>
          <w:szCs w:val="28"/>
        </w:rPr>
      </w:pPr>
      <w:r w:rsidRPr="000B075D">
        <w:rPr>
          <w:rFonts w:ascii="Times New Roman" w:hAnsi="Times New Roman"/>
          <w:sz w:val="28"/>
          <w:szCs w:val="28"/>
        </w:rPr>
        <w:t>Тук е мястото да се отбележи, че тези преписки са с особена специфика и сложност, като предполагат запознаване и анализ на значителен обем законови и подзаконови нормативни актове от прокурорите при СГП и СРП.</w:t>
      </w:r>
    </w:p>
    <w:p w:rsid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           Решените преписки за отчетния период са 176бр., през 2020г. -  254бр., при 148 бр. за 2019 г., от които през 2021г. – 166бр. са решени по същество и 10бр. изпратени по компетентност /; през 2020г. – 250бр. са били решени по същество и 4 бр. са били изпратени по компетентност /; за 2019 </w:t>
      </w:r>
      <w:r w:rsidRPr="000B075D">
        <w:rPr>
          <w:rFonts w:ascii="Times New Roman" w:eastAsia="Times New Roman" w:hAnsi="Times New Roman"/>
          <w:sz w:val="28"/>
          <w:szCs w:val="28"/>
        </w:rPr>
        <w:lastRenderedPageBreak/>
        <w:t>г. - 139 бр. са били решени по същество и 9 бр. - изпратени по компетентност.</w:t>
      </w:r>
    </w:p>
    <w:p w:rsidR="00ED439E" w:rsidRPr="000B075D" w:rsidRDefault="00ED439E"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09BADB1A" wp14:editId="5494F3AD">
            <wp:extent cx="5741035" cy="2298065"/>
            <wp:effectExtent l="0" t="0" r="0" b="0"/>
            <wp:docPr id="56" name="Ди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За отчетния период прокурорите от СРП не са извършвали проверка на  административни актове, през 2020г. проверените са 80 бр. административни акта, при 1290 бр. за 2019 г. При СРП за 2021г., водещ е делът на преписките, образувани по инициатива на прокурор – 123бр. , през 2020г. отново са били 123бр., като за 2019 г. броят им е бил 53бр.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И през тази отчетна година не са налице произнасяния извън установените в закона срокове.</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2C0B64">
        <w:rPr>
          <w:rFonts w:ascii="Times New Roman" w:eastAsia="Times New Roman" w:hAnsi="Times New Roman"/>
          <w:sz w:val="28"/>
          <w:szCs w:val="28"/>
        </w:rPr>
        <w:t>От общия брой извършени проверки превес вземат тези по чл.145, ал.1 т.3 от ЗСВ – 141 бр. За отчетния период прокурорите от СРП съобразно статистическите данни са извършили 1 бр. проверка по реда на чл.145, ал.1, т.2 от ЗСВ, както и  по чл.145, ал.1, т.1 от ЗСВ – 1бр.</w:t>
      </w:r>
    </w:p>
    <w:p w:rsidR="000B075D" w:rsidRPr="000B075D" w:rsidRDefault="000B075D" w:rsidP="004D24A1">
      <w:pPr>
        <w:overflowPunct w:val="0"/>
        <w:autoSpaceDE w:val="0"/>
        <w:autoSpaceDN w:val="0"/>
        <w:adjustRightInd w:val="0"/>
        <w:spacing w:after="0"/>
        <w:jc w:val="both"/>
        <w:textAlignment w:val="baseline"/>
        <w:rPr>
          <w:rFonts w:ascii="Times New Roman" w:eastAsia="Times New Roman" w:hAnsi="Times New Roman"/>
          <w:sz w:val="28"/>
          <w:szCs w:val="28"/>
        </w:rPr>
      </w:pPr>
    </w:p>
    <w:p w:rsidR="000B075D" w:rsidRPr="000B075D" w:rsidRDefault="003515B0" w:rsidP="004D24A1">
      <w:pPr>
        <w:overflowPunct w:val="0"/>
        <w:autoSpaceDE w:val="0"/>
        <w:autoSpaceDN w:val="0"/>
        <w:adjustRightInd w:val="0"/>
        <w:spacing w:after="0"/>
        <w:jc w:val="both"/>
        <w:textAlignment w:val="baseline"/>
        <w:rPr>
          <w:rFonts w:ascii="Times New Roman" w:eastAsia="Times New Roman" w:hAnsi="Times New Roman"/>
          <w:sz w:val="28"/>
          <w:szCs w:val="28"/>
        </w:rPr>
      </w:pPr>
      <w:r w:rsidRPr="000B075D">
        <w:rPr>
          <w:rFonts w:ascii="Times New Roman" w:eastAsia="Times New Roman" w:hAnsi="Times New Roman"/>
          <w:noProof/>
          <w:sz w:val="28"/>
          <w:szCs w:val="28"/>
          <w:lang w:eastAsia="bg-BG"/>
        </w:rPr>
        <w:drawing>
          <wp:inline distT="0" distB="0" distL="0" distR="0" wp14:anchorId="60741796" wp14:editId="12902BD1">
            <wp:extent cx="5772785" cy="2849526"/>
            <wp:effectExtent l="0" t="0" r="18415" b="8255"/>
            <wp:docPr id="5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textAlignment w:val="baseline"/>
        <w:rPr>
          <w:rFonts w:ascii="Times New Roman" w:eastAsia="Times New Roman" w:hAnsi="Times New Roman"/>
          <w:sz w:val="28"/>
          <w:szCs w:val="28"/>
        </w:rPr>
      </w:pPr>
      <w:r w:rsidRPr="000B075D">
        <w:rPr>
          <w:rFonts w:ascii="Times New Roman" w:eastAsia="Times New Roman" w:hAnsi="Times New Roman"/>
          <w:sz w:val="28"/>
          <w:szCs w:val="28"/>
        </w:rPr>
        <w:lastRenderedPageBreak/>
        <w:t>През 2021г. няма внесени предложения по чл.145, ал.1, т.5 и т.6 от ЗСВ; през  2020 г. е внесено 1бр. предложение –уважено, като за 2019 г. – 2 броя, които отново са били уважени.</w:t>
      </w:r>
    </w:p>
    <w:p w:rsidR="000B075D" w:rsidRPr="000B075D" w:rsidRDefault="000B075D" w:rsidP="004D24A1">
      <w:pPr>
        <w:overflowPunct w:val="0"/>
        <w:autoSpaceDE w:val="0"/>
        <w:autoSpaceDN w:val="0"/>
        <w:adjustRightInd w:val="0"/>
        <w:spacing w:after="120"/>
        <w:jc w:val="both"/>
        <w:textAlignment w:val="baseline"/>
        <w:rPr>
          <w:rFonts w:ascii="Times New Roman" w:eastAsia="Times New Roman" w:hAnsi="Times New Roman"/>
          <w:b/>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r w:rsidRPr="000B075D">
        <w:rPr>
          <w:rFonts w:ascii="Times New Roman" w:eastAsia="Times New Roman" w:hAnsi="Times New Roman"/>
          <w:b/>
          <w:sz w:val="28"/>
          <w:szCs w:val="28"/>
        </w:rPr>
        <w:t xml:space="preserve">Извършени проверки за законност и тяхната ефективност.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През отчетната 2021 г. са били извършени проверките, залегнали в плана за дейността на СГП по реда на надзора за законност за 2021 г., а именно: </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изпълнение на Разпореждане с адм. № 108/19.11.2020г. на зам.- градски прокурор ръководител на отдел „НЗ“ по повод на изх. № И-6/20г. ІІ/18.02.2020г. на Върховна административна прокуратура, отдел „Надзор за законност“;</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извършена е  контролна проверка за законност чрез възлагане по реда на чл.145, ал.1, т.3 от ЗСВ на кметове на общини за установяване на незаконни сметища, почистването им и налагането на санкции на виновните лица. Проверката следва да се извърши съобразно критериите на № И -7/2020 г. - II на ВАП, отдел „Надзор за законност";</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извършена е контролна проверка за законност на основание чл.145, ал.1, т.3 от ЗСВ по Закона за храните чрез изпълнителния директор на ОДБАБХ София - град по спазване на изискванията за качество и безопасност на храните от кухни на училища и на детски градини, съгласно Закона за храните;</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извършена е планова проверка по реда на чл. 145, ал.1, т.3 от ЗСВ по Закона за политическите партии, като се изиска информация от Сметната палата, кои политически партии не са представили годишен отчет, както и не са участвали в изборния процес. В следствие на резултатите от проверката да се извърши преценка относно предприемане на действия пред СГС по заличаване на същите;</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извършена е  контролна проверка за законност чрез възлагане по реда на чл.145, ал.1, т.3 от ЗСВ на състоянието на детските площадки стопанисвани от Столична община, разположени на открито и закрито;</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извършена е проверка по реда на надзора за законност, чл.145, ал.1, т.3 от ЗСВ, в Столична топлофикация на прилагане на дяловото разпределение на топлинна енергия след отоплителния сезон;</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t>- извършена е проверка по реда на надзора за законност, на основание чл.145, ал.1, т.3 от ЗСВ, на територията на Столична община (24</w:t>
      </w:r>
      <w:r w:rsidRPr="000B075D">
        <w:rPr>
          <w:rFonts w:ascii="Times New Roman" w:hAnsi="Times New Roman"/>
          <w:sz w:val="28"/>
          <w:szCs w:val="28"/>
          <w:vertAlign w:val="superscript"/>
        </w:rPr>
        <w:t>-те</w:t>
      </w:r>
      <w:r w:rsidRPr="000B075D">
        <w:rPr>
          <w:rFonts w:ascii="Times New Roman" w:hAnsi="Times New Roman"/>
          <w:sz w:val="28"/>
          <w:szCs w:val="28"/>
        </w:rPr>
        <w:t xml:space="preserve"> районни кметства) досежно състоянието на тротоарните настилки;</w:t>
      </w:r>
    </w:p>
    <w:p w:rsidR="000B075D" w:rsidRPr="000B075D" w:rsidRDefault="000B075D" w:rsidP="004D24A1">
      <w:pPr>
        <w:spacing w:after="0"/>
        <w:ind w:firstLine="708"/>
        <w:jc w:val="both"/>
        <w:rPr>
          <w:rFonts w:ascii="Times New Roman" w:hAnsi="Times New Roman"/>
          <w:sz w:val="28"/>
          <w:szCs w:val="28"/>
        </w:rPr>
      </w:pPr>
      <w:r w:rsidRPr="000B075D">
        <w:rPr>
          <w:rFonts w:ascii="Times New Roman" w:hAnsi="Times New Roman"/>
          <w:sz w:val="28"/>
          <w:szCs w:val="28"/>
        </w:rPr>
        <w:lastRenderedPageBreak/>
        <w:t>- извършена е проверка по реда на надзора за законност, на основание чл.145, ал.1, т.3 от ЗСВ, във вр. чл.140 ал.4 Закона за водите, на речните легла, канали и др. отводнителни съоръжения на територията на град София, досежно тяхното почистване и рехабилитация,</w:t>
      </w:r>
      <w:r w:rsidRPr="000B075D">
        <w:t xml:space="preserve"> </w:t>
      </w:r>
      <w:r w:rsidRPr="000B075D">
        <w:rPr>
          <w:rFonts w:ascii="Times New Roman" w:hAnsi="Times New Roman"/>
          <w:sz w:val="28"/>
          <w:szCs w:val="28"/>
        </w:rPr>
        <w:t>като при необходимост да се реагира чрез методите на чл.145, ал.1, т.6 от ЗСВ;</w:t>
      </w:r>
    </w:p>
    <w:p w:rsidR="000B075D" w:rsidRPr="000B075D" w:rsidRDefault="000B075D" w:rsidP="004D24A1">
      <w:pPr>
        <w:spacing w:after="0"/>
        <w:ind w:firstLine="709"/>
        <w:jc w:val="both"/>
        <w:rPr>
          <w:rFonts w:ascii="Times New Roman" w:eastAsia="Verdana" w:hAnsi="Times New Roman"/>
          <w:spacing w:val="-2"/>
          <w:sz w:val="28"/>
          <w:szCs w:val="28"/>
        </w:rPr>
      </w:pPr>
      <w:r w:rsidRPr="000B075D">
        <w:rPr>
          <w:rFonts w:ascii="Times New Roman" w:eastAsia="Verdana" w:hAnsi="Times New Roman"/>
          <w:spacing w:val="-2"/>
          <w:sz w:val="28"/>
          <w:szCs w:val="28"/>
        </w:rPr>
        <w:t xml:space="preserve">         - проверка по надзора за законност, свързана с нарушенията, допускани при движението на ППС с животинска тяга;</w:t>
      </w:r>
    </w:p>
    <w:p w:rsidR="000B075D" w:rsidRPr="000B075D" w:rsidRDefault="000B075D" w:rsidP="004D24A1">
      <w:pPr>
        <w:spacing w:after="0"/>
        <w:ind w:firstLine="709"/>
        <w:jc w:val="both"/>
        <w:rPr>
          <w:rFonts w:ascii="Times New Roman" w:hAnsi="Times New Roman"/>
          <w:sz w:val="28"/>
          <w:szCs w:val="28"/>
        </w:rPr>
      </w:pPr>
      <w:r w:rsidRPr="000B075D">
        <w:rPr>
          <w:rFonts w:ascii="Times New Roman" w:eastAsia="Verdana" w:hAnsi="Times New Roman"/>
          <w:spacing w:val="-2"/>
          <w:sz w:val="28"/>
          <w:szCs w:val="28"/>
        </w:rPr>
        <w:t>-</w:t>
      </w:r>
      <w:r w:rsidRPr="000B075D">
        <w:rPr>
          <w:rFonts w:ascii="Times New Roman" w:hAnsi="Times New Roman"/>
          <w:sz w:val="28"/>
          <w:szCs w:val="28"/>
        </w:rPr>
        <w:t xml:space="preserve"> извършвани са проверка по реда на надзора за законност в служба КОС при СДВР, както и териториалните ѝ подразделения в деветте РУ-СДВР на територията на гр. София досежно спазването на разпоредбите на Закона за оръжията, боеприпасите, взривните вещества и пиротехническите изделия, по отношение на продажбата, употребата и разпространението на увеселителни пиротехнически средства (фойерверки, пиратки, римски свещи, пиротехнически батерии и др.) на малолетни и непълнолетни лица преди и по време на коледните и новогодишни празници.</w:t>
      </w:r>
    </w:p>
    <w:p w:rsidR="000B075D" w:rsidRPr="000B075D" w:rsidRDefault="000B075D" w:rsidP="004D24A1">
      <w:pPr>
        <w:spacing w:after="0"/>
        <w:ind w:firstLine="709"/>
        <w:jc w:val="both"/>
        <w:rPr>
          <w:rFonts w:ascii="Times New Roman" w:eastAsia="Times New Roman" w:hAnsi="Times New Roman"/>
          <w:sz w:val="28"/>
          <w:szCs w:val="28"/>
          <w:lang w:eastAsia="bg-BG"/>
        </w:rPr>
      </w:pPr>
      <w:r w:rsidRPr="000B075D">
        <w:rPr>
          <w:rFonts w:ascii="Times New Roman" w:eastAsia="Times New Roman" w:hAnsi="Times New Roman"/>
          <w:sz w:val="28"/>
          <w:szCs w:val="28"/>
          <w:lang w:eastAsia="bg-BG"/>
        </w:rPr>
        <w:t>И през 2021 г. прокурорите от отдел „Гражданско-съдебен надзор, административно-съдебен надзор и надзор за законност” на СГП,</w:t>
      </w:r>
      <w:r w:rsidRPr="000B075D">
        <w:t xml:space="preserve"> </w:t>
      </w:r>
      <w:r w:rsidRPr="000B075D">
        <w:rPr>
          <w:rFonts w:ascii="Times New Roman" w:eastAsia="Times New Roman" w:hAnsi="Times New Roman"/>
          <w:sz w:val="28"/>
          <w:szCs w:val="28"/>
          <w:lang w:eastAsia="bg-BG"/>
        </w:rPr>
        <w:t>при осъществяване на дейността си и изпълнявайки заложените в плана за дейността на СГП по реда на надзора законност за 2021 г. точки, са продължавали да следят внимателно изнесените в средствата за масово осведомяване данни за извършени закононарушения, които следва да бъдат отстранени по реда на надзора за законност.</w:t>
      </w:r>
    </w:p>
    <w:p w:rsidR="000B075D" w:rsidRPr="000B075D" w:rsidRDefault="000B075D" w:rsidP="004D24A1">
      <w:pPr>
        <w:spacing w:after="0"/>
        <w:ind w:firstLine="709"/>
        <w:jc w:val="both"/>
        <w:rPr>
          <w:rFonts w:ascii="Times New Roman" w:hAnsi="Times New Roman"/>
          <w:sz w:val="28"/>
          <w:szCs w:val="28"/>
        </w:rPr>
      </w:pPr>
    </w:p>
    <w:p w:rsidR="000B075D" w:rsidRPr="000B075D" w:rsidRDefault="000B075D" w:rsidP="004D24A1">
      <w:pPr>
        <w:spacing w:after="0"/>
        <w:ind w:firstLine="709"/>
        <w:jc w:val="both"/>
        <w:rPr>
          <w:rFonts w:ascii="Times New Roman" w:eastAsia="Times New Roman" w:hAnsi="Times New Roman"/>
          <w:b/>
          <w:sz w:val="28"/>
          <w:szCs w:val="28"/>
          <w:lang w:eastAsia="bg-BG"/>
        </w:rPr>
      </w:pPr>
      <w:r w:rsidRPr="000B075D">
        <w:rPr>
          <w:rFonts w:ascii="Times New Roman" w:eastAsia="Times New Roman" w:hAnsi="Times New Roman"/>
          <w:b/>
          <w:sz w:val="28"/>
          <w:szCs w:val="28"/>
          <w:lang w:eastAsia="bg-BG"/>
        </w:rPr>
        <w:t>Проблеми по прилагането на закона и подзаконовите нормативни актове.</w:t>
      </w:r>
    </w:p>
    <w:p w:rsidR="000B075D" w:rsidRPr="000B075D" w:rsidRDefault="000B075D" w:rsidP="004D24A1">
      <w:pPr>
        <w:spacing w:after="0"/>
        <w:ind w:firstLine="709"/>
        <w:jc w:val="both"/>
        <w:rPr>
          <w:rFonts w:ascii="Times New Roman" w:eastAsia="Times New Roman" w:hAnsi="Times New Roman"/>
          <w:sz w:val="28"/>
          <w:szCs w:val="28"/>
        </w:rPr>
      </w:pPr>
      <w:r w:rsidRPr="000B075D">
        <w:rPr>
          <w:rFonts w:ascii="Times New Roman" w:eastAsia="Times New Roman" w:hAnsi="Times New Roman"/>
          <w:sz w:val="28"/>
          <w:szCs w:val="28"/>
        </w:rPr>
        <w:t>В заключение, следва да се посочи, че прокурорите от отдел „Гражданско-съдебен надзор, административно-съдебен надзор и надзор за законност” при СГП приоритетно в дейността си са се водили от целта да извършват необходимите, респективно залегнали в плана за дейността на СГП за 2021 г. по реда на надзора за законност, проверки на съответните държавни органи и институции, както и на общинските администрации и други специализирани учредения, в зависимост от тяхната териториална компетентност, за резултатите от които са били уведомявани по-горестоящите прокуратури (САП и ВАП), освен това</w:t>
      </w:r>
      <w:r w:rsidRPr="000B075D">
        <w:t xml:space="preserve"> </w:t>
      </w:r>
      <w:r w:rsidRPr="000B075D">
        <w:rPr>
          <w:rFonts w:ascii="Times New Roman" w:eastAsia="Times New Roman" w:hAnsi="Times New Roman"/>
          <w:sz w:val="28"/>
          <w:szCs w:val="28"/>
        </w:rPr>
        <w:t>са продължили активно работа по преписките, образувани по данни, изнесени в средствата за масово осведомяване, за допуснати закононарушения или издадени незаконосъобразни административни актове предприемането предвидените в закона действия.</w:t>
      </w:r>
    </w:p>
    <w:p w:rsidR="000B075D" w:rsidRPr="000B075D" w:rsidRDefault="000B075D" w:rsidP="004D24A1">
      <w:pPr>
        <w:spacing w:after="0"/>
        <w:ind w:firstLine="709"/>
        <w:jc w:val="both"/>
        <w:rPr>
          <w:rFonts w:ascii="Times New Roman" w:eastAsia="Times New Roman" w:hAnsi="Times New Roman"/>
          <w:sz w:val="28"/>
          <w:szCs w:val="28"/>
          <w:lang w:eastAsia="bg-BG"/>
        </w:rPr>
      </w:pPr>
      <w:r w:rsidRPr="000B075D">
        <w:rPr>
          <w:rFonts w:ascii="Times New Roman" w:eastAsia="Times New Roman" w:hAnsi="Times New Roman"/>
          <w:sz w:val="28"/>
          <w:szCs w:val="28"/>
          <w:lang w:eastAsia="bg-BG"/>
        </w:rPr>
        <w:lastRenderedPageBreak/>
        <w:t>През отчетната 2021 година проверките са провеждани срочно и законосъобразно, като при установяване на допуснати закононарушения или издадени незаконосъобразни административни актове, са предприемани съответните, предвидените в закона действия. Ефективно са били осъществявани правомощията, с които Прокуратурата на РБ разполага по реда на ЗСВ и АПК, за отмяна на незаконосъобразни актове на администрацията, за констатиране и отстраняване на закононарушения и вредните последици от тях. Използвани са стриктно методите и средствата, визирани в законовите разпоредби, което говори за качествено, резултатно и пълноценно, осъществяване на правомощията на СГП.</w:t>
      </w:r>
      <w:r w:rsidRPr="000B075D">
        <w:t xml:space="preserve"> </w:t>
      </w:r>
    </w:p>
    <w:p w:rsidR="000B075D" w:rsidRPr="000B075D" w:rsidRDefault="000B075D" w:rsidP="004D24A1">
      <w:pPr>
        <w:spacing w:after="0"/>
        <w:jc w:val="both"/>
        <w:rPr>
          <w:rFonts w:ascii="Times New Roman" w:eastAsia="Times New Roman" w:hAnsi="Times New Roman"/>
          <w:sz w:val="28"/>
          <w:szCs w:val="28"/>
          <w:lang w:eastAsia="bg-BG"/>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r w:rsidRPr="000B075D">
        <w:rPr>
          <w:rFonts w:ascii="Times New Roman" w:eastAsia="Times New Roman" w:hAnsi="Times New Roman"/>
          <w:b/>
          <w:sz w:val="28"/>
          <w:szCs w:val="28"/>
        </w:rPr>
        <w:t>Взаимодействие със специализираните контролни органи (централни и териториални) и с други държавни и общински органи с контролни функции.</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b/>
          <w:sz w:val="28"/>
          <w:szCs w:val="28"/>
        </w:rPr>
      </w:pP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 xml:space="preserve">Взаимодействието между прокурорите от отдел „Гражданско-съдебен надзор, административно-съдебен надзор и надзор за законност” при СГП със специализираните контролни органи се осъществява във връзка със залегнали в плана за дейността на СГП за 2021 г. по реда на надзора за законност задачи, както и във връзка с продължаването на работата по споменатите вече, образувани през предходни години по техен почин преписки чрез метода на самосезиране, както и с извършваните голям брой проверки по сигнали на граждани, организации, държавни органи и по казуси с голям обществен интерес. </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Възложените на основание чл. 145 от ЗСВ проверки са извършвани в срок, като при наличието на възникнала необходимост от провеждането на допълнителни проверки, са се възлагали такива, за да се постигне по-висока ефективност</w:t>
      </w:r>
      <w:r w:rsidRPr="000B075D">
        <w:t xml:space="preserve"> </w:t>
      </w:r>
      <w:r w:rsidRPr="000B075D">
        <w:rPr>
          <w:rFonts w:ascii="Times New Roman" w:eastAsia="Times New Roman" w:hAnsi="Times New Roman"/>
          <w:sz w:val="28"/>
          <w:szCs w:val="28"/>
        </w:rPr>
        <w:t>и съответно да се осигури защита на обществените интереси във възможно най-висока степен.</w:t>
      </w:r>
      <w:r w:rsidRPr="000B075D">
        <w:t xml:space="preserve"> </w:t>
      </w:r>
      <w:r w:rsidRPr="000B075D">
        <w:rPr>
          <w:rFonts w:ascii="Times New Roman" w:eastAsia="Times New Roman" w:hAnsi="Times New Roman"/>
          <w:sz w:val="28"/>
          <w:szCs w:val="28"/>
        </w:rPr>
        <w:t>С оглед изложеното, след направата на задълбочен анализ на цялостното взаимодействие между СГП и съответните контролни органи, следва да се заключи, че въпросното е пълноценно, ефективно и резултатно.</w:t>
      </w:r>
    </w:p>
    <w:p w:rsidR="000B075D" w:rsidRPr="000B075D" w:rsidRDefault="000B075D" w:rsidP="004D24A1">
      <w:pPr>
        <w:overflowPunct w:val="0"/>
        <w:autoSpaceDE w:val="0"/>
        <w:autoSpaceDN w:val="0"/>
        <w:adjustRightInd w:val="0"/>
        <w:spacing w:after="0"/>
        <w:ind w:firstLine="709"/>
        <w:jc w:val="both"/>
        <w:textAlignment w:val="baseline"/>
        <w:rPr>
          <w:rFonts w:ascii="Times New Roman" w:eastAsia="Times New Roman" w:hAnsi="Times New Roman"/>
          <w:sz w:val="28"/>
          <w:szCs w:val="28"/>
        </w:rPr>
      </w:pPr>
      <w:r w:rsidRPr="000B075D">
        <w:rPr>
          <w:rFonts w:ascii="Times New Roman" w:eastAsia="Times New Roman" w:hAnsi="Times New Roman"/>
          <w:sz w:val="28"/>
          <w:szCs w:val="28"/>
        </w:rPr>
        <w:t>Заложените в АПК принципи за законност, съразмерност, истинност, равенство, самостоятелност и безпристрастност, бързина и процесуална икономия, достъпност, публичност и прозрачност, последователност и предвидимост, Софийска градска прокуратура е следвала през отчетната 2021 г. и ще продължи да упражнява своите контролни функции в рамките на съдебния ни район, следвайки ги.</w:t>
      </w:r>
    </w:p>
    <w:p w:rsidR="000B075D" w:rsidRPr="000B075D" w:rsidRDefault="000B075D" w:rsidP="004D24A1">
      <w:pPr>
        <w:spacing w:after="0"/>
        <w:jc w:val="both"/>
        <w:rPr>
          <w:rFonts w:ascii="Times New Roman" w:hAnsi="Times New Roman"/>
          <w:sz w:val="28"/>
          <w:szCs w:val="28"/>
        </w:rPr>
      </w:pPr>
      <w:r w:rsidRPr="000B075D">
        <w:rPr>
          <w:rFonts w:ascii="Times New Roman" w:hAnsi="Times New Roman"/>
          <w:sz w:val="28"/>
          <w:szCs w:val="28"/>
        </w:rPr>
        <w:lastRenderedPageBreak/>
        <w:t xml:space="preserve">           Освен реализирането на залегналите в плана за дейността на СГП за 2021 г. по реда на надзора за законност пунктове, ще продължава да се осъществява намесата на прокуратурата в необходимите случаи, като се реализират проверки във връзка с подадени сигнали от граждани и организации, както и лично инициирани по почин на прокурорите от отдела чрез метода на самосезирането, като за прокурорите от отдел „Гражданско-съдебен надзор, административно-съдебен надзор и надзор за законност” при СГП защитата на важните държавни и обществени интереси ще продължава да бъде водещ и основен приоритет.</w:t>
      </w:r>
    </w:p>
    <w:p w:rsidR="000B075D" w:rsidRPr="00A412C9" w:rsidRDefault="000B075D" w:rsidP="00A412C9">
      <w:pPr>
        <w:spacing w:after="0"/>
        <w:jc w:val="both"/>
        <w:rPr>
          <w:rFonts w:ascii="Times New Roman" w:eastAsia="Arial Unicode MS" w:hAnsi="Times New Roman"/>
          <w:sz w:val="28"/>
          <w:szCs w:val="28"/>
          <w:lang w:eastAsia="bg-BG"/>
        </w:rPr>
      </w:pPr>
      <w:r w:rsidRPr="000B075D">
        <w:rPr>
          <w:rFonts w:ascii="Times New Roman" w:eastAsia="Arial Unicode MS" w:hAnsi="Times New Roman"/>
          <w:sz w:val="28"/>
          <w:szCs w:val="28"/>
          <w:lang w:val="en-US" w:eastAsia="bg-BG"/>
        </w:rPr>
        <w:tab/>
      </w:r>
      <w:r w:rsidRPr="000B075D">
        <w:rPr>
          <w:rFonts w:ascii="Times New Roman" w:eastAsia="Arial Unicode MS" w:hAnsi="Times New Roman"/>
          <w:sz w:val="28"/>
          <w:szCs w:val="28"/>
          <w:lang w:eastAsia="bg-BG"/>
        </w:rPr>
        <w:t xml:space="preserve">Продължава да е налице същественото неудобство поради обстоятелството, че Административен съд София – град не се намира в сградата на Съдебната палата и прокурорите от </w:t>
      </w:r>
      <w:r w:rsidRPr="000B075D">
        <w:rPr>
          <w:rFonts w:ascii="Times New Roman" w:eastAsia="Times New Roman" w:hAnsi="Times New Roman"/>
          <w:sz w:val="28"/>
          <w:szCs w:val="28"/>
        </w:rPr>
        <w:t xml:space="preserve">отдел „Гражданско-съдебен надзор, административно-съдебен надзор и надзор за законност” при СГП следва да изпълняват служебните си задължения в сградата на АССГ, която се намира в гр.София, </w:t>
      </w:r>
      <w:r w:rsidRPr="000B075D">
        <w:rPr>
          <w:rFonts w:ascii="Times New Roman" w:hAnsi="Times New Roman"/>
          <w:sz w:val="28"/>
          <w:szCs w:val="28"/>
        </w:rPr>
        <w:t>ул. „Георг Вашингтон“ 17. Прокурорите, определени да обслужват съдебните заседания на АССГ заседават ежедневно, като  същите участват в такива и до обяд и следобед, съобразно насрочването на делата.</w:t>
      </w:r>
    </w:p>
    <w:p w:rsidR="004C5850" w:rsidRDefault="004C58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p>
    <w:p w:rsidR="004C5850" w:rsidRPr="00021050" w:rsidRDefault="004C5850" w:rsidP="004D24A1">
      <w:pPr>
        <w:overflowPunct w:val="0"/>
        <w:autoSpaceDE w:val="0"/>
        <w:autoSpaceDN w:val="0"/>
        <w:adjustRightInd w:val="0"/>
        <w:spacing w:after="0"/>
        <w:ind w:firstLine="709"/>
        <w:jc w:val="both"/>
        <w:textAlignment w:val="baseline"/>
        <w:rPr>
          <w:rFonts w:ascii="Times New Roman" w:eastAsia="Times New Roman" w:hAnsi="Times New Roman"/>
          <w:bCs/>
          <w:iCs/>
          <w:sz w:val="28"/>
          <w:szCs w:val="28"/>
        </w:rPr>
      </w:pPr>
    </w:p>
    <w:p w:rsidR="004C5850" w:rsidRPr="004C5850" w:rsidRDefault="004C5850" w:rsidP="004D24A1">
      <w:pPr>
        <w:spacing w:after="0"/>
        <w:ind w:firstLine="708"/>
        <w:rPr>
          <w:sz w:val="28"/>
          <w:szCs w:val="28"/>
        </w:rPr>
      </w:pPr>
      <w:r w:rsidRPr="004C5850">
        <w:rPr>
          <w:rFonts w:ascii="Times New Roman" w:eastAsia="Times New Roman" w:hAnsi="Times New Roman"/>
          <w:b/>
          <w:bCs/>
          <w:sz w:val="28"/>
          <w:szCs w:val="28"/>
          <w:lang w:eastAsia="bg-BG"/>
        </w:rPr>
        <w:t>РАЗДЕЛ VII</w:t>
      </w:r>
    </w:p>
    <w:p w:rsidR="004C5850" w:rsidRPr="004C5850" w:rsidRDefault="004C5850" w:rsidP="004D24A1">
      <w:pPr>
        <w:spacing w:after="0"/>
        <w:ind w:firstLine="708"/>
        <w:jc w:val="both"/>
        <w:rPr>
          <w:rFonts w:ascii="Times New Roman" w:hAnsi="Times New Roman"/>
          <w:b/>
          <w:sz w:val="28"/>
          <w:szCs w:val="28"/>
        </w:rPr>
      </w:pPr>
      <w:r w:rsidRPr="004C5850">
        <w:rPr>
          <w:rFonts w:ascii="Times New Roman" w:hAnsi="Times New Roman"/>
          <w:b/>
          <w:sz w:val="28"/>
          <w:szCs w:val="28"/>
        </w:rPr>
        <w:t>ПРИОРИТЕТИ В ДЕЙНОСТТА НА ПРОКУРАТУРАТА И НА РАЗСЛЕДВАЩИТЕ ОРГАНИ</w:t>
      </w:r>
    </w:p>
    <w:p w:rsidR="004C5850" w:rsidRPr="004C5850" w:rsidRDefault="004C5850" w:rsidP="004D24A1">
      <w:pPr>
        <w:spacing w:after="0"/>
        <w:jc w:val="both"/>
        <w:rPr>
          <w:rFonts w:ascii="Times New Roman" w:hAnsi="Times New Roman"/>
          <w:sz w:val="28"/>
          <w:szCs w:val="28"/>
        </w:rPr>
      </w:pPr>
    </w:p>
    <w:p w:rsidR="004C5850" w:rsidRPr="004C5850" w:rsidRDefault="004C5850" w:rsidP="004D24A1">
      <w:pPr>
        <w:spacing w:after="0"/>
        <w:jc w:val="both"/>
        <w:rPr>
          <w:rFonts w:ascii="Times New Roman" w:hAnsi="Times New Roman"/>
          <w:iCs/>
          <w:sz w:val="28"/>
          <w:szCs w:val="28"/>
        </w:rPr>
      </w:pPr>
      <w:r w:rsidRPr="004C5850">
        <w:rPr>
          <w:rFonts w:ascii="Times New Roman" w:hAnsi="Times New Roman"/>
          <w:sz w:val="28"/>
          <w:szCs w:val="28"/>
        </w:rPr>
        <w:tab/>
        <w:t xml:space="preserve">Изминалата отчетна 2021 година отново постави на преден план справянето с разпространението на вируса </w:t>
      </w:r>
      <w:r w:rsidRPr="004C5850">
        <w:rPr>
          <w:rFonts w:ascii="Times New Roman" w:hAnsi="Times New Roman"/>
          <w:sz w:val="28"/>
          <w:szCs w:val="28"/>
          <w:lang w:val="en-US"/>
        </w:rPr>
        <w:t>COVID</w:t>
      </w:r>
      <w:r w:rsidRPr="004C5850">
        <w:rPr>
          <w:rFonts w:ascii="Times New Roman" w:hAnsi="Times New Roman"/>
          <w:sz w:val="28"/>
          <w:szCs w:val="28"/>
        </w:rPr>
        <w:t xml:space="preserve"> 19, и в тази връзка запазване  здравето на ангажираните с дейността на прокуратурата и едновременно с това осъществяване пълноценно и качествено  функциите на магистратите и служителите. Сложната здравна обстановка породи редица проблеми с оглед текучеството на кадрите във всички звена. </w:t>
      </w:r>
      <w:r w:rsidRPr="004C5850">
        <w:rPr>
          <w:rFonts w:ascii="Times New Roman" w:hAnsi="Times New Roman"/>
          <w:iCs/>
          <w:sz w:val="28"/>
          <w:szCs w:val="28"/>
        </w:rPr>
        <w:t>Въпреки това през 2021 г. в резултат на активните действия на Софийска районна прокуратура и Софийска градска прокуратура са изпълнени заложените приоритети в предходния годишен доклад, а именно:</w:t>
      </w:r>
    </w:p>
    <w:p w:rsidR="004C5850" w:rsidRPr="004C5850" w:rsidRDefault="004C5850" w:rsidP="004D24A1">
      <w:pPr>
        <w:spacing w:after="0"/>
        <w:jc w:val="both"/>
        <w:rPr>
          <w:rFonts w:ascii="Times New Roman" w:hAnsi="Times New Roman"/>
          <w:iCs/>
          <w:sz w:val="28"/>
          <w:szCs w:val="28"/>
        </w:rPr>
      </w:pPr>
      <w:r w:rsidRPr="004C5850">
        <w:rPr>
          <w:rFonts w:ascii="Times New Roman" w:hAnsi="Times New Roman"/>
          <w:iCs/>
          <w:sz w:val="28"/>
          <w:szCs w:val="28"/>
        </w:rPr>
        <w:tab/>
        <w:t>Продължи и се доразви ефективното  взаимодейства с разследващите органи и структурните звена на МВР по места, като наблюдаващите прокурори са упражнявали реален надзор и контрол върху досъдебните производства, с оглед качествено и срочно приключване на досъдебната фаза.</w:t>
      </w:r>
    </w:p>
    <w:p w:rsidR="004C5850" w:rsidRPr="004C5850" w:rsidRDefault="004C5850" w:rsidP="004D24A1">
      <w:pPr>
        <w:spacing w:after="0"/>
        <w:jc w:val="both"/>
        <w:rPr>
          <w:rFonts w:ascii="Times New Roman" w:hAnsi="Times New Roman"/>
          <w:bCs/>
          <w:iCs/>
          <w:sz w:val="28"/>
          <w:szCs w:val="28"/>
        </w:rPr>
      </w:pPr>
      <w:r w:rsidRPr="004C5850">
        <w:rPr>
          <w:rFonts w:ascii="Times New Roman" w:hAnsi="Times New Roman"/>
          <w:iCs/>
          <w:sz w:val="28"/>
          <w:szCs w:val="28"/>
        </w:rPr>
        <w:lastRenderedPageBreak/>
        <w:tab/>
      </w:r>
      <w:r w:rsidRPr="004C5850">
        <w:rPr>
          <w:rFonts w:ascii="Times New Roman" w:hAnsi="Times New Roman"/>
          <w:bCs/>
          <w:iCs/>
          <w:sz w:val="28"/>
          <w:szCs w:val="28"/>
        </w:rPr>
        <w:t>Същевременно се работи и по посока на подобряване качеството на разследване и качеството на обвинителните актове, с оглед недопускане връщане на дела от съда и постановяване на оправдателни присъди.  Осъществен е ефективен контрол над разследването с цел събиране на достатъчен обем от доказателствен материал и избягване на допускане на съществени процесуални нарушения в хода на събирането им.</w:t>
      </w:r>
    </w:p>
    <w:p w:rsidR="004C5850" w:rsidRPr="004C5850" w:rsidRDefault="004C5850" w:rsidP="004D24A1">
      <w:pPr>
        <w:spacing w:after="0"/>
        <w:jc w:val="both"/>
        <w:rPr>
          <w:rFonts w:ascii="Times New Roman" w:hAnsi="Times New Roman"/>
          <w:iCs/>
          <w:sz w:val="28"/>
          <w:szCs w:val="28"/>
        </w:rPr>
      </w:pPr>
      <w:r w:rsidRPr="004C5850">
        <w:rPr>
          <w:rFonts w:ascii="Times New Roman" w:hAnsi="Times New Roman"/>
          <w:iCs/>
          <w:sz w:val="28"/>
          <w:szCs w:val="28"/>
        </w:rPr>
        <w:tab/>
        <w:t>Активно са използвани правомощията на административния ръководител-градски прокурор за възлагане на разследването на следователи по дела с фактическа и правна сложност, образувани от прокурор по реда на чл.212, ал.1 от НПК или от полицейски или митнически орган по реда на чл.212, ал.2 от НПК</w:t>
      </w:r>
      <w:r w:rsidRPr="004C5850">
        <w:rPr>
          <w:rFonts w:ascii="Times New Roman" w:hAnsi="Times New Roman"/>
          <w:iCs/>
          <w:sz w:val="28"/>
          <w:szCs w:val="28"/>
          <w:lang w:val="en-US"/>
        </w:rPr>
        <w:t>,</w:t>
      </w:r>
      <w:r w:rsidRPr="004C5850">
        <w:rPr>
          <w:rFonts w:ascii="Times New Roman" w:hAnsi="Times New Roman"/>
          <w:iCs/>
          <w:sz w:val="28"/>
          <w:szCs w:val="28"/>
        </w:rPr>
        <w:tab/>
        <w:t xml:space="preserve"> като е нараснал значително техния брой.</w:t>
      </w:r>
    </w:p>
    <w:p w:rsidR="004C5850" w:rsidRPr="004C5850" w:rsidRDefault="004C5850" w:rsidP="004D24A1">
      <w:pPr>
        <w:spacing w:after="0"/>
        <w:jc w:val="both"/>
        <w:rPr>
          <w:rFonts w:ascii="Times New Roman" w:hAnsi="Times New Roman"/>
          <w:iCs/>
          <w:sz w:val="28"/>
          <w:szCs w:val="28"/>
        </w:rPr>
      </w:pPr>
      <w:r w:rsidRPr="004C5850">
        <w:rPr>
          <w:rFonts w:ascii="Times New Roman" w:hAnsi="Times New Roman"/>
          <w:iCs/>
          <w:sz w:val="28"/>
          <w:szCs w:val="28"/>
        </w:rPr>
        <w:tab/>
      </w:r>
      <w:r w:rsidRPr="004C5850">
        <w:rPr>
          <w:rFonts w:ascii="Times New Roman" w:hAnsi="Times New Roman"/>
          <w:bCs/>
          <w:iCs/>
          <w:sz w:val="28"/>
          <w:szCs w:val="28"/>
        </w:rPr>
        <w:t>Осъществява се стриктен контрол за недопускане извършване на разследване извън сроковете по чл.234 НПК и на извънпроцесуални проверки  над 3 месеца; контрол за надвишаване на сроковете за мерките за неотклонение,  мерките за процесуална принуда и стриктно спазване на сроковете за произнасяне от прокурорите.</w:t>
      </w:r>
      <w:r w:rsidRPr="004C5850">
        <w:rPr>
          <w:rFonts w:ascii="Times New Roman" w:hAnsi="Times New Roman"/>
          <w:iCs/>
          <w:sz w:val="28"/>
          <w:szCs w:val="28"/>
        </w:rPr>
        <w:t xml:space="preserve"> </w:t>
      </w:r>
      <w:r w:rsidRPr="004C5850">
        <w:rPr>
          <w:rFonts w:ascii="Times New Roman" w:hAnsi="Times New Roman"/>
          <w:bCs/>
          <w:iCs/>
          <w:sz w:val="28"/>
          <w:szCs w:val="28"/>
        </w:rPr>
        <w:t>Контролът на тези показатели се извършва чрез ежеседмични справки от УИС и изпращане на напомнителни писма, както на органите на МВР, така и до наблюдаващите прокурори, с цел предприемане на законни мерки в конкретната насока.</w:t>
      </w:r>
    </w:p>
    <w:p w:rsidR="004C5850" w:rsidRPr="004C5850" w:rsidRDefault="004C5850" w:rsidP="004D24A1">
      <w:pPr>
        <w:spacing w:after="0"/>
        <w:jc w:val="both"/>
        <w:rPr>
          <w:rFonts w:ascii="Times New Roman" w:hAnsi="Times New Roman"/>
          <w:bCs/>
          <w:iCs/>
          <w:sz w:val="28"/>
          <w:szCs w:val="28"/>
        </w:rPr>
      </w:pPr>
      <w:r w:rsidRPr="004C5850">
        <w:rPr>
          <w:rFonts w:ascii="Times New Roman" w:hAnsi="Times New Roman"/>
          <w:iCs/>
          <w:sz w:val="28"/>
          <w:szCs w:val="28"/>
        </w:rPr>
        <w:tab/>
      </w:r>
      <w:r w:rsidRPr="004C5850">
        <w:rPr>
          <w:rFonts w:ascii="Times New Roman" w:hAnsi="Times New Roman"/>
          <w:bCs/>
          <w:iCs/>
          <w:sz w:val="28"/>
          <w:szCs w:val="28"/>
        </w:rPr>
        <w:t>Своевременно се изпълняваха изискванията за уведомяване на Комисията за противодействие на корупцията и за отнемане на незаконно придобитото имущество, когато престъпленията са в обхвата на чл. 108, ал. 1 от Закона за противодействие на корупцията и за отнемане на незаконно придобитото имущество.</w:t>
      </w:r>
    </w:p>
    <w:p w:rsidR="004C5850" w:rsidRPr="004C5850" w:rsidRDefault="004C5850" w:rsidP="004D24A1">
      <w:pPr>
        <w:spacing w:after="0"/>
        <w:jc w:val="both"/>
        <w:rPr>
          <w:rFonts w:ascii="Times New Roman" w:hAnsi="Times New Roman"/>
          <w:bCs/>
          <w:iCs/>
          <w:sz w:val="28"/>
          <w:szCs w:val="28"/>
        </w:rPr>
      </w:pPr>
      <w:r w:rsidRPr="004C5850">
        <w:rPr>
          <w:rFonts w:ascii="Times New Roman" w:hAnsi="Times New Roman"/>
          <w:bCs/>
          <w:iCs/>
          <w:sz w:val="28"/>
          <w:szCs w:val="28"/>
        </w:rPr>
        <w:tab/>
        <w:t>През отчетната година бе засилена активността на прокуратурите по противодействие на битовата престъпност и разпространението на наркотични вещества, като съвместно с органите на МВР се извършваха специализирани акции по места.</w:t>
      </w:r>
    </w:p>
    <w:p w:rsidR="004C5850" w:rsidRPr="004C5850" w:rsidRDefault="004C5850" w:rsidP="004D24A1">
      <w:pPr>
        <w:spacing w:after="0"/>
        <w:jc w:val="both"/>
        <w:rPr>
          <w:rFonts w:ascii="Times New Roman" w:hAnsi="Times New Roman"/>
          <w:bCs/>
          <w:iCs/>
          <w:sz w:val="28"/>
          <w:szCs w:val="28"/>
        </w:rPr>
      </w:pPr>
      <w:r w:rsidRPr="004C5850">
        <w:rPr>
          <w:rFonts w:ascii="Times New Roman" w:hAnsi="Times New Roman"/>
          <w:bCs/>
          <w:iCs/>
          <w:sz w:val="28"/>
          <w:szCs w:val="28"/>
        </w:rPr>
        <w:tab/>
        <w:t>В изпълнение на основните задачи на Прокуратурата на Република България по осъществяване на надзор за законност при изпълнение на наказанието лишаване от свобода се извършиха различни проверки в затворите и затворническите общежития относно спазването на разпоредбите на закона и съответните актуални заповеди на министъра на правосъдието</w:t>
      </w:r>
      <w:r w:rsidRPr="004C5850">
        <w:rPr>
          <w:rFonts w:ascii="Times New Roman" w:hAnsi="Times New Roman"/>
          <w:bCs/>
          <w:iCs/>
          <w:sz w:val="28"/>
          <w:szCs w:val="28"/>
          <w:lang w:val="en-US"/>
        </w:rPr>
        <w:t xml:space="preserve"> (</w:t>
      </w:r>
      <w:r w:rsidRPr="004C5850">
        <w:rPr>
          <w:rFonts w:ascii="Times New Roman" w:hAnsi="Times New Roman"/>
          <w:bCs/>
          <w:iCs/>
          <w:sz w:val="28"/>
          <w:szCs w:val="28"/>
        </w:rPr>
        <w:t>Заповед № РД-04-150/31.05.21г., Заповед № РД-04-385/04.06.21г., Заповед № РД-04-678/1.10.21г.).</w:t>
      </w:r>
    </w:p>
    <w:p w:rsidR="004C5850" w:rsidRPr="004C5850" w:rsidRDefault="004C5850" w:rsidP="004D24A1">
      <w:pPr>
        <w:spacing w:after="0"/>
        <w:ind w:firstLine="708"/>
        <w:jc w:val="both"/>
        <w:rPr>
          <w:rFonts w:ascii="Times New Roman" w:hAnsi="Times New Roman"/>
          <w:bCs/>
          <w:sz w:val="28"/>
          <w:szCs w:val="28"/>
        </w:rPr>
      </w:pPr>
      <w:r w:rsidRPr="004C5850">
        <w:rPr>
          <w:rFonts w:ascii="Times New Roman" w:hAnsi="Times New Roman"/>
          <w:sz w:val="28"/>
          <w:szCs w:val="28"/>
        </w:rPr>
        <w:t xml:space="preserve">Софийска градска прокуратура обхваща най–големият и най–натоварен окръжен район в Република България. Спецификите на района са обусловени от факта, че столицата е основен административен, финансов, </w:t>
      </w:r>
      <w:r w:rsidRPr="004C5850">
        <w:rPr>
          <w:rFonts w:ascii="Times New Roman" w:hAnsi="Times New Roman"/>
          <w:sz w:val="28"/>
          <w:szCs w:val="28"/>
        </w:rPr>
        <w:lastRenderedPageBreak/>
        <w:t>индустриален, културен и университетски център на страната.</w:t>
      </w:r>
      <w:r w:rsidRPr="004C5850">
        <w:rPr>
          <w:rFonts w:ascii="Times New Roman" w:hAnsi="Times New Roman"/>
          <w:sz w:val="28"/>
          <w:szCs w:val="28"/>
          <w:lang w:val="en-US"/>
        </w:rPr>
        <w:t xml:space="preserve"> </w:t>
      </w:r>
      <w:r w:rsidRPr="004C5850">
        <w:rPr>
          <w:rFonts w:ascii="Times New Roman" w:hAnsi="Times New Roman"/>
          <w:sz w:val="28"/>
          <w:szCs w:val="28"/>
        </w:rPr>
        <w:t xml:space="preserve"> Това обуславя и по-големия брой прокурори и служители и определят и завишените изисквания към дейността на Софийска районна и Софийска градска прокуратура във връзка с обезпечаване на законността и защита правата на гражданите. В</w:t>
      </w:r>
      <w:r w:rsidRPr="004C5850">
        <w:rPr>
          <w:rFonts w:ascii="Times New Roman" w:hAnsi="Times New Roman"/>
          <w:sz w:val="28"/>
          <w:szCs w:val="28"/>
          <w:lang w:val="en-US"/>
        </w:rPr>
        <w:t xml:space="preserve"> </w:t>
      </w:r>
      <w:r w:rsidRPr="004C5850">
        <w:rPr>
          <w:rFonts w:ascii="Times New Roman" w:hAnsi="Times New Roman"/>
          <w:sz w:val="28"/>
          <w:szCs w:val="28"/>
        </w:rPr>
        <w:t xml:space="preserve"> края на настоящия отчетен период </w:t>
      </w:r>
      <w:r w:rsidRPr="004C5850">
        <w:rPr>
          <w:rFonts w:ascii="Times New Roman" w:hAnsi="Times New Roman"/>
          <w:bCs/>
          <w:sz w:val="28"/>
          <w:szCs w:val="28"/>
        </w:rPr>
        <w:t>се очертават следните ПРИОРИТЕТИ:</w:t>
      </w:r>
    </w:p>
    <w:p w:rsidR="004C5850" w:rsidRPr="004C5850" w:rsidRDefault="004C5850" w:rsidP="004D24A1">
      <w:pPr>
        <w:numPr>
          <w:ilvl w:val="0"/>
          <w:numId w:val="9"/>
        </w:numPr>
        <w:spacing w:after="0"/>
        <w:ind w:left="0" w:firstLine="708"/>
        <w:contextualSpacing/>
        <w:jc w:val="both"/>
        <w:rPr>
          <w:rFonts w:ascii="Times New Roman" w:hAnsi="Times New Roman"/>
          <w:bCs/>
          <w:sz w:val="28"/>
          <w:szCs w:val="28"/>
        </w:rPr>
      </w:pPr>
      <w:r w:rsidRPr="004C5850">
        <w:rPr>
          <w:rFonts w:ascii="Times New Roman" w:hAnsi="Times New Roman"/>
          <w:bCs/>
          <w:sz w:val="28"/>
          <w:szCs w:val="28"/>
        </w:rPr>
        <w:t>Запазване тенденцията на</w:t>
      </w:r>
      <w:r w:rsidRPr="004C5850">
        <w:rPr>
          <w:rFonts w:ascii="Times New Roman" w:hAnsi="Times New Roman"/>
          <w:bCs/>
          <w:i/>
          <w:iCs/>
          <w:sz w:val="28"/>
          <w:szCs w:val="28"/>
        </w:rPr>
        <w:t xml:space="preserve"> </w:t>
      </w:r>
      <w:r w:rsidRPr="004C5850">
        <w:rPr>
          <w:rFonts w:ascii="Times New Roman" w:hAnsi="Times New Roman"/>
          <w:bCs/>
          <w:iCs/>
          <w:sz w:val="28"/>
          <w:szCs w:val="28"/>
        </w:rPr>
        <w:t>ускоряване на разследването</w:t>
      </w:r>
      <w:r w:rsidRPr="004C5850">
        <w:rPr>
          <w:rFonts w:ascii="Times New Roman" w:hAnsi="Times New Roman"/>
          <w:bCs/>
          <w:sz w:val="28"/>
          <w:szCs w:val="28"/>
        </w:rPr>
        <w:t xml:space="preserve"> посредством стриктен контрол от страна на административните ръководители за недопускане на извършване на разследване извън сроковете по чл.234 НПК и на извънпроцесуални проверки повече от 3 месеца; контрол за надвишаване на сроковете за мерките за неотклонение и другите мерки за процесуална принуда и стриктно спазване на сроковете за произнасяне от прокурорите. </w:t>
      </w:r>
    </w:p>
    <w:p w:rsidR="004C5850" w:rsidRPr="004C5850" w:rsidRDefault="004C5850" w:rsidP="004D24A1">
      <w:pPr>
        <w:numPr>
          <w:ilvl w:val="0"/>
          <w:numId w:val="9"/>
        </w:numPr>
        <w:ind w:left="0" w:firstLine="708"/>
        <w:contextualSpacing/>
        <w:jc w:val="both"/>
        <w:rPr>
          <w:rFonts w:ascii="Times New Roman" w:hAnsi="Times New Roman"/>
          <w:bCs/>
          <w:sz w:val="28"/>
          <w:szCs w:val="28"/>
        </w:rPr>
      </w:pPr>
      <w:r w:rsidRPr="004C5850">
        <w:rPr>
          <w:rFonts w:ascii="Times New Roman" w:hAnsi="Times New Roman"/>
          <w:bCs/>
          <w:sz w:val="28"/>
          <w:szCs w:val="28"/>
        </w:rPr>
        <w:t>Повишаване на качеството на работата по</w:t>
      </w:r>
      <w:r w:rsidRPr="004C5850">
        <w:rPr>
          <w:rFonts w:ascii="Times New Roman" w:hAnsi="Times New Roman"/>
          <w:bCs/>
          <w:i/>
          <w:iCs/>
          <w:sz w:val="28"/>
          <w:szCs w:val="28"/>
        </w:rPr>
        <w:t xml:space="preserve"> </w:t>
      </w:r>
      <w:r w:rsidRPr="004C5850">
        <w:rPr>
          <w:rFonts w:ascii="Times New Roman" w:hAnsi="Times New Roman"/>
          <w:bCs/>
          <w:iCs/>
          <w:sz w:val="28"/>
          <w:szCs w:val="28"/>
        </w:rPr>
        <w:t>наказателно-съдебния надзор,</w:t>
      </w:r>
      <w:r w:rsidRPr="004C5850">
        <w:rPr>
          <w:rFonts w:ascii="Times New Roman" w:hAnsi="Times New Roman"/>
          <w:bCs/>
          <w:sz w:val="28"/>
          <w:szCs w:val="28"/>
        </w:rPr>
        <w:t xml:space="preserve"> включително чрез своевременни периодични анализи на причините за връщане на делата от съда на прокуратурата и на мотивите на оправдателните съдебни актове, с акцент на делата за корупция и организирана престъпност.</w:t>
      </w:r>
    </w:p>
    <w:p w:rsidR="004C5850" w:rsidRPr="004C5850" w:rsidRDefault="004C5850" w:rsidP="004D24A1">
      <w:pPr>
        <w:numPr>
          <w:ilvl w:val="0"/>
          <w:numId w:val="9"/>
        </w:numPr>
        <w:spacing w:after="0"/>
        <w:ind w:left="0" w:firstLine="709"/>
        <w:contextualSpacing/>
        <w:jc w:val="both"/>
        <w:rPr>
          <w:rFonts w:ascii="Times New Roman" w:hAnsi="Times New Roman"/>
          <w:bCs/>
          <w:sz w:val="28"/>
          <w:szCs w:val="28"/>
        </w:rPr>
      </w:pPr>
      <w:r w:rsidRPr="004C5850">
        <w:rPr>
          <w:rFonts w:ascii="Times New Roman" w:hAnsi="Times New Roman"/>
          <w:bCs/>
          <w:sz w:val="28"/>
          <w:szCs w:val="28"/>
        </w:rPr>
        <w:t>Като приоритет остава и през 2022г. противодействие на битовата престъпност, на кражбите и престъпленията, свързани с  посегателства върху личността, а целта е реализиране на наказателната отговорност чрез  бързо и ефективно осъществяване на свързаните с тази отговорност правомощия на държавата - да осъди извършителя, да изпълни наложеното наказание и да третира дееца като осъждан.</w:t>
      </w:r>
    </w:p>
    <w:p w:rsidR="004C5850" w:rsidRPr="004C5850" w:rsidRDefault="004C5850" w:rsidP="004D24A1">
      <w:pPr>
        <w:numPr>
          <w:ilvl w:val="0"/>
          <w:numId w:val="9"/>
        </w:numPr>
        <w:spacing w:after="0"/>
        <w:ind w:left="0" w:firstLine="709"/>
        <w:contextualSpacing/>
        <w:jc w:val="both"/>
        <w:rPr>
          <w:rFonts w:ascii="Times New Roman" w:hAnsi="Times New Roman"/>
          <w:bCs/>
          <w:sz w:val="28"/>
          <w:szCs w:val="28"/>
        </w:rPr>
      </w:pPr>
      <w:r w:rsidRPr="004C5850">
        <w:rPr>
          <w:rFonts w:ascii="Times New Roman" w:hAnsi="Times New Roman"/>
          <w:bCs/>
          <w:sz w:val="28"/>
          <w:szCs w:val="28"/>
        </w:rPr>
        <w:t>Усъвършенстване на утвърдения в дейността на прокуратурата</w:t>
      </w:r>
      <w:r w:rsidRPr="004C5850">
        <w:rPr>
          <w:rFonts w:ascii="Times New Roman" w:hAnsi="Times New Roman"/>
          <w:bCs/>
          <w:i/>
          <w:iCs/>
          <w:sz w:val="28"/>
          <w:szCs w:val="28"/>
        </w:rPr>
        <w:t xml:space="preserve"> </w:t>
      </w:r>
      <w:r w:rsidRPr="004C5850">
        <w:rPr>
          <w:rFonts w:ascii="Times New Roman" w:hAnsi="Times New Roman"/>
          <w:bCs/>
          <w:iCs/>
          <w:sz w:val="28"/>
          <w:szCs w:val="28"/>
        </w:rPr>
        <w:t>екипен принцип</w:t>
      </w:r>
      <w:r w:rsidRPr="004C5850">
        <w:rPr>
          <w:rFonts w:ascii="Times New Roman" w:hAnsi="Times New Roman"/>
          <w:bCs/>
          <w:sz w:val="28"/>
          <w:szCs w:val="28"/>
        </w:rPr>
        <w:t xml:space="preserve"> на работа по наказателните производства, с цел своевременно и качествено приключване на разследването. </w:t>
      </w:r>
    </w:p>
    <w:p w:rsidR="004C5850" w:rsidRPr="004C5850" w:rsidRDefault="004C5850" w:rsidP="004D24A1">
      <w:pPr>
        <w:numPr>
          <w:ilvl w:val="0"/>
          <w:numId w:val="9"/>
        </w:numPr>
        <w:spacing w:after="0"/>
        <w:ind w:left="0" w:firstLine="709"/>
        <w:contextualSpacing/>
        <w:jc w:val="both"/>
        <w:rPr>
          <w:rFonts w:ascii="Times New Roman" w:hAnsi="Times New Roman"/>
          <w:bCs/>
          <w:sz w:val="28"/>
          <w:szCs w:val="28"/>
        </w:rPr>
      </w:pPr>
      <w:r w:rsidRPr="004C5850">
        <w:rPr>
          <w:rFonts w:ascii="Times New Roman" w:hAnsi="Times New Roman"/>
          <w:bCs/>
          <w:sz w:val="28"/>
          <w:szCs w:val="28"/>
        </w:rPr>
        <w:t xml:space="preserve"> Увеличаване броя на възложените разследвания по досъдебни производства с фактическа и правна сложност на следователи с оглед ефективното използване на професионалния им капацитет.</w:t>
      </w:r>
    </w:p>
    <w:p w:rsidR="004C5850" w:rsidRPr="004C5850" w:rsidRDefault="004C5850" w:rsidP="004D24A1">
      <w:pPr>
        <w:numPr>
          <w:ilvl w:val="0"/>
          <w:numId w:val="9"/>
        </w:numPr>
        <w:ind w:left="0" w:firstLine="709"/>
        <w:contextualSpacing/>
        <w:jc w:val="both"/>
        <w:rPr>
          <w:rFonts w:ascii="Times New Roman" w:hAnsi="Times New Roman"/>
          <w:bCs/>
          <w:sz w:val="28"/>
          <w:szCs w:val="28"/>
        </w:rPr>
      </w:pPr>
      <w:r w:rsidRPr="004C5850">
        <w:rPr>
          <w:rFonts w:ascii="Times New Roman" w:hAnsi="Times New Roman"/>
          <w:bCs/>
          <w:sz w:val="28"/>
          <w:szCs w:val="28"/>
        </w:rPr>
        <w:t>Повишаване на общественото доверие в прокуратурата, за справедлива обществена оценка на дейността й и утвърждаване на облика й като работеща изцяло в интерес на гражданите институция в съответствие с Медийната стратегия на ПРБ.</w:t>
      </w:r>
    </w:p>
    <w:p w:rsidR="004C5850" w:rsidRDefault="004C5850" w:rsidP="004D24A1">
      <w:pPr>
        <w:numPr>
          <w:ilvl w:val="0"/>
          <w:numId w:val="9"/>
        </w:numPr>
        <w:ind w:left="0" w:firstLine="709"/>
        <w:contextualSpacing/>
        <w:jc w:val="both"/>
        <w:rPr>
          <w:rFonts w:ascii="Times New Roman" w:hAnsi="Times New Roman"/>
          <w:bCs/>
          <w:sz w:val="28"/>
          <w:szCs w:val="28"/>
        </w:rPr>
      </w:pPr>
      <w:r w:rsidRPr="004C5850">
        <w:rPr>
          <w:rFonts w:ascii="Times New Roman" w:hAnsi="Times New Roman"/>
          <w:bCs/>
          <w:sz w:val="28"/>
          <w:szCs w:val="28"/>
        </w:rPr>
        <w:t>Активна дейността по посока на самосезиране във връзка с допускани нарушения, по които е необходима незабавна намеса на Прокуратурата по реда на надзора за законност.</w:t>
      </w:r>
    </w:p>
    <w:p w:rsidR="00ED439E" w:rsidRPr="004C5850" w:rsidRDefault="00ED439E" w:rsidP="00ED439E">
      <w:pPr>
        <w:ind w:left="709"/>
        <w:contextualSpacing/>
        <w:jc w:val="both"/>
        <w:rPr>
          <w:rFonts w:ascii="Times New Roman" w:hAnsi="Times New Roman"/>
          <w:bCs/>
          <w:sz w:val="28"/>
          <w:szCs w:val="28"/>
        </w:rPr>
      </w:pPr>
    </w:p>
    <w:p w:rsidR="004C5850" w:rsidRPr="004C5850" w:rsidRDefault="004C5850" w:rsidP="004D24A1">
      <w:pPr>
        <w:numPr>
          <w:ilvl w:val="0"/>
          <w:numId w:val="9"/>
        </w:numPr>
        <w:ind w:left="0" w:firstLine="709"/>
        <w:contextualSpacing/>
        <w:jc w:val="both"/>
        <w:rPr>
          <w:rFonts w:ascii="Times New Roman" w:hAnsi="Times New Roman"/>
          <w:bCs/>
          <w:sz w:val="28"/>
          <w:szCs w:val="28"/>
        </w:rPr>
      </w:pPr>
      <w:r w:rsidRPr="004C5850">
        <w:rPr>
          <w:rFonts w:ascii="Times New Roman" w:hAnsi="Times New Roman"/>
          <w:bCs/>
          <w:sz w:val="28"/>
          <w:szCs w:val="28"/>
        </w:rPr>
        <w:lastRenderedPageBreak/>
        <w:t>Участие на прокурорите при СГП и СРП в организираните обучения и семинари. Активизиране в по-голяма степен участието на съдебните служители и прокурорски помощници в организираните обучения и семинари.</w:t>
      </w:r>
    </w:p>
    <w:p w:rsidR="004C5850" w:rsidRPr="004C5850" w:rsidRDefault="004C5850" w:rsidP="004D24A1">
      <w:pPr>
        <w:numPr>
          <w:ilvl w:val="0"/>
          <w:numId w:val="9"/>
        </w:numPr>
        <w:spacing w:after="0"/>
        <w:ind w:left="0" w:firstLine="709"/>
        <w:contextualSpacing/>
        <w:jc w:val="both"/>
        <w:rPr>
          <w:rFonts w:ascii="Times New Roman" w:hAnsi="Times New Roman"/>
          <w:bCs/>
          <w:sz w:val="28"/>
          <w:szCs w:val="28"/>
        </w:rPr>
      </w:pPr>
      <w:r w:rsidRPr="004C5850">
        <w:rPr>
          <w:rFonts w:ascii="Times New Roman" w:hAnsi="Times New Roman"/>
          <w:bCs/>
          <w:sz w:val="28"/>
          <w:szCs w:val="28"/>
        </w:rPr>
        <w:t>Спазването на строга финансова дисциплина, строг предварителен контрол и ограничаване на всички възможни разходи. Счетоводството ще се стреми да ограничава всички възможни разходи само до абсолютно необходимите за дейността на прокуратура.</w:t>
      </w:r>
    </w:p>
    <w:p w:rsidR="004C5850" w:rsidRPr="004C5850" w:rsidRDefault="004C5850" w:rsidP="004D24A1">
      <w:pPr>
        <w:spacing w:after="0"/>
        <w:ind w:firstLine="708"/>
        <w:jc w:val="both"/>
        <w:rPr>
          <w:rFonts w:ascii="Times New Roman" w:hAnsi="Times New Roman"/>
          <w:bCs/>
          <w:sz w:val="28"/>
          <w:szCs w:val="28"/>
        </w:rPr>
      </w:pPr>
      <w:r w:rsidRPr="004C5850">
        <w:rPr>
          <w:rFonts w:ascii="Times New Roman" w:hAnsi="Times New Roman"/>
          <w:bCs/>
          <w:iCs/>
          <w:sz w:val="28"/>
          <w:szCs w:val="28"/>
        </w:rPr>
        <w:t>През 2022г. ще продължат да се полагат усилия за постигане на основните приоритети в дейността Софийска градска прокуратура и Софийска районна прокуратура и ще се работи за повишаване на общественото доверие в прокуратурата</w:t>
      </w:r>
      <w:r w:rsidRPr="004C5850">
        <w:rPr>
          <w:rFonts w:ascii="Times New Roman" w:hAnsi="Times New Roman"/>
          <w:bCs/>
          <w:sz w:val="28"/>
          <w:szCs w:val="28"/>
        </w:rPr>
        <w:t xml:space="preserve"> при водещ принцип в дейността на магистратите – върховенството на закона и съблюдаване за спазването на човешките права.</w:t>
      </w:r>
    </w:p>
    <w:p w:rsidR="004C5850" w:rsidRPr="004C5850" w:rsidRDefault="004C5850" w:rsidP="004D24A1">
      <w:pPr>
        <w:spacing w:after="0"/>
        <w:ind w:firstLine="708"/>
        <w:jc w:val="both"/>
        <w:rPr>
          <w:rFonts w:ascii="Times New Roman" w:hAnsi="Times New Roman"/>
          <w:bCs/>
          <w:sz w:val="28"/>
          <w:szCs w:val="28"/>
        </w:rPr>
      </w:pPr>
    </w:p>
    <w:p w:rsidR="004C5850" w:rsidRPr="004C5850" w:rsidRDefault="004C5850" w:rsidP="004D24A1">
      <w:pPr>
        <w:spacing w:after="0"/>
        <w:ind w:firstLine="708"/>
        <w:jc w:val="both"/>
        <w:rPr>
          <w:rFonts w:ascii="Times New Roman" w:hAnsi="Times New Roman"/>
          <w:bCs/>
          <w:sz w:val="28"/>
          <w:szCs w:val="28"/>
        </w:rPr>
      </w:pPr>
    </w:p>
    <w:p w:rsidR="004C5850" w:rsidRPr="004C5850" w:rsidRDefault="004C5850" w:rsidP="004D24A1">
      <w:pPr>
        <w:spacing w:after="0"/>
        <w:ind w:firstLine="708"/>
        <w:jc w:val="both"/>
        <w:rPr>
          <w:rFonts w:ascii="Times New Roman" w:hAnsi="Times New Roman"/>
          <w:bCs/>
          <w:sz w:val="28"/>
          <w:szCs w:val="28"/>
        </w:rPr>
      </w:pPr>
    </w:p>
    <w:p w:rsidR="004C5850" w:rsidRPr="004C5850" w:rsidRDefault="004C5850" w:rsidP="004D24A1">
      <w:pPr>
        <w:suppressAutoHyphens/>
        <w:overflowPunct w:val="0"/>
        <w:autoSpaceDE w:val="0"/>
        <w:autoSpaceDN w:val="0"/>
        <w:adjustRightInd w:val="0"/>
        <w:spacing w:after="0"/>
        <w:ind w:left="708" w:firstLine="708"/>
        <w:jc w:val="both"/>
        <w:rPr>
          <w:rFonts w:ascii="Times New Roman" w:eastAsia="Times New Roman" w:hAnsi="Times New Roman"/>
          <w:sz w:val="28"/>
          <w:szCs w:val="28"/>
          <w:lang w:eastAsia="ar-SA"/>
        </w:rPr>
      </w:pPr>
      <w:r w:rsidRPr="004C5850">
        <w:rPr>
          <w:rFonts w:ascii="Times New Roman" w:eastAsia="Times New Roman" w:hAnsi="Times New Roman"/>
          <w:sz w:val="28"/>
          <w:szCs w:val="28"/>
          <w:lang w:val="en-US" w:eastAsia="ar-SA"/>
        </w:rPr>
        <w:t>A</w:t>
      </w:r>
      <w:r w:rsidRPr="004C5850">
        <w:rPr>
          <w:rFonts w:ascii="Times New Roman" w:eastAsia="Times New Roman" w:hAnsi="Times New Roman"/>
          <w:sz w:val="28"/>
          <w:szCs w:val="28"/>
          <w:lang w:eastAsia="ar-SA"/>
        </w:rPr>
        <w:t>ДМИНИСТРАТИВЕН РЪКОВОДИТЕЛ-</w:t>
      </w:r>
    </w:p>
    <w:p w:rsidR="004C5850" w:rsidRPr="004C5850" w:rsidRDefault="004C5850" w:rsidP="004D24A1">
      <w:pPr>
        <w:suppressAutoHyphens/>
        <w:overflowPunct w:val="0"/>
        <w:autoSpaceDE w:val="0"/>
        <w:autoSpaceDN w:val="0"/>
        <w:adjustRightInd w:val="0"/>
        <w:spacing w:after="0"/>
        <w:ind w:left="708" w:firstLine="708"/>
        <w:jc w:val="both"/>
        <w:rPr>
          <w:rFonts w:ascii="Times New Roman" w:eastAsia="Times New Roman" w:hAnsi="Times New Roman"/>
          <w:sz w:val="28"/>
          <w:szCs w:val="28"/>
          <w:lang w:eastAsia="ar-SA"/>
        </w:rPr>
      </w:pPr>
      <w:r w:rsidRPr="004C5850">
        <w:rPr>
          <w:rFonts w:ascii="Times New Roman" w:eastAsia="Times New Roman" w:hAnsi="Times New Roman"/>
          <w:sz w:val="28"/>
          <w:szCs w:val="28"/>
          <w:lang w:val="en-US" w:eastAsia="ar-SA"/>
        </w:rPr>
        <w:t>ГРАДСКИ ПРОКУРОР</w:t>
      </w:r>
      <w:r w:rsidRPr="004C5850">
        <w:rPr>
          <w:rFonts w:ascii="Times New Roman" w:eastAsia="Times New Roman" w:hAnsi="Times New Roman"/>
          <w:sz w:val="28"/>
          <w:szCs w:val="28"/>
          <w:lang w:eastAsia="ar-SA"/>
        </w:rPr>
        <w:t>:</w:t>
      </w:r>
    </w:p>
    <w:p w:rsidR="004C5850" w:rsidRPr="004C5850" w:rsidRDefault="004C5850" w:rsidP="004D24A1">
      <w:pPr>
        <w:suppressAutoHyphens/>
        <w:overflowPunct w:val="0"/>
        <w:autoSpaceDE w:val="0"/>
        <w:autoSpaceDN w:val="0"/>
        <w:adjustRightInd w:val="0"/>
        <w:spacing w:after="0"/>
        <w:ind w:left="708" w:firstLine="708"/>
        <w:jc w:val="both"/>
        <w:rPr>
          <w:rFonts w:ascii="Times New Roman" w:eastAsia="Times New Roman" w:hAnsi="Times New Roman"/>
          <w:sz w:val="28"/>
          <w:szCs w:val="28"/>
          <w:lang w:eastAsia="ar-SA"/>
        </w:rPr>
      </w:pPr>
    </w:p>
    <w:p w:rsidR="004C5850" w:rsidRPr="004C5850" w:rsidRDefault="004C5850" w:rsidP="004D24A1">
      <w:pPr>
        <w:overflowPunct w:val="0"/>
        <w:autoSpaceDE w:val="0"/>
        <w:autoSpaceDN w:val="0"/>
        <w:adjustRightInd w:val="0"/>
        <w:spacing w:after="120"/>
        <w:ind w:left="5663" w:hanging="2119"/>
        <w:jc w:val="both"/>
        <w:rPr>
          <w:rFonts w:ascii="Times New Roman" w:eastAsia="Times New Roman" w:hAnsi="Times New Roman"/>
          <w:sz w:val="28"/>
          <w:szCs w:val="20"/>
        </w:rPr>
      </w:pPr>
      <w:r w:rsidRPr="004C5850">
        <w:rPr>
          <w:rFonts w:ascii="Times New Roman" w:eastAsia="Times New Roman" w:hAnsi="Times New Roman"/>
          <w:sz w:val="28"/>
          <w:szCs w:val="28"/>
          <w:lang w:eastAsia="ar-SA"/>
        </w:rPr>
        <w:t xml:space="preserve">                                     ИЛИАНА КИРИЛОВА</w:t>
      </w:r>
    </w:p>
    <w:p w:rsidR="004C5850" w:rsidRPr="004C5850" w:rsidRDefault="004C5850" w:rsidP="004D24A1"/>
    <w:p w:rsidR="00021050" w:rsidRPr="00B364A7" w:rsidRDefault="00021050" w:rsidP="004D24A1">
      <w:pPr>
        <w:tabs>
          <w:tab w:val="left" w:pos="709"/>
        </w:tabs>
        <w:autoSpaceDN w:val="0"/>
        <w:spacing w:after="0"/>
        <w:ind w:firstLine="708"/>
        <w:jc w:val="both"/>
        <w:rPr>
          <w:rFonts w:ascii="Times New Roman" w:eastAsia="Times New Roman" w:hAnsi="Times New Roman"/>
          <w:sz w:val="28"/>
          <w:szCs w:val="28"/>
          <w:lang w:eastAsia="bg-BG"/>
        </w:rPr>
      </w:pPr>
    </w:p>
    <w:p w:rsidR="0060601E" w:rsidRPr="00990BDB" w:rsidRDefault="0060601E" w:rsidP="004D24A1">
      <w:pPr>
        <w:autoSpaceDE w:val="0"/>
        <w:autoSpaceDN w:val="0"/>
        <w:adjustRightInd w:val="0"/>
        <w:spacing w:after="0"/>
        <w:jc w:val="both"/>
        <w:rPr>
          <w:rFonts w:ascii="Times New Roman" w:eastAsia="Times New Roman" w:hAnsi="Times New Roman"/>
          <w:b/>
          <w:sz w:val="28"/>
          <w:szCs w:val="28"/>
          <w:lang w:val="en-US" w:eastAsia="bg-BG"/>
        </w:rPr>
      </w:pPr>
    </w:p>
    <w:p w:rsidR="00BB0197" w:rsidRDefault="00BB0197" w:rsidP="004D24A1">
      <w:pPr>
        <w:spacing w:after="0"/>
        <w:ind w:firstLine="708"/>
        <w:jc w:val="both"/>
        <w:rPr>
          <w:rFonts w:ascii="Times New Roman" w:hAnsi="Times New Roman"/>
          <w:sz w:val="28"/>
          <w:szCs w:val="28"/>
        </w:rPr>
      </w:pPr>
    </w:p>
    <w:p w:rsidR="00BB0197" w:rsidRPr="00BB0197" w:rsidRDefault="00BB0197" w:rsidP="004D24A1"/>
    <w:p w:rsidR="00BB0197" w:rsidRPr="00D43478" w:rsidRDefault="00BB0197" w:rsidP="004D24A1">
      <w:pPr>
        <w:spacing w:after="0"/>
        <w:ind w:firstLine="708"/>
        <w:jc w:val="both"/>
        <w:rPr>
          <w:rFonts w:ascii="Times New Roman" w:hAnsi="Times New Roman"/>
          <w:sz w:val="28"/>
          <w:szCs w:val="28"/>
        </w:rPr>
      </w:pPr>
    </w:p>
    <w:p w:rsidR="00D43478" w:rsidRPr="00D43478" w:rsidRDefault="00D43478" w:rsidP="004D24A1"/>
    <w:p w:rsidR="00867DD0" w:rsidRDefault="00867DD0" w:rsidP="004D24A1">
      <w:pPr>
        <w:ind w:firstLine="708"/>
        <w:jc w:val="both"/>
        <w:rPr>
          <w:rFonts w:ascii="Times New Roman" w:eastAsia="Times New Roman" w:hAnsi="Times New Roman"/>
          <w:sz w:val="28"/>
          <w:szCs w:val="28"/>
        </w:rPr>
      </w:pPr>
    </w:p>
    <w:p w:rsidR="00867DD0" w:rsidRPr="009802BD" w:rsidRDefault="00867DD0" w:rsidP="004D24A1">
      <w:pPr>
        <w:ind w:firstLine="708"/>
        <w:jc w:val="both"/>
      </w:pPr>
    </w:p>
    <w:p w:rsidR="00616655" w:rsidRPr="00063DD3" w:rsidRDefault="00616655" w:rsidP="004D24A1">
      <w:pPr>
        <w:spacing w:after="0"/>
        <w:ind w:firstLine="709"/>
        <w:jc w:val="both"/>
        <w:rPr>
          <w:rFonts w:ascii="Times New Roman" w:hAnsi="Times New Roman"/>
          <w:b/>
          <w:sz w:val="28"/>
          <w:szCs w:val="28"/>
        </w:rPr>
      </w:pPr>
    </w:p>
    <w:sectPr w:rsidR="00616655" w:rsidRPr="00063DD3" w:rsidSect="00B24499">
      <w:footerReference w:type="default" r:id="rId81"/>
      <w:headerReference w:type="first" r:id="rId82"/>
      <w:footerReference w:type="first" r:id="rId83"/>
      <w:pgSz w:w="11906" w:h="16838"/>
      <w:pgMar w:top="851" w:right="1416" w:bottom="1418" w:left="1418" w:header="709" w:footer="3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C17" w:rsidRDefault="00330C17">
      <w:pPr>
        <w:spacing w:after="0" w:line="240" w:lineRule="auto"/>
      </w:pPr>
      <w:r>
        <w:separator/>
      </w:r>
    </w:p>
  </w:endnote>
  <w:endnote w:type="continuationSeparator" w:id="0">
    <w:p w:rsidR="00330C17" w:rsidRDefault="0033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Hebar">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D50" w:rsidRPr="001D22F1" w:rsidRDefault="00A46D50">
    <w:pPr>
      <w:pStyle w:val="Footer"/>
      <w:jc w:val="right"/>
      <w:rPr>
        <w:rFonts w:ascii="Times New Roman" w:hAnsi="Times New Roman"/>
        <w:sz w:val="24"/>
        <w:szCs w:val="24"/>
      </w:rPr>
    </w:pPr>
    <w:r w:rsidRPr="001D22F1">
      <w:rPr>
        <w:rFonts w:ascii="Times New Roman" w:hAnsi="Times New Roman"/>
        <w:sz w:val="24"/>
        <w:szCs w:val="24"/>
      </w:rPr>
      <w:fldChar w:fldCharType="begin"/>
    </w:r>
    <w:r w:rsidRPr="001D22F1">
      <w:rPr>
        <w:rFonts w:ascii="Times New Roman" w:hAnsi="Times New Roman"/>
        <w:sz w:val="24"/>
        <w:szCs w:val="24"/>
      </w:rPr>
      <w:instrText>PAGE   \* MERGEFORMAT</w:instrText>
    </w:r>
    <w:r w:rsidRPr="001D22F1">
      <w:rPr>
        <w:rFonts w:ascii="Times New Roman" w:hAnsi="Times New Roman"/>
        <w:sz w:val="24"/>
        <w:szCs w:val="24"/>
      </w:rPr>
      <w:fldChar w:fldCharType="separate"/>
    </w:r>
    <w:r w:rsidR="00945AE4" w:rsidRPr="00945AE4">
      <w:rPr>
        <w:rFonts w:ascii="Times New Roman" w:hAnsi="Times New Roman"/>
        <w:noProof/>
        <w:sz w:val="24"/>
        <w:szCs w:val="24"/>
        <w:lang w:val="bg-BG"/>
      </w:rPr>
      <w:t>22</w:t>
    </w:r>
    <w:r w:rsidRPr="001D22F1">
      <w:rPr>
        <w:rFonts w:ascii="Times New Roman" w:hAnsi="Times New Roman"/>
        <w:sz w:val="24"/>
        <w:szCs w:val="24"/>
      </w:rPr>
      <w:fldChar w:fldCharType="end"/>
    </w:r>
  </w:p>
  <w:p w:rsidR="00A46D50" w:rsidRDefault="00A46D5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D50" w:rsidRPr="00D7675B" w:rsidRDefault="00A46D50" w:rsidP="00DB7F5D">
    <w:pPr>
      <w:pBdr>
        <w:top w:val="single" w:sz="4" w:space="0" w:color="auto"/>
      </w:pBdr>
      <w:tabs>
        <w:tab w:val="center" w:pos="4536"/>
        <w:tab w:val="right" w:pos="9072"/>
      </w:tabs>
      <w:spacing w:after="0" w:line="240" w:lineRule="auto"/>
      <w:jc w:val="center"/>
      <w:rPr>
        <w:rFonts w:ascii="Arial Unicode MS" w:eastAsia="Arial Unicode MS" w:hAnsi="Arial Unicode MS" w:cs="Arial Unicode MS"/>
        <w:color w:val="000000"/>
        <w:sz w:val="24"/>
        <w:szCs w:val="24"/>
        <w:lang w:val="bg"/>
      </w:rPr>
    </w:pPr>
    <w:r>
      <w:rPr>
        <w:rFonts w:ascii="Times New Roman" w:eastAsia="Times New Roman" w:hAnsi="Times New Roman"/>
        <w:b/>
        <w:sz w:val="20"/>
        <w:szCs w:val="20"/>
        <w:lang w:eastAsia="zh-CN"/>
      </w:rPr>
      <w:t>г</w:t>
    </w:r>
    <w:r w:rsidRPr="00D7675B">
      <w:rPr>
        <w:rFonts w:ascii="Times New Roman" w:eastAsia="Times New Roman" w:hAnsi="Times New Roman"/>
        <w:b/>
        <w:sz w:val="20"/>
        <w:szCs w:val="20"/>
        <w:lang w:eastAsia="zh-CN"/>
      </w:rPr>
      <w:t>р. София, 1040, бул. “Витоша” № 2, тел.02/9813344, факс 02/9808849, e-mail: sgp@prb.bg</w:t>
    </w:r>
  </w:p>
  <w:p w:rsidR="00A46D50" w:rsidRDefault="00A46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C17" w:rsidRDefault="00330C17">
      <w:pPr>
        <w:spacing w:after="0" w:line="240" w:lineRule="auto"/>
      </w:pPr>
      <w:r>
        <w:separator/>
      </w:r>
    </w:p>
  </w:footnote>
  <w:footnote w:type="continuationSeparator" w:id="0">
    <w:p w:rsidR="00330C17" w:rsidRDefault="00330C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84"/>
      <w:gridCol w:w="8193"/>
    </w:tblGrid>
    <w:tr w:rsidR="00A46D50" w:rsidRPr="004B20C5" w:rsidTr="008A5B4C">
      <w:trPr>
        <w:trHeight w:val="1274"/>
      </w:trPr>
      <w:tc>
        <w:tcPr>
          <w:tcW w:w="1684" w:type="dxa"/>
          <w:tcBorders>
            <w:top w:val="nil"/>
            <w:left w:val="nil"/>
            <w:bottom w:val="nil"/>
            <w:right w:val="nil"/>
          </w:tcBorders>
        </w:tcPr>
        <w:p w:rsidR="00A46D50" w:rsidRPr="003D45C6" w:rsidRDefault="00A46D50" w:rsidP="008A5B4C">
          <w:pPr>
            <w:widowControl w:val="0"/>
            <w:ind w:right="878"/>
            <w:rPr>
              <w:rFonts w:ascii="Arial" w:eastAsia="Times New Roman" w:hAnsi="Arial" w:cs="Arial"/>
              <w:sz w:val="16"/>
              <w:szCs w:val="16"/>
              <w:lang w:eastAsia="zh-CN"/>
            </w:rPr>
          </w:pPr>
          <w:r w:rsidRPr="004B20C5">
            <w:rPr>
              <w:rFonts w:ascii="Times New Roman" w:eastAsia="Times New Roman" w:hAnsi="Times New Roman"/>
              <w:noProof/>
              <w:sz w:val="16"/>
              <w:szCs w:val="16"/>
              <w:lang w:eastAsia="bg-BG"/>
            </w:rPr>
            <w:drawing>
              <wp:inline distT="0" distB="0" distL="0" distR="0" wp14:anchorId="0492B888" wp14:editId="16FAB0A2">
                <wp:extent cx="898525" cy="946150"/>
                <wp:effectExtent l="0" t="0" r="0" b="0"/>
                <wp:docPr id="37" name="Картина 48" descr="Prok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8" descr="Prokur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946150"/>
                        </a:xfrm>
                        <a:prstGeom prst="rect">
                          <a:avLst/>
                        </a:prstGeom>
                        <a:noFill/>
                        <a:ln>
                          <a:noFill/>
                        </a:ln>
                      </pic:spPr>
                    </pic:pic>
                  </a:graphicData>
                </a:graphic>
              </wp:inline>
            </w:drawing>
          </w:r>
        </w:p>
      </w:tc>
      <w:tc>
        <w:tcPr>
          <w:tcW w:w="8193" w:type="dxa"/>
          <w:tcBorders>
            <w:top w:val="nil"/>
            <w:left w:val="nil"/>
            <w:bottom w:val="nil"/>
            <w:right w:val="nil"/>
          </w:tcBorders>
        </w:tcPr>
        <w:p w:rsidR="00A46D50" w:rsidRPr="003D45C6" w:rsidRDefault="00A46D50" w:rsidP="008A5B4C">
          <w:pPr>
            <w:pBdr>
              <w:bottom w:val="thickThinSmallGap" w:sz="24" w:space="4" w:color="622423"/>
            </w:pBdr>
            <w:tabs>
              <w:tab w:val="center" w:pos="4536"/>
              <w:tab w:val="right" w:pos="9072"/>
            </w:tabs>
            <w:spacing w:after="0"/>
            <w:jc w:val="center"/>
            <w:rPr>
              <w:rFonts w:ascii="Times New Roman" w:eastAsia="Times New Roman" w:hAnsi="Times New Roman"/>
              <w:b/>
              <w:spacing w:val="20"/>
              <w:sz w:val="16"/>
              <w:szCs w:val="16"/>
            </w:rPr>
          </w:pPr>
        </w:p>
        <w:p w:rsidR="00A46D50" w:rsidRPr="003D45C6" w:rsidRDefault="00A46D50" w:rsidP="008A5B4C">
          <w:pPr>
            <w:pBdr>
              <w:bottom w:val="thickThinSmallGap" w:sz="24" w:space="4" w:color="622423"/>
            </w:pBdr>
            <w:tabs>
              <w:tab w:val="center" w:pos="4536"/>
              <w:tab w:val="right" w:pos="9072"/>
            </w:tabs>
            <w:jc w:val="center"/>
            <w:rPr>
              <w:rFonts w:ascii="Cambria" w:eastAsia="Times New Roman" w:hAnsi="Cambria"/>
              <w:b/>
              <w:spacing w:val="20"/>
              <w:sz w:val="32"/>
              <w:szCs w:val="32"/>
            </w:rPr>
          </w:pPr>
          <w:r w:rsidRPr="003D45C6">
            <w:rPr>
              <w:rFonts w:ascii="Times New Roman" w:eastAsia="Times New Roman" w:hAnsi="Times New Roman"/>
              <w:b/>
              <w:spacing w:val="20"/>
              <w:sz w:val="32"/>
              <w:szCs w:val="32"/>
            </w:rPr>
            <w:t>ПРОКУРАТУРА НА РЕПУБЛИКА БЪЛГАРИЯ</w:t>
          </w:r>
        </w:p>
        <w:p w:rsidR="00A46D50" w:rsidRPr="003D45C6" w:rsidRDefault="00A46D50" w:rsidP="008A5B4C">
          <w:pPr>
            <w:widowControl w:val="0"/>
            <w:ind w:right="72"/>
            <w:jc w:val="center"/>
            <w:rPr>
              <w:rFonts w:ascii="Arial" w:eastAsia="Times New Roman" w:hAnsi="Arial" w:cs="Arial"/>
              <w:b/>
              <w:spacing w:val="20"/>
              <w:sz w:val="28"/>
              <w:szCs w:val="28"/>
              <w:lang w:eastAsia="zh-CN"/>
            </w:rPr>
          </w:pPr>
          <w:r w:rsidRPr="003D45C6">
            <w:rPr>
              <w:rFonts w:ascii="Times New Roman" w:hAnsi="Times New Roman"/>
              <w:b/>
              <w:spacing w:val="20"/>
              <w:sz w:val="28"/>
              <w:szCs w:val="28"/>
            </w:rPr>
            <w:t>СОФИЙСКА ГРАДСКА ПРОКУРАТУРА</w:t>
          </w:r>
        </w:p>
      </w:tc>
    </w:tr>
  </w:tbl>
  <w:p w:rsidR="00A46D50" w:rsidRDefault="00A46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54FC0"/>
    <w:multiLevelType w:val="hybridMultilevel"/>
    <w:tmpl w:val="915AA986"/>
    <w:lvl w:ilvl="0" w:tplc="562090F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 w15:restartNumberingAfterBreak="0">
    <w:nsid w:val="32CA2F2B"/>
    <w:multiLevelType w:val="hybridMultilevel"/>
    <w:tmpl w:val="680E38B8"/>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15:restartNumberingAfterBreak="0">
    <w:nsid w:val="36F10478"/>
    <w:multiLevelType w:val="hybridMultilevel"/>
    <w:tmpl w:val="3C3647C4"/>
    <w:lvl w:ilvl="0" w:tplc="04020001">
      <w:start w:val="1"/>
      <w:numFmt w:val="bullet"/>
      <w:lvlText w:val=""/>
      <w:lvlJc w:val="left"/>
      <w:pPr>
        <w:ind w:left="1509" w:hanging="360"/>
      </w:pPr>
      <w:rPr>
        <w:rFonts w:ascii="Symbol" w:hAnsi="Symbol" w:hint="default"/>
      </w:rPr>
    </w:lvl>
    <w:lvl w:ilvl="1" w:tplc="04020003" w:tentative="1">
      <w:start w:val="1"/>
      <w:numFmt w:val="bullet"/>
      <w:lvlText w:val="o"/>
      <w:lvlJc w:val="left"/>
      <w:pPr>
        <w:ind w:left="2229" w:hanging="360"/>
      </w:pPr>
      <w:rPr>
        <w:rFonts w:ascii="Courier New" w:hAnsi="Courier New" w:cs="Courier New" w:hint="default"/>
      </w:rPr>
    </w:lvl>
    <w:lvl w:ilvl="2" w:tplc="04020005" w:tentative="1">
      <w:start w:val="1"/>
      <w:numFmt w:val="bullet"/>
      <w:lvlText w:val=""/>
      <w:lvlJc w:val="left"/>
      <w:pPr>
        <w:ind w:left="2949" w:hanging="360"/>
      </w:pPr>
      <w:rPr>
        <w:rFonts w:ascii="Wingdings" w:hAnsi="Wingdings" w:hint="default"/>
      </w:rPr>
    </w:lvl>
    <w:lvl w:ilvl="3" w:tplc="04020001" w:tentative="1">
      <w:start w:val="1"/>
      <w:numFmt w:val="bullet"/>
      <w:lvlText w:val=""/>
      <w:lvlJc w:val="left"/>
      <w:pPr>
        <w:ind w:left="3669" w:hanging="360"/>
      </w:pPr>
      <w:rPr>
        <w:rFonts w:ascii="Symbol" w:hAnsi="Symbol" w:hint="default"/>
      </w:rPr>
    </w:lvl>
    <w:lvl w:ilvl="4" w:tplc="04020003" w:tentative="1">
      <w:start w:val="1"/>
      <w:numFmt w:val="bullet"/>
      <w:lvlText w:val="o"/>
      <w:lvlJc w:val="left"/>
      <w:pPr>
        <w:ind w:left="4389" w:hanging="360"/>
      </w:pPr>
      <w:rPr>
        <w:rFonts w:ascii="Courier New" w:hAnsi="Courier New" w:cs="Courier New" w:hint="default"/>
      </w:rPr>
    </w:lvl>
    <w:lvl w:ilvl="5" w:tplc="04020005" w:tentative="1">
      <w:start w:val="1"/>
      <w:numFmt w:val="bullet"/>
      <w:lvlText w:val=""/>
      <w:lvlJc w:val="left"/>
      <w:pPr>
        <w:ind w:left="5109" w:hanging="360"/>
      </w:pPr>
      <w:rPr>
        <w:rFonts w:ascii="Wingdings" w:hAnsi="Wingdings" w:hint="default"/>
      </w:rPr>
    </w:lvl>
    <w:lvl w:ilvl="6" w:tplc="04020001" w:tentative="1">
      <w:start w:val="1"/>
      <w:numFmt w:val="bullet"/>
      <w:lvlText w:val=""/>
      <w:lvlJc w:val="left"/>
      <w:pPr>
        <w:ind w:left="5829" w:hanging="360"/>
      </w:pPr>
      <w:rPr>
        <w:rFonts w:ascii="Symbol" w:hAnsi="Symbol" w:hint="default"/>
      </w:rPr>
    </w:lvl>
    <w:lvl w:ilvl="7" w:tplc="04020003" w:tentative="1">
      <w:start w:val="1"/>
      <w:numFmt w:val="bullet"/>
      <w:lvlText w:val="o"/>
      <w:lvlJc w:val="left"/>
      <w:pPr>
        <w:ind w:left="6549" w:hanging="360"/>
      </w:pPr>
      <w:rPr>
        <w:rFonts w:ascii="Courier New" w:hAnsi="Courier New" w:cs="Courier New" w:hint="default"/>
      </w:rPr>
    </w:lvl>
    <w:lvl w:ilvl="8" w:tplc="04020005" w:tentative="1">
      <w:start w:val="1"/>
      <w:numFmt w:val="bullet"/>
      <w:lvlText w:val=""/>
      <w:lvlJc w:val="left"/>
      <w:pPr>
        <w:ind w:left="7269" w:hanging="360"/>
      </w:pPr>
      <w:rPr>
        <w:rFonts w:ascii="Wingdings" w:hAnsi="Wingdings" w:hint="default"/>
      </w:rPr>
    </w:lvl>
  </w:abstractNum>
  <w:abstractNum w:abstractNumId="3" w15:restartNumberingAfterBreak="0">
    <w:nsid w:val="4C360A63"/>
    <w:multiLevelType w:val="hybridMultilevel"/>
    <w:tmpl w:val="4782DB32"/>
    <w:lvl w:ilvl="0" w:tplc="E160DCFC">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15:restartNumberingAfterBreak="0">
    <w:nsid w:val="56983CE4"/>
    <w:multiLevelType w:val="hybridMultilevel"/>
    <w:tmpl w:val="69A2FBD6"/>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606436AA"/>
    <w:multiLevelType w:val="hybridMultilevel"/>
    <w:tmpl w:val="9CF4C0D4"/>
    <w:lvl w:ilvl="0" w:tplc="0409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15:restartNumberingAfterBreak="0">
    <w:nsid w:val="61C802B3"/>
    <w:multiLevelType w:val="hybridMultilevel"/>
    <w:tmpl w:val="E250BFC4"/>
    <w:lvl w:ilvl="0" w:tplc="562090F0">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 w15:restartNumberingAfterBreak="0">
    <w:nsid w:val="62DA1BBA"/>
    <w:multiLevelType w:val="hybridMultilevel"/>
    <w:tmpl w:val="FF1EBAAA"/>
    <w:lvl w:ilvl="0" w:tplc="51708B8C">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640A2B5D"/>
    <w:multiLevelType w:val="hybridMultilevel"/>
    <w:tmpl w:val="21F05B30"/>
    <w:lvl w:ilvl="0" w:tplc="04020001">
      <w:start w:val="1"/>
      <w:numFmt w:val="bullet"/>
      <w:lvlText w:val=""/>
      <w:lvlJc w:val="left"/>
      <w:pPr>
        <w:ind w:left="1211" w:hanging="360"/>
      </w:pPr>
      <w:rPr>
        <w:rFonts w:ascii="Symbol" w:hAnsi="Symbol"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9" w15:restartNumberingAfterBreak="0">
    <w:nsid w:val="642F2A53"/>
    <w:multiLevelType w:val="hybridMultilevel"/>
    <w:tmpl w:val="EA8C7FF6"/>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0" w15:restartNumberingAfterBreak="0">
    <w:nsid w:val="676C5DDF"/>
    <w:multiLevelType w:val="hybridMultilevel"/>
    <w:tmpl w:val="D79AE8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3AF49C3"/>
    <w:multiLevelType w:val="hybridMultilevel"/>
    <w:tmpl w:val="F0DCE63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num w:numId="1">
    <w:abstractNumId w:val="5"/>
  </w:num>
  <w:num w:numId="2">
    <w:abstractNumId w:val="10"/>
  </w:num>
  <w:num w:numId="3">
    <w:abstractNumId w:val="11"/>
  </w:num>
  <w:num w:numId="4">
    <w:abstractNumId w:val="4"/>
  </w:num>
  <w:num w:numId="5">
    <w:abstractNumId w:val="6"/>
  </w:num>
  <w:num w:numId="6">
    <w:abstractNumId w:val="0"/>
  </w:num>
  <w:num w:numId="7">
    <w:abstractNumId w:val="7"/>
  </w:num>
  <w:num w:numId="8">
    <w:abstractNumId w:val="1"/>
  </w:num>
  <w:num w:numId="9">
    <w:abstractNumId w:val="8"/>
  </w:num>
  <w:num w:numId="10">
    <w:abstractNumId w:val="9"/>
  </w:num>
  <w:num w:numId="11">
    <w:abstractNumId w:val="3"/>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5C6"/>
    <w:rsid w:val="00020D7D"/>
    <w:rsid w:val="00021050"/>
    <w:rsid w:val="0004067E"/>
    <w:rsid w:val="000425A8"/>
    <w:rsid w:val="00063DD3"/>
    <w:rsid w:val="00064B3B"/>
    <w:rsid w:val="00065FD1"/>
    <w:rsid w:val="0006677A"/>
    <w:rsid w:val="00073F8B"/>
    <w:rsid w:val="00081FE1"/>
    <w:rsid w:val="0008289F"/>
    <w:rsid w:val="00086E3E"/>
    <w:rsid w:val="000A0893"/>
    <w:rsid w:val="000A7137"/>
    <w:rsid w:val="000B05E1"/>
    <w:rsid w:val="000B075D"/>
    <w:rsid w:val="000B0FDF"/>
    <w:rsid w:val="000C343A"/>
    <w:rsid w:val="000C39ED"/>
    <w:rsid w:val="000C7272"/>
    <w:rsid w:val="000C7B96"/>
    <w:rsid w:val="000D5887"/>
    <w:rsid w:val="000E24ED"/>
    <w:rsid w:val="000E51D1"/>
    <w:rsid w:val="000F6573"/>
    <w:rsid w:val="001014E8"/>
    <w:rsid w:val="0010185C"/>
    <w:rsid w:val="00106D62"/>
    <w:rsid w:val="0011023D"/>
    <w:rsid w:val="00112822"/>
    <w:rsid w:val="001147F5"/>
    <w:rsid w:val="00116CF4"/>
    <w:rsid w:val="0012402B"/>
    <w:rsid w:val="0013070E"/>
    <w:rsid w:val="00130AA9"/>
    <w:rsid w:val="00133EB5"/>
    <w:rsid w:val="00150907"/>
    <w:rsid w:val="00165E2E"/>
    <w:rsid w:val="001706EB"/>
    <w:rsid w:val="00170888"/>
    <w:rsid w:val="00174BE6"/>
    <w:rsid w:val="00184A52"/>
    <w:rsid w:val="00185784"/>
    <w:rsid w:val="00185B2C"/>
    <w:rsid w:val="00185E68"/>
    <w:rsid w:val="00193F7E"/>
    <w:rsid w:val="00196371"/>
    <w:rsid w:val="001A602B"/>
    <w:rsid w:val="001B1D18"/>
    <w:rsid w:val="001B203B"/>
    <w:rsid w:val="001B2ABE"/>
    <w:rsid w:val="001B7CA3"/>
    <w:rsid w:val="001C0203"/>
    <w:rsid w:val="001C1882"/>
    <w:rsid w:val="001C6032"/>
    <w:rsid w:val="001C6F99"/>
    <w:rsid w:val="001D19C6"/>
    <w:rsid w:val="001D22F1"/>
    <w:rsid w:val="001E6431"/>
    <w:rsid w:val="001E6B98"/>
    <w:rsid w:val="001E74B4"/>
    <w:rsid w:val="001E7AEA"/>
    <w:rsid w:val="001F16D8"/>
    <w:rsid w:val="001F657C"/>
    <w:rsid w:val="00204623"/>
    <w:rsid w:val="00204C19"/>
    <w:rsid w:val="00205441"/>
    <w:rsid w:val="002074C4"/>
    <w:rsid w:val="00215627"/>
    <w:rsid w:val="0022005C"/>
    <w:rsid w:val="00221208"/>
    <w:rsid w:val="0022400F"/>
    <w:rsid w:val="00232CCA"/>
    <w:rsid w:val="002341DA"/>
    <w:rsid w:val="002343A3"/>
    <w:rsid w:val="002364CE"/>
    <w:rsid w:val="00237F83"/>
    <w:rsid w:val="00247240"/>
    <w:rsid w:val="002530C6"/>
    <w:rsid w:val="00262080"/>
    <w:rsid w:val="00263AE3"/>
    <w:rsid w:val="00264F3D"/>
    <w:rsid w:val="00266703"/>
    <w:rsid w:val="002869AD"/>
    <w:rsid w:val="00286A66"/>
    <w:rsid w:val="0028739D"/>
    <w:rsid w:val="00287C3A"/>
    <w:rsid w:val="00291A57"/>
    <w:rsid w:val="002A3518"/>
    <w:rsid w:val="002A60E6"/>
    <w:rsid w:val="002C0B64"/>
    <w:rsid w:val="002C1DD7"/>
    <w:rsid w:val="002C4A82"/>
    <w:rsid w:val="002D0EBE"/>
    <w:rsid w:val="002E1174"/>
    <w:rsid w:val="002E4193"/>
    <w:rsid w:val="002E6015"/>
    <w:rsid w:val="003006D7"/>
    <w:rsid w:val="003128DF"/>
    <w:rsid w:val="00323307"/>
    <w:rsid w:val="00324F89"/>
    <w:rsid w:val="00325EEB"/>
    <w:rsid w:val="003302D2"/>
    <w:rsid w:val="00330468"/>
    <w:rsid w:val="00330C17"/>
    <w:rsid w:val="00337B46"/>
    <w:rsid w:val="00343BE6"/>
    <w:rsid w:val="003473EA"/>
    <w:rsid w:val="003515B0"/>
    <w:rsid w:val="00353381"/>
    <w:rsid w:val="00356156"/>
    <w:rsid w:val="003670AF"/>
    <w:rsid w:val="003700F9"/>
    <w:rsid w:val="00375368"/>
    <w:rsid w:val="00384994"/>
    <w:rsid w:val="00384BCB"/>
    <w:rsid w:val="00391E53"/>
    <w:rsid w:val="003968DE"/>
    <w:rsid w:val="003A4923"/>
    <w:rsid w:val="003A5FF1"/>
    <w:rsid w:val="003B273C"/>
    <w:rsid w:val="003C38D6"/>
    <w:rsid w:val="003C429B"/>
    <w:rsid w:val="003C4D0A"/>
    <w:rsid w:val="003D0DE7"/>
    <w:rsid w:val="003D45C6"/>
    <w:rsid w:val="003D4E11"/>
    <w:rsid w:val="003D5C79"/>
    <w:rsid w:val="003D6F88"/>
    <w:rsid w:val="003D7CA8"/>
    <w:rsid w:val="003E6312"/>
    <w:rsid w:val="003E7014"/>
    <w:rsid w:val="003F0F7B"/>
    <w:rsid w:val="003F160A"/>
    <w:rsid w:val="003F1B73"/>
    <w:rsid w:val="003F6A04"/>
    <w:rsid w:val="0040117F"/>
    <w:rsid w:val="00404594"/>
    <w:rsid w:val="004070D7"/>
    <w:rsid w:val="00415361"/>
    <w:rsid w:val="004203EE"/>
    <w:rsid w:val="00426BF3"/>
    <w:rsid w:val="0043001F"/>
    <w:rsid w:val="004305E7"/>
    <w:rsid w:val="0043345A"/>
    <w:rsid w:val="004374FF"/>
    <w:rsid w:val="004378E7"/>
    <w:rsid w:val="004413BE"/>
    <w:rsid w:val="00445257"/>
    <w:rsid w:val="00451282"/>
    <w:rsid w:val="00456FEE"/>
    <w:rsid w:val="0045785E"/>
    <w:rsid w:val="004624A0"/>
    <w:rsid w:val="00471CFF"/>
    <w:rsid w:val="00472734"/>
    <w:rsid w:val="004768E9"/>
    <w:rsid w:val="00476ADA"/>
    <w:rsid w:val="00491786"/>
    <w:rsid w:val="00491A93"/>
    <w:rsid w:val="00493E9B"/>
    <w:rsid w:val="004A65CE"/>
    <w:rsid w:val="004A6C85"/>
    <w:rsid w:val="004B20C5"/>
    <w:rsid w:val="004B33A0"/>
    <w:rsid w:val="004B4630"/>
    <w:rsid w:val="004B73F5"/>
    <w:rsid w:val="004C1F5F"/>
    <w:rsid w:val="004C5850"/>
    <w:rsid w:val="004C6767"/>
    <w:rsid w:val="004D24A1"/>
    <w:rsid w:val="004E0522"/>
    <w:rsid w:val="004F7044"/>
    <w:rsid w:val="005033A7"/>
    <w:rsid w:val="00504C0C"/>
    <w:rsid w:val="005065F1"/>
    <w:rsid w:val="00506900"/>
    <w:rsid w:val="0051274A"/>
    <w:rsid w:val="00512B58"/>
    <w:rsid w:val="005208F7"/>
    <w:rsid w:val="005215AB"/>
    <w:rsid w:val="00527752"/>
    <w:rsid w:val="005362BF"/>
    <w:rsid w:val="005374AD"/>
    <w:rsid w:val="00551304"/>
    <w:rsid w:val="0055439F"/>
    <w:rsid w:val="00562646"/>
    <w:rsid w:val="00562D8D"/>
    <w:rsid w:val="00563E71"/>
    <w:rsid w:val="005673B5"/>
    <w:rsid w:val="005802B3"/>
    <w:rsid w:val="005835E8"/>
    <w:rsid w:val="0058663A"/>
    <w:rsid w:val="00587A58"/>
    <w:rsid w:val="0059063A"/>
    <w:rsid w:val="005916DE"/>
    <w:rsid w:val="00594F9D"/>
    <w:rsid w:val="005A1659"/>
    <w:rsid w:val="005A28C4"/>
    <w:rsid w:val="005A5738"/>
    <w:rsid w:val="005A6EF4"/>
    <w:rsid w:val="005A7654"/>
    <w:rsid w:val="005B55A3"/>
    <w:rsid w:val="005C730A"/>
    <w:rsid w:val="005D7FE8"/>
    <w:rsid w:val="005F424C"/>
    <w:rsid w:val="005F5240"/>
    <w:rsid w:val="00604C86"/>
    <w:rsid w:val="0060601E"/>
    <w:rsid w:val="00611F4D"/>
    <w:rsid w:val="006126CD"/>
    <w:rsid w:val="00616655"/>
    <w:rsid w:val="0061774F"/>
    <w:rsid w:val="00617C01"/>
    <w:rsid w:val="00624D41"/>
    <w:rsid w:val="006250D5"/>
    <w:rsid w:val="00626D48"/>
    <w:rsid w:val="0063397C"/>
    <w:rsid w:val="0064193A"/>
    <w:rsid w:val="00644A15"/>
    <w:rsid w:val="0064569C"/>
    <w:rsid w:val="006525C0"/>
    <w:rsid w:val="006555EC"/>
    <w:rsid w:val="006605D3"/>
    <w:rsid w:val="00663D55"/>
    <w:rsid w:val="00664472"/>
    <w:rsid w:val="006655D3"/>
    <w:rsid w:val="00671DC0"/>
    <w:rsid w:val="00681345"/>
    <w:rsid w:val="006869E7"/>
    <w:rsid w:val="006A33CC"/>
    <w:rsid w:val="006A5FF6"/>
    <w:rsid w:val="006B06BD"/>
    <w:rsid w:val="006B24E5"/>
    <w:rsid w:val="006B29D5"/>
    <w:rsid w:val="006B509A"/>
    <w:rsid w:val="006D3C6D"/>
    <w:rsid w:val="006D51B4"/>
    <w:rsid w:val="006E2776"/>
    <w:rsid w:val="006F2C5D"/>
    <w:rsid w:val="00711227"/>
    <w:rsid w:val="007126FE"/>
    <w:rsid w:val="00713124"/>
    <w:rsid w:val="00714CB7"/>
    <w:rsid w:val="0071543F"/>
    <w:rsid w:val="007156AD"/>
    <w:rsid w:val="007162BC"/>
    <w:rsid w:val="00733C43"/>
    <w:rsid w:val="00737A70"/>
    <w:rsid w:val="00746709"/>
    <w:rsid w:val="00755012"/>
    <w:rsid w:val="0076385C"/>
    <w:rsid w:val="007709EB"/>
    <w:rsid w:val="00777D67"/>
    <w:rsid w:val="00783479"/>
    <w:rsid w:val="00785D54"/>
    <w:rsid w:val="0078640B"/>
    <w:rsid w:val="00790678"/>
    <w:rsid w:val="00794D23"/>
    <w:rsid w:val="007970B5"/>
    <w:rsid w:val="007A0512"/>
    <w:rsid w:val="007A33C3"/>
    <w:rsid w:val="007A55FF"/>
    <w:rsid w:val="007B0B6D"/>
    <w:rsid w:val="007B0D24"/>
    <w:rsid w:val="007C26D2"/>
    <w:rsid w:val="007C3C4A"/>
    <w:rsid w:val="007F51C5"/>
    <w:rsid w:val="0080062F"/>
    <w:rsid w:val="0080085F"/>
    <w:rsid w:val="008119F3"/>
    <w:rsid w:val="00813786"/>
    <w:rsid w:val="0081463D"/>
    <w:rsid w:val="008151BB"/>
    <w:rsid w:val="00816BCB"/>
    <w:rsid w:val="00823E63"/>
    <w:rsid w:val="00830FB7"/>
    <w:rsid w:val="0083131C"/>
    <w:rsid w:val="00831636"/>
    <w:rsid w:val="00854E88"/>
    <w:rsid w:val="00861F82"/>
    <w:rsid w:val="00864102"/>
    <w:rsid w:val="00867ADA"/>
    <w:rsid w:val="00867DD0"/>
    <w:rsid w:val="00877324"/>
    <w:rsid w:val="008830C7"/>
    <w:rsid w:val="00886480"/>
    <w:rsid w:val="008A17A1"/>
    <w:rsid w:val="008A5B4C"/>
    <w:rsid w:val="008B202D"/>
    <w:rsid w:val="008B5898"/>
    <w:rsid w:val="008B6590"/>
    <w:rsid w:val="008C0688"/>
    <w:rsid w:val="008C1273"/>
    <w:rsid w:val="008C587B"/>
    <w:rsid w:val="008D0230"/>
    <w:rsid w:val="008F1D4C"/>
    <w:rsid w:val="008F33DE"/>
    <w:rsid w:val="00900273"/>
    <w:rsid w:val="00903071"/>
    <w:rsid w:val="00907E56"/>
    <w:rsid w:val="00910AFB"/>
    <w:rsid w:val="00915AB0"/>
    <w:rsid w:val="00935FCC"/>
    <w:rsid w:val="0094348C"/>
    <w:rsid w:val="00945AE4"/>
    <w:rsid w:val="009528E2"/>
    <w:rsid w:val="00953D48"/>
    <w:rsid w:val="009546EA"/>
    <w:rsid w:val="0096053E"/>
    <w:rsid w:val="0096686D"/>
    <w:rsid w:val="009802BD"/>
    <w:rsid w:val="00987CBB"/>
    <w:rsid w:val="00990BDB"/>
    <w:rsid w:val="0099181D"/>
    <w:rsid w:val="0099382A"/>
    <w:rsid w:val="009941FF"/>
    <w:rsid w:val="00994DE2"/>
    <w:rsid w:val="009975C3"/>
    <w:rsid w:val="009A0B7A"/>
    <w:rsid w:val="009A4C51"/>
    <w:rsid w:val="009A5160"/>
    <w:rsid w:val="009B48DF"/>
    <w:rsid w:val="009B5622"/>
    <w:rsid w:val="009C4A81"/>
    <w:rsid w:val="009C5DEF"/>
    <w:rsid w:val="009D058B"/>
    <w:rsid w:val="009D14B9"/>
    <w:rsid w:val="009D4335"/>
    <w:rsid w:val="009D5FE3"/>
    <w:rsid w:val="009D751D"/>
    <w:rsid w:val="009E4F61"/>
    <w:rsid w:val="009E6BFE"/>
    <w:rsid w:val="009F3B7C"/>
    <w:rsid w:val="00A00EB6"/>
    <w:rsid w:val="00A014FB"/>
    <w:rsid w:val="00A01EC6"/>
    <w:rsid w:val="00A11E93"/>
    <w:rsid w:val="00A16018"/>
    <w:rsid w:val="00A167CC"/>
    <w:rsid w:val="00A17F5C"/>
    <w:rsid w:val="00A21A6C"/>
    <w:rsid w:val="00A236CD"/>
    <w:rsid w:val="00A24EB2"/>
    <w:rsid w:val="00A27622"/>
    <w:rsid w:val="00A3144F"/>
    <w:rsid w:val="00A3517D"/>
    <w:rsid w:val="00A412C9"/>
    <w:rsid w:val="00A415F0"/>
    <w:rsid w:val="00A46B3C"/>
    <w:rsid w:val="00A46D50"/>
    <w:rsid w:val="00A47F7A"/>
    <w:rsid w:val="00A525C2"/>
    <w:rsid w:val="00A54F65"/>
    <w:rsid w:val="00A55BC7"/>
    <w:rsid w:val="00A63B91"/>
    <w:rsid w:val="00A81BAB"/>
    <w:rsid w:val="00A91433"/>
    <w:rsid w:val="00A94B06"/>
    <w:rsid w:val="00A957DF"/>
    <w:rsid w:val="00A97855"/>
    <w:rsid w:val="00AA3FE7"/>
    <w:rsid w:val="00AA5FCF"/>
    <w:rsid w:val="00AA7E72"/>
    <w:rsid w:val="00AB0205"/>
    <w:rsid w:val="00AB0728"/>
    <w:rsid w:val="00AB5A7C"/>
    <w:rsid w:val="00AC7557"/>
    <w:rsid w:val="00AD0C47"/>
    <w:rsid w:val="00AD251E"/>
    <w:rsid w:val="00AD2F5B"/>
    <w:rsid w:val="00AD6DC0"/>
    <w:rsid w:val="00AE683E"/>
    <w:rsid w:val="00AE6E26"/>
    <w:rsid w:val="00B0007C"/>
    <w:rsid w:val="00B13C76"/>
    <w:rsid w:val="00B24499"/>
    <w:rsid w:val="00B2470D"/>
    <w:rsid w:val="00B445B1"/>
    <w:rsid w:val="00B4776E"/>
    <w:rsid w:val="00B47CF3"/>
    <w:rsid w:val="00B505F7"/>
    <w:rsid w:val="00B5224E"/>
    <w:rsid w:val="00B52B21"/>
    <w:rsid w:val="00B53916"/>
    <w:rsid w:val="00B631E5"/>
    <w:rsid w:val="00B66D91"/>
    <w:rsid w:val="00B809C3"/>
    <w:rsid w:val="00B80AC8"/>
    <w:rsid w:val="00B86C40"/>
    <w:rsid w:val="00B9009B"/>
    <w:rsid w:val="00B90DA1"/>
    <w:rsid w:val="00B91F2B"/>
    <w:rsid w:val="00B94140"/>
    <w:rsid w:val="00BB0197"/>
    <w:rsid w:val="00BC1F9B"/>
    <w:rsid w:val="00BC3521"/>
    <w:rsid w:val="00BD5F00"/>
    <w:rsid w:val="00BD7F07"/>
    <w:rsid w:val="00BF0CFB"/>
    <w:rsid w:val="00BF2122"/>
    <w:rsid w:val="00BF3724"/>
    <w:rsid w:val="00C02DE5"/>
    <w:rsid w:val="00C034AA"/>
    <w:rsid w:val="00C07209"/>
    <w:rsid w:val="00C07AE2"/>
    <w:rsid w:val="00C12E34"/>
    <w:rsid w:val="00C225E8"/>
    <w:rsid w:val="00C323C8"/>
    <w:rsid w:val="00C44DB3"/>
    <w:rsid w:val="00C513DA"/>
    <w:rsid w:val="00C5289F"/>
    <w:rsid w:val="00C52C50"/>
    <w:rsid w:val="00C5362B"/>
    <w:rsid w:val="00C55B36"/>
    <w:rsid w:val="00C62C8A"/>
    <w:rsid w:val="00C62EFF"/>
    <w:rsid w:val="00C632D4"/>
    <w:rsid w:val="00C660E4"/>
    <w:rsid w:val="00C7100E"/>
    <w:rsid w:val="00C82F1E"/>
    <w:rsid w:val="00C85317"/>
    <w:rsid w:val="00C908C5"/>
    <w:rsid w:val="00CA3091"/>
    <w:rsid w:val="00CB55D5"/>
    <w:rsid w:val="00CB7CCB"/>
    <w:rsid w:val="00CC0FE7"/>
    <w:rsid w:val="00CC179D"/>
    <w:rsid w:val="00CC6251"/>
    <w:rsid w:val="00CD74B5"/>
    <w:rsid w:val="00CD7854"/>
    <w:rsid w:val="00CE5EAD"/>
    <w:rsid w:val="00CE7A02"/>
    <w:rsid w:val="00CF1A13"/>
    <w:rsid w:val="00CF3CF7"/>
    <w:rsid w:val="00CF49F5"/>
    <w:rsid w:val="00D0307F"/>
    <w:rsid w:val="00D20D40"/>
    <w:rsid w:val="00D271DF"/>
    <w:rsid w:val="00D30D00"/>
    <w:rsid w:val="00D3242E"/>
    <w:rsid w:val="00D34D67"/>
    <w:rsid w:val="00D429E3"/>
    <w:rsid w:val="00D43478"/>
    <w:rsid w:val="00D5185E"/>
    <w:rsid w:val="00D51EB6"/>
    <w:rsid w:val="00D52A71"/>
    <w:rsid w:val="00D56F97"/>
    <w:rsid w:val="00D84CD3"/>
    <w:rsid w:val="00D90509"/>
    <w:rsid w:val="00D921C2"/>
    <w:rsid w:val="00D9343A"/>
    <w:rsid w:val="00D955AB"/>
    <w:rsid w:val="00D974B6"/>
    <w:rsid w:val="00DA0276"/>
    <w:rsid w:val="00DA5853"/>
    <w:rsid w:val="00DA5B3B"/>
    <w:rsid w:val="00DA5C5A"/>
    <w:rsid w:val="00DB6211"/>
    <w:rsid w:val="00DB7089"/>
    <w:rsid w:val="00DB7F5D"/>
    <w:rsid w:val="00DC2250"/>
    <w:rsid w:val="00DC7FF3"/>
    <w:rsid w:val="00DD1D27"/>
    <w:rsid w:val="00DD77F9"/>
    <w:rsid w:val="00DF5898"/>
    <w:rsid w:val="00E052F9"/>
    <w:rsid w:val="00E05D4E"/>
    <w:rsid w:val="00E110B0"/>
    <w:rsid w:val="00E11E87"/>
    <w:rsid w:val="00E20EB8"/>
    <w:rsid w:val="00E210D7"/>
    <w:rsid w:val="00E21A73"/>
    <w:rsid w:val="00E22699"/>
    <w:rsid w:val="00E256D4"/>
    <w:rsid w:val="00E3346C"/>
    <w:rsid w:val="00E35318"/>
    <w:rsid w:val="00E35431"/>
    <w:rsid w:val="00E418A1"/>
    <w:rsid w:val="00E439A0"/>
    <w:rsid w:val="00E453CC"/>
    <w:rsid w:val="00E5066F"/>
    <w:rsid w:val="00E54337"/>
    <w:rsid w:val="00E61517"/>
    <w:rsid w:val="00E63A70"/>
    <w:rsid w:val="00E70F91"/>
    <w:rsid w:val="00E77246"/>
    <w:rsid w:val="00E83EA2"/>
    <w:rsid w:val="00E85E44"/>
    <w:rsid w:val="00E87B1D"/>
    <w:rsid w:val="00E918C9"/>
    <w:rsid w:val="00E935A3"/>
    <w:rsid w:val="00EA1672"/>
    <w:rsid w:val="00EA3327"/>
    <w:rsid w:val="00EA468D"/>
    <w:rsid w:val="00EB2CBA"/>
    <w:rsid w:val="00EB5703"/>
    <w:rsid w:val="00EB646A"/>
    <w:rsid w:val="00EC00FB"/>
    <w:rsid w:val="00EC1F9D"/>
    <w:rsid w:val="00EC61B6"/>
    <w:rsid w:val="00ED2DD3"/>
    <w:rsid w:val="00ED39CE"/>
    <w:rsid w:val="00ED439E"/>
    <w:rsid w:val="00EE4E8C"/>
    <w:rsid w:val="00EE7CFD"/>
    <w:rsid w:val="00EF5050"/>
    <w:rsid w:val="00EF603F"/>
    <w:rsid w:val="00F00606"/>
    <w:rsid w:val="00F06A42"/>
    <w:rsid w:val="00F12F8B"/>
    <w:rsid w:val="00F34FAD"/>
    <w:rsid w:val="00F362E6"/>
    <w:rsid w:val="00F55606"/>
    <w:rsid w:val="00F55803"/>
    <w:rsid w:val="00F62E4E"/>
    <w:rsid w:val="00F70270"/>
    <w:rsid w:val="00F7199A"/>
    <w:rsid w:val="00F719E3"/>
    <w:rsid w:val="00F71E22"/>
    <w:rsid w:val="00F73161"/>
    <w:rsid w:val="00F76CCB"/>
    <w:rsid w:val="00F8082D"/>
    <w:rsid w:val="00F83E52"/>
    <w:rsid w:val="00F847C5"/>
    <w:rsid w:val="00F85B14"/>
    <w:rsid w:val="00F92C2D"/>
    <w:rsid w:val="00F96D7E"/>
    <w:rsid w:val="00FA15E8"/>
    <w:rsid w:val="00FA1CC0"/>
    <w:rsid w:val="00FA33B7"/>
    <w:rsid w:val="00FA6F56"/>
    <w:rsid w:val="00FB142E"/>
    <w:rsid w:val="00FB3EA9"/>
    <w:rsid w:val="00FB43F3"/>
    <w:rsid w:val="00FD5EC4"/>
    <w:rsid w:val="00FD758D"/>
    <w:rsid w:val="00FE09A0"/>
    <w:rsid w:val="00FE3E4B"/>
    <w:rsid w:val="00FE7ADF"/>
    <w:rsid w:val="00FF073C"/>
    <w:rsid w:val="00FF4C9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EBF5C"/>
  <w15:chartTrackingRefBased/>
  <w15:docId w15:val="{4FFAF09E-BEAA-4F09-A40F-861BA0C1B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B73"/>
    <w:pPr>
      <w:spacing w:after="200" w:line="276" w:lineRule="auto"/>
    </w:pPr>
    <w:rPr>
      <w:sz w:val="22"/>
      <w:szCs w:val="22"/>
      <w:lang w:eastAsia="en-US"/>
    </w:rPr>
  </w:style>
  <w:style w:type="paragraph" w:styleId="Heading1">
    <w:name w:val="heading 1"/>
    <w:basedOn w:val="Normal"/>
    <w:next w:val="Normal"/>
    <w:link w:val="Heading1Char"/>
    <w:uiPriority w:val="9"/>
    <w:qFormat/>
    <w:rsid w:val="003D45C6"/>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qFormat/>
    <w:rsid w:val="003D45C6"/>
    <w:pPr>
      <w:keepNext/>
      <w:overflowPunct w:val="0"/>
      <w:autoSpaceDE w:val="0"/>
      <w:autoSpaceDN w:val="0"/>
      <w:adjustRightInd w:val="0"/>
      <w:spacing w:before="240" w:after="60" w:line="360" w:lineRule="auto"/>
      <w:ind w:firstLine="1418"/>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45C6"/>
    <w:rPr>
      <w:rFonts w:ascii="Cambria" w:eastAsia="Times New Roman" w:hAnsi="Cambria" w:cs="Times New Roman"/>
      <w:b/>
      <w:bCs/>
      <w:color w:val="365F91"/>
      <w:sz w:val="28"/>
      <w:szCs w:val="28"/>
    </w:rPr>
  </w:style>
  <w:style w:type="character" w:customStyle="1" w:styleId="Heading3Char">
    <w:name w:val="Heading 3 Char"/>
    <w:link w:val="Heading3"/>
    <w:rsid w:val="003D45C6"/>
    <w:rPr>
      <w:rFonts w:ascii="Arial" w:eastAsia="Times New Roman" w:hAnsi="Arial" w:cs="Arial"/>
      <w:b/>
      <w:bCs/>
      <w:sz w:val="26"/>
      <w:szCs w:val="26"/>
      <w:lang w:val="en-US"/>
    </w:rPr>
  </w:style>
  <w:style w:type="numbering" w:customStyle="1" w:styleId="1">
    <w:name w:val="Без списък1"/>
    <w:next w:val="NoList"/>
    <w:uiPriority w:val="99"/>
    <w:semiHidden/>
    <w:unhideWhenUsed/>
    <w:rsid w:val="003D45C6"/>
  </w:style>
  <w:style w:type="numbering" w:customStyle="1" w:styleId="11">
    <w:name w:val="Без списък11"/>
    <w:next w:val="NoList"/>
    <w:uiPriority w:val="99"/>
    <w:semiHidden/>
    <w:rsid w:val="003D45C6"/>
  </w:style>
  <w:style w:type="paragraph" w:styleId="EnvelopeReturn">
    <w:name w:val="envelope return"/>
    <w:basedOn w:val="Normal"/>
    <w:rsid w:val="003D45C6"/>
    <w:pPr>
      <w:overflowPunct w:val="0"/>
      <w:autoSpaceDE w:val="0"/>
      <w:autoSpaceDN w:val="0"/>
      <w:adjustRightInd w:val="0"/>
      <w:spacing w:after="0" w:line="360" w:lineRule="auto"/>
      <w:ind w:firstLine="1418"/>
      <w:textAlignment w:val="baseline"/>
    </w:pPr>
    <w:rPr>
      <w:rFonts w:ascii="Arial" w:eastAsia="Times New Roman" w:hAnsi="Arial" w:cs="Arial"/>
      <w:sz w:val="20"/>
      <w:szCs w:val="20"/>
      <w:lang w:val="en-US"/>
    </w:rPr>
  </w:style>
  <w:style w:type="character" w:styleId="Hyperlink">
    <w:name w:val="Hyperlink"/>
    <w:rsid w:val="003D45C6"/>
    <w:rPr>
      <w:color w:val="0000FF"/>
      <w:u w:val="single"/>
    </w:rPr>
  </w:style>
  <w:style w:type="table" w:styleId="TableGrid">
    <w:name w:val="Table Grid"/>
    <w:basedOn w:val="TableNormal"/>
    <w:rsid w:val="003D45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D45C6"/>
    <w:pPr>
      <w:overflowPunct w:val="0"/>
      <w:autoSpaceDE w:val="0"/>
      <w:autoSpaceDN w:val="0"/>
      <w:adjustRightInd w:val="0"/>
      <w:spacing w:after="120" w:line="360" w:lineRule="auto"/>
      <w:ind w:firstLine="1418"/>
    </w:pPr>
    <w:rPr>
      <w:rFonts w:ascii="Hebar" w:eastAsia="Times New Roman" w:hAnsi="Hebar"/>
      <w:sz w:val="28"/>
      <w:szCs w:val="20"/>
      <w:lang w:val="en-US"/>
    </w:rPr>
  </w:style>
  <w:style w:type="character" w:customStyle="1" w:styleId="BodyTextChar">
    <w:name w:val="Body Text Char"/>
    <w:link w:val="BodyText"/>
    <w:rsid w:val="003D45C6"/>
    <w:rPr>
      <w:rFonts w:ascii="Hebar" w:eastAsia="Times New Roman" w:hAnsi="Hebar" w:cs="Times New Roman"/>
      <w:sz w:val="28"/>
      <w:szCs w:val="20"/>
      <w:lang w:val="en-US"/>
    </w:rPr>
  </w:style>
  <w:style w:type="paragraph" w:styleId="BodyTextFirstIndent">
    <w:name w:val="Body Text First Indent"/>
    <w:basedOn w:val="BodyText"/>
    <w:link w:val="BodyTextFirstIndentChar"/>
    <w:rsid w:val="003D45C6"/>
    <w:pPr>
      <w:ind w:firstLine="210"/>
      <w:textAlignment w:val="baseline"/>
    </w:pPr>
  </w:style>
  <w:style w:type="character" w:customStyle="1" w:styleId="BodyTextFirstIndentChar">
    <w:name w:val="Body Text First Indent Char"/>
    <w:link w:val="BodyTextFirstIndent"/>
    <w:rsid w:val="003D45C6"/>
    <w:rPr>
      <w:rFonts w:ascii="Hebar" w:eastAsia="Times New Roman" w:hAnsi="Hebar" w:cs="Times New Roman"/>
      <w:sz w:val="28"/>
      <w:szCs w:val="20"/>
      <w:lang w:val="en-US"/>
    </w:rPr>
  </w:style>
  <w:style w:type="paragraph" w:styleId="BodyTextIndent">
    <w:name w:val="Body Text Indent"/>
    <w:basedOn w:val="Normal"/>
    <w:link w:val="BodyTextIndentChar"/>
    <w:rsid w:val="003D45C6"/>
    <w:pPr>
      <w:overflowPunct w:val="0"/>
      <w:autoSpaceDE w:val="0"/>
      <w:autoSpaceDN w:val="0"/>
      <w:adjustRightInd w:val="0"/>
      <w:spacing w:after="120" w:line="360" w:lineRule="auto"/>
      <w:ind w:left="283" w:firstLine="1418"/>
      <w:textAlignment w:val="baseline"/>
    </w:pPr>
    <w:rPr>
      <w:rFonts w:ascii="Hebar" w:eastAsia="Times New Roman" w:hAnsi="Hebar"/>
      <w:sz w:val="28"/>
      <w:szCs w:val="20"/>
      <w:lang w:val="en-US"/>
    </w:rPr>
  </w:style>
  <w:style w:type="character" w:customStyle="1" w:styleId="BodyTextIndentChar">
    <w:name w:val="Body Text Indent Char"/>
    <w:link w:val="BodyTextIndent"/>
    <w:rsid w:val="003D45C6"/>
    <w:rPr>
      <w:rFonts w:ascii="Hebar" w:eastAsia="Times New Roman" w:hAnsi="Hebar" w:cs="Times New Roman"/>
      <w:sz w:val="28"/>
      <w:szCs w:val="20"/>
      <w:lang w:val="en-US"/>
    </w:rPr>
  </w:style>
  <w:style w:type="paragraph" w:styleId="BodyTextFirstIndent2">
    <w:name w:val="Body Text First Indent 2"/>
    <w:basedOn w:val="BodyTextIndent"/>
    <w:link w:val="BodyTextFirstIndent2Char"/>
    <w:rsid w:val="003D45C6"/>
    <w:pPr>
      <w:ind w:firstLine="210"/>
    </w:pPr>
  </w:style>
  <w:style w:type="character" w:customStyle="1" w:styleId="BodyTextFirstIndent2Char">
    <w:name w:val="Body Text First Indent 2 Char"/>
    <w:link w:val="BodyTextFirstIndent2"/>
    <w:rsid w:val="003D45C6"/>
    <w:rPr>
      <w:rFonts w:ascii="Hebar" w:eastAsia="Times New Roman" w:hAnsi="Hebar" w:cs="Times New Roman"/>
      <w:sz w:val="28"/>
      <w:szCs w:val="20"/>
      <w:lang w:val="en-US"/>
    </w:rPr>
  </w:style>
  <w:style w:type="paragraph" w:styleId="Header">
    <w:name w:val="header"/>
    <w:basedOn w:val="Normal"/>
    <w:link w:val="HeaderChar"/>
    <w:uiPriority w:val="99"/>
    <w:rsid w:val="003D45C6"/>
    <w:pPr>
      <w:tabs>
        <w:tab w:val="center" w:pos="4536"/>
        <w:tab w:val="right" w:pos="9072"/>
      </w:tabs>
      <w:overflowPunct w:val="0"/>
      <w:autoSpaceDE w:val="0"/>
      <w:autoSpaceDN w:val="0"/>
      <w:adjustRightInd w:val="0"/>
      <w:spacing w:after="0" w:line="360" w:lineRule="auto"/>
      <w:ind w:firstLine="1418"/>
      <w:textAlignment w:val="baseline"/>
    </w:pPr>
    <w:rPr>
      <w:rFonts w:ascii="Hebar" w:eastAsia="Times New Roman" w:hAnsi="Hebar"/>
      <w:sz w:val="28"/>
      <w:szCs w:val="20"/>
      <w:lang w:val="en-US"/>
    </w:rPr>
  </w:style>
  <w:style w:type="character" w:customStyle="1" w:styleId="HeaderChar">
    <w:name w:val="Header Char"/>
    <w:link w:val="Header"/>
    <w:uiPriority w:val="99"/>
    <w:rsid w:val="003D45C6"/>
    <w:rPr>
      <w:rFonts w:ascii="Hebar" w:eastAsia="Times New Roman" w:hAnsi="Hebar" w:cs="Times New Roman"/>
      <w:sz w:val="28"/>
      <w:szCs w:val="20"/>
      <w:lang w:val="en-US"/>
    </w:rPr>
  </w:style>
  <w:style w:type="character" w:styleId="PageNumber">
    <w:name w:val="page number"/>
    <w:basedOn w:val="DefaultParagraphFont"/>
    <w:rsid w:val="003D45C6"/>
  </w:style>
  <w:style w:type="paragraph" w:styleId="Footer">
    <w:name w:val="footer"/>
    <w:basedOn w:val="Normal"/>
    <w:link w:val="FooterChar"/>
    <w:uiPriority w:val="99"/>
    <w:rsid w:val="003D45C6"/>
    <w:pPr>
      <w:tabs>
        <w:tab w:val="center" w:pos="4536"/>
        <w:tab w:val="right" w:pos="9072"/>
      </w:tabs>
      <w:overflowPunct w:val="0"/>
      <w:autoSpaceDE w:val="0"/>
      <w:autoSpaceDN w:val="0"/>
      <w:adjustRightInd w:val="0"/>
      <w:spacing w:after="0" w:line="360" w:lineRule="auto"/>
      <w:ind w:firstLine="1418"/>
      <w:textAlignment w:val="baseline"/>
    </w:pPr>
    <w:rPr>
      <w:rFonts w:ascii="Hebar" w:eastAsia="Times New Roman" w:hAnsi="Hebar"/>
      <w:sz w:val="28"/>
      <w:szCs w:val="20"/>
      <w:lang w:val="en-US"/>
    </w:rPr>
  </w:style>
  <w:style w:type="character" w:customStyle="1" w:styleId="FooterChar">
    <w:name w:val="Footer Char"/>
    <w:link w:val="Footer"/>
    <w:uiPriority w:val="99"/>
    <w:rsid w:val="003D45C6"/>
    <w:rPr>
      <w:rFonts w:ascii="Hebar" w:eastAsia="Times New Roman" w:hAnsi="Hebar" w:cs="Times New Roman"/>
      <w:sz w:val="28"/>
      <w:szCs w:val="20"/>
      <w:lang w:val="en-US"/>
    </w:rPr>
  </w:style>
  <w:style w:type="paragraph" w:styleId="BalloonText">
    <w:name w:val="Balloon Text"/>
    <w:basedOn w:val="Normal"/>
    <w:link w:val="BalloonTextChar"/>
    <w:uiPriority w:val="99"/>
    <w:semiHidden/>
    <w:rsid w:val="003D45C6"/>
    <w:pPr>
      <w:overflowPunct w:val="0"/>
      <w:autoSpaceDE w:val="0"/>
      <w:autoSpaceDN w:val="0"/>
      <w:adjustRightInd w:val="0"/>
      <w:spacing w:after="0" w:line="360" w:lineRule="auto"/>
      <w:ind w:firstLine="1418"/>
      <w:textAlignment w:val="baseline"/>
    </w:pPr>
    <w:rPr>
      <w:rFonts w:ascii="Tahoma" w:eastAsia="Times New Roman" w:hAnsi="Tahoma" w:cs="Tahoma"/>
      <w:sz w:val="16"/>
      <w:szCs w:val="16"/>
      <w:lang w:val="en-US"/>
    </w:rPr>
  </w:style>
  <w:style w:type="character" w:customStyle="1" w:styleId="BalloonTextChar">
    <w:name w:val="Balloon Text Char"/>
    <w:link w:val="BalloonText"/>
    <w:uiPriority w:val="99"/>
    <w:semiHidden/>
    <w:rsid w:val="003D45C6"/>
    <w:rPr>
      <w:rFonts w:ascii="Tahoma" w:eastAsia="Times New Roman" w:hAnsi="Tahoma" w:cs="Tahoma"/>
      <w:sz w:val="16"/>
      <w:szCs w:val="16"/>
      <w:lang w:val="en-US"/>
    </w:rPr>
  </w:style>
  <w:style w:type="paragraph" w:customStyle="1" w:styleId="NoSpacing1">
    <w:name w:val="No Spacing1"/>
    <w:rsid w:val="003D45C6"/>
    <w:rPr>
      <w:rFonts w:eastAsia="Times New Roman"/>
      <w:sz w:val="22"/>
      <w:szCs w:val="22"/>
      <w:lang w:eastAsia="en-US"/>
    </w:rPr>
  </w:style>
  <w:style w:type="character" w:customStyle="1" w:styleId="a">
    <w:name w:val="Знак Знак"/>
    <w:rsid w:val="003D45C6"/>
    <w:rPr>
      <w:rFonts w:ascii="Tahoma" w:hAnsi="Tahoma" w:cs="Tahoma"/>
      <w:sz w:val="16"/>
      <w:szCs w:val="16"/>
      <w:lang w:val="en-US" w:eastAsia="en-US"/>
    </w:rPr>
  </w:style>
  <w:style w:type="paragraph" w:styleId="Revision">
    <w:name w:val="Revision"/>
    <w:hidden/>
    <w:uiPriority w:val="99"/>
    <w:semiHidden/>
    <w:rsid w:val="003D45C6"/>
    <w:rPr>
      <w:rFonts w:ascii="Hebar" w:eastAsia="Times New Roman" w:hAnsi="Hebar"/>
      <w:sz w:val="28"/>
      <w:lang w:val="en-US" w:eastAsia="en-US"/>
    </w:rPr>
  </w:style>
  <w:style w:type="character" w:styleId="CommentReference">
    <w:name w:val="annotation reference"/>
    <w:rsid w:val="003D45C6"/>
    <w:rPr>
      <w:sz w:val="16"/>
      <w:szCs w:val="16"/>
    </w:rPr>
  </w:style>
  <w:style w:type="paragraph" w:styleId="CommentText">
    <w:name w:val="annotation text"/>
    <w:basedOn w:val="Normal"/>
    <w:link w:val="CommentTextChar"/>
    <w:rsid w:val="003D45C6"/>
    <w:pPr>
      <w:overflowPunct w:val="0"/>
      <w:autoSpaceDE w:val="0"/>
      <w:autoSpaceDN w:val="0"/>
      <w:adjustRightInd w:val="0"/>
      <w:spacing w:after="0" w:line="360" w:lineRule="auto"/>
      <w:ind w:firstLine="1418"/>
      <w:textAlignment w:val="baseline"/>
    </w:pPr>
    <w:rPr>
      <w:rFonts w:ascii="Hebar" w:eastAsia="Times New Roman" w:hAnsi="Hebar"/>
      <w:sz w:val="20"/>
      <w:szCs w:val="20"/>
      <w:lang w:val="en-US"/>
    </w:rPr>
  </w:style>
  <w:style w:type="character" w:customStyle="1" w:styleId="CommentTextChar">
    <w:name w:val="Comment Text Char"/>
    <w:link w:val="CommentText"/>
    <w:rsid w:val="003D45C6"/>
    <w:rPr>
      <w:rFonts w:ascii="Hebar" w:eastAsia="Times New Roman" w:hAnsi="Hebar" w:cs="Times New Roman"/>
      <w:sz w:val="20"/>
      <w:szCs w:val="20"/>
      <w:lang w:val="en-US"/>
    </w:rPr>
  </w:style>
  <w:style w:type="paragraph" w:styleId="CommentSubject">
    <w:name w:val="annotation subject"/>
    <w:basedOn w:val="CommentText"/>
    <w:next w:val="CommentText"/>
    <w:link w:val="CommentSubjectChar"/>
    <w:rsid w:val="003D45C6"/>
    <w:rPr>
      <w:b/>
      <w:bCs/>
    </w:rPr>
  </w:style>
  <w:style w:type="character" w:customStyle="1" w:styleId="CommentSubjectChar">
    <w:name w:val="Comment Subject Char"/>
    <w:link w:val="CommentSubject"/>
    <w:rsid w:val="003D45C6"/>
    <w:rPr>
      <w:rFonts w:ascii="Hebar" w:eastAsia="Times New Roman" w:hAnsi="Hebar" w:cs="Times New Roman"/>
      <w:b/>
      <w:bCs/>
      <w:sz w:val="20"/>
      <w:szCs w:val="20"/>
      <w:lang w:val="en-US"/>
    </w:rPr>
  </w:style>
  <w:style w:type="numbering" w:customStyle="1" w:styleId="111">
    <w:name w:val="Без списък111"/>
    <w:next w:val="NoList"/>
    <w:semiHidden/>
    <w:unhideWhenUsed/>
    <w:rsid w:val="003D45C6"/>
  </w:style>
  <w:style w:type="table" w:customStyle="1" w:styleId="10">
    <w:name w:val="Мрежа в таблица1"/>
    <w:basedOn w:val="TableNormal"/>
    <w:next w:val="TableGrid"/>
    <w:uiPriority w:val="59"/>
    <w:rsid w:val="003D45C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D45C6"/>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D45C6"/>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D45C6"/>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D45C6"/>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istParagraph">
    <w:name w:val="List Paragraph"/>
    <w:basedOn w:val="Normal"/>
    <w:uiPriority w:val="34"/>
    <w:qFormat/>
    <w:rsid w:val="003D45C6"/>
    <w:pPr>
      <w:overflowPunct w:val="0"/>
      <w:autoSpaceDE w:val="0"/>
      <w:autoSpaceDN w:val="0"/>
      <w:adjustRightInd w:val="0"/>
      <w:spacing w:after="0" w:line="360" w:lineRule="auto"/>
      <w:ind w:left="720" w:firstLine="1418"/>
      <w:contextualSpacing/>
      <w:textAlignment w:val="baseline"/>
    </w:pPr>
    <w:rPr>
      <w:rFonts w:ascii="Hebar" w:eastAsia="Times New Roman" w:hAnsi="Hebar"/>
      <w:sz w:val="28"/>
      <w:szCs w:val="20"/>
      <w:lang w:val="en-US"/>
    </w:rPr>
  </w:style>
  <w:style w:type="numbering" w:customStyle="1" w:styleId="2">
    <w:name w:val="Без списък2"/>
    <w:next w:val="NoList"/>
    <w:uiPriority w:val="99"/>
    <w:semiHidden/>
    <w:unhideWhenUsed/>
    <w:rsid w:val="003D45C6"/>
  </w:style>
  <w:style w:type="paragraph" w:styleId="FootnoteText">
    <w:name w:val="footnote text"/>
    <w:basedOn w:val="Normal"/>
    <w:link w:val="FootnoteTextChar"/>
    <w:uiPriority w:val="99"/>
    <w:unhideWhenUsed/>
    <w:rsid w:val="003D45C6"/>
    <w:pPr>
      <w:spacing w:after="0" w:line="240" w:lineRule="auto"/>
    </w:pPr>
    <w:rPr>
      <w:rFonts w:ascii="Times New Roman" w:eastAsia="Times New Roman" w:hAnsi="Times New Roman"/>
      <w:sz w:val="20"/>
      <w:szCs w:val="20"/>
      <w:lang w:eastAsia="bg-BG"/>
    </w:rPr>
  </w:style>
  <w:style w:type="character" w:customStyle="1" w:styleId="FootnoteTextChar">
    <w:name w:val="Footnote Text Char"/>
    <w:link w:val="FootnoteText"/>
    <w:uiPriority w:val="99"/>
    <w:rsid w:val="003D45C6"/>
    <w:rPr>
      <w:rFonts w:ascii="Times New Roman" w:eastAsia="Times New Roman" w:hAnsi="Times New Roman" w:cs="Times New Roman"/>
      <w:sz w:val="20"/>
      <w:szCs w:val="20"/>
      <w:lang w:eastAsia="bg-BG"/>
    </w:rPr>
  </w:style>
  <w:style w:type="character" w:styleId="FootnoteReference">
    <w:name w:val="footnote reference"/>
    <w:uiPriority w:val="99"/>
    <w:unhideWhenUsed/>
    <w:rsid w:val="003D45C6"/>
    <w:rPr>
      <w:vertAlign w:val="superscript"/>
    </w:rPr>
  </w:style>
  <w:style w:type="paragraph" w:customStyle="1" w:styleId="Default">
    <w:name w:val="Default"/>
    <w:rsid w:val="003D45C6"/>
    <w:pPr>
      <w:autoSpaceDE w:val="0"/>
      <w:autoSpaceDN w:val="0"/>
      <w:adjustRightInd w:val="0"/>
    </w:pPr>
    <w:rPr>
      <w:rFonts w:ascii="Times New Roman" w:eastAsia="Times New Roman" w:hAnsi="Times New Roman"/>
      <w:color w:val="000000"/>
      <w:sz w:val="24"/>
      <w:szCs w:val="24"/>
    </w:rPr>
  </w:style>
  <w:style w:type="numbering" w:customStyle="1" w:styleId="3">
    <w:name w:val="Без списък3"/>
    <w:next w:val="NoList"/>
    <w:uiPriority w:val="99"/>
    <w:semiHidden/>
    <w:unhideWhenUsed/>
    <w:rsid w:val="003D45C6"/>
  </w:style>
  <w:style w:type="paragraph" w:styleId="Caption">
    <w:name w:val="caption"/>
    <w:basedOn w:val="Normal"/>
    <w:next w:val="Normal"/>
    <w:uiPriority w:val="35"/>
    <w:unhideWhenUsed/>
    <w:qFormat/>
    <w:rsid w:val="003D45C6"/>
    <w:pPr>
      <w:overflowPunct w:val="0"/>
      <w:autoSpaceDE w:val="0"/>
      <w:autoSpaceDN w:val="0"/>
      <w:adjustRightInd w:val="0"/>
      <w:spacing w:line="240" w:lineRule="auto"/>
      <w:ind w:firstLine="1418"/>
      <w:textAlignment w:val="baseline"/>
    </w:pPr>
    <w:rPr>
      <w:rFonts w:ascii="Hebar" w:eastAsia="Times New Roman" w:hAnsi="Hebar"/>
      <w:b/>
      <w:bCs/>
      <w:color w:val="4F81BD"/>
      <w:sz w:val="18"/>
      <w:szCs w:val="18"/>
      <w:lang w:val="en-US"/>
    </w:rPr>
  </w:style>
  <w:style w:type="character" w:customStyle="1" w:styleId="a0">
    <w:name w:val="Основен текст_"/>
    <w:link w:val="12"/>
    <w:locked/>
    <w:rsid w:val="003D45C6"/>
    <w:rPr>
      <w:rFonts w:ascii="Times New Roman" w:eastAsia="Times New Roman" w:hAnsi="Times New Roman" w:cs="Times New Roman"/>
      <w:sz w:val="19"/>
      <w:szCs w:val="19"/>
      <w:shd w:val="clear" w:color="auto" w:fill="FFFFFF"/>
    </w:rPr>
  </w:style>
  <w:style w:type="paragraph" w:customStyle="1" w:styleId="12">
    <w:name w:val="Основен текст1"/>
    <w:basedOn w:val="Normal"/>
    <w:link w:val="a0"/>
    <w:rsid w:val="003D45C6"/>
    <w:pPr>
      <w:shd w:val="clear" w:color="auto" w:fill="FFFFFF"/>
      <w:spacing w:before="540" w:after="60" w:line="0" w:lineRule="atLeast"/>
    </w:pPr>
    <w:rPr>
      <w:rFonts w:ascii="Times New Roman" w:eastAsia="Times New Roman" w:hAnsi="Times New Roman"/>
      <w:sz w:val="19"/>
      <w:szCs w:val="19"/>
    </w:rPr>
  </w:style>
  <w:style w:type="numbering" w:customStyle="1" w:styleId="4">
    <w:name w:val="Без списък4"/>
    <w:next w:val="NoList"/>
    <w:uiPriority w:val="99"/>
    <w:semiHidden/>
    <w:unhideWhenUsed/>
    <w:rsid w:val="003D45C6"/>
  </w:style>
  <w:style w:type="numbering" w:customStyle="1" w:styleId="5">
    <w:name w:val="Без списък5"/>
    <w:next w:val="NoList"/>
    <w:uiPriority w:val="99"/>
    <w:semiHidden/>
    <w:unhideWhenUsed/>
    <w:rsid w:val="003D45C6"/>
  </w:style>
  <w:style w:type="character" w:customStyle="1" w:styleId="14Exact">
    <w:name w:val="Основен текст (14) Exact"/>
    <w:rsid w:val="003D45C6"/>
    <w:rPr>
      <w:rFonts w:ascii="Times New Roman" w:eastAsia="Times New Roman" w:hAnsi="Times New Roman" w:cs="Times New Roman"/>
      <w:b w:val="0"/>
      <w:bCs w:val="0"/>
      <w:i w:val="0"/>
      <w:iCs w:val="0"/>
      <w:smallCaps w:val="0"/>
      <w:strike w:val="0"/>
      <w:sz w:val="26"/>
      <w:szCs w:val="26"/>
      <w:u w:val="none"/>
    </w:rPr>
  </w:style>
  <w:style w:type="character" w:customStyle="1" w:styleId="14">
    <w:name w:val="Основен текст (14)_"/>
    <w:link w:val="140"/>
    <w:rsid w:val="003D45C6"/>
    <w:rPr>
      <w:rFonts w:ascii="Times New Roman" w:eastAsia="Times New Roman" w:hAnsi="Times New Roman" w:cs="Times New Roman"/>
      <w:sz w:val="26"/>
      <w:szCs w:val="26"/>
      <w:shd w:val="clear" w:color="auto" w:fill="FFFFFF"/>
    </w:rPr>
  </w:style>
  <w:style w:type="paragraph" w:customStyle="1" w:styleId="140">
    <w:name w:val="Основен текст (14)"/>
    <w:basedOn w:val="Normal"/>
    <w:link w:val="14"/>
    <w:rsid w:val="003D45C6"/>
    <w:pPr>
      <w:widowControl w:val="0"/>
      <w:shd w:val="clear" w:color="auto" w:fill="FFFFFF"/>
      <w:spacing w:after="660" w:line="0" w:lineRule="atLeast"/>
    </w:pPr>
    <w:rPr>
      <w:rFonts w:ascii="Times New Roman" w:eastAsia="Times New Roman" w:hAnsi="Times New Roman"/>
      <w:sz w:val="26"/>
      <w:szCs w:val="26"/>
    </w:rPr>
  </w:style>
  <w:style w:type="numbering" w:customStyle="1" w:styleId="6">
    <w:name w:val="Без списък6"/>
    <w:next w:val="NoList"/>
    <w:uiPriority w:val="99"/>
    <w:semiHidden/>
    <w:unhideWhenUsed/>
    <w:rsid w:val="003D45C6"/>
  </w:style>
  <w:style w:type="character" w:styleId="FollowedHyperlink">
    <w:name w:val="FollowedHyperlink"/>
    <w:uiPriority w:val="99"/>
    <w:semiHidden/>
    <w:unhideWhenUsed/>
    <w:rsid w:val="003D45C6"/>
    <w:rPr>
      <w:color w:val="800080"/>
      <w:u w:val="single"/>
    </w:rPr>
  </w:style>
  <w:style w:type="table" w:customStyle="1" w:styleId="13">
    <w:name w:val="Светло оцветяване1"/>
    <w:basedOn w:val="TableNormal"/>
    <w:next w:val="LightShading"/>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о оцветяване - Акцент 11"/>
    <w:basedOn w:val="TableNormal"/>
    <w:next w:val="LightShading-Accent1"/>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о оцветяване - Акцент 21"/>
    <w:basedOn w:val="TableNormal"/>
    <w:next w:val="LightShading-Accent2"/>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о оцветяване - Акцент 31"/>
    <w:basedOn w:val="TableNormal"/>
    <w:next w:val="LightShading-Accent3"/>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
    <w:name w:val="Без списък7"/>
    <w:next w:val="NoList"/>
    <w:uiPriority w:val="99"/>
    <w:semiHidden/>
    <w:unhideWhenUsed/>
    <w:rsid w:val="003D45C6"/>
  </w:style>
  <w:style w:type="numbering" w:customStyle="1" w:styleId="120">
    <w:name w:val="Без списък12"/>
    <w:next w:val="NoList"/>
    <w:uiPriority w:val="99"/>
    <w:semiHidden/>
    <w:unhideWhenUsed/>
    <w:rsid w:val="003D45C6"/>
  </w:style>
  <w:style w:type="table" w:customStyle="1" w:styleId="20">
    <w:name w:val="Мрежа в таблица2"/>
    <w:basedOn w:val="TableNormal"/>
    <w:next w:val="TableGrid"/>
    <w:rsid w:val="003D45C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ветло оцветяване2"/>
    <w:basedOn w:val="TableNormal"/>
    <w:next w:val="LightShading"/>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о оцветяване - Акцент 12"/>
    <w:basedOn w:val="TableNormal"/>
    <w:next w:val="LightShading-Accent1"/>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о оцветяване - Акцент 22"/>
    <w:basedOn w:val="TableNormal"/>
    <w:next w:val="LightShading-Accent2"/>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Светло оцветяване - Акцент 32"/>
    <w:basedOn w:val="TableNormal"/>
    <w:next w:val="LightShading-Accent3"/>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Мрежа в таблица11"/>
    <w:basedOn w:val="TableNormal"/>
    <w:uiPriority w:val="59"/>
    <w:rsid w:val="003D45C6"/>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о оцветяване11"/>
    <w:basedOn w:val="TableNormal"/>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о оцветяване - Акцент 111"/>
    <w:basedOn w:val="TableNormal"/>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о оцветяване - Акцент 211"/>
    <w:basedOn w:val="TableNormal"/>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
    <w:name w:val="Светло оцветяване - Акцент 311"/>
    <w:basedOn w:val="TableNormal"/>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
    <w:name w:val="Без списък8"/>
    <w:next w:val="NoList"/>
    <w:uiPriority w:val="99"/>
    <w:semiHidden/>
    <w:unhideWhenUsed/>
    <w:rsid w:val="003D45C6"/>
  </w:style>
  <w:style w:type="numbering" w:customStyle="1" w:styleId="130">
    <w:name w:val="Без списък13"/>
    <w:next w:val="NoList"/>
    <w:uiPriority w:val="99"/>
    <w:semiHidden/>
    <w:unhideWhenUsed/>
    <w:rsid w:val="003D45C6"/>
  </w:style>
  <w:style w:type="numbering" w:customStyle="1" w:styleId="1111">
    <w:name w:val="Без списък1111"/>
    <w:next w:val="NoList"/>
    <w:uiPriority w:val="99"/>
    <w:semiHidden/>
    <w:rsid w:val="003D45C6"/>
  </w:style>
  <w:style w:type="table" w:customStyle="1" w:styleId="30">
    <w:name w:val="Мрежа в таблица3"/>
    <w:basedOn w:val="TableNormal"/>
    <w:next w:val="TableGrid"/>
    <w:rsid w:val="003D45C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Без списък11111"/>
    <w:next w:val="NoList"/>
    <w:semiHidden/>
    <w:unhideWhenUsed/>
    <w:rsid w:val="003D45C6"/>
  </w:style>
  <w:style w:type="table" w:customStyle="1" w:styleId="121">
    <w:name w:val="Мрежа в таблица12"/>
    <w:basedOn w:val="TableNormal"/>
    <w:next w:val="TableGrid"/>
    <w:uiPriority w:val="59"/>
    <w:rsid w:val="003D45C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о оцветяване3"/>
    <w:basedOn w:val="TableNormal"/>
    <w:next w:val="LightShading"/>
    <w:uiPriority w:val="60"/>
    <w:rsid w:val="003D45C6"/>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о оцветяване - Акцент 13"/>
    <w:basedOn w:val="TableNormal"/>
    <w:next w:val="LightShading-Accent1"/>
    <w:uiPriority w:val="60"/>
    <w:rsid w:val="003D45C6"/>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о оцветяване - Акцент 23"/>
    <w:basedOn w:val="TableNormal"/>
    <w:next w:val="LightShading-Accent2"/>
    <w:uiPriority w:val="60"/>
    <w:rsid w:val="003D45C6"/>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
    <w:name w:val="Светло оцветяване - Акцент 33"/>
    <w:basedOn w:val="TableNormal"/>
    <w:next w:val="LightShading-Accent3"/>
    <w:uiPriority w:val="60"/>
    <w:rsid w:val="003D45C6"/>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0">
    <w:name w:val="Без списък21"/>
    <w:next w:val="NoList"/>
    <w:uiPriority w:val="99"/>
    <w:semiHidden/>
    <w:unhideWhenUsed/>
    <w:rsid w:val="003D45C6"/>
  </w:style>
  <w:style w:type="numbering" w:customStyle="1" w:styleId="310">
    <w:name w:val="Без списък31"/>
    <w:next w:val="NoList"/>
    <w:uiPriority w:val="99"/>
    <w:semiHidden/>
    <w:unhideWhenUsed/>
    <w:rsid w:val="003D45C6"/>
  </w:style>
  <w:style w:type="numbering" w:customStyle="1" w:styleId="41">
    <w:name w:val="Без списък41"/>
    <w:next w:val="NoList"/>
    <w:uiPriority w:val="99"/>
    <w:semiHidden/>
    <w:unhideWhenUsed/>
    <w:rsid w:val="003D45C6"/>
  </w:style>
  <w:style w:type="numbering" w:customStyle="1" w:styleId="51">
    <w:name w:val="Без списък51"/>
    <w:next w:val="NoList"/>
    <w:uiPriority w:val="99"/>
    <w:semiHidden/>
    <w:unhideWhenUsed/>
    <w:rsid w:val="003D45C6"/>
  </w:style>
  <w:style w:type="numbering" w:customStyle="1" w:styleId="61">
    <w:name w:val="Без списък61"/>
    <w:next w:val="NoList"/>
    <w:uiPriority w:val="99"/>
    <w:semiHidden/>
    <w:unhideWhenUsed/>
    <w:rsid w:val="003D45C6"/>
  </w:style>
  <w:style w:type="table" w:customStyle="1" w:styleId="122">
    <w:name w:val="Светло оцветяване12"/>
    <w:basedOn w:val="TableNormal"/>
    <w:next w:val="LightShading"/>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о оцветяване - Акцент 112"/>
    <w:basedOn w:val="TableNormal"/>
    <w:next w:val="LightShading-Accent1"/>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о оцветяване - Акцент 212"/>
    <w:basedOn w:val="TableNormal"/>
    <w:next w:val="LightShading-Accent2"/>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
    <w:name w:val="Светло оцветяване - Акцент 312"/>
    <w:basedOn w:val="TableNormal"/>
    <w:next w:val="LightShading-Accent3"/>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
    <w:name w:val="Без списък9"/>
    <w:next w:val="NoList"/>
    <w:uiPriority w:val="99"/>
    <w:semiHidden/>
    <w:unhideWhenUsed/>
    <w:rsid w:val="003D45C6"/>
  </w:style>
  <w:style w:type="numbering" w:customStyle="1" w:styleId="100">
    <w:name w:val="Без списък10"/>
    <w:next w:val="NoList"/>
    <w:uiPriority w:val="99"/>
    <w:semiHidden/>
    <w:unhideWhenUsed/>
    <w:rsid w:val="003D45C6"/>
  </w:style>
  <w:style w:type="numbering" w:customStyle="1" w:styleId="141">
    <w:name w:val="Без списък14"/>
    <w:next w:val="NoList"/>
    <w:uiPriority w:val="99"/>
    <w:semiHidden/>
    <w:unhideWhenUsed/>
    <w:rsid w:val="003D45C6"/>
  </w:style>
  <w:style w:type="table" w:customStyle="1" w:styleId="40">
    <w:name w:val="Мрежа в таблица4"/>
    <w:basedOn w:val="TableNormal"/>
    <w:next w:val="TableGrid"/>
    <w:rsid w:val="003D45C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ветло оцветяване4"/>
    <w:basedOn w:val="TableNormal"/>
    <w:next w:val="LightShading"/>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о оцветяване - Акцент 14"/>
    <w:basedOn w:val="TableNormal"/>
    <w:next w:val="LightShading-Accent1"/>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
    <w:name w:val="Светло оцветяване - Акцент 24"/>
    <w:basedOn w:val="TableNormal"/>
    <w:next w:val="LightShading-Accent2"/>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
    <w:name w:val="Светло оцветяване - Акцент 34"/>
    <w:basedOn w:val="TableNormal"/>
    <w:next w:val="LightShading-Accent3"/>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
    <w:name w:val="Мрежа в таблица13"/>
    <w:basedOn w:val="TableNormal"/>
    <w:uiPriority w:val="59"/>
    <w:rsid w:val="003D45C6"/>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ветло оцветяване13"/>
    <w:basedOn w:val="TableNormal"/>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о оцветяване - Акцент 113"/>
    <w:basedOn w:val="TableNormal"/>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о оцветяване - Акцент 213"/>
    <w:basedOn w:val="TableNormal"/>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
    <w:name w:val="Светло оцветяване - Акцент 313"/>
    <w:basedOn w:val="TableNormal"/>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
    <w:name w:val="Без списък15"/>
    <w:next w:val="NoList"/>
    <w:uiPriority w:val="99"/>
    <w:semiHidden/>
    <w:unhideWhenUsed/>
    <w:rsid w:val="003D45C6"/>
  </w:style>
  <w:style w:type="numbering" w:customStyle="1" w:styleId="16">
    <w:name w:val="Без списък16"/>
    <w:next w:val="NoList"/>
    <w:uiPriority w:val="99"/>
    <w:semiHidden/>
    <w:unhideWhenUsed/>
    <w:rsid w:val="003D45C6"/>
  </w:style>
  <w:style w:type="table" w:customStyle="1" w:styleId="50">
    <w:name w:val="Мрежа в таблица5"/>
    <w:basedOn w:val="TableNormal"/>
    <w:next w:val="TableGrid"/>
    <w:rsid w:val="003D45C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о оцветяване5"/>
    <w:basedOn w:val="TableNormal"/>
    <w:next w:val="LightShading"/>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
    <w:name w:val="Светло оцветяване - Акцент 15"/>
    <w:basedOn w:val="TableNormal"/>
    <w:next w:val="LightShading-Accent1"/>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
    <w:name w:val="Светло оцветяване - Акцент 25"/>
    <w:basedOn w:val="TableNormal"/>
    <w:next w:val="LightShading-Accent2"/>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
    <w:name w:val="Светло оцветяване - Акцент 35"/>
    <w:basedOn w:val="TableNormal"/>
    <w:next w:val="LightShading-Accent3"/>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
    <w:name w:val="Мрежа в таблица14"/>
    <w:basedOn w:val="TableNormal"/>
    <w:uiPriority w:val="59"/>
    <w:rsid w:val="003D45C6"/>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о оцветяване14"/>
    <w:basedOn w:val="TableNormal"/>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о оцветяване - Акцент 114"/>
    <w:basedOn w:val="TableNormal"/>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о оцветяване - Акцент 214"/>
    <w:basedOn w:val="TableNormal"/>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
    <w:name w:val="Светло оцветяване - Акцент 314"/>
    <w:basedOn w:val="TableNormal"/>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
    <w:name w:val="Без списък17"/>
    <w:next w:val="NoList"/>
    <w:uiPriority w:val="99"/>
    <w:semiHidden/>
    <w:unhideWhenUsed/>
    <w:rsid w:val="003D45C6"/>
  </w:style>
  <w:style w:type="numbering" w:customStyle="1" w:styleId="18">
    <w:name w:val="Без списък18"/>
    <w:next w:val="NoList"/>
    <w:uiPriority w:val="99"/>
    <w:semiHidden/>
    <w:unhideWhenUsed/>
    <w:rsid w:val="003D45C6"/>
  </w:style>
  <w:style w:type="table" w:customStyle="1" w:styleId="60">
    <w:name w:val="Мрежа в таблица6"/>
    <w:basedOn w:val="TableNormal"/>
    <w:next w:val="TableGrid"/>
    <w:rsid w:val="003D45C6"/>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ветло оцветяване6"/>
    <w:basedOn w:val="TableNormal"/>
    <w:next w:val="LightShading"/>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ветло оцветяване - Акцент 16"/>
    <w:basedOn w:val="TableNormal"/>
    <w:next w:val="LightShading-Accent1"/>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
    <w:name w:val="Светло оцветяване - Акцент 26"/>
    <w:basedOn w:val="TableNormal"/>
    <w:next w:val="LightShading-Accent2"/>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
    <w:name w:val="Светло оцветяване - Акцент 36"/>
    <w:basedOn w:val="TableNormal"/>
    <w:next w:val="LightShading-Accent3"/>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0">
    <w:name w:val="Мрежа в таблица15"/>
    <w:basedOn w:val="TableNormal"/>
    <w:uiPriority w:val="59"/>
    <w:rsid w:val="003D45C6"/>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ветло оцветяване15"/>
    <w:basedOn w:val="TableNormal"/>
    <w:uiPriority w:val="60"/>
    <w:rsid w:val="003D45C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о оцветяване - Акцент 115"/>
    <w:basedOn w:val="TableNormal"/>
    <w:uiPriority w:val="60"/>
    <w:rsid w:val="003D45C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о оцветяване - Акцент 215"/>
    <w:basedOn w:val="TableNormal"/>
    <w:uiPriority w:val="60"/>
    <w:rsid w:val="003D45C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
    <w:name w:val="Светло оцветяване - Акцент 315"/>
    <w:basedOn w:val="TableNormal"/>
    <w:uiPriority w:val="60"/>
    <w:rsid w:val="003D45C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
    <w:name w:val="Без списък19"/>
    <w:next w:val="NoList"/>
    <w:uiPriority w:val="99"/>
    <w:semiHidden/>
    <w:unhideWhenUsed/>
    <w:rsid w:val="006869E7"/>
  </w:style>
  <w:style w:type="table" w:customStyle="1" w:styleId="70">
    <w:name w:val="Светло оцветяване7"/>
    <w:basedOn w:val="TableNormal"/>
    <w:next w:val="LightShading"/>
    <w:uiPriority w:val="60"/>
    <w:rsid w:val="0040117F"/>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Светло оцветяване - Акцент 17"/>
    <w:basedOn w:val="TableNormal"/>
    <w:next w:val="LightShading-Accent1"/>
    <w:uiPriority w:val="60"/>
    <w:rsid w:val="0040117F"/>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
    <w:name w:val="Светло оцветяване - Акцент 27"/>
    <w:basedOn w:val="TableNormal"/>
    <w:next w:val="LightShading-Accent2"/>
    <w:uiPriority w:val="60"/>
    <w:rsid w:val="0040117F"/>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
    <w:name w:val="Светло оцветяване - Акцент 37"/>
    <w:basedOn w:val="TableNormal"/>
    <w:next w:val="LightShading-Accent3"/>
    <w:uiPriority w:val="60"/>
    <w:rsid w:val="0040117F"/>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0">
    <w:name w:val="Светло оцветяване16"/>
    <w:basedOn w:val="TableNormal"/>
    <w:uiPriority w:val="60"/>
    <w:rsid w:val="0040117F"/>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
    <w:name w:val="Светло оцветяване - Акцент 116"/>
    <w:basedOn w:val="TableNormal"/>
    <w:uiPriority w:val="60"/>
    <w:rsid w:val="0040117F"/>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
    <w:name w:val="Светло оцветяване - Акцент 216"/>
    <w:basedOn w:val="TableNormal"/>
    <w:uiPriority w:val="60"/>
    <w:rsid w:val="0040117F"/>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
    <w:name w:val="Светло оцветяване - Акцент 316"/>
    <w:basedOn w:val="TableNormal"/>
    <w:uiPriority w:val="60"/>
    <w:rsid w:val="0040117F"/>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0">
    <w:name w:val="Без списък20"/>
    <w:next w:val="NoList"/>
    <w:uiPriority w:val="99"/>
    <w:semiHidden/>
    <w:unhideWhenUsed/>
    <w:rsid w:val="00353381"/>
  </w:style>
  <w:style w:type="table" w:customStyle="1" w:styleId="80">
    <w:name w:val="Светло оцветяване8"/>
    <w:basedOn w:val="TableNormal"/>
    <w:next w:val="LightShading"/>
    <w:uiPriority w:val="60"/>
    <w:rsid w:val="00493E9B"/>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Светло оцветяване - Акцент 18"/>
    <w:basedOn w:val="TableNormal"/>
    <w:next w:val="LightShading-Accent1"/>
    <w:uiPriority w:val="60"/>
    <w:rsid w:val="00493E9B"/>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
    <w:name w:val="Светло оцветяване - Акцент 28"/>
    <w:basedOn w:val="TableNormal"/>
    <w:next w:val="LightShading-Accent2"/>
    <w:uiPriority w:val="60"/>
    <w:rsid w:val="00493E9B"/>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
    <w:name w:val="Светло оцветяване - Акцент 38"/>
    <w:basedOn w:val="TableNormal"/>
    <w:next w:val="LightShading-Accent3"/>
    <w:uiPriority w:val="60"/>
    <w:rsid w:val="00493E9B"/>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0">
    <w:name w:val="Светло оцветяване17"/>
    <w:basedOn w:val="TableNormal"/>
    <w:uiPriority w:val="60"/>
    <w:rsid w:val="00493E9B"/>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
    <w:name w:val="Светло оцветяване - Акцент 117"/>
    <w:basedOn w:val="TableNormal"/>
    <w:uiPriority w:val="60"/>
    <w:rsid w:val="00493E9B"/>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
    <w:name w:val="Светло оцветяване - Акцент 217"/>
    <w:basedOn w:val="TableNormal"/>
    <w:uiPriority w:val="60"/>
    <w:rsid w:val="00493E9B"/>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
    <w:name w:val="Светло оцветяване - Акцент 317"/>
    <w:basedOn w:val="TableNormal"/>
    <w:uiPriority w:val="60"/>
    <w:rsid w:val="00493E9B"/>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
    <w:name w:val="Без списък22"/>
    <w:next w:val="NoList"/>
    <w:uiPriority w:val="99"/>
    <w:semiHidden/>
    <w:unhideWhenUsed/>
    <w:rsid w:val="002A60E6"/>
  </w:style>
  <w:style w:type="table" w:customStyle="1" w:styleId="90">
    <w:name w:val="Светло оцветяване9"/>
    <w:basedOn w:val="TableNormal"/>
    <w:next w:val="LightShading"/>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Светло оцветяване - Акцент 19"/>
    <w:basedOn w:val="TableNormal"/>
    <w:next w:val="LightShading-Accent1"/>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
    <w:name w:val="Светло оцветяване - Акцент 29"/>
    <w:basedOn w:val="TableNormal"/>
    <w:next w:val="LightShading-Accent2"/>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
    <w:name w:val="Светло оцветяване - Акцент 39"/>
    <w:basedOn w:val="TableNormal"/>
    <w:next w:val="LightShading-Accent3"/>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0">
    <w:name w:val="Светло оцветяване18"/>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
    <w:name w:val="Светло оцветяване - Акцент 118"/>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
    <w:name w:val="Светло оцветяване - Акцент 218"/>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
    <w:name w:val="Светло оцветяване - Акцент 318"/>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
    <w:name w:val="Светло оцветяване2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ветло оцветяване - Акцент 12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
    <w:name w:val="Светло оцветяване - Акцент 22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
    <w:name w:val="Светло оцветяване - Акцент 32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
    <w:name w:val="Светло оцветяване11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о оцветяване - Акцент 111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о оцветяване - Акцент 211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
    <w:name w:val="Светло оцветяване - Акцент 311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
    <w:name w:val="Светло оцветяване3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о оцветяване - Акцент 13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
    <w:name w:val="Светло оцветяване - Акцент 23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
    <w:name w:val="Светло оцветяване - Акцент 33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0">
    <w:name w:val="Светло оцветяване12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о оцветяване - Акцент 112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о оцветяване - Акцент 212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
    <w:name w:val="Светло оцветяване - Акцент 312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0">
    <w:name w:val="Светло оцветяване4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
    <w:name w:val="Светло оцветяване - Акцент 14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
    <w:name w:val="Светло оцветяване - Акцент 24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
    <w:name w:val="Светло оцветяване - Акцент 34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0">
    <w:name w:val="Светло оцветяване13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о оцветяване - Акцент 113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о оцветяване - Акцент 213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
    <w:name w:val="Светло оцветяване - Акцент 313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0">
    <w:name w:val="Светло оцветяване5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
    <w:name w:val="Светло оцветяване - Акцент 15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
    <w:name w:val="Светло оцветяване - Акцент 25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
    <w:name w:val="Светло оцветяване - Акцент 35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0">
    <w:name w:val="Светло оцветяване14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ветло оцветяване - Акцент 114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
    <w:name w:val="Светло оцветяване - Акцент 214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
    <w:name w:val="Светло оцветяване - Акцент 314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0">
    <w:name w:val="Светло оцветяване6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
    <w:name w:val="Светло оцветяване - Акцент 16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
    <w:name w:val="Светло оцветяване - Акцент 26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
    <w:name w:val="Светло оцветяване - Акцент 36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0">
    <w:name w:val="Светло оцветяване15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
    <w:name w:val="Светло оцветяване - Акцент 115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
    <w:name w:val="Светло оцветяване - Акцент 215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
    <w:name w:val="Светло оцветяване - Акцент 315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
    <w:name w:val="Светло оцветяване7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
    <w:name w:val="Светло оцветяване - Акцент 17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
    <w:name w:val="Светло оцветяване - Акцент 27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
    <w:name w:val="Светло оцветяване - Акцент 37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
    <w:name w:val="Светло оцветяване16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
    <w:name w:val="Светло оцветяване - Акцент 116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
    <w:name w:val="Светло оцветяване - Акцент 216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
    <w:name w:val="Светло оцветяване - Акцент 316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
    <w:name w:val="Светло оцветяване8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
    <w:name w:val="Светло оцветяване - Акцент 18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
    <w:name w:val="Светло оцветяване - Акцент 28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
    <w:name w:val="Светло оцветяване - Акцент 38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
    <w:name w:val="Светло оцветяване17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о оцветяване - Акцент 117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
    <w:name w:val="Светло оцветяване - Акцент 217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
    <w:name w:val="Светло оцветяване - Акцент 317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
    <w:name w:val="Светло оцветяване9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
    <w:name w:val="Светло оцветяване - Акцент 19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
    <w:name w:val="Светло оцветяване - Акцент 29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
    <w:name w:val="Светло оцветяване - Акцент 39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0">
    <w:name w:val="Светло оцветяване311"/>
    <w:basedOn w:val="TableNormal"/>
    <w:uiPriority w:val="60"/>
    <w:rsid w:val="002A60E6"/>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о оцветяване - Акцент 1311"/>
    <w:basedOn w:val="TableNormal"/>
    <w:uiPriority w:val="60"/>
    <w:rsid w:val="002A60E6"/>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
    <w:name w:val="Светло оцветяване - Акцент 2311"/>
    <w:basedOn w:val="TableNormal"/>
    <w:uiPriority w:val="60"/>
    <w:rsid w:val="002A60E6"/>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
    <w:name w:val="Светло оцветяване - Акцент 3311"/>
    <w:basedOn w:val="TableNormal"/>
    <w:uiPriority w:val="60"/>
    <w:rsid w:val="002A60E6"/>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
    <w:name w:val="Без списък23"/>
    <w:next w:val="NoList"/>
    <w:uiPriority w:val="99"/>
    <w:semiHidden/>
    <w:unhideWhenUsed/>
    <w:rsid w:val="00E83EA2"/>
  </w:style>
  <w:style w:type="table" w:customStyle="1" w:styleId="101">
    <w:name w:val="Светло оцветяване10"/>
    <w:basedOn w:val="TableNormal"/>
    <w:next w:val="LightShading"/>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ветло оцветяване - Акцент 110"/>
    <w:basedOn w:val="TableNormal"/>
    <w:next w:val="LightShading-Accent1"/>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
    <w:name w:val="Светло оцветяване - Акцент 210"/>
    <w:basedOn w:val="TableNormal"/>
    <w:next w:val="LightShading-Accent2"/>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
    <w:name w:val="Светло оцветяване - Акцент 310"/>
    <w:basedOn w:val="TableNormal"/>
    <w:next w:val="LightShading-Accent3"/>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0">
    <w:name w:val="Светло оцветяване19"/>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
    <w:name w:val="Светло оцветяване - Акцент 119"/>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
    <w:name w:val="Светло оцветяване - Акцент 219"/>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
    <w:name w:val="Светло оцветяване - Акцент 319"/>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0">
    <w:name w:val="Светло оцветяване2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ветло оцветяване - Акцент 12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
    <w:name w:val="Светло оцветяване - Акцент 22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
    <w:name w:val="Светло оцветяване - Акцент 32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0">
    <w:name w:val="Светло оцветяване11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о оцветяване - Акцент 111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о оцветяване - Акцент 211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
    <w:name w:val="Светло оцветяване - Акцент 311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
    <w:name w:val="Светло оцветяване3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Светло оцветяване - Акцент 13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
    <w:name w:val="Светло оцветяване - Акцент 23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
    <w:name w:val="Светло оцветяване - Акцент 33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0">
    <w:name w:val="Светло оцветяване12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о оцветяване - Акцент 112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о оцветяване - Акцент 212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
    <w:name w:val="Светло оцветяване - Акцент 312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Светло оцветяване4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
    <w:name w:val="Светло оцветяване - Акцент 14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
    <w:name w:val="Светло оцветяване - Акцент 24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
    <w:name w:val="Светло оцветяване - Акцент 34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0">
    <w:name w:val="Светло оцветяване13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о оцветяване - Акцент 113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о оцветяване - Акцент 213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
    <w:name w:val="Светло оцветяване - Акцент 313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0">
    <w:name w:val="Светло оцветяване5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
    <w:name w:val="Светло оцветяване - Акцент 15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
    <w:name w:val="Светло оцветяване - Акцент 25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
    <w:name w:val="Светло оцветяване - Акцент 35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0">
    <w:name w:val="Светло оцветяване14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
    <w:name w:val="Светло оцветяване - Акцент 114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
    <w:name w:val="Светло оцветяване - Акцент 214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
    <w:name w:val="Светло оцветяване - Акцент 314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0">
    <w:name w:val="Светло оцветяване6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
    <w:name w:val="Светло оцветяване - Акцент 16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
    <w:name w:val="Светло оцветяване - Акцент 26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
    <w:name w:val="Светло оцветяване - Акцент 36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
    <w:name w:val="Светло оцветяване15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о оцветяване - Акцент 115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
    <w:name w:val="Светло оцветяване - Акцент 215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
    <w:name w:val="Светло оцветяване - Акцент 315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
    <w:name w:val="Светло оцветяване7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
    <w:name w:val="Светло оцветяване - Акцент 17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
    <w:name w:val="Светло оцветяване - Акцент 27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
    <w:name w:val="Светло оцветяване - Акцент 37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
    <w:name w:val="Светло оцветяване16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
    <w:name w:val="Светло оцветяване - Акцент 116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
    <w:name w:val="Светло оцветяване - Акцент 216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
    <w:name w:val="Светло оцветяване - Акцент 316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
    <w:name w:val="Светло оцветяване8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
    <w:name w:val="Светло оцветяване - Акцент 18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
    <w:name w:val="Светло оцветяване - Акцент 28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
    <w:name w:val="Светло оцветяване - Акцент 38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
    <w:name w:val="Светло оцветяване172"/>
    <w:basedOn w:val="TableNormal"/>
    <w:uiPriority w:val="60"/>
    <w:rsid w:val="00E83EA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
    <w:name w:val="Светло оцветяване - Акцент 1172"/>
    <w:basedOn w:val="TableNormal"/>
    <w:uiPriority w:val="60"/>
    <w:rsid w:val="00E83EA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
    <w:name w:val="Светло оцветяване - Акцент 2172"/>
    <w:basedOn w:val="TableNormal"/>
    <w:uiPriority w:val="60"/>
    <w:rsid w:val="00E83EA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
    <w:name w:val="Светло оцветяване - Акцент 3172"/>
    <w:basedOn w:val="TableNormal"/>
    <w:uiPriority w:val="60"/>
    <w:rsid w:val="00E83EA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4">
    <w:name w:val="Без списък24"/>
    <w:next w:val="NoList"/>
    <w:uiPriority w:val="99"/>
    <w:semiHidden/>
    <w:unhideWhenUsed/>
    <w:rsid w:val="00063DD3"/>
  </w:style>
  <w:style w:type="numbering" w:customStyle="1" w:styleId="1100">
    <w:name w:val="Без списък110"/>
    <w:next w:val="NoList"/>
    <w:uiPriority w:val="99"/>
    <w:semiHidden/>
    <w:unhideWhenUsed/>
    <w:rsid w:val="00063DD3"/>
  </w:style>
  <w:style w:type="numbering" w:customStyle="1" w:styleId="1121">
    <w:name w:val="Без списък112"/>
    <w:next w:val="NoList"/>
    <w:semiHidden/>
    <w:rsid w:val="00063DD3"/>
  </w:style>
  <w:style w:type="table" w:customStyle="1" w:styleId="73">
    <w:name w:val="Мрежа в таблица7"/>
    <w:basedOn w:val="TableNormal"/>
    <w:next w:val="TableGrid"/>
    <w:rsid w:val="00063D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Без списък1112"/>
    <w:next w:val="NoList"/>
    <w:uiPriority w:val="99"/>
    <w:semiHidden/>
    <w:unhideWhenUsed/>
    <w:rsid w:val="00063DD3"/>
  </w:style>
  <w:style w:type="table" w:customStyle="1" w:styleId="163">
    <w:name w:val="Мрежа в таблица16"/>
    <w:basedOn w:val="TableNormal"/>
    <w:next w:val="TableGrid"/>
    <w:uiPriority w:val="59"/>
    <w:rsid w:val="00063DD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ветло оцветяване20"/>
    <w:basedOn w:val="TableNormal"/>
    <w:next w:val="LightShading"/>
    <w:uiPriority w:val="60"/>
    <w:rsid w:val="00063D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ветло оцветяване - Акцент 120"/>
    <w:basedOn w:val="TableNormal"/>
    <w:next w:val="LightShading-Accent1"/>
    <w:uiPriority w:val="60"/>
    <w:rsid w:val="00063D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0">
    <w:name w:val="Светло оцветяване - Акцент 220"/>
    <w:basedOn w:val="TableNormal"/>
    <w:next w:val="LightShading-Accent2"/>
    <w:uiPriority w:val="60"/>
    <w:rsid w:val="00063D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
    <w:name w:val="Светло оцветяване - Акцент 320"/>
    <w:basedOn w:val="TableNormal"/>
    <w:next w:val="LightShading-Accent3"/>
    <w:uiPriority w:val="60"/>
    <w:rsid w:val="00063D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5">
    <w:name w:val="Без списък25"/>
    <w:next w:val="NoList"/>
    <w:uiPriority w:val="99"/>
    <w:semiHidden/>
    <w:unhideWhenUsed/>
    <w:rsid w:val="00063DD3"/>
  </w:style>
  <w:style w:type="numbering" w:customStyle="1" w:styleId="320">
    <w:name w:val="Без списък32"/>
    <w:next w:val="NoList"/>
    <w:uiPriority w:val="99"/>
    <w:semiHidden/>
    <w:unhideWhenUsed/>
    <w:rsid w:val="00063DD3"/>
  </w:style>
  <w:style w:type="numbering" w:customStyle="1" w:styleId="421">
    <w:name w:val="Без списък42"/>
    <w:next w:val="NoList"/>
    <w:uiPriority w:val="99"/>
    <w:semiHidden/>
    <w:unhideWhenUsed/>
    <w:rsid w:val="00063DD3"/>
  </w:style>
  <w:style w:type="numbering" w:customStyle="1" w:styleId="521">
    <w:name w:val="Без списък52"/>
    <w:next w:val="NoList"/>
    <w:uiPriority w:val="99"/>
    <w:semiHidden/>
    <w:unhideWhenUsed/>
    <w:rsid w:val="00063DD3"/>
  </w:style>
  <w:style w:type="numbering" w:customStyle="1" w:styleId="621">
    <w:name w:val="Без списък62"/>
    <w:next w:val="NoList"/>
    <w:uiPriority w:val="99"/>
    <w:semiHidden/>
    <w:unhideWhenUsed/>
    <w:rsid w:val="00063DD3"/>
  </w:style>
  <w:style w:type="table" w:customStyle="1" w:styleId="1101">
    <w:name w:val="Светло оцветяване110"/>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о оцветяване - Акцент 1110"/>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0">
    <w:name w:val="Светло оцветяване - Акцент 2110"/>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0">
    <w:name w:val="Светло оцветяване - Акцент 3110"/>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10">
    <w:name w:val="Без списък71"/>
    <w:next w:val="NoList"/>
    <w:uiPriority w:val="99"/>
    <w:semiHidden/>
    <w:unhideWhenUsed/>
    <w:rsid w:val="00063DD3"/>
  </w:style>
  <w:style w:type="numbering" w:customStyle="1" w:styleId="1211">
    <w:name w:val="Без списък121"/>
    <w:next w:val="NoList"/>
    <w:uiPriority w:val="99"/>
    <w:semiHidden/>
    <w:unhideWhenUsed/>
    <w:rsid w:val="00063DD3"/>
  </w:style>
  <w:style w:type="table" w:customStyle="1" w:styleId="212">
    <w:name w:val="Мрежа в таблица21"/>
    <w:basedOn w:val="TableNormal"/>
    <w:next w:val="TableGrid"/>
    <w:rsid w:val="00063DD3"/>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ветло оцветяване2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Светло оцветяване - Акцент 12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3">
    <w:name w:val="Светло оцветяване - Акцент 22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3">
    <w:name w:val="Светло оцветяване - Акцент 32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3">
    <w:name w:val="Мрежа в таблица111"/>
    <w:basedOn w:val="TableNormal"/>
    <w:uiPriority w:val="59"/>
    <w:rsid w:val="00063DD3"/>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о оцветяване113"/>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о оцветяване - Акцент 1113"/>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
    <w:name w:val="Светло оцветяване - Акцент 2113"/>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3">
    <w:name w:val="Светло оцветяване - Акцент 3113"/>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10">
    <w:name w:val="Без списък81"/>
    <w:next w:val="NoList"/>
    <w:uiPriority w:val="99"/>
    <w:semiHidden/>
    <w:unhideWhenUsed/>
    <w:rsid w:val="00063DD3"/>
  </w:style>
  <w:style w:type="numbering" w:customStyle="1" w:styleId="1311">
    <w:name w:val="Без списък131"/>
    <w:next w:val="NoList"/>
    <w:uiPriority w:val="99"/>
    <w:semiHidden/>
    <w:unhideWhenUsed/>
    <w:rsid w:val="00063DD3"/>
  </w:style>
  <w:style w:type="numbering" w:customStyle="1" w:styleId="11112">
    <w:name w:val="Без списък11112"/>
    <w:next w:val="NoList"/>
    <w:semiHidden/>
    <w:rsid w:val="00063DD3"/>
  </w:style>
  <w:style w:type="table" w:customStyle="1" w:styleId="312">
    <w:name w:val="Мрежа в таблица31"/>
    <w:basedOn w:val="TableNormal"/>
    <w:next w:val="TableGrid"/>
    <w:rsid w:val="00063D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Без списък111111"/>
    <w:next w:val="NoList"/>
    <w:uiPriority w:val="99"/>
    <w:semiHidden/>
    <w:unhideWhenUsed/>
    <w:rsid w:val="00063DD3"/>
  </w:style>
  <w:style w:type="table" w:customStyle="1" w:styleId="1212">
    <w:name w:val="Мрежа в таблица121"/>
    <w:basedOn w:val="TableNormal"/>
    <w:next w:val="TableGrid"/>
    <w:uiPriority w:val="59"/>
    <w:rsid w:val="00063DD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ветло оцветяване33"/>
    <w:basedOn w:val="TableNormal"/>
    <w:next w:val="LightShading"/>
    <w:uiPriority w:val="60"/>
    <w:rsid w:val="00063D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
    <w:name w:val="Светло оцветяване - Акцент 133"/>
    <w:basedOn w:val="TableNormal"/>
    <w:next w:val="LightShading-Accent1"/>
    <w:uiPriority w:val="60"/>
    <w:rsid w:val="00063D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3">
    <w:name w:val="Светло оцветяване - Акцент 233"/>
    <w:basedOn w:val="TableNormal"/>
    <w:next w:val="LightShading-Accent2"/>
    <w:uiPriority w:val="60"/>
    <w:rsid w:val="00063D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3">
    <w:name w:val="Светло оцветяване - Акцент 333"/>
    <w:basedOn w:val="TableNormal"/>
    <w:next w:val="LightShading-Accent3"/>
    <w:uiPriority w:val="60"/>
    <w:rsid w:val="00063D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10">
    <w:name w:val="Без списък211"/>
    <w:next w:val="NoList"/>
    <w:uiPriority w:val="99"/>
    <w:semiHidden/>
    <w:unhideWhenUsed/>
    <w:rsid w:val="00063DD3"/>
  </w:style>
  <w:style w:type="numbering" w:customStyle="1" w:styleId="3111">
    <w:name w:val="Без списък311"/>
    <w:next w:val="NoList"/>
    <w:uiPriority w:val="99"/>
    <w:semiHidden/>
    <w:unhideWhenUsed/>
    <w:rsid w:val="00063DD3"/>
  </w:style>
  <w:style w:type="numbering" w:customStyle="1" w:styleId="411">
    <w:name w:val="Без списък411"/>
    <w:next w:val="NoList"/>
    <w:uiPriority w:val="99"/>
    <w:semiHidden/>
    <w:unhideWhenUsed/>
    <w:rsid w:val="00063DD3"/>
  </w:style>
  <w:style w:type="numbering" w:customStyle="1" w:styleId="511">
    <w:name w:val="Без списък511"/>
    <w:next w:val="NoList"/>
    <w:uiPriority w:val="99"/>
    <w:semiHidden/>
    <w:unhideWhenUsed/>
    <w:rsid w:val="00063DD3"/>
  </w:style>
  <w:style w:type="numbering" w:customStyle="1" w:styleId="611">
    <w:name w:val="Без списък611"/>
    <w:next w:val="NoList"/>
    <w:uiPriority w:val="99"/>
    <w:semiHidden/>
    <w:unhideWhenUsed/>
    <w:rsid w:val="00063DD3"/>
  </w:style>
  <w:style w:type="table" w:customStyle="1" w:styleId="123">
    <w:name w:val="Светло оцветяване12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
    <w:name w:val="Светло оцветяване - Акцент 112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
    <w:name w:val="Светло оцветяване - Акцент 212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3">
    <w:name w:val="Светло оцветяване - Акцент 312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10">
    <w:name w:val="Без списък91"/>
    <w:next w:val="NoList"/>
    <w:uiPriority w:val="99"/>
    <w:semiHidden/>
    <w:unhideWhenUsed/>
    <w:rsid w:val="00063DD3"/>
  </w:style>
  <w:style w:type="numbering" w:customStyle="1" w:styleId="1010">
    <w:name w:val="Без списък101"/>
    <w:next w:val="NoList"/>
    <w:uiPriority w:val="99"/>
    <w:semiHidden/>
    <w:unhideWhenUsed/>
    <w:rsid w:val="00063DD3"/>
  </w:style>
  <w:style w:type="numbering" w:customStyle="1" w:styleId="1411">
    <w:name w:val="Без списък141"/>
    <w:next w:val="NoList"/>
    <w:uiPriority w:val="99"/>
    <w:semiHidden/>
    <w:unhideWhenUsed/>
    <w:rsid w:val="00063DD3"/>
  </w:style>
  <w:style w:type="table" w:customStyle="1" w:styleId="412">
    <w:name w:val="Мрежа в таблица41"/>
    <w:basedOn w:val="TableNormal"/>
    <w:next w:val="TableGrid"/>
    <w:rsid w:val="00063DD3"/>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ветло оцветяване4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3">
    <w:name w:val="Светло оцветяване - Акцент 14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3">
    <w:name w:val="Светло оцветяване - Акцент 24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3">
    <w:name w:val="Светло оцветяване - Акцент 34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2">
    <w:name w:val="Мрежа в таблица131"/>
    <w:basedOn w:val="TableNormal"/>
    <w:uiPriority w:val="59"/>
    <w:rsid w:val="00063DD3"/>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о оцветяване133"/>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
    <w:name w:val="Светло оцветяване - Акцент 1133"/>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
    <w:name w:val="Светло оцветяване - Акцент 2133"/>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3">
    <w:name w:val="Светло оцветяване - Акцент 3133"/>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11">
    <w:name w:val="Без списък151"/>
    <w:next w:val="NoList"/>
    <w:uiPriority w:val="99"/>
    <w:semiHidden/>
    <w:unhideWhenUsed/>
    <w:rsid w:val="00063DD3"/>
  </w:style>
  <w:style w:type="numbering" w:customStyle="1" w:styleId="1610">
    <w:name w:val="Без списък161"/>
    <w:next w:val="NoList"/>
    <w:uiPriority w:val="99"/>
    <w:semiHidden/>
    <w:unhideWhenUsed/>
    <w:rsid w:val="00063DD3"/>
  </w:style>
  <w:style w:type="table" w:customStyle="1" w:styleId="512">
    <w:name w:val="Мрежа в таблица51"/>
    <w:basedOn w:val="TableNormal"/>
    <w:next w:val="TableGrid"/>
    <w:rsid w:val="00063DD3"/>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ветло оцветяване5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3">
    <w:name w:val="Светло оцветяване - Акцент 15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3">
    <w:name w:val="Светло оцветяване - Акцент 25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3">
    <w:name w:val="Светло оцветяване - Акцент 35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2">
    <w:name w:val="Мрежа в таблица141"/>
    <w:basedOn w:val="TableNormal"/>
    <w:uiPriority w:val="59"/>
    <w:rsid w:val="00063DD3"/>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ветло оцветяване143"/>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
    <w:name w:val="Светло оцветяване - Акцент 1143"/>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3">
    <w:name w:val="Светло оцветяване - Акцент 2143"/>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3">
    <w:name w:val="Светло оцветяване - Акцент 3143"/>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10">
    <w:name w:val="Без списък171"/>
    <w:next w:val="NoList"/>
    <w:uiPriority w:val="99"/>
    <w:semiHidden/>
    <w:unhideWhenUsed/>
    <w:rsid w:val="00063DD3"/>
  </w:style>
  <w:style w:type="numbering" w:customStyle="1" w:styleId="181">
    <w:name w:val="Без списък181"/>
    <w:next w:val="NoList"/>
    <w:uiPriority w:val="99"/>
    <w:semiHidden/>
    <w:unhideWhenUsed/>
    <w:rsid w:val="00063DD3"/>
  </w:style>
  <w:style w:type="table" w:customStyle="1" w:styleId="612">
    <w:name w:val="Мрежа в таблица61"/>
    <w:basedOn w:val="TableNormal"/>
    <w:next w:val="TableGrid"/>
    <w:rsid w:val="00063DD3"/>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ветло оцветяване6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
    <w:name w:val="Светло оцветяване - Акцент 16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3">
    <w:name w:val="Светло оцветяване - Акцент 26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3">
    <w:name w:val="Светло оцветяване - Акцент 36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2">
    <w:name w:val="Мрежа в таблица151"/>
    <w:basedOn w:val="TableNormal"/>
    <w:uiPriority w:val="59"/>
    <w:rsid w:val="00063DD3"/>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ветло оцветяване153"/>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о оцветяване - Акцент 1153"/>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3">
    <w:name w:val="Светло оцветяване - Акцент 2153"/>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3">
    <w:name w:val="Светло оцветяване - Акцент 3153"/>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1">
    <w:name w:val="Без списък191"/>
    <w:next w:val="NoList"/>
    <w:uiPriority w:val="99"/>
    <w:semiHidden/>
    <w:unhideWhenUsed/>
    <w:rsid w:val="00063DD3"/>
  </w:style>
  <w:style w:type="table" w:customStyle="1" w:styleId="730">
    <w:name w:val="Светло оцветяване7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3">
    <w:name w:val="Светло оцветяване - Акцент 17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3">
    <w:name w:val="Светло оцветяване - Акцент 27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3">
    <w:name w:val="Светло оцветяване - Акцент 37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30">
    <w:name w:val="Светло оцветяване163"/>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3">
    <w:name w:val="Светло оцветяване - Акцент 1163"/>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3">
    <w:name w:val="Светло оцветяване - Акцент 2163"/>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3">
    <w:name w:val="Светло оцветяване - Акцент 3163"/>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10">
    <w:name w:val="Без списък201"/>
    <w:next w:val="NoList"/>
    <w:uiPriority w:val="99"/>
    <w:semiHidden/>
    <w:unhideWhenUsed/>
    <w:rsid w:val="00063DD3"/>
  </w:style>
  <w:style w:type="table" w:customStyle="1" w:styleId="83">
    <w:name w:val="Светло оцветяване83"/>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
    <w:name w:val="Светло оцветяване - Акцент 183"/>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3">
    <w:name w:val="Светло оцветяване - Акцент 283"/>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3">
    <w:name w:val="Светло оцветяване - Акцент 383"/>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3">
    <w:name w:val="Светло оцветяване173"/>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3">
    <w:name w:val="Светло оцветяване - Акцент 1173"/>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3">
    <w:name w:val="Светло оцветяване - Акцент 2173"/>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3">
    <w:name w:val="Светло оцветяване - Акцент 3173"/>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1">
    <w:name w:val="Без списък221"/>
    <w:next w:val="NoList"/>
    <w:uiPriority w:val="99"/>
    <w:semiHidden/>
    <w:unhideWhenUsed/>
    <w:rsid w:val="00063DD3"/>
  </w:style>
  <w:style w:type="table" w:customStyle="1" w:styleId="92">
    <w:name w:val="Светло оцветяване92"/>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
    <w:name w:val="Светло оцветяване - Акцент 192"/>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2">
    <w:name w:val="Светло оцветяване - Акцент 292"/>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2">
    <w:name w:val="Светло оцветяване - Акцент 392"/>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10">
    <w:name w:val="Светло оцветяване18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1">
    <w:name w:val="Светло оцветяване - Акцент 118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1">
    <w:name w:val="Светло оцветяване - Акцент 218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1">
    <w:name w:val="Светло оцветяване - Акцент 318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1">
    <w:name w:val="Светло оцветяване2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ветло оцветяване - Акцент 12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1">
    <w:name w:val="Светло оцветяване - Акцент 22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1">
    <w:name w:val="Светло оцветяване - Акцент 32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0">
    <w:name w:val="Светло оцветяване11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
    <w:name w:val="Светло оцветяване - Акцент 111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
    <w:name w:val="Светло оцветяване - Акцент 211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1">
    <w:name w:val="Светло оцветяване - Акцент 311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20">
    <w:name w:val="Светло оцветяване312"/>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
    <w:name w:val="Светло оцветяване - Акцент 1312"/>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2">
    <w:name w:val="Светло оцветяване - Акцент 2312"/>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2">
    <w:name w:val="Светло оцветяване - Акцент 3312"/>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10">
    <w:name w:val="Светло оцветяване12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ветло оцветяване - Акцент 112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1">
    <w:name w:val="Светло оцветяване - Акцент 212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1">
    <w:name w:val="Светло оцветяване - Акцент 312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10">
    <w:name w:val="Светло оцветяване4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
    <w:name w:val="Светло оцветяване - Акцент 14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1">
    <w:name w:val="Светло оцветяване - Акцент 24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1">
    <w:name w:val="Светло оцветяване - Акцент 34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10">
    <w:name w:val="Светло оцветяване13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
    <w:name w:val="Светло оцветяване - Акцент 113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1">
    <w:name w:val="Светло оцветяване - Акцент 213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1">
    <w:name w:val="Светло оцветяване - Акцент 313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0">
    <w:name w:val="Светло оцветяване5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1">
    <w:name w:val="Светло оцветяване - Акцент 15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1">
    <w:name w:val="Светло оцветяване - Акцент 25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1">
    <w:name w:val="Светло оцветяване - Акцент 35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10">
    <w:name w:val="Светло оцветяване14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ветло оцветяване - Акцент 114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1">
    <w:name w:val="Светло оцветяване - Акцент 214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1">
    <w:name w:val="Светло оцветяване - Акцент 314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10">
    <w:name w:val="Светло оцветяване6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
    <w:name w:val="Светло оцветяване - Акцент 16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
    <w:name w:val="Светло оцветяване - Акцент 26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1">
    <w:name w:val="Светло оцветяване - Акцент 36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10">
    <w:name w:val="Светло оцветяване15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
    <w:name w:val="Светло оцветяване - Акцент 115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1">
    <w:name w:val="Светло оцветяване - Акцент 215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1">
    <w:name w:val="Светло оцветяване - Акцент 315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1">
    <w:name w:val="Светло оцветяване7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1">
    <w:name w:val="Светло оцветяване - Акцент 17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1">
    <w:name w:val="Светло оцветяване - Акцент 27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1">
    <w:name w:val="Светло оцветяване - Акцент 37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1">
    <w:name w:val="Светло оцветяване16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
    <w:name w:val="Светло оцветяване - Акцент 116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1">
    <w:name w:val="Светло оцветяване - Акцент 216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1">
    <w:name w:val="Светло оцветяване - Акцент 316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
    <w:name w:val="Светло оцветяване8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1">
    <w:name w:val="Светло оцветяване - Акцент 18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1">
    <w:name w:val="Светло оцветяване - Акцент 28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1">
    <w:name w:val="Светло оцветяване - Акцент 38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1">
    <w:name w:val="Светло оцветяване17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о оцветяване - Акцент 117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1">
    <w:name w:val="Светло оцветяване - Акцент 217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1">
    <w:name w:val="Светло оцветяване - Акцент 317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1">
    <w:name w:val="Светло оцветяване9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
    <w:name w:val="Светло оцветяване - Акцент 19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1">
    <w:name w:val="Светло оцветяване - Акцент 29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1">
    <w:name w:val="Светло оцветяване - Акцент 39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10">
    <w:name w:val="Светло оцветяване311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о оцветяване - Акцент 1311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1">
    <w:name w:val="Светло оцветяване - Акцент 2311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1">
    <w:name w:val="Светло оцветяване - Акцент 3311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1">
    <w:name w:val="Без списък231"/>
    <w:next w:val="NoList"/>
    <w:uiPriority w:val="99"/>
    <w:semiHidden/>
    <w:unhideWhenUsed/>
    <w:rsid w:val="00063DD3"/>
  </w:style>
  <w:style w:type="table" w:customStyle="1" w:styleId="1011">
    <w:name w:val="Светло оцветяване101"/>
    <w:basedOn w:val="TableNormal"/>
    <w:next w:val="LightShading"/>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
    <w:name w:val="Светло оцветяване - Акцент 1101"/>
    <w:basedOn w:val="TableNormal"/>
    <w:next w:val="LightShading-Accent1"/>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1">
    <w:name w:val="Светло оцветяване - Акцент 2101"/>
    <w:basedOn w:val="TableNormal"/>
    <w:next w:val="LightShading-Accent2"/>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1">
    <w:name w:val="Светло оцветяване - Акцент 3101"/>
    <w:basedOn w:val="TableNormal"/>
    <w:next w:val="LightShading-Accent3"/>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10">
    <w:name w:val="Светло оцветяване19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1">
    <w:name w:val="Светло оцветяване - Акцент 119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1">
    <w:name w:val="Светло оцветяване - Акцент 219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1">
    <w:name w:val="Светло оцветяване - Акцент 319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10">
    <w:name w:val="Светло оцветяване2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
    <w:name w:val="Светло оцветяване - Акцент 12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1">
    <w:name w:val="Светло оцветяване - Акцент 22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1">
    <w:name w:val="Светло оцветяване - Акцент 32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10">
    <w:name w:val="Светло оцветяване11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ветло оцветяване - Акцент 111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1">
    <w:name w:val="Светло оцветяване - Акцент 211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1">
    <w:name w:val="Светло оцветяване - Акцент 311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
    <w:name w:val="Светло оцветяване3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о оцветяване - Акцент 13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1">
    <w:name w:val="Светло оцветяване - Акцент 23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1">
    <w:name w:val="Светло оцветяване - Акцент 33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1">
    <w:name w:val="Светло оцветяване12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
    <w:name w:val="Светло оцветяване - Акцент 112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1">
    <w:name w:val="Светло оцветяване - Акцент 212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1">
    <w:name w:val="Светло оцветяване - Акцент 312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10">
    <w:name w:val="Светло оцветяване4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1">
    <w:name w:val="Светло оцветяване - Акцент 14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1">
    <w:name w:val="Светло оцветяване - Акцент 24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1">
    <w:name w:val="Светло оцветяване - Акцент 34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1">
    <w:name w:val="Светло оцветяване13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
    <w:name w:val="Светло оцветяване - Акцент 113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1">
    <w:name w:val="Светло оцветяване - Акцент 213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1">
    <w:name w:val="Светло оцветяване - Акцент 313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10">
    <w:name w:val="Светло оцветяване5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1">
    <w:name w:val="Светло оцветяване - Акцент 15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1">
    <w:name w:val="Светло оцветяване - Акцент 25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1">
    <w:name w:val="Светло оцветяване - Акцент 35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1">
    <w:name w:val="Светло оцветяване14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1">
    <w:name w:val="Светло оцветяване - Акцент 114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1">
    <w:name w:val="Светло оцветяване - Акцент 214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1">
    <w:name w:val="Светло оцветяване - Акцент 314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10">
    <w:name w:val="Светло оцветяване6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
    <w:name w:val="Светло оцветяване - Акцент 16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1">
    <w:name w:val="Светло оцветяване - Акцент 26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1">
    <w:name w:val="Светло оцветяване - Акцент 36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1">
    <w:name w:val="Светло оцветяване15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
    <w:name w:val="Светло оцветяване - Акцент 115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1">
    <w:name w:val="Светло оцветяване - Акцент 215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1">
    <w:name w:val="Светло оцветяване - Акцент 315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1">
    <w:name w:val="Светло оцветяване7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1">
    <w:name w:val="Светло оцветяване - Акцент 17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1">
    <w:name w:val="Светло оцветяване - Акцент 27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1">
    <w:name w:val="Светло оцветяване - Акцент 37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1">
    <w:name w:val="Светло оцветяване16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1">
    <w:name w:val="Светло оцветяване - Акцент 116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1">
    <w:name w:val="Светло оцветяване - Акцент 216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1">
    <w:name w:val="Светло оцветяване - Акцент 316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
    <w:name w:val="Светло оцветяване8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
    <w:name w:val="Светло оцветяване - Акцент 18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1">
    <w:name w:val="Светло оцветяване - Акцент 28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1">
    <w:name w:val="Светло оцветяване - Акцент 38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1">
    <w:name w:val="Светло оцветяване1721"/>
    <w:basedOn w:val="TableNormal"/>
    <w:uiPriority w:val="60"/>
    <w:rsid w:val="00063D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1">
    <w:name w:val="Светло оцветяване - Акцент 11721"/>
    <w:basedOn w:val="TableNormal"/>
    <w:uiPriority w:val="60"/>
    <w:rsid w:val="00063D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1">
    <w:name w:val="Светло оцветяване - Акцент 21721"/>
    <w:basedOn w:val="TableNormal"/>
    <w:uiPriority w:val="60"/>
    <w:rsid w:val="00063D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1">
    <w:name w:val="Светло оцветяване - Акцент 31721"/>
    <w:basedOn w:val="TableNormal"/>
    <w:uiPriority w:val="60"/>
    <w:rsid w:val="00063D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NormalWeb">
    <w:name w:val="Normal (Web)"/>
    <w:basedOn w:val="Normal"/>
    <w:uiPriority w:val="99"/>
    <w:semiHidden/>
    <w:unhideWhenUsed/>
    <w:rsid w:val="00063DD3"/>
    <w:pPr>
      <w:spacing w:before="100" w:beforeAutospacing="1" w:after="100" w:afterAutospacing="1" w:line="240" w:lineRule="auto"/>
    </w:pPr>
    <w:rPr>
      <w:rFonts w:ascii="Times New Roman" w:eastAsia="Times New Roman" w:hAnsi="Times New Roman"/>
      <w:sz w:val="24"/>
      <w:szCs w:val="24"/>
      <w:lang w:eastAsia="bg-BG"/>
    </w:rPr>
  </w:style>
  <w:style w:type="character" w:customStyle="1" w:styleId="11pt">
    <w:name w:val="Основен текст + 11 pt"/>
    <w:rsid w:val="00063DD3"/>
    <w:rPr>
      <w:rFonts w:ascii="Times New Roman" w:eastAsia="Times New Roman" w:hAnsi="Times New Roman" w:cs="Times New Roman"/>
      <w:b w:val="0"/>
      <w:bCs w:val="0"/>
      <w:i w:val="0"/>
      <w:iCs w:val="0"/>
      <w:smallCaps w:val="0"/>
      <w:strike w:val="0"/>
      <w:spacing w:val="-2"/>
      <w:sz w:val="22"/>
      <w:szCs w:val="22"/>
      <w:shd w:val="clear" w:color="auto" w:fill="FFFFFF"/>
    </w:rPr>
  </w:style>
  <w:style w:type="character" w:customStyle="1" w:styleId="a1">
    <w:name w:val="Основен текст + Удебелен"/>
    <w:rsid w:val="00063DD3"/>
    <w:rPr>
      <w:rFonts w:ascii="Times New Roman" w:eastAsia="Times New Roman" w:hAnsi="Times New Roman" w:cs="Times New Roman"/>
      <w:b/>
      <w:bCs/>
      <w:i w:val="0"/>
      <w:iCs w:val="0"/>
      <w:smallCaps w:val="0"/>
      <w:strike w:val="0"/>
      <w:spacing w:val="2"/>
      <w:sz w:val="26"/>
      <w:szCs w:val="26"/>
      <w:shd w:val="clear" w:color="auto" w:fill="FFFFFF"/>
    </w:rPr>
  </w:style>
  <w:style w:type="character" w:customStyle="1" w:styleId="a2">
    <w:name w:val="Основен текст + Курсив"/>
    <w:rsid w:val="00DF5898"/>
    <w:rPr>
      <w:rFonts w:ascii="Times New Roman" w:eastAsia="Times New Roman" w:hAnsi="Times New Roman" w:cs="Times New Roman"/>
      <w:b w:val="0"/>
      <w:bCs w:val="0"/>
      <w:i/>
      <w:iCs/>
      <w:smallCaps w:val="0"/>
      <w:strike w:val="0"/>
      <w:spacing w:val="0"/>
      <w:sz w:val="27"/>
      <w:szCs w:val="27"/>
      <w:shd w:val="clear" w:color="auto" w:fill="FFFFFF"/>
    </w:rPr>
  </w:style>
  <w:style w:type="numbering" w:customStyle="1" w:styleId="26">
    <w:name w:val="Без списък26"/>
    <w:next w:val="NoList"/>
    <w:uiPriority w:val="99"/>
    <w:semiHidden/>
    <w:unhideWhenUsed/>
    <w:rsid w:val="00A525C2"/>
  </w:style>
  <w:style w:type="numbering" w:customStyle="1" w:styleId="1130">
    <w:name w:val="Без списък113"/>
    <w:next w:val="NoList"/>
    <w:uiPriority w:val="99"/>
    <w:semiHidden/>
    <w:unhideWhenUsed/>
    <w:rsid w:val="00A525C2"/>
  </w:style>
  <w:style w:type="numbering" w:customStyle="1" w:styleId="114">
    <w:name w:val="Без списък114"/>
    <w:next w:val="NoList"/>
    <w:uiPriority w:val="99"/>
    <w:semiHidden/>
    <w:unhideWhenUsed/>
    <w:rsid w:val="00A525C2"/>
  </w:style>
  <w:style w:type="numbering" w:customStyle="1" w:styleId="11130">
    <w:name w:val="Без списък1113"/>
    <w:next w:val="NoList"/>
    <w:semiHidden/>
    <w:rsid w:val="00A525C2"/>
  </w:style>
  <w:style w:type="table" w:customStyle="1" w:styleId="84">
    <w:name w:val="Мрежа в таблица8"/>
    <w:basedOn w:val="TableNormal"/>
    <w:next w:val="TableGrid"/>
    <w:rsid w:val="00A525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Без списък11113"/>
    <w:next w:val="NoList"/>
    <w:uiPriority w:val="99"/>
    <w:semiHidden/>
    <w:unhideWhenUsed/>
    <w:rsid w:val="00A525C2"/>
  </w:style>
  <w:style w:type="table" w:customStyle="1" w:styleId="174">
    <w:name w:val="Мрежа в таблица17"/>
    <w:basedOn w:val="TableNormal"/>
    <w:next w:val="TableGrid"/>
    <w:uiPriority w:val="59"/>
    <w:rsid w:val="00A525C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ветло оцветяване24"/>
    <w:basedOn w:val="TableNormal"/>
    <w:next w:val="LightShading"/>
    <w:uiPriority w:val="60"/>
    <w:rsid w:val="00A525C2"/>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
    <w:name w:val="Светло оцветяване - Акцент 124"/>
    <w:basedOn w:val="TableNormal"/>
    <w:next w:val="LightShading-Accent1"/>
    <w:uiPriority w:val="60"/>
    <w:rsid w:val="00A525C2"/>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4">
    <w:name w:val="Светло оцветяване - Акцент 224"/>
    <w:basedOn w:val="TableNormal"/>
    <w:next w:val="LightShading-Accent2"/>
    <w:uiPriority w:val="60"/>
    <w:rsid w:val="00A525C2"/>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4">
    <w:name w:val="Светло оцветяване - Акцент 324"/>
    <w:basedOn w:val="TableNormal"/>
    <w:next w:val="LightShading-Accent3"/>
    <w:uiPriority w:val="60"/>
    <w:rsid w:val="00A525C2"/>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7">
    <w:name w:val="Без списък27"/>
    <w:next w:val="NoList"/>
    <w:uiPriority w:val="99"/>
    <w:semiHidden/>
    <w:unhideWhenUsed/>
    <w:rsid w:val="00A525C2"/>
  </w:style>
  <w:style w:type="numbering" w:customStyle="1" w:styleId="330">
    <w:name w:val="Без списък33"/>
    <w:next w:val="NoList"/>
    <w:uiPriority w:val="99"/>
    <w:semiHidden/>
    <w:unhideWhenUsed/>
    <w:rsid w:val="00A525C2"/>
  </w:style>
  <w:style w:type="numbering" w:customStyle="1" w:styleId="430">
    <w:name w:val="Без списък43"/>
    <w:next w:val="NoList"/>
    <w:uiPriority w:val="99"/>
    <w:semiHidden/>
    <w:unhideWhenUsed/>
    <w:rsid w:val="00A525C2"/>
  </w:style>
  <w:style w:type="numbering" w:customStyle="1" w:styleId="530">
    <w:name w:val="Без списък53"/>
    <w:next w:val="NoList"/>
    <w:uiPriority w:val="99"/>
    <w:semiHidden/>
    <w:unhideWhenUsed/>
    <w:rsid w:val="00A525C2"/>
  </w:style>
  <w:style w:type="numbering" w:customStyle="1" w:styleId="630">
    <w:name w:val="Без списък63"/>
    <w:next w:val="NoList"/>
    <w:uiPriority w:val="99"/>
    <w:semiHidden/>
    <w:unhideWhenUsed/>
    <w:rsid w:val="00A525C2"/>
  </w:style>
  <w:style w:type="table" w:customStyle="1" w:styleId="1140">
    <w:name w:val="Светло оцветяване11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
    <w:name w:val="Светло оцветяване - Акцент 111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
    <w:name w:val="Светло оцветяване - Акцент 211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4">
    <w:name w:val="Светло оцветяване - Акцент 311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20">
    <w:name w:val="Без списък72"/>
    <w:next w:val="NoList"/>
    <w:uiPriority w:val="99"/>
    <w:semiHidden/>
    <w:unhideWhenUsed/>
    <w:rsid w:val="00A525C2"/>
  </w:style>
  <w:style w:type="numbering" w:customStyle="1" w:styleId="1222">
    <w:name w:val="Без списък122"/>
    <w:next w:val="NoList"/>
    <w:uiPriority w:val="99"/>
    <w:semiHidden/>
    <w:unhideWhenUsed/>
    <w:rsid w:val="00A525C2"/>
  </w:style>
  <w:style w:type="table" w:customStyle="1" w:styleId="222">
    <w:name w:val="Мрежа в таблица22"/>
    <w:basedOn w:val="TableNormal"/>
    <w:next w:val="TableGrid"/>
    <w:rsid w:val="00A525C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ветло оцветяване25"/>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ветло оцветяване - Акцент 125"/>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5">
    <w:name w:val="Светло оцветяване - Акцент 225"/>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5">
    <w:name w:val="Светло оцветяване - Акцент 325"/>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2">
    <w:name w:val="Мрежа в таблица112"/>
    <w:basedOn w:val="TableNormal"/>
    <w:uiPriority w:val="59"/>
    <w:rsid w:val="00A525C2"/>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о оцветяване115"/>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о оцветяване - Акцент 1115"/>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
    <w:name w:val="Светло оцветяване - Акцент 2115"/>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5">
    <w:name w:val="Светло оцветяване - Акцент 3115"/>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20">
    <w:name w:val="Без списък82"/>
    <w:next w:val="NoList"/>
    <w:uiPriority w:val="99"/>
    <w:semiHidden/>
    <w:unhideWhenUsed/>
    <w:rsid w:val="00A525C2"/>
  </w:style>
  <w:style w:type="numbering" w:customStyle="1" w:styleId="1322">
    <w:name w:val="Без списък132"/>
    <w:next w:val="NoList"/>
    <w:uiPriority w:val="99"/>
    <w:semiHidden/>
    <w:unhideWhenUsed/>
    <w:rsid w:val="00A525C2"/>
  </w:style>
  <w:style w:type="numbering" w:customStyle="1" w:styleId="111112">
    <w:name w:val="Без списък111112"/>
    <w:next w:val="NoList"/>
    <w:semiHidden/>
    <w:rsid w:val="00A525C2"/>
  </w:style>
  <w:style w:type="table" w:customStyle="1" w:styleId="322">
    <w:name w:val="Мрежа в таблица32"/>
    <w:basedOn w:val="TableNormal"/>
    <w:next w:val="TableGrid"/>
    <w:rsid w:val="00A525C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Без списък1111111"/>
    <w:next w:val="NoList"/>
    <w:uiPriority w:val="99"/>
    <w:semiHidden/>
    <w:unhideWhenUsed/>
    <w:rsid w:val="00A525C2"/>
  </w:style>
  <w:style w:type="table" w:customStyle="1" w:styleId="1223">
    <w:name w:val="Мрежа в таблица122"/>
    <w:basedOn w:val="TableNormal"/>
    <w:next w:val="TableGrid"/>
    <w:uiPriority w:val="59"/>
    <w:rsid w:val="00A525C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ветло оцветяване34"/>
    <w:basedOn w:val="TableNormal"/>
    <w:next w:val="LightShading"/>
    <w:uiPriority w:val="60"/>
    <w:rsid w:val="00A525C2"/>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
    <w:name w:val="Светло оцветяване - Акцент 134"/>
    <w:basedOn w:val="TableNormal"/>
    <w:next w:val="LightShading-Accent1"/>
    <w:uiPriority w:val="60"/>
    <w:rsid w:val="00A525C2"/>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4">
    <w:name w:val="Светло оцветяване - Акцент 234"/>
    <w:basedOn w:val="TableNormal"/>
    <w:next w:val="LightShading-Accent2"/>
    <w:uiPriority w:val="60"/>
    <w:rsid w:val="00A525C2"/>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4">
    <w:name w:val="Светло оцветяване - Акцент 334"/>
    <w:basedOn w:val="TableNormal"/>
    <w:next w:val="LightShading-Accent3"/>
    <w:uiPriority w:val="60"/>
    <w:rsid w:val="00A525C2"/>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20">
    <w:name w:val="Без списък212"/>
    <w:next w:val="NoList"/>
    <w:uiPriority w:val="99"/>
    <w:semiHidden/>
    <w:unhideWhenUsed/>
    <w:rsid w:val="00A525C2"/>
  </w:style>
  <w:style w:type="numbering" w:customStyle="1" w:styleId="3121">
    <w:name w:val="Без списък312"/>
    <w:next w:val="NoList"/>
    <w:uiPriority w:val="99"/>
    <w:semiHidden/>
    <w:unhideWhenUsed/>
    <w:rsid w:val="00A525C2"/>
  </w:style>
  <w:style w:type="numbering" w:customStyle="1" w:styleId="4120">
    <w:name w:val="Без списък412"/>
    <w:next w:val="NoList"/>
    <w:uiPriority w:val="99"/>
    <w:semiHidden/>
    <w:unhideWhenUsed/>
    <w:rsid w:val="00A525C2"/>
  </w:style>
  <w:style w:type="numbering" w:customStyle="1" w:styleId="5120">
    <w:name w:val="Без списък512"/>
    <w:next w:val="NoList"/>
    <w:uiPriority w:val="99"/>
    <w:semiHidden/>
    <w:unhideWhenUsed/>
    <w:rsid w:val="00A525C2"/>
  </w:style>
  <w:style w:type="numbering" w:customStyle="1" w:styleId="6120">
    <w:name w:val="Без списък612"/>
    <w:next w:val="NoList"/>
    <w:uiPriority w:val="99"/>
    <w:semiHidden/>
    <w:unhideWhenUsed/>
    <w:rsid w:val="00A525C2"/>
  </w:style>
  <w:style w:type="table" w:customStyle="1" w:styleId="124">
    <w:name w:val="Светло оцветяване12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
    <w:name w:val="Светло оцветяване - Акцент 112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
    <w:name w:val="Светло оцветяване - Акцент 212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4">
    <w:name w:val="Светло оцветяване - Акцент 312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20">
    <w:name w:val="Без списък92"/>
    <w:next w:val="NoList"/>
    <w:uiPriority w:val="99"/>
    <w:semiHidden/>
    <w:unhideWhenUsed/>
    <w:rsid w:val="00A525C2"/>
  </w:style>
  <w:style w:type="numbering" w:customStyle="1" w:styleId="102">
    <w:name w:val="Без списък102"/>
    <w:next w:val="NoList"/>
    <w:uiPriority w:val="99"/>
    <w:semiHidden/>
    <w:unhideWhenUsed/>
    <w:rsid w:val="00A525C2"/>
  </w:style>
  <w:style w:type="numbering" w:customStyle="1" w:styleId="1422">
    <w:name w:val="Без списък142"/>
    <w:next w:val="NoList"/>
    <w:uiPriority w:val="99"/>
    <w:semiHidden/>
    <w:unhideWhenUsed/>
    <w:rsid w:val="00A525C2"/>
  </w:style>
  <w:style w:type="table" w:customStyle="1" w:styleId="422">
    <w:name w:val="Мрежа в таблица42"/>
    <w:basedOn w:val="TableNormal"/>
    <w:next w:val="TableGrid"/>
    <w:rsid w:val="00A525C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ветло оцветяване4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4">
    <w:name w:val="Светло оцветяване - Акцент 14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4">
    <w:name w:val="Светло оцветяване - Акцент 24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4">
    <w:name w:val="Светло оцветяване - Акцент 34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3">
    <w:name w:val="Мрежа в таблица132"/>
    <w:basedOn w:val="TableNormal"/>
    <w:uiPriority w:val="59"/>
    <w:rsid w:val="00A525C2"/>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ветло оцветяване134"/>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
    <w:name w:val="Светло оцветяване - Акцент 1134"/>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
    <w:name w:val="Светло оцветяване - Акцент 2134"/>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4">
    <w:name w:val="Светло оцветяване - Акцент 3134"/>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20">
    <w:name w:val="Без списък152"/>
    <w:next w:val="NoList"/>
    <w:uiPriority w:val="99"/>
    <w:semiHidden/>
    <w:unhideWhenUsed/>
    <w:rsid w:val="00A525C2"/>
  </w:style>
  <w:style w:type="numbering" w:customStyle="1" w:styleId="1620">
    <w:name w:val="Без списък162"/>
    <w:next w:val="NoList"/>
    <w:uiPriority w:val="99"/>
    <w:semiHidden/>
    <w:unhideWhenUsed/>
    <w:rsid w:val="00A525C2"/>
  </w:style>
  <w:style w:type="table" w:customStyle="1" w:styleId="522">
    <w:name w:val="Мрежа в таблица52"/>
    <w:basedOn w:val="TableNormal"/>
    <w:next w:val="TableGrid"/>
    <w:rsid w:val="00A525C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ветло оцветяване5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4">
    <w:name w:val="Светло оцветяване - Акцент 15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4">
    <w:name w:val="Светло оцветяване - Акцент 25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4">
    <w:name w:val="Светло оцветяване - Акцент 35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3">
    <w:name w:val="Мрежа в таблица142"/>
    <w:basedOn w:val="TableNormal"/>
    <w:uiPriority w:val="59"/>
    <w:rsid w:val="00A525C2"/>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ветло оцветяване144"/>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о оцветяване - Акцент 1144"/>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4">
    <w:name w:val="Светло оцветяване - Акцент 2144"/>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4">
    <w:name w:val="Светло оцветяване - Акцент 3144"/>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20">
    <w:name w:val="Без списък172"/>
    <w:next w:val="NoList"/>
    <w:uiPriority w:val="99"/>
    <w:semiHidden/>
    <w:unhideWhenUsed/>
    <w:rsid w:val="00A525C2"/>
  </w:style>
  <w:style w:type="numbering" w:customStyle="1" w:styleId="182">
    <w:name w:val="Без списък182"/>
    <w:next w:val="NoList"/>
    <w:uiPriority w:val="99"/>
    <w:semiHidden/>
    <w:unhideWhenUsed/>
    <w:rsid w:val="00A525C2"/>
  </w:style>
  <w:style w:type="table" w:customStyle="1" w:styleId="622">
    <w:name w:val="Мрежа в таблица62"/>
    <w:basedOn w:val="TableNormal"/>
    <w:next w:val="TableGrid"/>
    <w:rsid w:val="00A525C2"/>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ветло оцветяване6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
    <w:name w:val="Светло оцветяване - Акцент 16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4">
    <w:name w:val="Светло оцветяване - Акцент 26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4">
    <w:name w:val="Светло оцветяване - Акцент 36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2">
    <w:name w:val="Мрежа в таблица152"/>
    <w:basedOn w:val="TableNormal"/>
    <w:uiPriority w:val="59"/>
    <w:rsid w:val="00A525C2"/>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ветло оцветяване154"/>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
    <w:name w:val="Светло оцветяване - Акцент 1154"/>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4">
    <w:name w:val="Светло оцветяване - Акцент 2154"/>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4">
    <w:name w:val="Светло оцветяване - Акцент 3154"/>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2">
    <w:name w:val="Без списък192"/>
    <w:next w:val="NoList"/>
    <w:uiPriority w:val="99"/>
    <w:semiHidden/>
    <w:unhideWhenUsed/>
    <w:rsid w:val="00A525C2"/>
  </w:style>
  <w:style w:type="table" w:customStyle="1" w:styleId="74">
    <w:name w:val="Светло оцветяване7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4">
    <w:name w:val="Светло оцветяване - Акцент 17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4">
    <w:name w:val="Светло оцветяване - Акцент 27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4">
    <w:name w:val="Светло оцветяване - Акцент 37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4">
    <w:name w:val="Светло оцветяване164"/>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4">
    <w:name w:val="Светло оцветяване - Акцент 1164"/>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4">
    <w:name w:val="Светло оцветяване - Акцент 2164"/>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4">
    <w:name w:val="Светло оцветяване - Акцент 3164"/>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2">
    <w:name w:val="Без списък202"/>
    <w:next w:val="NoList"/>
    <w:uiPriority w:val="99"/>
    <w:semiHidden/>
    <w:unhideWhenUsed/>
    <w:rsid w:val="00A525C2"/>
  </w:style>
  <w:style w:type="table" w:customStyle="1" w:styleId="840">
    <w:name w:val="Светло оцветяване84"/>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4">
    <w:name w:val="Светло оцветяване - Акцент 184"/>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4">
    <w:name w:val="Светло оцветяване - Акцент 284"/>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4">
    <w:name w:val="Светло оцветяване - Акцент 384"/>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40">
    <w:name w:val="Светло оцветяване174"/>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4">
    <w:name w:val="Светло оцветяване - Акцент 1174"/>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4">
    <w:name w:val="Светло оцветяване - Акцент 2174"/>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4">
    <w:name w:val="Светло оцветяване - Акцент 3174"/>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20">
    <w:name w:val="Без списък222"/>
    <w:next w:val="NoList"/>
    <w:uiPriority w:val="99"/>
    <w:semiHidden/>
    <w:unhideWhenUsed/>
    <w:rsid w:val="00A525C2"/>
  </w:style>
  <w:style w:type="table" w:customStyle="1" w:styleId="93">
    <w:name w:val="Светло оцветяване93"/>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3">
    <w:name w:val="Светло оцветяване - Акцент 193"/>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
    <w:name w:val="Светло оцветяване - Акцент 293"/>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3">
    <w:name w:val="Светло оцветяване - Акцент 393"/>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20">
    <w:name w:val="Светло оцветяване18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2">
    <w:name w:val="Светло оцветяване - Акцент 118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2">
    <w:name w:val="Светло оцветяване - Акцент 218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2">
    <w:name w:val="Светло оцветяване - Акцент 318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21">
    <w:name w:val="Светло оцветяване2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
    <w:name w:val="Светло оцветяване - Акцент 12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2">
    <w:name w:val="Светло оцветяване - Акцент 22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2">
    <w:name w:val="Светло оцветяване - Акцент 32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20">
    <w:name w:val="Светло оцветяване11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о оцветяване - Акцент 111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2">
    <w:name w:val="Светло оцветяване - Акцент 211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2">
    <w:name w:val="Светло оцветяване - Акцент 311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3">
    <w:name w:val="Светло оцветяване313"/>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
    <w:name w:val="Светло оцветяване - Акцент 1313"/>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3">
    <w:name w:val="Светло оцветяване - Акцент 2313"/>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3">
    <w:name w:val="Светло оцветяване - Акцент 3313"/>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20">
    <w:name w:val="Светло оцветяване12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
    <w:name w:val="Светло оцветяване - Акцент 112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2">
    <w:name w:val="Светло оцветяване - Акцент 212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2">
    <w:name w:val="Светло оцветяване - Акцент 312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21">
    <w:name w:val="Светло оцветяване4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
    <w:name w:val="Светло оцветяване - Акцент 14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2">
    <w:name w:val="Светло оцветяване - Акцент 24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2">
    <w:name w:val="Светло оцветяване - Акцент 34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20">
    <w:name w:val="Светло оцветяване13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
    <w:name w:val="Светло оцветяване - Акцент 113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2">
    <w:name w:val="Светло оцветяване - Акцент 213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2">
    <w:name w:val="Светло оцветяване - Акцент 313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21">
    <w:name w:val="Светло оцветяване5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
    <w:name w:val="Светло оцветяване - Акцент 15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2">
    <w:name w:val="Светло оцветяване - Акцент 25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2">
    <w:name w:val="Светло оцветяване - Акцент 35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20">
    <w:name w:val="Светло оцветяване14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
    <w:name w:val="Светло оцветяване - Акцент 114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2">
    <w:name w:val="Светло оцветяване - Акцент 214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2">
    <w:name w:val="Светло оцветяване - Акцент 314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21">
    <w:name w:val="Светло оцветяване6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
    <w:name w:val="Светло оцветяване - Акцент 16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2">
    <w:name w:val="Светло оцветяване - Акцент 26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2">
    <w:name w:val="Светло оцветяване - Акцент 36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20">
    <w:name w:val="Светло оцветяване15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о оцветяване - Акцент 115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2">
    <w:name w:val="Светло оцветяване - Акцент 215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2">
    <w:name w:val="Светло оцветяване - Акцент 315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2">
    <w:name w:val="Светло оцветяване7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2">
    <w:name w:val="Светло оцветяване - Акцент 17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2">
    <w:name w:val="Светло оцветяване - Акцент 27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2">
    <w:name w:val="Светло оцветяване - Акцент 37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2">
    <w:name w:val="Светло оцветяване16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2">
    <w:name w:val="Светло оцветяване - Акцент 116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2">
    <w:name w:val="Светло оцветяване - Акцент 216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2">
    <w:name w:val="Светло оцветяване - Акцент 316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
    <w:name w:val="Светло оцветяване8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2">
    <w:name w:val="Светло оцветяване - Акцент 18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2">
    <w:name w:val="Светло оцветяване - Акцент 28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2">
    <w:name w:val="Светло оцветяване - Акцент 38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2">
    <w:name w:val="Светло оцветяване17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ветло оцветяване - Акцент 117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2">
    <w:name w:val="Светло оцветяване - Акцент 217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2">
    <w:name w:val="Светло оцветяване - Акцент 317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2">
    <w:name w:val="Светло оцветяване9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2">
    <w:name w:val="Светло оцветяване - Акцент 19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2">
    <w:name w:val="Светло оцветяване - Акцент 29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2">
    <w:name w:val="Светло оцветяване - Акцент 39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2">
    <w:name w:val="Светло оцветяване311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2">
    <w:name w:val="Светло оцветяване - Акцент 1311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2">
    <w:name w:val="Светло оцветяване - Акцент 2311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2">
    <w:name w:val="Светло оцветяване - Акцент 3311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2">
    <w:name w:val="Без списък232"/>
    <w:next w:val="NoList"/>
    <w:uiPriority w:val="99"/>
    <w:semiHidden/>
    <w:unhideWhenUsed/>
    <w:rsid w:val="00A525C2"/>
  </w:style>
  <w:style w:type="table" w:customStyle="1" w:styleId="1020">
    <w:name w:val="Светло оцветяване102"/>
    <w:basedOn w:val="TableNormal"/>
    <w:next w:val="LightShading"/>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2">
    <w:name w:val="Светло оцветяване - Акцент 1102"/>
    <w:basedOn w:val="TableNormal"/>
    <w:next w:val="LightShading-Accent1"/>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2">
    <w:name w:val="Светло оцветяване - Акцент 2102"/>
    <w:basedOn w:val="TableNormal"/>
    <w:next w:val="LightShading-Accent2"/>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2">
    <w:name w:val="Светло оцветяване - Акцент 3102"/>
    <w:basedOn w:val="TableNormal"/>
    <w:next w:val="LightShading-Accent3"/>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20">
    <w:name w:val="Светло оцветяване19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2">
    <w:name w:val="Светло оцветяване - Акцент 119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2">
    <w:name w:val="Светло оцветяване - Акцент 219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2">
    <w:name w:val="Светло оцветяване - Акцент 319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21">
    <w:name w:val="Светло оцветяване2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ветло оцветяване - Акцент 12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2">
    <w:name w:val="Светло оцветяване - Акцент 22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2">
    <w:name w:val="Светло оцветяване - Акцент 32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20">
    <w:name w:val="Светло оцветяване11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о оцветяване - Акцент 111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2">
    <w:name w:val="Светло оцветяване - Акцент 211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2">
    <w:name w:val="Светло оцветяване - Акцент 311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20">
    <w:name w:val="Светло оцветяване3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о оцветяване - Акцент 13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2">
    <w:name w:val="Светло оцветяване - Акцент 23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2">
    <w:name w:val="Светло оцветяване - Акцент 33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20">
    <w:name w:val="Светло оцветяване12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2">
    <w:name w:val="Светло оцветяване - Акцент 112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2">
    <w:name w:val="Светло оцветяване - Акцент 212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2">
    <w:name w:val="Светло оцветяване - Акцент 312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20">
    <w:name w:val="Светло оцветяване4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2">
    <w:name w:val="Светло оцветяване - Акцент 14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2">
    <w:name w:val="Светло оцветяване - Акцент 24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2">
    <w:name w:val="Светло оцветяване - Акцент 34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20">
    <w:name w:val="Светло оцветяване13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ветло оцветяване - Акцент 113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2">
    <w:name w:val="Светло оцветяване - Акцент 213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2">
    <w:name w:val="Светло оцветяване - Акцент 313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20">
    <w:name w:val="Светло оцветяване5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2">
    <w:name w:val="Светло оцветяване - Акцент 15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2">
    <w:name w:val="Светло оцветяване - Акцент 25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2">
    <w:name w:val="Светло оцветяване - Акцент 35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20">
    <w:name w:val="Светло оцветяване14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
    <w:name w:val="Светло оцветяване - Акцент 114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2">
    <w:name w:val="Светло оцветяване - Акцент 214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2">
    <w:name w:val="Светло оцветяване - Акцент 314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20">
    <w:name w:val="Светло оцветяване6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
    <w:name w:val="Светло оцветяване - Акцент 16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2">
    <w:name w:val="Светло оцветяване - Акцент 26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2">
    <w:name w:val="Светло оцветяване - Акцент 36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20">
    <w:name w:val="Светло оцветяване15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2">
    <w:name w:val="Светло оцветяване - Акцент 115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2">
    <w:name w:val="Светло оцветяване - Акцент 215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2">
    <w:name w:val="Светло оцветяване - Акцент 315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2">
    <w:name w:val="Светло оцветяване7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2">
    <w:name w:val="Светло оцветяване - Акцент 17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2">
    <w:name w:val="Светло оцветяване - Акцент 27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2">
    <w:name w:val="Светло оцветяване - Акцент 37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2">
    <w:name w:val="Светло оцветяване16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2">
    <w:name w:val="Светло оцветяване - Акцент 116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2">
    <w:name w:val="Светло оцветяване - Акцент 216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2">
    <w:name w:val="Светло оцветяване - Акцент 316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
    <w:name w:val="Светло оцветяване8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2">
    <w:name w:val="Светло оцветяване - Акцент 18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2">
    <w:name w:val="Светло оцветяване - Акцент 28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2">
    <w:name w:val="Светло оцветяване - Акцент 38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2">
    <w:name w:val="Светло оцветяване1722"/>
    <w:basedOn w:val="TableNormal"/>
    <w:uiPriority w:val="60"/>
    <w:rsid w:val="00A525C2"/>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2">
    <w:name w:val="Светло оцветяване - Акцент 11722"/>
    <w:basedOn w:val="TableNormal"/>
    <w:uiPriority w:val="60"/>
    <w:rsid w:val="00A525C2"/>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2">
    <w:name w:val="Светло оцветяване - Акцент 21722"/>
    <w:basedOn w:val="TableNormal"/>
    <w:uiPriority w:val="60"/>
    <w:rsid w:val="00A525C2"/>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2">
    <w:name w:val="Светло оцветяване - Акцент 31722"/>
    <w:basedOn w:val="TableNormal"/>
    <w:uiPriority w:val="60"/>
    <w:rsid w:val="00A525C2"/>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8">
    <w:name w:val="Без списък28"/>
    <w:next w:val="NoList"/>
    <w:uiPriority w:val="99"/>
    <w:semiHidden/>
    <w:unhideWhenUsed/>
    <w:rsid w:val="00A17F5C"/>
  </w:style>
  <w:style w:type="numbering" w:customStyle="1" w:styleId="1150">
    <w:name w:val="Без списък115"/>
    <w:next w:val="NoList"/>
    <w:uiPriority w:val="99"/>
    <w:semiHidden/>
    <w:unhideWhenUsed/>
    <w:rsid w:val="00A17F5C"/>
  </w:style>
  <w:style w:type="numbering" w:customStyle="1" w:styleId="116">
    <w:name w:val="Без списък116"/>
    <w:next w:val="NoList"/>
    <w:semiHidden/>
    <w:rsid w:val="00A17F5C"/>
  </w:style>
  <w:style w:type="table" w:customStyle="1" w:styleId="94">
    <w:name w:val="Мрежа в таблица9"/>
    <w:basedOn w:val="TableNormal"/>
    <w:next w:val="TableGrid"/>
    <w:rsid w:val="00A17F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Без списък1114"/>
    <w:next w:val="NoList"/>
    <w:uiPriority w:val="99"/>
    <w:semiHidden/>
    <w:unhideWhenUsed/>
    <w:rsid w:val="00A17F5C"/>
  </w:style>
  <w:style w:type="table" w:customStyle="1" w:styleId="183">
    <w:name w:val="Мрежа в таблица18"/>
    <w:basedOn w:val="TableNormal"/>
    <w:next w:val="TableGrid"/>
    <w:uiPriority w:val="59"/>
    <w:rsid w:val="00A17F5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ветло оцветяване26"/>
    <w:basedOn w:val="TableNormal"/>
    <w:next w:val="LightShading"/>
    <w:uiPriority w:val="60"/>
    <w:rsid w:val="00A17F5C"/>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
    <w:name w:val="Светло оцветяване - Акцент 126"/>
    <w:basedOn w:val="TableNormal"/>
    <w:next w:val="LightShading-Accent1"/>
    <w:uiPriority w:val="60"/>
    <w:rsid w:val="00A17F5C"/>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6">
    <w:name w:val="Светло оцветяване - Акцент 226"/>
    <w:basedOn w:val="TableNormal"/>
    <w:next w:val="LightShading-Accent2"/>
    <w:uiPriority w:val="60"/>
    <w:rsid w:val="00A17F5C"/>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6">
    <w:name w:val="Светло оцветяване - Акцент 326"/>
    <w:basedOn w:val="TableNormal"/>
    <w:next w:val="LightShading-Accent3"/>
    <w:uiPriority w:val="60"/>
    <w:rsid w:val="00A17F5C"/>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9">
    <w:name w:val="Без списък29"/>
    <w:next w:val="NoList"/>
    <w:uiPriority w:val="99"/>
    <w:semiHidden/>
    <w:unhideWhenUsed/>
    <w:rsid w:val="00A17F5C"/>
  </w:style>
  <w:style w:type="numbering" w:customStyle="1" w:styleId="340">
    <w:name w:val="Без списък34"/>
    <w:next w:val="NoList"/>
    <w:uiPriority w:val="99"/>
    <w:semiHidden/>
    <w:unhideWhenUsed/>
    <w:rsid w:val="00A17F5C"/>
  </w:style>
  <w:style w:type="numbering" w:customStyle="1" w:styleId="440">
    <w:name w:val="Без списък44"/>
    <w:next w:val="NoList"/>
    <w:uiPriority w:val="99"/>
    <w:semiHidden/>
    <w:unhideWhenUsed/>
    <w:rsid w:val="00A17F5C"/>
  </w:style>
  <w:style w:type="numbering" w:customStyle="1" w:styleId="540">
    <w:name w:val="Без списък54"/>
    <w:next w:val="NoList"/>
    <w:uiPriority w:val="99"/>
    <w:semiHidden/>
    <w:unhideWhenUsed/>
    <w:rsid w:val="00A17F5C"/>
  </w:style>
  <w:style w:type="numbering" w:customStyle="1" w:styleId="640">
    <w:name w:val="Без списък64"/>
    <w:next w:val="NoList"/>
    <w:uiPriority w:val="99"/>
    <w:semiHidden/>
    <w:unhideWhenUsed/>
    <w:rsid w:val="00A17F5C"/>
  </w:style>
  <w:style w:type="table" w:customStyle="1" w:styleId="1160">
    <w:name w:val="Светло оцветяване116"/>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6">
    <w:name w:val="Светло оцветяване - Акцент 1116"/>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6">
    <w:name w:val="Светло оцветяване - Акцент 2116"/>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6">
    <w:name w:val="Светло оцветяване - Акцент 3116"/>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31">
    <w:name w:val="Без списък73"/>
    <w:next w:val="NoList"/>
    <w:uiPriority w:val="99"/>
    <w:semiHidden/>
    <w:unhideWhenUsed/>
    <w:rsid w:val="00A17F5C"/>
  </w:style>
  <w:style w:type="numbering" w:customStyle="1" w:styleId="1230">
    <w:name w:val="Без списък123"/>
    <w:next w:val="NoList"/>
    <w:uiPriority w:val="99"/>
    <w:semiHidden/>
    <w:unhideWhenUsed/>
    <w:rsid w:val="00A17F5C"/>
  </w:style>
  <w:style w:type="table" w:customStyle="1" w:styleId="233">
    <w:name w:val="Мрежа в таблица23"/>
    <w:basedOn w:val="TableNormal"/>
    <w:next w:val="TableGrid"/>
    <w:rsid w:val="00A17F5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ветло оцветяване27"/>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
    <w:name w:val="Светло оцветяване - Акцент 127"/>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7">
    <w:name w:val="Светло оцветяване - Акцент 227"/>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7">
    <w:name w:val="Светло оцветяване - Акцент 327"/>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31">
    <w:name w:val="Мрежа в таблица113"/>
    <w:basedOn w:val="TableNormal"/>
    <w:uiPriority w:val="59"/>
    <w:rsid w:val="00A17F5C"/>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о оцветяване117"/>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7">
    <w:name w:val="Светло оцветяване - Акцент 1117"/>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7">
    <w:name w:val="Светло оцветяване - Акцент 2117"/>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7">
    <w:name w:val="Светло оцветяване - Акцент 3117"/>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30">
    <w:name w:val="Без списък83"/>
    <w:next w:val="NoList"/>
    <w:uiPriority w:val="99"/>
    <w:semiHidden/>
    <w:unhideWhenUsed/>
    <w:rsid w:val="00A17F5C"/>
  </w:style>
  <w:style w:type="numbering" w:customStyle="1" w:styleId="1330">
    <w:name w:val="Без списък133"/>
    <w:next w:val="NoList"/>
    <w:uiPriority w:val="99"/>
    <w:semiHidden/>
    <w:unhideWhenUsed/>
    <w:rsid w:val="00A17F5C"/>
  </w:style>
  <w:style w:type="numbering" w:customStyle="1" w:styleId="11114">
    <w:name w:val="Без списък11114"/>
    <w:next w:val="NoList"/>
    <w:semiHidden/>
    <w:rsid w:val="00A17F5C"/>
  </w:style>
  <w:style w:type="table" w:customStyle="1" w:styleId="331">
    <w:name w:val="Мрежа в таблица33"/>
    <w:basedOn w:val="TableNormal"/>
    <w:next w:val="TableGrid"/>
    <w:rsid w:val="00A17F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Без списък111113"/>
    <w:next w:val="NoList"/>
    <w:uiPriority w:val="99"/>
    <w:semiHidden/>
    <w:unhideWhenUsed/>
    <w:rsid w:val="00A17F5C"/>
  </w:style>
  <w:style w:type="table" w:customStyle="1" w:styleId="1231">
    <w:name w:val="Мрежа в таблица123"/>
    <w:basedOn w:val="TableNormal"/>
    <w:next w:val="TableGrid"/>
    <w:uiPriority w:val="59"/>
    <w:rsid w:val="00A17F5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ветло оцветяване35"/>
    <w:basedOn w:val="TableNormal"/>
    <w:next w:val="LightShading"/>
    <w:uiPriority w:val="60"/>
    <w:rsid w:val="00A17F5C"/>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о оцветяване - Акцент 135"/>
    <w:basedOn w:val="TableNormal"/>
    <w:next w:val="LightShading-Accent1"/>
    <w:uiPriority w:val="60"/>
    <w:rsid w:val="00A17F5C"/>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5">
    <w:name w:val="Светло оцветяване - Акцент 235"/>
    <w:basedOn w:val="TableNormal"/>
    <w:next w:val="LightShading-Accent2"/>
    <w:uiPriority w:val="60"/>
    <w:rsid w:val="00A17F5C"/>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5">
    <w:name w:val="Светло оцветяване - Акцент 335"/>
    <w:basedOn w:val="TableNormal"/>
    <w:next w:val="LightShading-Accent3"/>
    <w:uiPriority w:val="60"/>
    <w:rsid w:val="00A17F5C"/>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3">
    <w:name w:val="Без списък213"/>
    <w:next w:val="NoList"/>
    <w:uiPriority w:val="99"/>
    <w:semiHidden/>
    <w:unhideWhenUsed/>
    <w:rsid w:val="00A17F5C"/>
  </w:style>
  <w:style w:type="numbering" w:customStyle="1" w:styleId="3130">
    <w:name w:val="Без списък313"/>
    <w:next w:val="NoList"/>
    <w:uiPriority w:val="99"/>
    <w:semiHidden/>
    <w:unhideWhenUsed/>
    <w:rsid w:val="00A17F5C"/>
  </w:style>
  <w:style w:type="numbering" w:customStyle="1" w:styleId="413">
    <w:name w:val="Без списък413"/>
    <w:next w:val="NoList"/>
    <w:uiPriority w:val="99"/>
    <w:semiHidden/>
    <w:unhideWhenUsed/>
    <w:rsid w:val="00A17F5C"/>
  </w:style>
  <w:style w:type="numbering" w:customStyle="1" w:styleId="513">
    <w:name w:val="Без списък513"/>
    <w:next w:val="NoList"/>
    <w:uiPriority w:val="99"/>
    <w:semiHidden/>
    <w:unhideWhenUsed/>
    <w:rsid w:val="00A17F5C"/>
  </w:style>
  <w:style w:type="numbering" w:customStyle="1" w:styleId="613">
    <w:name w:val="Без списък613"/>
    <w:next w:val="NoList"/>
    <w:uiPriority w:val="99"/>
    <w:semiHidden/>
    <w:unhideWhenUsed/>
    <w:rsid w:val="00A17F5C"/>
  </w:style>
  <w:style w:type="table" w:customStyle="1" w:styleId="125">
    <w:name w:val="Светло оцветяване125"/>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5">
    <w:name w:val="Светло оцветяване - Акцент 1125"/>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5">
    <w:name w:val="Светло оцветяване - Акцент 2125"/>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5">
    <w:name w:val="Светло оцветяване - Акцент 3125"/>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30">
    <w:name w:val="Без списък93"/>
    <w:next w:val="NoList"/>
    <w:uiPriority w:val="99"/>
    <w:semiHidden/>
    <w:unhideWhenUsed/>
    <w:rsid w:val="00A17F5C"/>
  </w:style>
  <w:style w:type="numbering" w:customStyle="1" w:styleId="103">
    <w:name w:val="Без списък103"/>
    <w:next w:val="NoList"/>
    <w:uiPriority w:val="99"/>
    <w:semiHidden/>
    <w:unhideWhenUsed/>
    <w:rsid w:val="00A17F5C"/>
  </w:style>
  <w:style w:type="numbering" w:customStyle="1" w:styleId="1431">
    <w:name w:val="Без списък143"/>
    <w:next w:val="NoList"/>
    <w:uiPriority w:val="99"/>
    <w:semiHidden/>
    <w:unhideWhenUsed/>
    <w:rsid w:val="00A17F5C"/>
  </w:style>
  <w:style w:type="table" w:customStyle="1" w:styleId="431">
    <w:name w:val="Мрежа в таблица43"/>
    <w:basedOn w:val="TableNormal"/>
    <w:next w:val="TableGrid"/>
    <w:rsid w:val="00A17F5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ветло оцветяване45"/>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5">
    <w:name w:val="Светло оцветяване - Акцент 145"/>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5">
    <w:name w:val="Светло оцветяване - Акцент 245"/>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5">
    <w:name w:val="Светло оцветяване - Акцент 345"/>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31">
    <w:name w:val="Мрежа в таблица133"/>
    <w:basedOn w:val="TableNormal"/>
    <w:uiPriority w:val="59"/>
    <w:rsid w:val="00A17F5C"/>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ветло оцветяване135"/>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5">
    <w:name w:val="Светло оцветяване - Акцент 1135"/>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5">
    <w:name w:val="Светло оцветяване - Акцент 2135"/>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5">
    <w:name w:val="Светло оцветяване - Акцент 3135"/>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30">
    <w:name w:val="Без списък153"/>
    <w:next w:val="NoList"/>
    <w:uiPriority w:val="99"/>
    <w:semiHidden/>
    <w:unhideWhenUsed/>
    <w:rsid w:val="00A17F5C"/>
  </w:style>
  <w:style w:type="numbering" w:customStyle="1" w:styleId="1631">
    <w:name w:val="Без списък163"/>
    <w:next w:val="NoList"/>
    <w:uiPriority w:val="99"/>
    <w:semiHidden/>
    <w:unhideWhenUsed/>
    <w:rsid w:val="00A17F5C"/>
  </w:style>
  <w:style w:type="table" w:customStyle="1" w:styleId="531">
    <w:name w:val="Мрежа в таблица53"/>
    <w:basedOn w:val="TableNormal"/>
    <w:next w:val="TableGrid"/>
    <w:rsid w:val="00A17F5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ветло оцветяване55"/>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5">
    <w:name w:val="Светло оцветяване - Акцент 155"/>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5">
    <w:name w:val="Светло оцветяване - Акцент 255"/>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5">
    <w:name w:val="Светло оцветяване - Акцент 355"/>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32">
    <w:name w:val="Мрежа в таблица143"/>
    <w:basedOn w:val="TableNormal"/>
    <w:uiPriority w:val="59"/>
    <w:rsid w:val="00A17F5C"/>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ветло оцветяване145"/>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5">
    <w:name w:val="Светло оцветяване - Акцент 1145"/>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5">
    <w:name w:val="Светло оцветяване - Акцент 2145"/>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5">
    <w:name w:val="Светло оцветяване - Акцент 3145"/>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30">
    <w:name w:val="Без списък173"/>
    <w:next w:val="NoList"/>
    <w:uiPriority w:val="99"/>
    <w:semiHidden/>
    <w:unhideWhenUsed/>
    <w:rsid w:val="00A17F5C"/>
  </w:style>
  <w:style w:type="numbering" w:customStyle="1" w:styleId="1830">
    <w:name w:val="Без списък183"/>
    <w:next w:val="NoList"/>
    <w:uiPriority w:val="99"/>
    <w:semiHidden/>
    <w:unhideWhenUsed/>
    <w:rsid w:val="00A17F5C"/>
  </w:style>
  <w:style w:type="table" w:customStyle="1" w:styleId="631">
    <w:name w:val="Мрежа в таблица63"/>
    <w:basedOn w:val="TableNormal"/>
    <w:next w:val="TableGrid"/>
    <w:rsid w:val="00A17F5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ветло оцветяване65"/>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5">
    <w:name w:val="Светло оцветяване - Акцент 165"/>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5">
    <w:name w:val="Светло оцветяване - Акцент 265"/>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5">
    <w:name w:val="Светло оцветяване - Акцент 365"/>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31">
    <w:name w:val="Мрежа в таблица153"/>
    <w:basedOn w:val="TableNormal"/>
    <w:uiPriority w:val="59"/>
    <w:rsid w:val="00A17F5C"/>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ветло оцветяване155"/>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5">
    <w:name w:val="Светло оцветяване - Акцент 1155"/>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5">
    <w:name w:val="Светло оцветяване - Акцент 2155"/>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5">
    <w:name w:val="Светло оцветяване - Акцент 3155"/>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3">
    <w:name w:val="Без списък193"/>
    <w:next w:val="NoList"/>
    <w:uiPriority w:val="99"/>
    <w:semiHidden/>
    <w:unhideWhenUsed/>
    <w:rsid w:val="00A17F5C"/>
  </w:style>
  <w:style w:type="table" w:customStyle="1" w:styleId="75">
    <w:name w:val="Светло оцветяване75"/>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5">
    <w:name w:val="Светло оцветяване - Акцент 175"/>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5">
    <w:name w:val="Светло оцветяване - Акцент 275"/>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5">
    <w:name w:val="Светло оцветяване - Акцент 375"/>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5">
    <w:name w:val="Светло оцветяване165"/>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5">
    <w:name w:val="Светло оцветяване - Акцент 1165"/>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5">
    <w:name w:val="Светло оцветяване - Акцент 2165"/>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5">
    <w:name w:val="Светло оцветяване - Акцент 3165"/>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3">
    <w:name w:val="Без списък203"/>
    <w:next w:val="NoList"/>
    <w:uiPriority w:val="99"/>
    <w:semiHidden/>
    <w:unhideWhenUsed/>
    <w:rsid w:val="00A17F5C"/>
  </w:style>
  <w:style w:type="table" w:customStyle="1" w:styleId="85">
    <w:name w:val="Светло оцветяване85"/>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5">
    <w:name w:val="Светло оцветяване - Акцент 185"/>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5">
    <w:name w:val="Светло оцветяване - Акцент 285"/>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5">
    <w:name w:val="Светло оцветяване - Акцент 385"/>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5">
    <w:name w:val="Светло оцветяване175"/>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5">
    <w:name w:val="Светло оцветяване - Акцент 1175"/>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5">
    <w:name w:val="Светло оцветяване - Акцент 2175"/>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5">
    <w:name w:val="Светло оцветяване - Акцент 3175"/>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3">
    <w:name w:val="Без списък223"/>
    <w:next w:val="NoList"/>
    <w:uiPriority w:val="99"/>
    <w:semiHidden/>
    <w:unhideWhenUsed/>
    <w:rsid w:val="00A17F5C"/>
  </w:style>
  <w:style w:type="table" w:customStyle="1" w:styleId="940">
    <w:name w:val="Светло оцветяване94"/>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4">
    <w:name w:val="Светло оцветяване - Акцент 194"/>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4">
    <w:name w:val="Светло оцветяване - Акцент 294"/>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4">
    <w:name w:val="Светло оцветяване - Акцент 394"/>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31">
    <w:name w:val="Светло оцветяване18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3">
    <w:name w:val="Светло оцветяване - Акцент 118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3">
    <w:name w:val="Светло оцветяване - Акцент 218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3">
    <w:name w:val="Светло оцветяване - Акцент 318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30">
    <w:name w:val="Светло оцветяване2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
    <w:name w:val="Светло оцветяване - Акцент 12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3">
    <w:name w:val="Светло оцветяване - Акцент 22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3">
    <w:name w:val="Светло оцветяване - Акцент 32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31">
    <w:name w:val="Светло оцветяване11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о оцветяване - Акцент 111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3">
    <w:name w:val="Светло оцветяване - Акцент 211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3">
    <w:name w:val="Светло оцветяване - Акцент 311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4">
    <w:name w:val="Светло оцветяване314"/>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4">
    <w:name w:val="Светло оцветяване - Акцент 1314"/>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4">
    <w:name w:val="Светло оцветяване - Акцент 2314"/>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4">
    <w:name w:val="Светло оцветяване - Акцент 3314"/>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3">
    <w:name w:val="Светло оцветяване12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3">
    <w:name w:val="Светло оцветяване - Акцент 112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3">
    <w:name w:val="Светло оцветяване - Акцент 212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3">
    <w:name w:val="Светло оцветяване - Акцент 312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30">
    <w:name w:val="Светло оцветяване4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3">
    <w:name w:val="Светло оцветяване - Акцент 14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3">
    <w:name w:val="Светло оцветяване - Акцент 24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3">
    <w:name w:val="Светло оцветяване - Акцент 34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3">
    <w:name w:val="Светло оцветяване13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3">
    <w:name w:val="Светло оцветяване - Акцент 113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3">
    <w:name w:val="Светло оцветяване - Акцент 213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3">
    <w:name w:val="Светло оцветяване - Акцент 313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30">
    <w:name w:val="Светло оцветяване5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3">
    <w:name w:val="Светло оцветяване - Акцент 15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3">
    <w:name w:val="Светло оцветяване - Акцент 25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3">
    <w:name w:val="Светло оцветяване - Акцент 35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3">
    <w:name w:val="Светло оцветяване14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3">
    <w:name w:val="Светло оцветяване - Акцент 114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3">
    <w:name w:val="Светло оцветяване - Акцент 214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3">
    <w:name w:val="Светло оцветяване - Акцент 314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30">
    <w:name w:val="Светло оцветяване6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
    <w:name w:val="Светло оцветяване - Акцент 16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3">
    <w:name w:val="Светло оцветяване - Акцент 26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3">
    <w:name w:val="Светло оцветяване - Акцент 36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3">
    <w:name w:val="Светло оцветяване15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3">
    <w:name w:val="Светло оцветяване - Акцент 115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3">
    <w:name w:val="Светло оцветяване - Акцент 215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3">
    <w:name w:val="Светло оцветяване - Акцент 315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3">
    <w:name w:val="Светло оцветяване7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3">
    <w:name w:val="Светло оцветяване - Акцент 17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3">
    <w:name w:val="Светло оцветяване - Акцент 27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3">
    <w:name w:val="Светло оцветяване - Акцент 37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3">
    <w:name w:val="Светло оцветяване16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3">
    <w:name w:val="Светло оцветяване - Акцент 116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3">
    <w:name w:val="Светло оцветяване - Акцент 216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3">
    <w:name w:val="Светло оцветяване - Акцент 316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3">
    <w:name w:val="Светло оцветяване8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3">
    <w:name w:val="Светло оцветяване - Акцент 18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3">
    <w:name w:val="Светло оцветяване - Акцент 28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3">
    <w:name w:val="Светло оцветяване - Акцент 38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3">
    <w:name w:val="Светло оцветяване17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3">
    <w:name w:val="Светло оцветяване - Акцент 117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3">
    <w:name w:val="Светло оцветяване - Акцент 217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3">
    <w:name w:val="Светло оцветяване - Акцент 317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3">
    <w:name w:val="Светло оцветяване9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3">
    <w:name w:val="Светло оцветяване - Акцент 19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3">
    <w:name w:val="Светло оцветяване - Акцент 29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3">
    <w:name w:val="Светло оцветяване - Акцент 39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3">
    <w:name w:val="Светло оцветяване311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3">
    <w:name w:val="Светло оцветяване - Акцент 1311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3">
    <w:name w:val="Светло оцветяване - Акцент 2311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3">
    <w:name w:val="Светло оцветяване - Акцент 3311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30">
    <w:name w:val="Без списък233"/>
    <w:next w:val="NoList"/>
    <w:uiPriority w:val="99"/>
    <w:semiHidden/>
    <w:unhideWhenUsed/>
    <w:rsid w:val="00A17F5C"/>
  </w:style>
  <w:style w:type="table" w:customStyle="1" w:styleId="1030">
    <w:name w:val="Светло оцветяване103"/>
    <w:basedOn w:val="TableNormal"/>
    <w:next w:val="LightShading"/>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3">
    <w:name w:val="Светло оцветяване - Акцент 1103"/>
    <w:basedOn w:val="TableNormal"/>
    <w:next w:val="LightShading-Accent1"/>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3">
    <w:name w:val="Светло оцветяване - Акцент 2103"/>
    <w:basedOn w:val="TableNormal"/>
    <w:next w:val="LightShading-Accent2"/>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3">
    <w:name w:val="Светло оцветяване - Акцент 3103"/>
    <w:basedOn w:val="TableNormal"/>
    <w:next w:val="LightShading-Accent3"/>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30">
    <w:name w:val="Светло оцветяване19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3">
    <w:name w:val="Светло оцветяване - Акцент 119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3">
    <w:name w:val="Светло оцветяване - Акцент 219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3">
    <w:name w:val="Светло оцветяване - Акцент 319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30">
    <w:name w:val="Светло оцветяване2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3">
    <w:name w:val="Светло оцветяване - Акцент 12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3">
    <w:name w:val="Светло оцветяване - Акцент 22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3">
    <w:name w:val="Светло оцветяване - Акцент 32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3">
    <w:name w:val="Светло оцветяване11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
    <w:name w:val="Светло оцветяване - Акцент 111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3">
    <w:name w:val="Светло оцветяване - Акцент 211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3">
    <w:name w:val="Светло оцветяване - Акцент 311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3">
    <w:name w:val="Светло оцветяване3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3">
    <w:name w:val="Светло оцветяване - Акцент 13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3">
    <w:name w:val="Светло оцветяване - Акцент 23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3">
    <w:name w:val="Светло оцветяване - Акцент 33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30">
    <w:name w:val="Светло оцветяване12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3">
    <w:name w:val="Светло оцветяване - Акцент 112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3">
    <w:name w:val="Светло оцветяване - Акцент 212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3">
    <w:name w:val="Светло оцветяване - Акцент 312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3">
    <w:name w:val="Светло оцветяване4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3">
    <w:name w:val="Светло оцветяване - Акцент 14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3">
    <w:name w:val="Светло оцветяване - Акцент 24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3">
    <w:name w:val="Светло оцветяване - Акцент 34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30">
    <w:name w:val="Светло оцветяване13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3">
    <w:name w:val="Светло оцветяване - Акцент 113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3">
    <w:name w:val="Светло оцветяване - Акцент 213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3">
    <w:name w:val="Светло оцветяване - Акцент 313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3">
    <w:name w:val="Светло оцветяване5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3">
    <w:name w:val="Светло оцветяване - Акцент 15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3">
    <w:name w:val="Светло оцветяване - Акцент 25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3">
    <w:name w:val="Светло оцветяване - Акцент 35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30">
    <w:name w:val="Светло оцветяване14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3">
    <w:name w:val="Светло оцветяване - Акцент 114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3">
    <w:name w:val="Светло оцветяване - Акцент 214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3">
    <w:name w:val="Светло оцветяване - Акцент 314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3">
    <w:name w:val="Светло оцветяване6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3">
    <w:name w:val="Светло оцветяване - Акцент 16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3">
    <w:name w:val="Светло оцветяване - Акцент 26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3">
    <w:name w:val="Светло оцветяване - Акцент 36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3">
    <w:name w:val="Светло оцветяване15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3">
    <w:name w:val="Светло оцветяване - Акцент 115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3">
    <w:name w:val="Светло оцветяване - Акцент 215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3">
    <w:name w:val="Светло оцветяване - Акцент 315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3">
    <w:name w:val="Светло оцветяване7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3">
    <w:name w:val="Светло оцветяване - Акцент 17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3">
    <w:name w:val="Светло оцветяване - Акцент 27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3">
    <w:name w:val="Светло оцветяване - Акцент 37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3">
    <w:name w:val="Светло оцветяване16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3">
    <w:name w:val="Светло оцветяване - Акцент 116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3">
    <w:name w:val="Светло оцветяване - Акцент 216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3">
    <w:name w:val="Светло оцветяване - Акцент 316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3">
    <w:name w:val="Светло оцветяване8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3">
    <w:name w:val="Светло оцветяване - Акцент 18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3">
    <w:name w:val="Светло оцветяване - Акцент 28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3">
    <w:name w:val="Светло оцветяване - Акцент 38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3">
    <w:name w:val="Светло оцветяване1723"/>
    <w:basedOn w:val="TableNormal"/>
    <w:uiPriority w:val="60"/>
    <w:rsid w:val="00A17F5C"/>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3">
    <w:name w:val="Светло оцветяване - Акцент 11723"/>
    <w:basedOn w:val="TableNormal"/>
    <w:uiPriority w:val="60"/>
    <w:rsid w:val="00A17F5C"/>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3">
    <w:name w:val="Светло оцветяване - Акцент 21723"/>
    <w:basedOn w:val="TableNormal"/>
    <w:uiPriority w:val="60"/>
    <w:rsid w:val="00A17F5C"/>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3">
    <w:name w:val="Светло оцветяване - Акцент 31723"/>
    <w:basedOn w:val="TableNormal"/>
    <w:uiPriority w:val="60"/>
    <w:rsid w:val="00A17F5C"/>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2a">
    <w:name w:val="Основен текст (2)_"/>
    <w:link w:val="2b"/>
    <w:rsid w:val="00A17F5C"/>
    <w:rPr>
      <w:rFonts w:ascii="Times New Roman" w:eastAsia="Times New Roman" w:hAnsi="Times New Roman"/>
      <w:shd w:val="clear" w:color="auto" w:fill="FFFFFF"/>
    </w:rPr>
  </w:style>
  <w:style w:type="paragraph" w:customStyle="1" w:styleId="2b">
    <w:name w:val="Основен текст (2)"/>
    <w:basedOn w:val="Normal"/>
    <w:link w:val="2a"/>
    <w:rsid w:val="00A17F5C"/>
    <w:pPr>
      <w:widowControl w:val="0"/>
      <w:shd w:val="clear" w:color="auto" w:fill="FFFFFF"/>
      <w:spacing w:before="180" w:after="480" w:line="0" w:lineRule="atLeast"/>
    </w:pPr>
    <w:rPr>
      <w:rFonts w:ascii="Times New Roman" w:eastAsia="Times New Roman" w:hAnsi="Times New Roman"/>
      <w:sz w:val="20"/>
      <w:szCs w:val="20"/>
      <w:lang w:eastAsia="bg-BG"/>
    </w:rPr>
  </w:style>
  <w:style w:type="character" w:customStyle="1" w:styleId="176">
    <w:name w:val="Основен текст (17)_"/>
    <w:link w:val="177"/>
    <w:rsid w:val="00A17F5C"/>
    <w:rPr>
      <w:rFonts w:ascii="Times New Roman" w:eastAsia="Times New Roman" w:hAnsi="Times New Roman"/>
      <w:i/>
      <w:iCs/>
      <w:shd w:val="clear" w:color="auto" w:fill="FFFFFF"/>
    </w:rPr>
  </w:style>
  <w:style w:type="character" w:customStyle="1" w:styleId="178">
    <w:name w:val="Основен текст (17) + Не е курсив"/>
    <w:rsid w:val="00A17F5C"/>
    <w:rPr>
      <w:rFonts w:ascii="Times New Roman" w:eastAsia="Times New Roman" w:hAnsi="Times New Roman" w:cs="Times New Roman"/>
      <w:b w:val="0"/>
      <w:bCs w:val="0"/>
      <w:i/>
      <w:iCs/>
      <w:smallCaps w:val="0"/>
      <w:strike w:val="0"/>
      <w:color w:val="000000"/>
      <w:spacing w:val="0"/>
      <w:w w:val="100"/>
      <w:position w:val="0"/>
      <w:sz w:val="24"/>
      <w:szCs w:val="24"/>
      <w:u w:val="none"/>
      <w:lang w:val="bg-BG" w:eastAsia="bg-BG" w:bidi="bg-BG"/>
    </w:rPr>
  </w:style>
  <w:style w:type="paragraph" w:customStyle="1" w:styleId="177">
    <w:name w:val="Основен текст (17)"/>
    <w:basedOn w:val="Normal"/>
    <w:link w:val="176"/>
    <w:rsid w:val="00A17F5C"/>
    <w:pPr>
      <w:widowControl w:val="0"/>
      <w:shd w:val="clear" w:color="auto" w:fill="FFFFFF"/>
      <w:spacing w:after="0" w:line="317" w:lineRule="exact"/>
      <w:jc w:val="both"/>
    </w:pPr>
    <w:rPr>
      <w:rFonts w:ascii="Times New Roman" w:eastAsia="Times New Roman" w:hAnsi="Times New Roman"/>
      <w:i/>
      <w:iCs/>
      <w:sz w:val="20"/>
      <w:szCs w:val="20"/>
      <w:lang w:eastAsia="bg-BG"/>
    </w:rPr>
  </w:style>
  <w:style w:type="character" w:customStyle="1" w:styleId="46">
    <w:name w:val="Основен текст (4)_"/>
    <w:link w:val="47"/>
    <w:rsid w:val="00A17F5C"/>
    <w:rPr>
      <w:rFonts w:ascii="Times New Roman" w:eastAsia="Times New Roman" w:hAnsi="Times New Roman"/>
      <w:shd w:val="clear" w:color="auto" w:fill="FFFFFF"/>
    </w:rPr>
  </w:style>
  <w:style w:type="character" w:customStyle="1" w:styleId="76">
    <w:name w:val="Основен текст (7)_"/>
    <w:link w:val="77"/>
    <w:rsid w:val="00A17F5C"/>
    <w:rPr>
      <w:rFonts w:ascii="Times New Roman" w:eastAsia="Times New Roman" w:hAnsi="Times New Roman"/>
      <w:b/>
      <w:bCs/>
      <w:sz w:val="21"/>
      <w:szCs w:val="21"/>
      <w:shd w:val="clear" w:color="auto" w:fill="FFFFFF"/>
    </w:rPr>
  </w:style>
  <w:style w:type="character" w:customStyle="1" w:styleId="4105pt">
    <w:name w:val="Основен текст (4) + 10;5 pt;Удебелен"/>
    <w:rsid w:val="00A17F5C"/>
    <w:rPr>
      <w:rFonts w:ascii="Times New Roman" w:eastAsia="Times New Roman" w:hAnsi="Times New Roman" w:cs="Times New Roman"/>
      <w:b/>
      <w:bCs/>
      <w:i w:val="0"/>
      <w:iCs w:val="0"/>
      <w:smallCaps w:val="0"/>
      <w:strike w:val="0"/>
      <w:color w:val="000000"/>
      <w:spacing w:val="0"/>
      <w:w w:val="100"/>
      <w:position w:val="0"/>
      <w:sz w:val="21"/>
      <w:szCs w:val="21"/>
      <w:u w:val="none"/>
      <w:lang w:val="bg-BG" w:eastAsia="bg-BG" w:bidi="bg-BG"/>
    </w:rPr>
  </w:style>
  <w:style w:type="character" w:customStyle="1" w:styleId="86">
    <w:name w:val="Основен текст (8)_"/>
    <w:link w:val="87"/>
    <w:rsid w:val="00A17F5C"/>
    <w:rPr>
      <w:rFonts w:ascii="Times New Roman" w:eastAsia="Times New Roman" w:hAnsi="Times New Roman"/>
      <w:b/>
      <w:bCs/>
      <w:i/>
      <w:iCs/>
      <w:sz w:val="21"/>
      <w:szCs w:val="21"/>
      <w:shd w:val="clear" w:color="auto" w:fill="FFFFFF"/>
    </w:rPr>
  </w:style>
  <w:style w:type="character" w:customStyle="1" w:styleId="810pt">
    <w:name w:val="Основен текст (8) + 10 pt;Не е удебелен;Не е курсив"/>
    <w:rsid w:val="00A17F5C"/>
    <w:rPr>
      <w:rFonts w:ascii="Times New Roman" w:eastAsia="Times New Roman" w:hAnsi="Times New Roman" w:cs="Times New Roman"/>
      <w:b/>
      <w:bCs/>
      <w:i/>
      <w:iCs/>
      <w:smallCaps w:val="0"/>
      <w:strike w:val="0"/>
      <w:color w:val="000000"/>
      <w:spacing w:val="0"/>
      <w:w w:val="100"/>
      <w:position w:val="0"/>
      <w:sz w:val="20"/>
      <w:szCs w:val="20"/>
      <w:u w:val="none"/>
      <w:lang w:val="bg-BG" w:eastAsia="bg-BG" w:bidi="bg-BG"/>
    </w:rPr>
  </w:style>
  <w:style w:type="character" w:customStyle="1" w:styleId="88">
    <w:name w:val="Основен текст (8) + Не е удебелен"/>
    <w:rsid w:val="00A17F5C"/>
    <w:rPr>
      <w:rFonts w:ascii="Times New Roman" w:eastAsia="Times New Roman" w:hAnsi="Times New Roman" w:cs="Times New Roman"/>
      <w:b/>
      <w:bCs/>
      <w:i/>
      <w:iCs/>
      <w:smallCaps w:val="0"/>
      <w:strike w:val="0"/>
      <w:color w:val="000000"/>
      <w:spacing w:val="0"/>
      <w:w w:val="100"/>
      <w:position w:val="0"/>
      <w:sz w:val="21"/>
      <w:szCs w:val="21"/>
      <w:u w:val="none"/>
      <w:lang w:val="bg-BG" w:eastAsia="bg-BG" w:bidi="bg-BG"/>
    </w:rPr>
  </w:style>
  <w:style w:type="character" w:customStyle="1" w:styleId="89">
    <w:name w:val="Основен текст (8) + Не е курсив"/>
    <w:rsid w:val="00A17F5C"/>
    <w:rPr>
      <w:rFonts w:ascii="Times New Roman" w:eastAsia="Times New Roman" w:hAnsi="Times New Roman" w:cs="Times New Roman"/>
      <w:b/>
      <w:bCs/>
      <w:i/>
      <w:iCs/>
      <w:smallCaps w:val="0"/>
      <w:strike w:val="0"/>
      <w:color w:val="000000"/>
      <w:spacing w:val="0"/>
      <w:w w:val="100"/>
      <w:position w:val="0"/>
      <w:sz w:val="21"/>
      <w:szCs w:val="21"/>
      <w:u w:val="none"/>
      <w:lang w:val="bg-BG" w:eastAsia="bg-BG" w:bidi="bg-BG"/>
    </w:rPr>
  </w:style>
  <w:style w:type="paragraph" w:customStyle="1" w:styleId="47">
    <w:name w:val="Основен текст (4)"/>
    <w:basedOn w:val="Normal"/>
    <w:link w:val="46"/>
    <w:rsid w:val="00A17F5C"/>
    <w:pPr>
      <w:widowControl w:val="0"/>
      <w:shd w:val="clear" w:color="auto" w:fill="FFFFFF"/>
      <w:spacing w:before="180" w:after="1080" w:line="0" w:lineRule="atLeast"/>
      <w:ind w:hanging="380"/>
      <w:jc w:val="right"/>
    </w:pPr>
    <w:rPr>
      <w:rFonts w:ascii="Times New Roman" w:eastAsia="Times New Roman" w:hAnsi="Times New Roman"/>
      <w:sz w:val="20"/>
      <w:szCs w:val="20"/>
      <w:lang w:eastAsia="bg-BG"/>
    </w:rPr>
  </w:style>
  <w:style w:type="paragraph" w:customStyle="1" w:styleId="77">
    <w:name w:val="Основен текст (7)"/>
    <w:basedOn w:val="Normal"/>
    <w:link w:val="76"/>
    <w:rsid w:val="00A17F5C"/>
    <w:pPr>
      <w:widowControl w:val="0"/>
      <w:shd w:val="clear" w:color="auto" w:fill="FFFFFF"/>
      <w:spacing w:after="0" w:line="274" w:lineRule="exact"/>
      <w:ind w:hanging="1480"/>
    </w:pPr>
    <w:rPr>
      <w:rFonts w:ascii="Times New Roman" w:eastAsia="Times New Roman" w:hAnsi="Times New Roman"/>
      <w:b/>
      <w:bCs/>
      <w:sz w:val="21"/>
      <w:szCs w:val="21"/>
      <w:lang w:eastAsia="bg-BG"/>
    </w:rPr>
  </w:style>
  <w:style w:type="paragraph" w:customStyle="1" w:styleId="87">
    <w:name w:val="Основен текст (8)"/>
    <w:basedOn w:val="Normal"/>
    <w:link w:val="86"/>
    <w:rsid w:val="00A17F5C"/>
    <w:pPr>
      <w:widowControl w:val="0"/>
      <w:shd w:val="clear" w:color="auto" w:fill="FFFFFF"/>
      <w:spacing w:before="60" w:after="240" w:line="284" w:lineRule="exact"/>
      <w:ind w:hanging="380"/>
      <w:jc w:val="both"/>
    </w:pPr>
    <w:rPr>
      <w:rFonts w:ascii="Times New Roman" w:eastAsia="Times New Roman" w:hAnsi="Times New Roman"/>
      <w:b/>
      <w:bCs/>
      <w:i/>
      <w:iCs/>
      <w:sz w:val="21"/>
      <w:szCs w:val="21"/>
      <w:lang w:eastAsia="bg-BG"/>
    </w:rPr>
  </w:style>
  <w:style w:type="table" w:customStyle="1" w:styleId="104">
    <w:name w:val="Мрежа в таблица10"/>
    <w:basedOn w:val="TableNormal"/>
    <w:next w:val="TableGrid"/>
    <w:uiPriority w:val="59"/>
    <w:rsid w:val="00980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
    <w:name w:val="Char Char Знак Char Char Знак Char Char Знак Char Знак Char Char Знак Char Char Знак Char Знак Char Char"/>
    <w:basedOn w:val="Normal"/>
    <w:rsid w:val="009802BD"/>
    <w:pPr>
      <w:tabs>
        <w:tab w:val="left" w:pos="709"/>
      </w:tabs>
      <w:spacing w:after="0" w:line="312" w:lineRule="auto"/>
      <w:ind w:firstLine="720"/>
    </w:pPr>
    <w:rPr>
      <w:rFonts w:ascii="Tahoma" w:eastAsia="Times New Roman" w:hAnsi="Tahoma"/>
      <w:bCs/>
      <w:color w:val="000000"/>
      <w:spacing w:val="-12"/>
      <w:sz w:val="24"/>
      <w:szCs w:val="24"/>
      <w:lang w:val="pl-PL" w:eastAsia="pl-PL"/>
    </w:rPr>
  </w:style>
  <w:style w:type="numbering" w:customStyle="1" w:styleId="300">
    <w:name w:val="Без списък30"/>
    <w:next w:val="NoList"/>
    <w:uiPriority w:val="99"/>
    <w:semiHidden/>
    <w:unhideWhenUsed/>
    <w:rsid w:val="00867DD0"/>
  </w:style>
  <w:style w:type="numbering" w:customStyle="1" w:styleId="1170">
    <w:name w:val="Без списък117"/>
    <w:next w:val="NoList"/>
    <w:uiPriority w:val="99"/>
    <w:semiHidden/>
    <w:unhideWhenUsed/>
    <w:rsid w:val="00867DD0"/>
  </w:style>
  <w:style w:type="numbering" w:customStyle="1" w:styleId="118">
    <w:name w:val="Без списък118"/>
    <w:next w:val="NoList"/>
    <w:semiHidden/>
    <w:rsid w:val="00867DD0"/>
  </w:style>
  <w:style w:type="table" w:customStyle="1" w:styleId="194">
    <w:name w:val="Мрежа в таблица19"/>
    <w:basedOn w:val="TableNormal"/>
    <w:next w:val="TableGrid"/>
    <w:rsid w:val="00867D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Без списък1115"/>
    <w:next w:val="NoList"/>
    <w:uiPriority w:val="99"/>
    <w:semiHidden/>
    <w:unhideWhenUsed/>
    <w:rsid w:val="00867DD0"/>
  </w:style>
  <w:style w:type="table" w:customStyle="1" w:styleId="1102">
    <w:name w:val="Мрежа в таблица110"/>
    <w:basedOn w:val="TableNormal"/>
    <w:next w:val="TableGrid"/>
    <w:uiPriority w:val="59"/>
    <w:rsid w:val="00867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ветло оцветяване28"/>
    <w:basedOn w:val="TableNormal"/>
    <w:next w:val="LightShading"/>
    <w:uiPriority w:val="60"/>
    <w:rsid w:val="00867DD0"/>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Светло оцветяване - Акцент 128"/>
    <w:basedOn w:val="TableNormal"/>
    <w:next w:val="LightShading-Accent1"/>
    <w:uiPriority w:val="60"/>
    <w:rsid w:val="00867DD0"/>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8">
    <w:name w:val="Светло оцветяване - Акцент 228"/>
    <w:basedOn w:val="TableNormal"/>
    <w:next w:val="LightShading-Accent2"/>
    <w:uiPriority w:val="60"/>
    <w:rsid w:val="00867DD0"/>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8">
    <w:name w:val="Светло оцветяване - Акцент 328"/>
    <w:basedOn w:val="TableNormal"/>
    <w:next w:val="LightShading-Accent3"/>
    <w:uiPriority w:val="60"/>
    <w:rsid w:val="00867DD0"/>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00">
    <w:name w:val="Без списък210"/>
    <w:next w:val="NoList"/>
    <w:uiPriority w:val="99"/>
    <w:semiHidden/>
    <w:unhideWhenUsed/>
    <w:rsid w:val="00867DD0"/>
  </w:style>
  <w:style w:type="numbering" w:customStyle="1" w:styleId="350">
    <w:name w:val="Без списък35"/>
    <w:next w:val="NoList"/>
    <w:uiPriority w:val="99"/>
    <w:semiHidden/>
    <w:unhideWhenUsed/>
    <w:rsid w:val="00867DD0"/>
  </w:style>
  <w:style w:type="numbering" w:customStyle="1" w:styleId="450">
    <w:name w:val="Без списък45"/>
    <w:next w:val="NoList"/>
    <w:uiPriority w:val="99"/>
    <w:semiHidden/>
    <w:unhideWhenUsed/>
    <w:rsid w:val="00867DD0"/>
  </w:style>
  <w:style w:type="numbering" w:customStyle="1" w:styleId="550">
    <w:name w:val="Без списък55"/>
    <w:next w:val="NoList"/>
    <w:uiPriority w:val="99"/>
    <w:semiHidden/>
    <w:unhideWhenUsed/>
    <w:rsid w:val="00867DD0"/>
  </w:style>
  <w:style w:type="numbering" w:customStyle="1" w:styleId="650">
    <w:name w:val="Без списък65"/>
    <w:next w:val="NoList"/>
    <w:uiPriority w:val="99"/>
    <w:semiHidden/>
    <w:unhideWhenUsed/>
    <w:rsid w:val="00867DD0"/>
  </w:style>
  <w:style w:type="table" w:customStyle="1" w:styleId="1180">
    <w:name w:val="Светло оцветяване118"/>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8">
    <w:name w:val="Светло оцветяване - Акцент 1118"/>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8">
    <w:name w:val="Светло оцветяване - Акцент 2118"/>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8">
    <w:name w:val="Светло оцветяване - Акцент 3118"/>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40">
    <w:name w:val="Без списък74"/>
    <w:next w:val="NoList"/>
    <w:uiPriority w:val="99"/>
    <w:semiHidden/>
    <w:unhideWhenUsed/>
    <w:rsid w:val="00867DD0"/>
  </w:style>
  <w:style w:type="numbering" w:customStyle="1" w:styleId="1240">
    <w:name w:val="Без списък124"/>
    <w:next w:val="NoList"/>
    <w:uiPriority w:val="99"/>
    <w:semiHidden/>
    <w:unhideWhenUsed/>
    <w:rsid w:val="00867DD0"/>
  </w:style>
  <w:style w:type="table" w:customStyle="1" w:styleId="241">
    <w:name w:val="Мрежа в таблица24"/>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ветло оцветяване29"/>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ветло оцветяване - Акцент 129"/>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9">
    <w:name w:val="Светло оцветяване - Акцент 229"/>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9">
    <w:name w:val="Светло оцветяване - Акцент 329"/>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41">
    <w:name w:val="Мрежа в таблица114"/>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ветло оцветяване119"/>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9">
    <w:name w:val="Светло оцветяване - Акцент 1119"/>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9">
    <w:name w:val="Светло оцветяване - Акцент 2119"/>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9">
    <w:name w:val="Светло оцветяване - Акцент 3119"/>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41">
    <w:name w:val="Без списък84"/>
    <w:next w:val="NoList"/>
    <w:uiPriority w:val="99"/>
    <w:semiHidden/>
    <w:unhideWhenUsed/>
    <w:rsid w:val="00867DD0"/>
  </w:style>
  <w:style w:type="numbering" w:customStyle="1" w:styleId="1340">
    <w:name w:val="Без списък134"/>
    <w:next w:val="NoList"/>
    <w:uiPriority w:val="99"/>
    <w:semiHidden/>
    <w:unhideWhenUsed/>
    <w:rsid w:val="00867DD0"/>
  </w:style>
  <w:style w:type="numbering" w:customStyle="1" w:styleId="11115">
    <w:name w:val="Без списък11115"/>
    <w:next w:val="NoList"/>
    <w:semiHidden/>
    <w:rsid w:val="00867DD0"/>
  </w:style>
  <w:style w:type="table" w:customStyle="1" w:styleId="341">
    <w:name w:val="Мрежа в таблица34"/>
    <w:basedOn w:val="TableNormal"/>
    <w:next w:val="TableGrid"/>
    <w:rsid w:val="00867D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Без списък111114"/>
    <w:next w:val="NoList"/>
    <w:uiPriority w:val="99"/>
    <w:semiHidden/>
    <w:unhideWhenUsed/>
    <w:rsid w:val="00867DD0"/>
  </w:style>
  <w:style w:type="table" w:customStyle="1" w:styleId="1241">
    <w:name w:val="Мрежа в таблица124"/>
    <w:basedOn w:val="TableNormal"/>
    <w:next w:val="TableGrid"/>
    <w:uiPriority w:val="59"/>
    <w:rsid w:val="00867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ветло оцветяване36"/>
    <w:basedOn w:val="TableNormal"/>
    <w:next w:val="LightShading"/>
    <w:uiPriority w:val="60"/>
    <w:rsid w:val="00867DD0"/>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6">
    <w:name w:val="Светло оцветяване - Акцент 136"/>
    <w:basedOn w:val="TableNormal"/>
    <w:next w:val="LightShading-Accent1"/>
    <w:uiPriority w:val="60"/>
    <w:rsid w:val="00867DD0"/>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6">
    <w:name w:val="Светло оцветяване - Акцент 236"/>
    <w:basedOn w:val="TableNormal"/>
    <w:next w:val="LightShading-Accent2"/>
    <w:uiPriority w:val="60"/>
    <w:rsid w:val="00867DD0"/>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6">
    <w:name w:val="Светло оцветяване - Акцент 336"/>
    <w:basedOn w:val="TableNormal"/>
    <w:next w:val="LightShading-Accent3"/>
    <w:uiPriority w:val="60"/>
    <w:rsid w:val="00867DD0"/>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4">
    <w:name w:val="Без списък214"/>
    <w:next w:val="NoList"/>
    <w:uiPriority w:val="99"/>
    <w:semiHidden/>
    <w:unhideWhenUsed/>
    <w:rsid w:val="00867DD0"/>
  </w:style>
  <w:style w:type="numbering" w:customStyle="1" w:styleId="3140">
    <w:name w:val="Без списък314"/>
    <w:next w:val="NoList"/>
    <w:uiPriority w:val="99"/>
    <w:semiHidden/>
    <w:unhideWhenUsed/>
    <w:rsid w:val="00867DD0"/>
  </w:style>
  <w:style w:type="numbering" w:customStyle="1" w:styleId="414">
    <w:name w:val="Без списък414"/>
    <w:next w:val="NoList"/>
    <w:uiPriority w:val="99"/>
    <w:semiHidden/>
    <w:unhideWhenUsed/>
    <w:rsid w:val="00867DD0"/>
  </w:style>
  <w:style w:type="numbering" w:customStyle="1" w:styleId="514">
    <w:name w:val="Без списък514"/>
    <w:next w:val="NoList"/>
    <w:uiPriority w:val="99"/>
    <w:semiHidden/>
    <w:unhideWhenUsed/>
    <w:rsid w:val="00867DD0"/>
  </w:style>
  <w:style w:type="numbering" w:customStyle="1" w:styleId="614">
    <w:name w:val="Без списък614"/>
    <w:next w:val="NoList"/>
    <w:uiPriority w:val="99"/>
    <w:semiHidden/>
    <w:unhideWhenUsed/>
    <w:rsid w:val="00867DD0"/>
  </w:style>
  <w:style w:type="table" w:customStyle="1" w:styleId="126">
    <w:name w:val="Светло оцветяване126"/>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6">
    <w:name w:val="Светло оцветяване - Акцент 1126"/>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6">
    <w:name w:val="Светло оцветяване - Акцент 2126"/>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6">
    <w:name w:val="Светло оцветяване - Акцент 3126"/>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41">
    <w:name w:val="Без списък94"/>
    <w:next w:val="NoList"/>
    <w:uiPriority w:val="99"/>
    <w:semiHidden/>
    <w:unhideWhenUsed/>
    <w:rsid w:val="00867DD0"/>
  </w:style>
  <w:style w:type="numbering" w:customStyle="1" w:styleId="1040">
    <w:name w:val="Без списък104"/>
    <w:next w:val="NoList"/>
    <w:uiPriority w:val="99"/>
    <w:semiHidden/>
    <w:unhideWhenUsed/>
    <w:rsid w:val="00867DD0"/>
  </w:style>
  <w:style w:type="numbering" w:customStyle="1" w:styleId="1440">
    <w:name w:val="Без списък144"/>
    <w:next w:val="NoList"/>
    <w:uiPriority w:val="99"/>
    <w:semiHidden/>
    <w:unhideWhenUsed/>
    <w:rsid w:val="00867DD0"/>
  </w:style>
  <w:style w:type="table" w:customStyle="1" w:styleId="441">
    <w:name w:val="Мрежа в таблица44"/>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ветло оцветяване46"/>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6">
    <w:name w:val="Светло оцветяване - Акцент 146"/>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6">
    <w:name w:val="Светло оцветяване - Акцент 246"/>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6">
    <w:name w:val="Светло оцветяване - Акцент 346"/>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41">
    <w:name w:val="Мрежа в таблица134"/>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ветло оцветяване136"/>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6">
    <w:name w:val="Светло оцветяване - Акцент 1136"/>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6">
    <w:name w:val="Светло оцветяване - Акцент 2136"/>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6">
    <w:name w:val="Светло оцветяване - Акцент 3136"/>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40">
    <w:name w:val="Без списък154"/>
    <w:next w:val="NoList"/>
    <w:uiPriority w:val="99"/>
    <w:semiHidden/>
    <w:unhideWhenUsed/>
    <w:rsid w:val="00867DD0"/>
  </w:style>
  <w:style w:type="numbering" w:customStyle="1" w:styleId="1640">
    <w:name w:val="Без списък164"/>
    <w:next w:val="NoList"/>
    <w:uiPriority w:val="99"/>
    <w:semiHidden/>
    <w:unhideWhenUsed/>
    <w:rsid w:val="00867DD0"/>
  </w:style>
  <w:style w:type="table" w:customStyle="1" w:styleId="541">
    <w:name w:val="Мрежа в таблица54"/>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ветло оцветяване56"/>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6">
    <w:name w:val="Светло оцветяване - Акцент 156"/>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6">
    <w:name w:val="Светло оцветяване - Акцент 256"/>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6">
    <w:name w:val="Светло оцветяване - Акцент 356"/>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41">
    <w:name w:val="Мрежа в таблица144"/>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ветло оцветяване146"/>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6">
    <w:name w:val="Светло оцветяване - Акцент 1146"/>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6">
    <w:name w:val="Светло оцветяване - Акцент 2146"/>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6">
    <w:name w:val="Светло оцветяване - Акцент 3146"/>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41">
    <w:name w:val="Без списък174"/>
    <w:next w:val="NoList"/>
    <w:uiPriority w:val="99"/>
    <w:semiHidden/>
    <w:unhideWhenUsed/>
    <w:rsid w:val="00867DD0"/>
  </w:style>
  <w:style w:type="numbering" w:customStyle="1" w:styleId="184">
    <w:name w:val="Без списък184"/>
    <w:next w:val="NoList"/>
    <w:uiPriority w:val="99"/>
    <w:semiHidden/>
    <w:unhideWhenUsed/>
    <w:rsid w:val="00867DD0"/>
  </w:style>
  <w:style w:type="table" w:customStyle="1" w:styleId="641">
    <w:name w:val="Мрежа в таблица64"/>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ветло оцветяване66"/>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6">
    <w:name w:val="Светло оцветяване - Акцент 166"/>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6">
    <w:name w:val="Светло оцветяване - Акцент 266"/>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6">
    <w:name w:val="Светло оцветяване - Акцент 366"/>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41">
    <w:name w:val="Мрежа в таблица154"/>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ветло оцветяване156"/>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6">
    <w:name w:val="Светло оцветяване - Акцент 1156"/>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6">
    <w:name w:val="Светло оцветяване - Акцент 2156"/>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6">
    <w:name w:val="Светло оцветяване - Акцент 3156"/>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40">
    <w:name w:val="Без списък194"/>
    <w:next w:val="NoList"/>
    <w:uiPriority w:val="99"/>
    <w:semiHidden/>
    <w:unhideWhenUsed/>
    <w:rsid w:val="00867DD0"/>
  </w:style>
  <w:style w:type="table" w:customStyle="1" w:styleId="760">
    <w:name w:val="Светло оцветяване76"/>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6">
    <w:name w:val="Светло оцветяване - Акцент 176"/>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6">
    <w:name w:val="Светло оцветяване - Акцент 276"/>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6">
    <w:name w:val="Светло оцветяване - Акцент 376"/>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6">
    <w:name w:val="Светло оцветяване166"/>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6">
    <w:name w:val="Светло оцветяване - Акцент 1166"/>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6">
    <w:name w:val="Светло оцветяване - Акцент 2166"/>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6">
    <w:name w:val="Светло оцветяване - Акцент 3166"/>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4">
    <w:name w:val="Без списък204"/>
    <w:next w:val="NoList"/>
    <w:uiPriority w:val="99"/>
    <w:semiHidden/>
    <w:unhideWhenUsed/>
    <w:rsid w:val="00867DD0"/>
  </w:style>
  <w:style w:type="table" w:customStyle="1" w:styleId="860">
    <w:name w:val="Светло оцветяване86"/>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6">
    <w:name w:val="Светло оцветяване - Акцент 186"/>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6">
    <w:name w:val="Светло оцветяване - Акцент 286"/>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6">
    <w:name w:val="Светло оцветяване - Акцент 386"/>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60">
    <w:name w:val="Светло оцветяване176"/>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6">
    <w:name w:val="Светло оцветяване - Акцент 1176"/>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6">
    <w:name w:val="Светло оцветяване - Акцент 2176"/>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6">
    <w:name w:val="Светло оцветяване - Акцент 3176"/>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4">
    <w:name w:val="Без списък224"/>
    <w:next w:val="NoList"/>
    <w:uiPriority w:val="99"/>
    <w:semiHidden/>
    <w:unhideWhenUsed/>
    <w:rsid w:val="00867DD0"/>
  </w:style>
  <w:style w:type="table" w:customStyle="1" w:styleId="95">
    <w:name w:val="Светло оцветяване95"/>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5">
    <w:name w:val="Светло оцветяване - Акцент 195"/>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5">
    <w:name w:val="Светло оцветяване - Акцент 295"/>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5">
    <w:name w:val="Светло оцветяване - Акцент 395"/>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40">
    <w:name w:val="Светло оцветяване18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4">
    <w:name w:val="Светло оцветяване - Акцент 118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4">
    <w:name w:val="Светло оцветяване - Акцент 218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4">
    <w:name w:val="Светло оцветяване - Акцент 318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40">
    <w:name w:val="Светло оцветяване2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
    <w:name w:val="Светло оцветяване - Акцент 12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4">
    <w:name w:val="Светло оцветяване - Акцент 22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4">
    <w:name w:val="Светло оцветяване - Акцент 32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40">
    <w:name w:val="Светло оцветяване11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4">
    <w:name w:val="Светло оцветяване - Акцент 111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4">
    <w:name w:val="Светло оцветяване - Акцент 211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4">
    <w:name w:val="Светло оцветяване - Акцент 311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5">
    <w:name w:val="Светло оцветяване315"/>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5">
    <w:name w:val="Светло оцветяване - Акцент 1315"/>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5">
    <w:name w:val="Светло оцветяване - Акцент 2315"/>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5">
    <w:name w:val="Светло оцветяване - Акцент 3315"/>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4">
    <w:name w:val="Светло оцветяване12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4">
    <w:name w:val="Светло оцветяване - Акцент 112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4">
    <w:name w:val="Светло оцветяване - Акцент 212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4">
    <w:name w:val="Светло оцветяване - Акцент 312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40">
    <w:name w:val="Светло оцветяване4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4">
    <w:name w:val="Светло оцветяване - Акцент 14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4">
    <w:name w:val="Светло оцветяване - Акцент 24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4">
    <w:name w:val="Светло оцветяване - Акцент 34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4">
    <w:name w:val="Светло оцветяване13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4">
    <w:name w:val="Светло оцветяване - Акцент 113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4">
    <w:name w:val="Светло оцветяване - Акцент 213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4">
    <w:name w:val="Светло оцветяване - Акцент 313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40">
    <w:name w:val="Светло оцветяване5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4">
    <w:name w:val="Светло оцветяване - Акцент 15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4">
    <w:name w:val="Светло оцветяване - Акцент 25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4">
    <w:name w:val="Светло оцветяване - Акцент 35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4">
    <w:name w:val="Светло оцветяване14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4">
    <w:name w:val="Светло оцветяване - Акцент 114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4">
    <w:name w:val="Светло оцветяване - Акцент 214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4">
    <w:name w:val="Светло оцветяване - Акцент 314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40">
    <w:name w:val="Светло оцветяване6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4">
    <w:name w:val="Светло оцветяване - Акцент 16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4">
    <w:name w:val="Светло оцветяване - Акцент 26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4">
    <w:name w:val="Светло оцветяване - Акцент 36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4">
    <w:name w:val="Светло оцветяване15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4">
    <w:name w:val="Светло оцветяване - Акцент 115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4">
    <w:name w:val="Светло оцветяване - Акцент 215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4">
    <w:name w:val="Светло оцветяване - Акцент 315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4">
    <w:name w:val="Светло оцветяване7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4">
    <w:name w:val="Светло оцветяване - Акцент 17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4">
    <w:name w:val="Светло оцветяване - Акцент 27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4">
    <w:name w:val="Светло оцветяване - Акцент 37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4">
    <w:name w:val="Светло оцветяване16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4">
    <w:name w:val="Светло оцветяване - Акцент 116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4">
    <w:name w:val="Светло оцветяване - Акцент 216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4">
    <w:name w:val="Светло оцветяване - Акцент 316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4">
    <w:name w:val="Светло оцветяване8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4">
    <w:name w:val="Светло оцветяване - Акцент 18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4">
    <w:name w:val="Светло оцветяване - Акцент 28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4">
    <w:name w:val="Светло оцветяване - Акцент 38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4">
    <w:name w:val="Светло оцветяване17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4">
    <w:name w:val="Светло оцветяване - Акцент 117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4">
    <w:name w:val="Светло оцветяване - Акцент 217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4">
    <w:name w:val="Светло оцветяване - Акцент 317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4">
    <w:name w:val="Светло оцветяване9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4">
    <w:name w:val="Светло оцветяване - Акцент 19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4">
    <w:name w:val="Светло оцветяване - Акцент 29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4">
    <w:name w:val="Светло оцветяване - Акцент 39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4">
    <w:name w:val="Светло оцветяване311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4">
    <w:name w:val="Светло оцветяване - Акцент 1311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4">
    <w:name w:val="Светло оцветяване - Акцент 2311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4">
    <w:name w:val="Светло оцветяване - Акцент 3311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4">
    <w:name w:val="Без списък234"/>
    <w:next w:val="NoList"/>
    <w:uiPriority w:val="99"/>
    <w:semiHidden/>
    <w:unhideWhenUsed/>
    <w:rsid w:val="00867DD0"/>
  </w:style>
  <w:style w:type="table" w:customStyle="1" w:styleId="1041">
    <w:name w:val="Светло оцветяване104"/>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4">
    <w:name w:val="Светло оцветяване - Акцент 1104"/>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4">
    <w:name w:val="Светло оцветяване - Акцент 2104"/>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4">
    <w:name w:val="Светло оцветяване - Акцент 3104"/>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41">
    <w:name w:val="Светло оцветяване19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4">
    <w:name w:val="Светло оцветяване - Акцент 119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4">
    <w:name w:val="Светло оцветяване - Акцент 219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4">
    <w:name w:val="Светло оцветяване - Акцент 319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40">
    <w:name w:val="Светло оцветяване2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4">
    <w:name w:val="Светло оцветяване - Акцент 12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4">
    <w:name w:val="Светло оцветяване - Акцент 22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4">
    <w:name w:val="Светло оцветяване - Акцент 32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4">
    <w:name w:val="Светло оцветяване11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4">
    <w:name w:val="Светло оцветяване - Акцент 111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4">
    <w:name w:val="Светло оцветяване - Акцент 211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4">
    <w:name w:val="Светло оцветяване - Акцент 311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4">
    <w:name w:val="Светло оцветяване3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4">
    <w:name w:val="Светло оцветяване - Акцент 13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4">
    <w:name w:val="Светло оцветяване - Акцент 23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4">
    <w:name w:val="Светло оцветяване - Акцент 33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4">
    <w:name w:val="Светло оцветяване12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4">
    <w:name w:val="Светло оцветяване - Акцент 112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4">
    <w:name w:val="Светло оцветяване - Акцент 212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4">
    <w:name w:val="Светло оцветяване - Акцент 312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4">
    <w:name w:val="Светло оцветяване4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4">
    <w:name w:val="Светло оцветяване - Акцент 14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4">
    <w:name w:val="Светло оцветяване - Акцент 24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4">
    <w:name w:val="Светло оцветяване - Акцент 34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4">
    <w:name w:val="Светло оцветяване13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4">
    <w:name w:val="Светло оцветяване - Акцент 113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4">
    <w:name w:val="Светло оцветяване - Акцент 213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4">
    <w:name w:val="Светло оцветяване - Акцент 313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4">
    <w:name w:val="Светло оцветяване5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4">
    <w:name w:val="Светло оцветяване - Акцент 15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4">
    <w:name w:val="Светло оцветяване - Акцент 25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4">
    <w:name w:val="Светло оцветяване - Акцент 35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4">
    <w:name w:val="Светло оцветяване14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4">
    <w:name w:val="Светло оцветяване - Акцент 114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4">
    <w:name w:val="Светло оцветяване - Акцент 214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4">
    <w:name w:val="Светло оцветяване - Акцент 314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4">
    <w:name w:val="Светло оцветяване6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4">
    <w:name w:val="Светло оцветяване - Акцент 16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4">
    <w:name w:val="Светло оцветяване - Акцент 26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4">
    <w:name w:val="Светло оцветяване - Акцент 36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4">
    <w:name w:val="Светло оцветяване15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4">
    <w:name w:val="Светло оцветяване - Акцент 115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4">
    <w:name w:val="Светло оцветяване - Акцент 215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4">
    <w:name w:val="Светло оцветяване - Акцент 315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4">
    <w:name w:val="Светло оцветяване7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4">
    <w:name w:val="Светло оцветяване - Акцент 17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4">
    <w:name w:val="Светло оцветяване - Акцент 27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4">
    <w:name w:val="Светло оцветяване - Акцент 37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4">
    <w:name w:val="Светло оцветяване16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4">
    <w:name w:val="Светло оцветяване - Акцент 116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4">
    <w:name w:val="Светло оцветяване - Акцент 216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4">
    <w:name w:val="Светло оцветяване - Акцент 316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4">
    <w:name w:val="Светло оцветяване8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4">
    <w:name w:val="Светло оцветяване - Акцент 18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4">
    <w:name w:val="Светло оцветяване - Акцент 28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4">
    <w:name w:val="Светло оцветяване - Акцент 38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4">
    <w:name w:val="Светло оцветяване1724"/>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4">
    <w:name w:val="Светло оцветяване - Акцент 11724"/>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4">
    <w:name w:val="Светло оцветяване - Акцент 21724"/>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4">
    <w:name w:val="Светло оцветяване - Акцент 31724"/>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410">
    <w:name w:val="Без списък241"/>
    <w:next w:val="NoList"/>
    <w:uiPriority w:val="99"/>
    <w:semiHidden/>
    <w:unhideWhenUsed/>
    <w:rsid w:val="00867DD0"/>
  </w:style>
  <w:style w:type="numbering" w:customStyle="1" w:styleId="11010">
    <w:name w:val="Без списък1101"/>
    <w:next w:val="NoList"/>
    <w:uiPriority w:val="99"/>
    <w:semiHidden/>
    <w:unhideWhenUsed/>
    <w:rsid w:val="00867DD0"/>
  </w:style>
  <w:style w:type="numbering" w:customStyle="1" w:styleId="11211">
    <w:name w:val="Без списък1121"/>
    <w:next w:val="NoList"/>
    <w:semiHidden/>
    <w:rsid w:val="00867DD0"/>
  </w:style>
  <w:style w:type="table" w:customStyle="1" w:styleId="715">
    <w:name w:val="Мрежа в таблица71"/>
    <w:basedOn w:val="TableNormal"/>
    <w:next w:val="TableGrid"/>
    <w:rsid w:val="00867D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Без списък11121"/>
    <w:next w:val="NoList"/>
    <w:uiPriority w:val="99"/>
    <w:semiHidden/>
    <w:unhideWhenUsed/>
    <w:rsid w:val="00867DD0"/>
  </w:style>
  <w:style w:type="table" w:customStyle="1" w:styleId="1615">
    <w:name w:val="Мрежа в таблица161"/>
    <w:basedOn w:val="TableNormal"/>
    <w:next w:val="TableGrid"/>
    <w:uiPriority w:val="59"/>
    <w:rsid w:val="00867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ветло оцветяване201"/>
    <w:basedOn w:val="TableNormal"/>
    <w:next w:val="LightShading"/>
    <w:uiPriority w:val="60"/>
    <w:rsid w:val="00867DD0"/>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1">
    <w:name w:val="Светло оцветяване - Акцент 1201"/>
    <w:basedOn w:val="TableNormal"/>
    <w:next w:val="LightShading-Accent1"/>
    <w:uiPriority w:val="60"/>
    <w:rsid w:val="00867DD0"/>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01">
    <w:name w:val="Светло оцветяване - Акцент 2201"/>
    <w:basedOn w:val="TableNormal"/>
    <w:next w:val="LightShading-Accent2"/>
    <w:uiPriority w:val="60"/>
    <w:rsid w:val="00867DD0"/>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1">
    <w:name w:val="Светло оцветяване - Акцент 3201"/>
    <w:basedOn w:val="TableNormal"/>
    <w:next w:val="LightShading-Accent3"/>
    <w:uiPriority w:val="60"/>
    <w:rsid w:val="00867DD0"/>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51">
    <w:name w:val="Без списък251"/>
    <w:next w:val="NoList"/>
    <w:uiPriority w:val="99"/>
    <w:semiHidden/>
    <w:unhideWhenUsed/>
    <w:rsid w:val="00867DD0"/>
  </w:style>
  <w:style w:type="numbering" w:customStyle="1" w:styleId="3210">
    <w:name w:val="Без списък321"/>
    <w:next w:val="NoList"/>
    <w:uiPriority w:val="99"/>
    <w:semiHidden/>
    <w:unhideWhenUsed/>
    <w:rsid w:val="00867DD0"/>
  </w:style>
  <w:style w:type="numbering" w:customStyle="1" w:styleId="4211">
    <w:name w:val="Без списък421"/>
    <w:next w:val="NoList"/>
    <w:uiPriority w:val="99"/>
    <w:semiHidden/>
    <w:unhideWhenUsed/>
    <w:rsid w:val="00867DD0"/>
  </w:style>
  <w:style w:type="numbering" w:customStyle="1" w:styleId="5211">
    <w:name w:val="Без списък521"/>
    <w:next w:val="NoList"/>
    <w:uiPriority w:val="99"/>
    <w:semiHidden/>
    <w:unhideWhenUsed/>
    <w:rsid w:val="00867DD0"/>
  </w:style>
  <w:style w:type="numbering" w:customStyle="1" w:styleId="6211">
    <w:name w:val="Без списък621"/>
    <w:next w:val="NoList"/>
    <w:uiPriority w:val="99"/>
    <w:semiHidden/>
    <w:unhideWhenUsed/>
    <w:rsid w:val="00867DD0"/>
  </w:style>
  <w:style w:type="table" w:customStyle="1" w:styleId="11011">
    <w:name w:val="Светло оцветяване110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1">
    <w:name w:val="Светло оцветяване - Акцент 1110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01">
    <w:name w:val="Светло оцветяване - Акцент 2110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01">
    <w:name w:val="Светло оцветяване - Акцент 3110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110">
    <w:name w:val="Без списък711"/>
    <w:next w:val="NoList"/>
    <w:uiPriority w:val="99"/>
    <w:semiHidden/>
    <w:unhideWhenUsed/>
    <w:rsid w:val="00867DD0"/>
  </w:style>
  <w:style w:type="numbering" w:customStyle="1" w:styleId="12111">
    <w:name w:val="Без списък1211"/>
    <w:next w:val="NoList"/>
    <w:uiPriority w:val="99"/>
    <w:semiHidden/>
    <w:unhideWhenUsed/>
    <w:rsid w:val="00867DD0"/>
  </w:style>
  <w:style w:type="table" w:customStyle="1" w:styleId="2112">
    <w:name w:val="Мрежа в таблица21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ветло оцветяване2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
    <w:name w:val="Светло оцветяване - Акцент 12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31">
    <w:name w:val="Светло оцветяване - Акцент 22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31">
    <w:name w:val="Светло оцветяване - Акцент 32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6">
    <w:name w:val="Мрежа в таблица111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ветло оцветяване11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1">
    <w:name w:val="Светло оцветяване - Акцент 111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1">
    <w:name w:val="Светло оцветяване - Акцент 211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31">
    <w:name w:val="Светло оцветяване - Акцент 311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110">
    <w:name w:val="Без списък811"/>
    <w:next w:val="NoList"/>
    <w:uiPriority w:val="99"/>
    <w:semiHidden/>
    <w:unhideWhenUsed/>
    <w:rsid w:val="00867DD0"/>
  </w:style>
  <w:style w:type="numbering" w:customStyle="1" w:styleId="13111">
    <w:name w:val="Без списък1311"/>
    <w:next w:val="NoList"/>
    <w:uiPriority w:val="99"/>
    <w:semiHidden/>
    <w:unhideWhenUsed/>
    <w:rsid w:val="00867DD0"/>
  </w:style>
  <w:style w:type="numbering" w:customStyle="1" w:styleId="111121">
    <w:name w:val="Без списък111121"/>
    <w:next w:val="NoList"/>
    <w:semiHidden/>
    <w:rsid w:val="00867DD0"/>
  </w:style>
  <w:style w:type="table" w:customStyle="1" w:styleId="3115">
    <w:name w:val="Мрежа в таблица311"/>
    <w:basedOn w:val="TableNormal"/>
    <w:next w:val="TableGrid"/>
    <w:rsid w:val="00867D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Без списък1111112"/>
    <w:next w:val="NoList"/>
    <w:uiPriority w:val="99"/>
    <w:semiHidden/>
    <w:unhideWhenUsed/>
    <w:rsid w:val="00867DD0"/>
  </w:style>
  <w:style w:type="table" w:customStyle="1" w:styleId="12112">
    <w:name w:val="Мрежа в таблица1211"/>
    <w:basedOn w:val="TableNormal"/>
    <w:next w:val="TableGrid"/>
    <w:uiPriority w:val="59"/>
    <w:rsid w:val="00867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ветло оцветяване331"/>
    <w:basedOn w:val="TableNormal"/>
    <w:next w:val="LightShading"/>
    <w:uiPriority w:val="60"/>
    <w:rsid w:val="00867DD0"/>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о оцветяване - Акцент 1331"/>
    <w:basedOn w:val="TableNormal"/>
    <w:next w:val="LightShading-Accent1"/>
    <w:uiPriority w:val="60"/>
    <w:rsid w:val="00867DD0"/>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31">
    <w:name w:val="Светло оцветяване - Акцент 2331"/>
    <w:basedOn w:val="TableNormal"/>
    <w:next w:val="LightShading-Accent2"/>
    <w:uiPriority w:val="60"/>
    <w:rsid w:val="00867DD0"/>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31">
    <w:name w:val="Светло оцветяване - Акцент 3331"/>
    <w:basedOn w:val="TableNormal"/>
    <w:next w:val="LightShading-Accent3"/>
    <w:uiPriority w:val="60"/>
    <w:rsid w:val="00867DD0"/>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110">
    <w:name w:val="Без списък2111"/>
    <w:next w:val="NoList"/>
    <w:uiPriority w:val="99"/>
    <w:semiHidden/>
    <w:unhideWhenUsed/>
    <w:rsid w:val="00867DD0"/>
  </w:style>
  <w:style w:type="numbering" w:customStyle="1" w:styleId="31111">
    <w:name w:val="Без списък3111"/>
    <w:next w:val="NoList"/>
    <w:uiPriority w:val="99"/>
    <w:semiHidden/>
    <w:unhideWhenUsed/>
    <w:rsid w:val="00867DD0"/>
  </w:style>
  <w:style w:type="numbering" w:customStyle="1" w:styleId="4111">
    <w:name w:val="Без списък4111"/>
    <w:next w:val="NoList"/>
    <w:uiPriority w:val="99"/>
    <w:semiHidden/>
    <w:unhideWhenUsed/>
    <w:rsid w:val="00867DD0"/>
  </w:style>
  <w:style w:type="numbering" w:customStyle="1" w:styleId="5111">
    <w:name w:val="Без списък5111"/>
    <w:next w:val="NoList"/>
    <w:uiPriority w:val="99"/>
    <w:semiHidden/>
    <w:unhideWhenUsed/>
    <w:rsid w:val="00867DD0"/>
  </w:style>
  <w:style w:type="numbering" w:customStyle="1" w:styleId="6111">
    <w:name w:val="Без списък6111"/>
    <w:next w:val="NoList"/>
    <w:uiPriority w:val="99"/>
    <w:semiHidden/>
    <w:unhideWhenUsed/>
    <w:rsid w:val="00867DD0"/>
  </w:style>
  <w:style w:type="table" w:customStyle="1" w:styleId="12310">
    <w:name w:val="Светло оцветяване12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1">
    <w:name w:val="Светло оцветяване - Акцент 112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1">
    <w:name w:val="Светло оцветяване - Акцент 212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31">
    <w:name w:val="Светло оцветяване - Акцент 312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110">
    <w:name w:val="Без списък911"/>
    <w:next w:val="NoList"/>
    <w:uiPriority w:val="99"/>
    <w:semiHidden/>
    <w:unhideWhenUsed/>
    <w:rsid w:val="00867DD0"/>
  </w:style>
  <w:style w:type="numbering" w:customStyle="1" w:styleId="10110">
    <w:name w:val="Без списък1011"/>
    <w:next w:val="NoList"/>
    <w:uiPriority w:val="99"/>
    <w:semiHidden/>
    <w:unhideWhenUsed/>
    <w:rsid w:val="00867DD0"/>
  </w:style>
  <w:style w:type="numbering" w:customStyle="1" w:styleId="14111">
    <w:name w:val="Без списък1411"/>
    <w:next w:val="NoList"/>
    <w:uiPriority w:val="99"/>
    <w:semiHidden/>
    <w:unhideWhenUsed/>
    <w:rsid w:val="00867DD0"/>
  </w:style>
  <w:style w:type="table" w:customStyle="1" w:styleId="4112">
    <w:name w:val="Мрежа в таблица41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ветло оцветяване4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31">
    <w:name w:val="Светло оцветяване - Акцент 14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31">
    <w:name w:val="Светло оцветяване - Акцент 24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31">
    <w:name w:val="Светло оцветяване - Акцент 34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12">
    <w:name w:val="Мрежа в таблица131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ветло оцветяване13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1">
    <w:name w:val="Светло оцветяване - Акцент 113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1">
    <w:name w:val="Светло оцветяване - Акцент 213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31">
    <w:name w:val="Светло оцветяване - Акцент 313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111">
    <w:name w:val="Без списък1511"/>
    <w:next w:val="NoList"/>
    <w:uiPriority w:val="99"/>
    <w:semiHidden/>
    <w:unhideWhenUsed/>
    <w:rsid w:val="00867DD0"/>
  </w:style>
  <w:style w:type="numbering" w:customStyle="1" w:styleId="16110">
    <w:name w:val="Без списък1611"/>
    <w:next w:val="NoList"/>
    <w:uiPriority w:val="99"/>
    <w:semiHidden/>
    <w:unhideWhenUsed/>
    <w:rsid w:val="00867DD0"/>
  </w:style>
  <w:style w:type="table" w:customStyle="1" w:styleId="5112">
    <w:name w:val="Мрежа в таблица51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ветло оцветяване5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31">
    <w:name w:val="Светло оцветяване - Акцент 15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31">
    <w:name w:val="Светло оцветяване - Акцент 25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31">
    <w:name w:val="Светло оцветяване - Акцент 35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12">
    <w:name w:val="Мрежа в таблица141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ветло оцветяване14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1">
    <w:name w:val="Светло оцветяване - Акцент 114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31">
    <w:name w:val="Светло оцветяване - Акцент 214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31">
    <w:name w:val="Светло оцветяване - Акцент 314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110">
    <w:name w:val="Без списък1711"/>
    <w:next w:val="NoList"/>
    <w:uiPriority w:val="99"/>
    <w:semiHidden/>
    <w:unhideWhenUsed/>
    <w:rsid w:val="00867DD0"/>
  </w:style>
  <w:style w:type="numbering" w:customStyle="1" w:styleId="1811">
    <w:name w:val="Без списък1811"/>
    <w:next w:val="NoList"/>
    <w:uiPriority w:val="99"/>
    <w:semiHidden/>
    <w:unhideWhenUsed/>
    <w:rsid w:val="00867DD0"/>
  </w:style>
  <w:style w:type="table" w:customStyle="1" w:styleId="6112">
    <w:name w:val="Мрежа в таблица61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ветло оцветяване6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1">
    <w:name w:val="Светло оцветяване - Акцент 16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31">
    <w:name w:val="Светло оцветяване - Акцент 26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31">
    <w:name w:val="Светло оцветяване - Акцент 36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12">
    <w:name w:val="Мрежа в таблица151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ветло оцветяване15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1">
    <w:name w:val="Светло оцветяване - Акцент 115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31">
    <w:name w:val="Светло оцветяване - Акцент 215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31">
    <w:name w:val="Светло оцветяване - Акцент 315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11">
    <w:name w:val="Без списък1911"/>
    <w:next w:val="NoList"/>
    <w:uiPriority w:val="99"/>
    <w:semiHidden/>
    <w:unhideWhenUsed/>
    <w:rsid w:val="00867DD0"/>
  </w:style>
  <w:style w:type="table" w:customStyle="1" w:styleId="7310">
    <w:name w:val="Светло оцветяване7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31">
    <w:name w:val="Светло оцветяване - Акцент 17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31">
    <w:name w:val="Светло оцветяване - Акцент 27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31">
    <w:name w:val="Светло оцветяване - Акцент 37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310">
    <w:name w:val="Светло оцветяване16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31">
    <w:name w:val="Светло оцветяване - Акцент 116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31">
    <w:name w:val="Светло оцветяване - Акцент 216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31">
    <w:name w:val="Светло оцветяване - Акцент 316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110">
    <w:name w:val="Без списък2011"/>
    <w:next w:val="NoList"/>
    <w:uiPriority w:val="99"/>
    <w:semiHidden/>
    <w:unhideWhenUsed/>
    <w:rsid w:val="00867DD0"/>
  </w:style>
  <w:style w:type="table" w:customStyle="1" w:styleId="831">
    <w:name w:val="Светло оцветяване8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1">
    <w:name w:val="Светло оцветяване - Акцент 18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31">
    <w:name w:val="Светло оцветяване - Акцент 28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31">
    <w:name w:val="Светло оцветяване - Акцент 38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31">
    <w:name w:val="Светло оцветяване17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31">
    <w:name w:val="Светло оцветяване - Акцент 117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31">
    <w:name w:val="Светло оцветяване - Акцент 217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31">
    <w:name w:val="Светло оцветяване - Акцент 317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11">
    <w:name w:val="Без списък2211"/>
    <w:next w:val="NoList"/>
    <w:uiPriority w:val="99"/>
    <w:semiHidden/>
    <w:unhideWhenUsed/>
    <w:rsid w:val="00867DD0"/>
  </w:style>
  <w:style w:type="table" w:customStyle="1" w:styleId="921">
    <w:name w:val="Светло оцветяване92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1">
    <w:name w:val="Светло оцветяване - Акцент 192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21">
    <w:name w:val="Светло оцветяване - Акцент 292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21">
    <w:name w:val="Светло оцветяване - Акцент 392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110">
    <w:name w:val="Светло оцветяване18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11">
    <w:name w:val="Светло оцветяване - Акцент 118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11">
    <w:name w:val="Светло оцветяване - Акцент 218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11">
    <w:name w:val="Светло оцветяване - Акцент 318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11">
    <w:name w:val="Светло оцветяване2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о оцветяване - Акцент 12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11">
    <w:name w:val="Светло оцветяване - Акцент 22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11">
    <w:name w:val="Светло оцветяване - Акцент 32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10">
    <w:name w:val="Светло оцветяване11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1">
    <w:name w:val="Светло оцветяване - Акцент 111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1">
    <w:name w:val="Светло оцветяване - Акцент 211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11">
    <w:name w:val="Светло оцветяване - Акцент 311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210">
    <w:name w:val="Светло оцветяване3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о оцветяване - Акцент 13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21">
    <w:name w:val="Светло оцветяване - Акцент 23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21">
    <w:name w:val="Светло оцветяване - Акцент 33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110">
    <w:name w:val="Светло оцветяване12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ветло оцветяване - Акцент 112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11">
    <w:name w:val="Светло оцветяване - Акцент 212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11">
    <w:name w:val="Светло оцветяване - Акцент 312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110">
    <w:name w:val="Светло оцветяване4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1">
    <w:name w:val="Светло оцветяване - Акцент 14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11">
    <w:name w:val="Светло оцветяване - Акцент 24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11">
    <w:name w:val="Светло оцветяване - Акцент 34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110">
    <w:name w:val="Светло оцветяване13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1">
    <w:name w:val="Светло оцветяване - Акцент 113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11">
    <w:name w:val="Светло оцветяване - Акцент 213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11">
    <w:name w:val="Светло оцветяване - Акцент 313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10">
    <w:name w:val="Светло оцветяване5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11">
    <w:name w:val="Светло оцветяване - Акцент 15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11">
    <w:name w:val="Светло оцветяване - Акцент 25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11">
    <w:name w:val="Светло оцветяване - Акцент 35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110">
    <w:name w:val="Светло оцветяване14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ветло оцветяване - Акцент 114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11">
    <w:name w:val="Светло оцветяване - Акцент 214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11">
    <w:name w:val="Светло оцветяване - Акцент 314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110">
    <w:name w:val="Светло оцветяване6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1">
    <w:name w:val="Светло оцветяване - Акцент 16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1">
    <w:name w:val="Светло оцветяване - Акцент 26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11">
    <w:name w:val="Светло оцветяване - Акцент 36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110">
    <w:name w:val="Светло оцветяване15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1">
    <w:name w:val="Светло оцветяване - Акцент 115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11">
    <w:name w:val="Светло оцветяване - Акцент 215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11">
    <w:name w:val="Светло оцветяване - Акцент 315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11">
    <w:name w:val="Светло оцветяване7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11">
    <w:name w:val="Светло оцветяване - Акцент 17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11">
    <w:name w:val="Светло оцветяване - Акцент 27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11">
    <w:name w:val="Светло оцветяване - Акцент 37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11">
    <w:name w:val="Светло оцветяване16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1">
    <w:name w:val="Светло оцветяване - Акцент 116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11">
    <w:name w:val="Светло оцветяване - Акцент 216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11">
    <w:name w:val="Светло оцветяване - Акцент 316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1">
    <w:name w:val="Светло оцветяване8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11">
    <w:name w:val="Светло оцветяване - Акцент 18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11">
    <w:name w:val="Светло оцветяване - Акцент 28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11">
    <w:name w:val="Светло оцветяване - Акцент 38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11">
    <w:name w:val="Светло оцветяване17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1">
    <w:name w:val="Светло оцветяване - Акцент 117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11">
    <w:name w:val="Светло оцветяване - Акцент 217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11">
    <w:name w:val="Светло оцветяване - Акцент 317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11">
    <w:name w:val="Светло оцветяване9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1">
    <w:name w:val="Светло оцветяване - Акцент 19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11">
    <w:name w:val="Светло оцветяване - Акцент 29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11">
    <w:name w:val="Светло оцветяване - Акцент 39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110">
    <w:name w:val="Светло оцветяване311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1">
    <w:name w:val="Светло оцветяване - Акцент 1311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11">
    <w:name w:val="Светло оцветяване - Акцент 2311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11">
    <w:name w:val="Светло оцветяване - Акцент 3311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11">
    <w:name w:val="Без списък2311"/>
    <w:next w:val="NoList"/>
    <w:uiPriority w:val="99"/>
    <w:semiHidden/>
    <w:unhideWhenUsed/>
    <w:rsid w:val="00867DD0"/>
  </w:style>
  <w:style w:type="table" w:customStyle="1" w:styleId="10111">
    <w:name w:val="Светло оцветяване101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1">
    <w:name w:val="Светло оцветяване - Акцент 1101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11">
    <w:name w:val="Светло оцветяване - Акцент 2101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11">
    <w:name w:val="Светло оцветяване - Акцент 3101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110">
    <w:name w:val="Светло оцветяване19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11">
    <w:name w:val="Светло оцветяване - Акцент 119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11">
    <w:name w:val="Светло оцветяване - Акцент 219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11">
    <w:name w:val="Светло оцветяване - Акцент 319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110">
    <w:name w:val="Светло оцветяване2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ветло оцветяване - Акцент 12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11">
    <w:name w:val="Светло оцветяване - Акцент 22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11">
    <w:name w:val="Светло оцветяване - Акцент 32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110">
    <w:name w:val="Светло оцветяване11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ветло оцветяване - Акцент 111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11">
    <w:name w:val="Светло оцветяване - Акцент 211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11">
    <w:name w:val="Светло оцветяване - Акцент 311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1">
    <w:name w:val="Светло оцветяване3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1">
    <w:name w:val="Светло оцветяване - Акцент 13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11">
    <w:name w:val="Светло оцветяване - Акцент 23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11">
    <w:name w:val="Светло оцветяване - Акцент 33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11">
    <w:name w:val="Светло оцветяване12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1">
    <w:name w:val="Светло оцветяване - Акцент 112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11">
    <w:name w:val="Светло оцветяване - Акцент 212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11">
    <w:name w:val="Светло оцветяване - Акцент 312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110">
    <w:name w:val="Светло оцветяване4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11">
    <w:name w:val="Светло оцветяване - Акцент 14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11">
    <w:name w:val="Светло оцветяване - Акцент 24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11">
    <w:name w:val="Светло оцветяване - Акцент 34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11">
    <w:name w:val="Светло оцветяване13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1">
    <w:name w:val="Светло оцветяване - Акцент 113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11">
    <w:name w:val="Светло оцветяване - Акцент 213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11">
    <w:name w:val="Светло оцветяване - Акцент 313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110">
    <w:name w:val="Светло оцветяване5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11">
    <w:name w:val="Светло оцветяване - Акцент 15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11">
    <w:name w:val="Светло оцветяване - Акцент 25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11">
    <w:name w:val="Светло оцветяване - Акцент 35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11">
    <w:name w:val="Светло оцветяване14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11">
    <w:name w:val="Светло оцветяване - Акцент 114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11">
    <w:name w:val="Светло оцветяване - Акцент 214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11">
    <w:name w:val="Светло оцветяване - Акцент 314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110">
    <w:name w:val="Светло оцветяване6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1">
    <w:name w:val="Светло оцветяване - Акцент 16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11">
    <w:name w:val="Светло оцветяване - Акцент 26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11">
    <w:name w:val="Светло оцветяване - Акцент 36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11">
    <w:name w:val="Светло оцветяване15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1">
    <w:name w:val="Светло оцветяване - Акцент 115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11">
    <w:name w:val="Светло оцветяване - Акцент 215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11">
    <w:name w:val="Светло оцветяване - Акцент 315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11">
    <w:name w:val="Светло оцветяване7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11">
    <w:name w:val="Светло оцветяване - Акцент 17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11">
    <w:name w:val="Светло оцветяване - Акцент 27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11">
    <w:name w:val="Светло оцветяване - Акцент 37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11">
    <w:name w:val="Светло оцветяване16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11">
    <w:name w:val="Светло оцветяване - Акцент 116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11">
    <w:name w:val="Светло оцветяване - Акцент 216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11">
    <w:name w:val="Светло оцветяване - Акцент 316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1">
    <w:name w:val="Светло оцветяване8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1">
    <w:name w:val="Светло оцветяване - Акцент 18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11">
    <w:name w:val="Светло оцветяване - Акцент 28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11">
    <w:name w:val="Светло оцветяване - Акцент 38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11">
    <w:name w:val="Светло оцветяване1721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11">
    <w:name w:val="Светло оцветяване - Акцент 11721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11">
    <w:name w:val="Светло оцветяване - Акцент 21721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11">
    <w:name w:val="Светло оцветяване - Акцент 31721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61">
    <w:name w:val="Без списък261"/>
    <w:next w:val="NoList"/>
    <w:uiPriority w:val="99"/>
    <w:semiHidden/>
    <w:unhideWhenUsed/>
    <w:rsid w:val="00867DD0"/>
  </w:style>
  <w:style w:type="numbering" w:customStyle="1" w:styleId="11311">
    <w:name w:val="Без списък1131"/>
    <w:next w:val="NoList"/>
    <w:uiPriority w:val="99"/>
    <w:semiHidden/>
    <w:unhideWhenUsed/>
    <w:rsid w:val="00867DD0"/>
  </w:style>
  <w:style w:type="numbering" w:customStyle="1" w:styleId="11410">
    <w:name w:val="Без списък1141"/>
    <w:next w:val="NoList"/>
    <w:uiPriority w:val="99"/>
    <w:semiHidden/>
    <w:unhideWhenUsed/>
    <w:rsid w:val="00867DD0"/>
  </w:style>
  <w:style w:type="numbering" w:customStyle="1" w:styleId="111310">
    <w:name w:val="Без списък11131"/>
    <w:next w:val="NoList"/>
    <w:semiHidden/>
    <w:rsid w:val="00867DD0"/>
  </w:style>
  <w:style w:type="table" w:customStyle="1" w:styleId="815">
    <w:name w:val="Мрежа в таблица81"/>
    <w:basedOn w:val="TableNormal"/>
    <w:next w:val="TableGrid"/>
    <w:rsid w:val="00867D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Без списък111131"/>
    <w:next w:val="NoList"/>
    <w:uiPriority w:val="99"/>
    <w:semiHidden/>
    <w:unhideWhenUsed/>
    <w:rsid w:val="00867DD0"/>
  </w:style>
  <w:style w:type="table" w:customStyle="1" w:styleId="1715">
    <w:name w:val="Мрежа в таблица171"/>
    <w:basedOn w:val="TableNormal"/>
    <w:next w:val="TableGrid"/>
    <w:uiPriority w:val="59"/>
    <w:rsid w:val="00867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ветло оцветяване241"/>
    <w:basedOn w:val="TableNormal"/>
    <w:next w:val="LightShading"/>
    <w:uiPriority w:val="60"/>
    <w:rsid w:val="00867DD0"/>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ветло оцветяване - Акцент 1241"/>
    <w:basedOn w:val="TableNormal"/>
    <w:next w:val="LightShading-Accent1"/>
    <w:uiPriority w:val="60"/>
    <w:rsid w:val="00867DD0"/>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41">
    <w:name w:val="Светло оцветяване - Акцент 2241"/>
    <w:basedOn w:val="TableNormal"/>
    <w:next w:val="LightShading-Accent2"/>
    <w:uiPriority w:val="60"/>
    <w:rsid w:val="00867DD0"/>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41">
    <w:name w:val="Светло оцветяване - Акцент 3241"/>
    <w:basedOn w:val="TableNormal"/>
    <w:next w:val="LightShading-Accent3"/>
    <w:uiPriority w:val="60"/>
    <w:rsid w:val="00867DD0"/>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71">
    <w:name w:val="Без списък271"/>
    <w:next w:val="NoList"/>
    <w:uiPriority w:val="99"/>
    <w:semiHidden/>
    <w:unhideWhenUsed/>
    <w:rsid w:val="00867DD0"/>
  </w:style>
  <w:style w:type="numbering" w:customStyle="1" w:styleId="3311">
    <w:name w:val="Без списък331"/>
    <w:next w:val="NoList"/>
    <w:uiPriority w:val="99"/>
    <w:semiHidden/>
    <w:unhideWhenUsed/>
    <w:rsid w:val="00867DD0"/>
  </w:style>
  <w:style w:type="numbering" w:customStyle="1" w:styleId="4311">
    <w:name w:val="Без списък431"/>
    <w:next w:val="NoList"/>
    <w:uiPriority w:val="99"/>
    <w:semiHidden/>
    <w:unhideWhenUsed/>
    <w:rsid w:val="00867DD0"/>
  </w:style>
  <w:style w:type="numbering" w:customStyle="1" w:styleId="5311">
    <w:name w:val="Без списък531"/>
    <w:next w:val="NoList"/>
    <w:uiPriority w:val="99"/>
    <w:semiHidden/>
    <w:unhideWhenUsed/>
    <w:rsid w:val="00867DD0"/>
  </w:style>
  <w:style w:type="numbering" w:customStyle="1" w:styleId="6311">
    <w:name w:val="Без списък631"/>
    <w:next w:val="NoList"/>
    <w:uiPriority w:val="99"/>
    <w:semiHidden/>
    <w:unhideWhenUsed/>
    <w:rsid w:val="00867DD0"/>
  </w:style>
  <w:style w:type="table" w:customStyle="1" w:styleId="11411">
    <w:name w:val="Светло оцветяване11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1">
    <w:name w:val="Светло оцветяване - Акцент 111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1">
    <w:name w:val="Светло оцветяване - Акцент 211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41">
    <w:name w:val="Светло оцветяване - Акцент 311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210">
    <w:name w:val="Без списък721"/>
    <w:next w:val="NoList"/>
    <w:uiPriority w:val="99"/>
    <w:semiHidden/>
    <w:unhideWhenUsed/>
    <w:rsid w:val="00867DD0"/>
  </w:style>
  <w:style w:type="numbering" w:customStyle="1" w:styleId="12210">
    <w:name w:val="Без списък1221"/>
    <w:next w:val="NoList"/>
    <w:uiPriority w:val="99"/>
    <w:semiHidden/>
    <w:unhideWhenUsed/>
    <w:rsid w:val="00867DD0"/>
  </w:style>
  <w:style w:type="table" w:customStyle="1" w:styleId="2212">
    <w:name w:val="Мрежа в таблица22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ветло оцветяване25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1">
    <w:name w:val="Светло оцветяване - Акцент 125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51">
    <w:name w:val="Светло оцветяване - Акцент 225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51">
    <w:name w:val="Светло оцветяване - Акцент 325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12">
    <w:name w:val="Мрежа в таблица112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ветло оцветяване115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1">
    <w:name w:val="Светло оцветяване - Акцент 1115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1">
    <w:name w:val="Светло оцветяване - Акцент 2115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51">
    <w:name w:val="Светло оцветяване - Акцент 3115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210">
    <w:name w:val="Без списък821"/>
    <w:next w:val="NoList"/>
    <w:uiPriority w:val="99"/>
    <w:semiHidden/>
    <w:unhideWhenUsed/>
    <w:rsid w:val="00867DD0"/>
  </w:style>
  <w:style w:type="numbering" w:customStyle="1" w:styleId="13210">
    <w:name w:val="Без списък1321"/>
    <w:next w:val="NoList"/>
    <w:uiPriority w:val="99"/>
    <w:semiHidden/>
    <w:unhideWhenUsed/>
    <w:rsid w:val="00867DD0"/>
  </w:style>
  <w:style w:type="numbering" w:customStyle="1" w:styleId="1111121">
    <w:name w:val="Без списък1111121"/>
    <w:next w:val="NoList"/>
    <w:semiHidden/>
    <w:rsid w:val="00867DD0"/>
  </w:style>
  <w:style w:type="table" w:customStyle="1" w:styleId="3212">
    <w:name w:val="Мрежа в таблица321"/>
    <w:basedOn w:val="TableNormal"/>
    <w:next w:val="TableGrid"/>
    <w:rsid w:val="00867D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Без списък11111111"/>
    <w:next w:val="NoList"/>
    <w:uiPriority w:val="99"/>
    <w:semiHidden/>
    <w:unhideWhenUsed/>
    <w:rsid w:val="00867DD0"/>
  </w:style>
  <w:style w:type="table" w:customStyle="1" w:styleId="12212">
    <w:name w:val="Мрежа в таблица1221"/>
    <w:basedOn w:val="TableNormal"/>
    <w:next w:val="TableGrid"/>
    <w:uiPriority w:val="59"/>
    <w:rsid w:val="00867DD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ветло оцветяване341"/>
    <w:basedOn w:val="TableNormal"/>
    <w:next w:val="LightShading"/>
    <w:uiPriority w:val="60"/>
    <w:rsid w:val="00867DD0"/>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1">
    <w:name w:val="Светло оцветяване - Акцент 1341"/>
    <w:basedOn w:val="TableNormal"/>
    <w:next w:val="LightShading-Accent1"/>
    <w:uiPriority w:val="60"/>
    <w:rsid w:val="00867DD0"/>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41">
    <w:name w:val="Светло оцветяване - Акцент 2341"/>
    <w:basedOn w:val="TableNormal"/>
    <w:next w:val="LightShading-Accent2"/>
    <w:uiPriority w:val="60"/>
    <w:rsid w:val="00867DD0"/>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41">
    <w:name w:val="Светло оцветяване - Акцент 3341"/>
    <w:basedOn w:val="TableNormal"/>
    <w:next w:val="LightShading-Accent3"/>
    <w:uiPriority w:val="60"/>
    <w:rsid w:val="00867DD0"/>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210">
    <w:name w:val="Без списък2121"/>
    <w:next w:val="NoList"/>
    <w:uiPriority w:val="99"/>
    <w:semiHidden/>
    <w:unhideWhenUsed/>
    <w:rsid w:val="00867DD0"/>
  </w:style>
  <w:style w:type="numbering" w:customStyle="1" w:styleId="31211">
    <w:name w:val="Без списък3121"/>
    <w:next w:val="NoList"/>
    <w:uiPriority w:val="99"/>
    <w:semiHidden/>
    <w:unhideWhenUsed/>
    <w:rsid w:val="00867DD0"/>
  </w:style>
  <w:style w:type="numbering" w:customStyle="1" w:styleId="41210">
    <w:name w:val="Без списък4121"/>
    <w:next w:val="NoList"/>
    <w:uiPriority w:val="99"/>
    <w:semiHidden/>
    <w:unhideWhenUsed/>
    <w:rsid w:val="00867DD0"/>
  </w:style>
  <w:style w:type="numbering" w:customStyle="1" w:styleId="51210">
    <w:name w:val="Без списък5121"/>
    <w:next w:val="NoList"/>
    <w:uiPriority w:val="99"/>
    <w:semiHidden/>
    <w:unhideWhenUsed/>
    <w:rsid w:val="00867DD0"/>
  </w:style>
  <w:style w:type="numbering" w:customStyle="1" w:styleId="61210">
    <w:name w:val="Без списък6121"/>
    <w:next w:val="NoList"/>
    <w:uiPriority w:val="99"/>
    <w:semiHidden/>
    <w:unhideWhenUsed/>
    <w:rsid w:val="00867DD0"/>
  </w:style>
  <w:style w:type="table" w:customStyle="1" w:styleId="12410">
    <w:name w:val="Светло оцветяване12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1">
    <w:name w:val="Светло оцветяване - Акцент 112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1">
    <w:name w:val="Светло оцветяване - Акцент 212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41">
    <w:name w:val="Светло оцветяване - Акцент 312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210">
    <w:name w:val="Без списък921"/>
    <w:next w:val="NoList"/>
    <w:uiPriority w:val="99"/>
    <w:semiHidden/>
    <w:unhideWhenUsed/>
    <w:rsid w:val="00867DD0"/>
  </w:style>
  <w:style w:type="numbering" w:customStyle="1" w:styleId="1021">
    <w:name w:val="Без списък1021"/>
    <w:next w:val="NoList"/>
    <w:uiPriority w:val="99"/>
    <w:semiHidden/>
    <w:unhideWhenUsed/>
    <w:rsid w:val="00867DD0"/>
  </w:style>
  <w:style w:type="numbering" w:customStyle="1" w:styleId="14210">
    <w:name w:val="Без списък1421"/>
    <w:next w:val="NoList"/>
    <w:uiPriority w:val="99"/>
    <w:semiHidden/>
    <w:unhideWhenUsed/>
    <w:rsid w:val="00867DD0"/>
  </w:style>
  <w:style w:type="table" w:customStyle="1" w:styleId="4212">
    <w:name w:val="Мрежа в таблица42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ветло оцветяване4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41">
    <w:name w:val="Светло оцветяване - Акцент 14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41">
    <w:name w:val="Светло оцветяване - Акцент 24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41">
    <w:name w:val="Светло оцветяване - Акцент 34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12">
    <w:name w:val="Мрежа в таблица132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ветло оцветяване134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1">
    <w:name w:val="Светло оцветяване - Акцент 1134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1">
    <w:name w:val="Светло оцветяване - Акцент 2134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41">
    <w:name w:val="Светло оцветяване - Акцент 3134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210">
    <w:name w:val="Без списък1521"/>
    <w:next w:val="NoList"/>
    <w:uiPriority w:val="99"/>
    <w:semiHidden/>
    <w:unhideWhenUsed/>
    <w:rsid w:val="00867DD0"/>
  </w:style>
  <w:style w:type="numbering" w:customStyle="1" w:styleId="16210">
    <w:name w:val="Без списък1621"/>
    <w:next w:val="NoList"/>
    <w:uiPriority w:val="99"/>
    <w:semiHidden/>
    <w:unhideWhenUsed/>
    <w:rsid w:val="00867DD0"/>
  </w:style>
  <w:style w:type="table" w:customStyle="1" w:styleId="5212">
    <w:name w:val="Мрежа в таблица52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ветло оцветяване5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41">
    <w:name w:val="Светло оцветяване - Акцент 15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41">
    <w:name w:val="Светло оцветяване - Акцент 25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41">
    <w:name w:val="Светло оцветяване - Акцент 35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12">
    <w:name w:val="Мрежа в таблица142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ветло оцветяване144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1">
    <w:name w:val="Светло оцветяване - Акцент 1144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41">
    <w:name w:val="Светло оцветяване - Акцент 2144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41">
    <w:name w:val="Светло оцветяване - Акцент 3144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210">
    <w:name w:val="Без списък1721"/>
    <w:next w:val="NoList"/>
    <w:uiPriority w:val="99"/>
    <w:semiHidden/>
    <w:unhideWhenUsed/>
    <w:rsid w:val="00867DD0"/>
  </w:style>
  <w:style w:type="numbering" w:customStyle="1" w:styleId="1821">
    <w:name w:val="Без списък1821"/>
    <w:next w:val="NoList"/>
    <w:uiPriority w:val="99"/>
    <w:semiHidden/>
    <w:unhideWhenUsed/>
    <w:rsid w:val="00867DD0"/>
  </w:style>
  <w:style w:type="table" w:customStyle="1" w:styleId="6212">
    <w:name w:val="Мрежа в таблица621"/>
    <w:basedOn w:val="TableNormal"/>
    <w:next w:val="TableGrid"/>
    <w:rsid w:val="00867DD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ветло оцветяване6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1">
    <w:name w:val="Светло оцветяване - Акцент 16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41">
    <w:name w:val="Светло оцветяване - Акцент 26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41">
    <w:name w:val="Светло оцветяване - Акцент 36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12">
    <w:name w:val="Мрежа в таблица1521"/>
    <w:basedOn w:val="TableNormal"/>
    <w:uiPriority w:val="59"/>
    <w:rsid w:val="00867DD0"/>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0">
    <w:name w:val="Светло оцветяване154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1">
    <w:name w:val="Светло оцветяване - Акцент 1154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41">
    <w:name w:val="Светло оцветяване - Акцент 2154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41">
    <w:name w:val="Светло оцветяване - Акцент 3154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21">
    <w:name w:val="Без списък1921"/>
    <w:next w:val="NoList"/>
    <w:uiPriority w:val="99"/>
    <w:semiHidden/>
    <w:unhideWhenUsed/>
    <w:rsid w:val="00867DD0"/>
  </w:style>
  <w:style w:type="table" w:customStyle="1" w:styleId="741">
    <w:name w:val="Светло оцветяване7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41">
    <w:name w:val="Светло оцветяване - Акцент 17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41">
    <w:name w:val="Светло оцветяване - Акцент 27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41">
    <w:name w:val="Светло оцветяване - Акцент 37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41">
    <w:name w:val="Светло оцветяване164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41">
    <w:name w:val="Светло оцветяване - Акцент 1164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41">
    <w:name w:val="Светло оцветяване - Акцент 2164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41">
    <w:name w:val="Светло оцветяване - Акцент 3164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21">
    <w:name w:val="Без списък2021"/>
    <w:next w:val="NoList"/>
    <w:uiPriority w:val="99"/>
    <w:semiHidden/>
    <w:unhideWhenUsed/>
    <w:rsid w:val="00867DD0"/>
  </w:style>
  <w:style w:type="table" w:customStyle="1" w:styleId="8410">
    <w:name w:val="Светло оцветяване84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41">
    <w:name w:val="Светло оцветяване - Акцент 184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41">
    <w:name w:val="Светло оцветяване - Акцент 284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41">
    <w:name w:val="Светло оцветяване - Акцент 384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410">
    <w:name w:val="Светло оцветяване174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41">
    <w:name w:val="Светло оцветяване - Акцент 1174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41">
    <w:name w:val="Светло оцветяване - Акцент 2174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41">
    <w:name w:val="Светло оцветяване - Акцент 3174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210">
    <w:name w:val="Без списък2221"/>
    <w:next w:val="NoList"/>
    <w:uiPriority w:val="99"/>
    <w:semiHidden/>
    <w:unhideWhenUsed/>
    <w:rsid w:val="00867DD0"/>
  </w:style>
  <w:style w:type="table" w:customStyle="1" w:styleId="931">
    <w:name w:val="Светло оцветяване93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31">
    <w:name w:val="Светло оцветяване - Акцент 193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1">
    <w:name w:val="Светло оцветяване - Акцент 293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31">
    <w:name w:val="Светло оцветяване - Акцент 393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210">
    <w:name w:val="Светло оцветяване18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21">
    <w:name w:val="Светло оцветяване - Акцент 118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21">
    <w:name w:val="Светло оцветяване - Акцент 218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21">
    <w:name w:val="Светло оцветяване - Акцент 318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211">
    <w:name w:val="Светло оцветяване2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1">
    <w:name w:val="Светло оцветяване - Акцент 12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21">
    <w:name w:val="Светло оцветяване - Акцент 22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21">
    <w:name w:val="Светло оцветяване - Акцент 32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210">
    <w:name w:val="Светло оцветяване11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1">
    <w:name w:val="Светло оцветяване - Акцент 111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21">
    <w:name w:val="Светло оцветяване - Акцент 211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21">
    <w:name w:val="Светло оцветяване - Акцент 311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31">
    <w:name w:val="Светло оцветяване313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1">
    <w:name w:val="Светло оцветяване - Акцент 1313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31">
    <w:name w:val="Светло оцветяване - Акцент 2313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31">
    <w:name w:val="Светло оцветяване - Акцент 3313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21">
    <w:name w:val="Светло оцветяване12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ветло оцветяване - Акцент 112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21">
    <w:name w:val="Светло оцветяване - Акцент 212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21">
    <w:name w:val="Светло оцветяване - Акцент 312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211">
    <w:name w:val="Светло оцветяване4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1">
    <w:name w:val="Светло оцветяване - Акцент 14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21">
    <w:name w:val="Светло оцветяване - Акцент 24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21">
    <w:name w:val="Светло оцветяване - Акцент 34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21">
    <w:name w:val="Светло оцветяване13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1">
    <w:name w:val="Светло оцветяване - Акцент 113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21">
    <w:name w:val="Светло оцветяване - Акцент 213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21">
    <w:name w:val="Светло оцветяване - Акцент 313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211">
    <w:name w:val="Светло оцветяване5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1">
    <w:name w:val="Светло оцветяване - Акцент 15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21">
    <w:name w:val="Светло оцветяване - Акцент 25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21">
    <w:name w:val="Светло оцветяване - Акцент 35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21">
    <w:name w:val="Светло оцветяване14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ветло оцветяване - Акцент 114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21">
    <w:name w:val="Светло оцветяване - Акцент 214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21">
    <w:name w:val="Светло оцветяване - Акцент 314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211">
    <w:name w:val="Светло оцветяване6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1">
    <w:name w:val="Светло оцветяване - Акцент 16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21">
    <w:name w:val="Светло оцветяване - Акцент 26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21">
    <w:name w:val="Светло оцветяване - Акцент 36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21">
    <w:name w:val="Светло оцветяване15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1">
    <w:name w:val="Светло оцветяване - Акцент 115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21">
    <w:name w:val="Светло оцветяване - Акцент 215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21">
    <w:name w:val="Светло оцветяване - Акцент 315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21">
    <w:name w:val="Светло оцветяване7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21">
    <w:name w:val="Светло оцветяване - Акцент 17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21">
    <w:name w:val="Светло оцветяване - Акцент 27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21">
    <w:name w:val="Светло оцветяване - Акцент 37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21">
    <w:name w:val="Светло оцветяване16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21">
    <w:name w:val="Светло оцветяване - Акцент 116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21">
    <w:name w:val="Светло оцветяване - Акцент 216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21">
    <w:name w:val="Светло оцветяване - Акцент 316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1">
    <w:name w:val="Светло оцветяване8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21">
    <w:name w:val="Светло оцветяване - Акцент 18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21">
    <w:name w:val="Светло оцветяване - Акцент 28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21">
    <w:name w:val="Светло оцветяване - Акцент 38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21">
    <w:name w:val="Светло оцветяване17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1">
    <w:name w:val="Светло оцветяване - Акцент 117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21">
    <w:name w:val="Светло оцветяване - Акцент 217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21">
    <w:name w:val="Светло оцветяване - Акцент 317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21">
    <w:name w:val="Светло оцветяване9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21">
    <w:name w:val="Светло оцветяване - Акцент 19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21">
    <w:name w:val="Светло оцветяване - Акцент 29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21">
    <w:name w:val="Светло оцветяване - Акцент 39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21">
    <w:name w:val="Светло оцветяване311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21">
    <w:name w:val="Светло оцветяване - Акцент 1311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21">
    <w:name w:val="Светло оцветяване - Акцент 2311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21">
    <w:name w:val="Светло оцветяване - Акцент 3311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21">
    <w:name w:val="Без списък2321"/>
    <w:next w:val="NoList"/>
    <w:uiPriority w:val="99"/>
    <w:semiHidden/>
    <w:unhideWhenUsed/>
    <w:rsid w:val="00867DD0"/>
  </w:style>
  <w:style w:type="table" w:customStyle="1" w:styleId="10210">
    <w:name w:val="Светло оцветяване1021"/>
    <w:basedOn w:val="TableNormal"/>
    <w:next w:val="LightShading"/>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21">
    <w:name w:val="Светло оцветяване - Акцент 11021"/>
    <w:basedOn w:val="TableNormal"/>
    <w:next w:val="LightShading-Accent1"/>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21">
    <w:name w:val="Светло оцветяване - Акцент 21021"/>
    <w:basedOn w:val="TableNormal"/>
    <w:next w:val="LightShading-Accent2"/>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21">
    <w:name w:val="Светло оцветяване - Акцент 31021"/>
    <w:basedOn w:val="TableNormal"/>
    <w:next w:val="LightShading-Accent3"/>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210">
    <w:name w:val="Светло оцветяване19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21">
    <w:name w:val="Светло оцветяване - Акцент 119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21">
    <w:name w:val="Светло оцветяване - Акцент 219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21">
    <w:name w:val="Светло оцветяване - Акцент 319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211">
    <w:name w:val="Светло оцветяване2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1">
    <w:name w:val="Светло оцветяване - Акцент 12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21">
    <w:name w:val="Светло оцветяване - Акцент 22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21">
    <w:name w:val="Светло оцветяване - Акцент 32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21">
    <w:name w:val="Светло оцветяване11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1">
    <w:name w:val="Светло оцветяване - Акцент 111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21">
    <w:name w:val="Светло оцветяване - Акцент 211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21">
    <w:name w:val="Светло оцветяване - Акцент 311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21">
    <w:name w:val="Светло оцветяване3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1">
    <w:name w:val="Светло оцветяване - Акцент 13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21">
    <w:name w:val="Светло оцветяване - Акцент 23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21">
    <w:name w:val="Светло оцветяване - Акцент 33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21">
    <w:name w:val="Светло оцветяване12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21">
    <w:name w:val="Светло оцветяване - Акцент 112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21">
    <w:name w:val="Светло оцветяване - Акцент 212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21">
    <w:name w:val="Светло оцветяване - Акцент 312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21">
    <w:name w:val="Светло оцветяване4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21">
    <w:name w:val="Светло оцветяване - Акцент 14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21">
    <w:name w:val="Светло оцветяване - Акцент 24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21">
    <w:name w:val="Светло оцветяване - Акцент 34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21">
    <w:name w:val="Светло оцветяване13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1">
    <w:name w:val="Светло оцветяване - Акцент 113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21">
    <w:name w:val="Светло оцветяване - Акцент 213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21">
    <w:name w:val="Светло оцветяване - Акцент 313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21">
    <w:name w:val="Светло оцветяване5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21">
    <w:name w:val="Светло оцветяване - Акцент 15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21">
    <w:name w:val="Светло оцветяване - Акцент 25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21">
    <w:name w:val="Светло оцветяване - Акцент 35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21">
    <w:name w:val="Светло оцветяване14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1">
    <w:name w:val="Светло оцветяване - Акцент 114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21">
    <w:name w:val="Светло оцветяване - Акцент 214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21">
    <w:name w:val="Светло оцветяване - Акцент 314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21">
    <w:name w:val="Светло оцветяване6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1">
    <w:name w:val="Светло оцветяване - Акцент 16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21">
    <w:name w:val="Светло оцветяване - Акцент 26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21">
    <w:name w:val="Светло оцветяване - Акцент 36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21">
    <w:name w:val="Светло оцветяване15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21">
    <w:name w:val="Светло оцветяване - Акцент 115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21">
    <w:name w:val="Светло оцветяване - Акцент 215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21">
    <w:name w:val="Светло оцветяване - Акцент 315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21">
    <w:name w:val="Светло оцветяване7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21">
    <w:name w:val="Светло оцветяване - Акцент 17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21">
    <w:name w:val="Светло оцветяване - Акцент 27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21">
    <w:name w:val="Светло оцветяване - Акцент 37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21">
    <w:name w:val="Светло оцветяване16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21">
    <w:name w:val="Светло оцветяване - Акцент 116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21">
    <w:name w:val="Светло оцветяване - Акцент 216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21">
    <w:name w:val="Светло оцветяване - Акцент 316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1">
    <w:name w:val="Светло оцветяване8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21">
    <w:name w:val="Светло оцветяване - Акцент 18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21">
    <w:name w:val="Светло оцветяване - Акцент 28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21">
    <w:name w:val="Светло оцветяване - Акцент 38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21">
    <w:name w:val="Светло оцветяване17221"/>
    <w:basedOn w:val="TableNormal"/>
    <w:uiPriority w:val="60"/>
    <w:rsid w:val="00867DD0"/>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21">
    <w:name w:val="Светло оцветяване - Акцент 117221"/>
    <w:basedOn w:val="TableNormal"/>
    <w:uiPriority w:val="60"/>
    <w:rsid w:val="00867DD0"/>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21">
    <w:name w:val="Светло оцветяване - Акцент 217221"/>
    <w:basedOn w:val="TableNormal"/>
    <w:uiPriority w:val="60"/>
    <w:rsid w:val="00867DD0"/>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21">
    <w:name w:val="Светло оцветяване - Акцент 317221"/>
    <w:basedOn w:val="TableNormal"/>
    <w:uiPriority w:val="60"/>
    <w:rsid w:val="00867DD0"/>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NoSpacing">
    <w:name w:val="No Spacing"/>
    <w:uiPriority w:val="1"/>
    <w:qFormat/>
    <w:rsid w:val="00867DD0"/>
    <w:rPr>
      <w:sz w:val="22"/>
      <w:szCs w:val="22"/>
      <w:lang w:eastAsia="en-US"/>
    </w:rPr>
  </w:style>
  <w:style w:type="character" w:customStyle="1" w:styleId="lrzxr">
    <w:name w:val="lrzxr"/>
    <w:basedOn w:val="DefaultParagraphFont"/>
    <w:rsid w:val="000B075D"/>
  </w:style>
  <w:style w:type="numbering" w:customStyle="1" w:styleId="360">
    <w:name w:val="Без списък36"/>
    <w:next w:val="NoList"/>
    <w:uiPriority w:val="99"/>
    <w:semiHidden/>
    <w:unhideWhenUsed/>
    <w:rsid w:val="006605D3"/>
  </w:style>
  <w:style w:type="numbering" w:customStyle="1" w:styleId="1190">
    <w:name w:val="Без списък119"/>
    <w:next w:val="NoList"/>
    <w:uiPriority w:val="99"/>
    <w:semiHidden/>
    <w:unhideWhenUsed/>
    <w:rsid w:val="006605D3"/>
  </w:style>
  <w:style w:type="numbering" w:customStyle="1" w:styleId="11100">
    <w:name w:val="Без списък1110"/>
    <w:next w:val="NoList"/>
    <w:uiPriority w:val="99"/>
    <w:semiHidden/>
    <w:unhideWhenUsed/>
    <w:rsid w:val="006605D3"/>
  </w:style>
  <w:style w:type="numbering" w:customStyle="1" w:styleId="1116">
    <w:name w:val="Без списък1116"/>
    <w:next w:val="NoList"/>
    <w:semiHidden/>
    <w:rsid w:val="006605D3"/>
  </w:style>
  <w:style w:type="numbering" w:customStyle="1" w:styleId="111160">
    <w:name w:val="Без списък11116"/>
    <w:next w:val="NoList"/>
    <w:uiPriority w:val="99"/>
    <w:semiHidden/>
    <w:unhideWhenUsed/>
    <w:rsid w:val="006605D3"/>
  </w:style>
  <w:style w:type="table" w:customStyle="1" w:styleId="301">
    <w:name w:val="Светло оцветяване30"/>
    <w:basedOn w:val="TableNormal"/>
    <w:next w:val="LightShading"/>
    <w:uiPriority w:val="60"/>
    <w:rsid w:val="006605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0">
    <w:name w:val="Светло оцветяване - Акцент 130"/>
    <w:basedOn w:val="TableNormal"/>
    <w:next w:val="LightShading-Accent1"/>
    <w:uiPriority w:val="60"/>
    <w:rsid w:val="006605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0">
    <w:name w:val="Светло оцветяване - Акцент 230"/>
    <w:basedOn w:val="TableNormal"/>
    <w:next w:val="LightShading-Accent2"/>
    <w:uiPriority w:val="60"/>
    <w:rsid w:val="006605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0">
    <w:name w:val="Светло оцветяване - Акцент 330"/>
    <w:basedOn w:val="TableNormal"/>
    <w:next w:val="LightShading-Accent3"/>
    <w:uiPriority w:val="60"/>
    <w:rsid w:val="006605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5">
    <w:name w:val="Без списък215"/>
    <w:next w:val="NoList"/>
    <w:uiPriority w:val="99"/>
    <w:semiHidden/>
    <w:unhideWhenUsed/>
    <w:rsid w:val="006605D3"/>
  </w:style>
  <w:style w:type="numbering" w:customStyle="1" w:styleId="37">
    <w:name w:val="Без списък37"/>
    <w:next w:val="NoList"/>
    <w:uiPriority w:val="99"/>
    <w:semiHidden/>
    <w:unhideWhenUsed/>
    <w:rsid w:val="006605D3"/>
  </w:style>
  <w:style w:type="numbering" w:customStyle="1" w:styleId="461">
    <w:name w:val="Без списък46"/>
    <w:next w:val="NoList"/>
    <w:uiPriority w:val="99"/>
    <w:semiHidden/>
    <w:unhideWhenUsed/>
    <w:rsid w:val="006605D3"/>
  </w:style>
  <w:style w:type="numbering" w:customStyle="1" w:styleId="560">
    <w:name w:val="Без списък56"/>
    <w:next w:val="NoList"/>
    <w:uiPriority w:val="99"/>
    <w:semiHidden/>
    <w:unhideWhenUsed/>
    <w:rsid w:val="006605D3"/>
  </w:style>
  <w:style w:type="numbering" w:customStyle="1" w:styleId="660">
    <w:name w:val="Без списък66"/>
    <w:next w:val="NoList"/>
    <w:uiPriority w:val="99"/>
    <w:semiHidden/>
    <w:unhideWhenUsed/>
    <w:rsid w:val="006605D3"/>
  </w:style>
  <w:style w:type="table" w:customStyle="1" w:styleId="1200">
    <w:name w:val="Светло оцветяване120"/>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о оцветяване - Акцент 1120"/>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0">
    <w:name w:val="Светло оцветяване - Акцент 2120"/>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0">
    <w:name w:val="Светло оцветяване - Акцент 3120"/>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50">
    <w:name w:val="Без списък75"/>
    <w:next w:val="NoList"/>
    <w:uiPriority w:val="99"/>
    <w:semiHidden/>
    <w:unhideWhenUsed/>
    <w:rsid w:val="006605D3"/>
  </w:style>
  <w:style w:type="numbering" w:customStyle="1" w:styleId="1250">
    <w:name w:val="Без списък125"/>
    <w:next w:val="NoList"/>
    <w:uiPriority w:val="99"/>
    <w:semiHidden/>
    <w:unhideWhenUsed/>
    <w:rsid w:val="006605D3"/>
  </w:style>
  <w:style w:type="table" w:customStyle="1" w:styleId="2101">
    <w:name w:val="Светло оцветяване210"/>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ветло оцветяване - Акцент 1210"/>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0">
    <w:name w:val="Светло оцветяване - Акцент 2210"/>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0">
    <w:name w:val="Светло оцветяване - Акцент 3210"/>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01">
    <w:name w:val="Светло оцветяване1110"/>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Светло оцветяване - Акцент 11110"/>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0">
    <w:name w:val="Светло оцветяване - Акцент 21110"/>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0">
    <w:name w:val="Светло оцветяване - Акцент 31110"/>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50">
    <w:name w:val="Без списък85"/>
    <w:next w:val="NoList"/>
    <w:uiPriority w:val="99"/>
    <w:semiHidden/>
    <w:unhideWhenUsed/>
    <w:rsid w:val="006605D3"/>
  </w:style>
  <w:style w:type="numbering" w:customStyle="1" w:styleId="1350">
    <w:name w:val="Без списък135"/>
    <w:next w:val="NoList"/>
    <w:uiPriority w:val="99"/>
    <w:semiHidden/>
    <w:unhideWhenUsed/>
    <w:rsid w:val="006605D3"/>
  </w:style>
  <w:style w:type="numbering" w:customStyle="1" w:styleId="111115">
    <w:name w:val="Без списък111115"/>
    <w:next w:val="NoList"/>
    <w:semiHidden/>
    <w:rsid w:val="006605D3"/>
  </w:style>
  <w:style w:type="numbering" w:customStyle="1" w:styleId="1111113">
    <w:name w:val="Без списък1111113"/>
    <w:next w:val="NoList"/>
    <w:uiPriority w:val="99"/>
    <w:semiHidden/>
    <w:unhideWhenUsed/>
    <w:rsid w:val="006605D3"/>
  </w:style>
  <w:style w:type="table" w:customStyle="1" w:styleId="370">
    <w:name w:val="Светло оцветяване37"/>
    <w:basedOn w:val="TableNormal"/>
    <w:next w:val="LightShading"/>
    <w:uiPriority w:val="60"/>
    <w:rsid w:val="006605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о оцветяване - Акцент 137"/>
    <w:basedOn w:val="TableNormal"/>
    <w:next w:val="LightShading-Accent1"/>
    <w:uiPriority w:val="60"/>
    <w:rsid w:val="006605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7">
    <w:name w:val="Светло оцветяване - Акцент 237"/>
    <w:basedOn w:val="TableNormal"/>
    <w:next w:val="LightShading-Accent2"/>
    <w:uiPriority w:val="60"/>
    <w:rsid w:val="006605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7">
    <w:name w:val="Светло оцветяване - Акцент 337"/>
    <w:basedOn w:val="TableNormal"/>
    <w:next w:val="LightShading-Accent3"/>
    <w:uiPriority w:val="60"/>
    <w:rsid w:val="006605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6">
    <w:name w:val="Без списък216"/>
    <w:next w:val="NoList"/>
    <w:uiPriority w:val="99"/>
    <w:semiHidden/>
    <w:unhideWhenUsed/>
    <w:rsid w:val="006605D3"/>
  </w:style>
  <w:style w:type="numbering" w:customStyle="1" w:styleId="3150">
    <w:name w:val="Без списък315"/>
    <w:next w:val="NoList"/>
    <w:uiPriority w:val="99"/>
    <w:semiHidden/>
    <w:unhideWhenUsed/>
    <w:rsid w:val="006605D3"/>
  </w:style>
  <w:style w:type="numbering" w:customStyle="1" w:styleId="415">
    <w:name w:val="Без списък415"/>
    <w:next w:val="NoList"/>
    <w:uiPriority w:val="99"/>
    <w:semiHidden/>
    <w:unhideWhenUsed/>
    <w:rsid w:val="006605D3"/>
  </w:style>
  <w:style w:type="numbering" w:customStyle="1" w:styleId="515">
    <w:name w:val="Без списък515"/>
    <w:next w:val="NoList"/>
    <w:uiPriority w:val="99"/>
    <w:semiHidden/>
    <w:unhideWhenUsed/>
    <w:rsid w:val="006605D3"/>
  </w:style>
  <w:style w:type="numbering" w:customStyle="1" w:styleId="615">
    <w:name w:val="Без списък615"/>
    <w:next w:val="NoList"/>
    <w:uiPriority w:val="99"/>
    <w:semiHidden/>
    <w:unhideWhenUsed/>
    <w:rsid w:val="006605D3"/>
  </w:style>
  <w:style w:type="table" w:customStyle="1" w:styleId="127">
    <w:name w:val="Светло оцветяване127"/>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7">
    <w:name w:val="Светло оцветяване - Акцент 1127"/>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7">
    <w:name w:val="Светло оцветяване - Акцент 2127"/>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7">
    <w:name w:val="Светло оцветяване - Акцент 3127"/>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50">
    <w:name w:val="Без списък95"/>
    <w:next w:val="NoList"/>
    <w:uiPriority w:val="99"/>
    <w:semiHidden/>
    <w:unhideWhenUsed/>
    <w:rsid w:val="006605D3"/>
  </w:style>
  <w:style w:type="numbering" w:customStyle="1" w:styleId="105">
    <w:name w:val="Без списък105"/>
    <w:next w:val="NoList"/>
    <w:uiPriority w:val="99"/>
    <w:semiHidden/>
    <w:unhideWhenUsed/>
    <w:rsid w:val="006605D3"/>
  </w:style>
  <w:style w:type="numbering" w:customStyle="1" w:styleId="1450">
    <w:name w:val="Без списък145"/>
    <w:next w:val="NoList"/>
    <w:uiPriority w:val="99"/>
    <w:semiHidden/>
    <w:unhideWhenUsed/>
    <w:rsid w:val="006605D3"/>
  </w:style>
  <w:style w:type="table" w:customStyle="1" w:styleId="470">
    <w:name w:val="Светло оцветяване47"/>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7">
    <w:name w:val="Светло оцветяване - Акцент 147"/>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7">
    <w:name w:val="Светло оцветяване - Акцент 247"/>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7">
    <w:name w:val="Светло оцветяване - Акцент 347"/>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7">
    <w:name w:val="Светло оцветяване137"/>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7">
    <w:name w:val="Светло оцветяване - Акцент 1137"/>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7">
    <w:name w:val="Светло оцветяване - Акцент 2137"/>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7">
    <w:name w:val="Светло оцветяване - Акцент 3137"/>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50">
    <w:name w:val="Без списък155"/>
    <w:next w:val="NoList"/>
    <w:uiPriority w:val="99"/>
    <w:semiHidden/>
    <w:unhideWhenUsed/>
    <w:rsid w:val="006605D3"/>
  </w:style>
  <w:style w:type="numbering" w:customStyle="1" w:styleId="1650">
    <w:name w:val="Без списък165"/>
    <w:next w:val="NoList"/>
    <w:uiPriority w:val="99"/>
    <w:semiHidden/>
    <w:unhideWhenUsed/>
    <w:rsid w:val="006605D3"/>
  </w:style>
  <w:style w:type="table" w:customStyle="1" w:styleId="57">
    <w:name w:val="Светло оцветяване57"/>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7">
    <w:name w:val="Светло оцветяване - Акцент 157"/>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7">
    <w:name w:val="Светло оцветяване - Акцент 257"/>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7">
    <w:name w:val="Светло оцветяване - Акцент 357"/>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7">
    <w:name w:val="Светло оцветяване147"/>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7">
    <w:name w:val="Светло оцветяване - Акцент 1147"/>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7">
    <w:name w:val="Светло оцветяване - Акцент 2147"/>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7">
    <w:name w:val="Светло оцветяване - Акцент 3147"/>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50">
    <w:name w:val="Без списък175"/>
    <w:next w:val="NoList"/>
    <w:uiPriority w:val="99"/>
    <w:semiHidden/>
    <w:unhideWhenUsed/>
    <w:rsid w:val="006605D3"/>
  </w:style>
  <w:style w:type="numbering" w:customStyle="1" w:styleId="185">
    <w:name w:val="Без списък185"/>
    <w:next w:val="NoList"/>
    <w:uiPriority w:val="99"/>
    <w:semiHidden/>
    <w:unhideWhenUsed/>
    <w:rsid w:val="006605D3"/>
  </w:style>
  <w:style w:type="table" w:customStyle="1" w:styleId="67">
    <w:name w:val="Светло оцветяване67"/>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7">
    <w:name w:val="Светло оцветяване - Акцент 167"/>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7">
    <w:name w:val="Светло оцветяване - Акцент 267"/>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7">
    <w:name w:val="Светло оцветяване - Акцент 367"/>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7">
    <w:name w:val="Светло оцветяване157"/>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7">
    <w:name w:val="Светло оцветяване - Акцент 1157"/>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7">
    <w:name w:val="Светло оцветяване - Акцент 2157"/>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7">
    <w:name w:val="Светло оцветяване - Акцент 3157"/>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5">
    <w:name w:val="Без списък195"/>
    <w:next w:val="NoList"/>
    <w:uiPriority w:val="99"/>
    <w:semiHidden/>
    <w:unhideWhenUsed/>
    <w:rsid w:val="006605D3"/>
  </w:style>
  <w:style w:type="table" w:customStyle="1" w:styleId="770">
    <w:name w:val="Светло оцветяване77"/>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7">
    <w:name w:val="Светло оцветяване - Акцент 177"/>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7">
    <w:name w:val="Светло оцветяване - Акцент 277"/>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7">
    <w:name w:val="Светло оцветяване - Акцент 377"/>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7">
    <w:name w:val="Светло оцветяване167"/>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7">
    <w:name w:val="Светло оцветяване - Акцент 1167"/>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7">
    <w:name w:val="Светло оцветяване - Акцент 2167"/>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7">
    <w:name w:val="Светло оцветяване - Акцент 3167"/>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5">
    <w:name w:val="Без списък205"/>
    <w:next w:val="NoList"/>
    <w:uiPriority w:val="99"/>
    <w:semiHidden/>
    <w:unhideWhenUsed/>
    <w:rsid w:val="006605D3"/>
  </w:style>
  <w:style w:type="table" w:customStyle="1" w:styleId="870">
    <w:name w:val="Светло оцветяване87"/>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7">
    <w:name w:val="Светло оцветяване - Акцент 187"/>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7">
    <w:name w:val="Светло оцветяване - Акцент 287"/>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7">
    <w:name w:val="Светло оцветяване - Акцент 387"/>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70">
    <w:name w:val="Светло оцветяване177"/>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7">
    <w:name w:val="Светло оцветяване - Акцент 1177"/>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7">
    <w:name w:val="Светло оцветяване - Акцент 2177"/>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7">
    <w:name w:val="Светло оцветяване - Акцент 3177"/>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5">
    <w:name w:val="Без списък225"/>
    <w:next w:val="NoList"/>
    <w:uiPriority w:val="99"/>
    <w:semiHidden/>
    <w:unhideWhenUsed/>
    <w:rsid w:val="006605D3"/>
  </w:style>
  <w:style w:type="table" w:customStyle="1" w:styleId="96">
    <w:name w:val="Светло оцветяване96"/>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6">
    <w:name w:val="Светло оцветяване - Акцент 196"/>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6">
    <w:name w:val="Светло оцветяване - Акцент 296"/>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6">
    <w:name w:val="Светло оцветяване - Акцент 396"/>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50">
    <w:name w:val="Светло оцветяване18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5">
    <w:name w:val="Светло оцветяване - Акцент 118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5">
    <w:name w:val="Светло оцветяване - Акцент 218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5">
    <w:name w:val="Светло оцветяване - Акцент 318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50">
    <w:name w:val="Светло оцветяване2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5">
    <w:name w:val="Светло оцветяване - Акцент 12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5">
    <w:name w:val="Светло оцветяване - Акцент 22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5">
    <w:name w:val="Светло оцветяване - Акцент 32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50">
    <w:name w:val="Светло оцветяване11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5">
    <w:name w:val="Светло оцветяване - Акцент 111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5">
    <w:name w:val="Светло оцветяване - Акцент 211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5">
    <w:name w:val="Светло оцветяване - Акцент 311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6">
    <w:name w:val="Светло оцветяване316"/>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6">
    <w:name w:val="Светло оцветяване - Акцент 1316"/>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6">
    <w:name w:val="Светло оцветяване - Акцент 2316"/>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6">
    <w:name w:val="Светло оцветяване - Акцент 3316"/>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5">
    <w:name w:val="Светло оцветяване12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5">
    <w:name w:val="Светло оцветяване - Акцент 112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5">
    <w:name w:val="Светло оцветяване - Акцент 212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5">
    <w:name w:val="Светло оцветяване - Акцент 312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50">
    <w:name w:val="Светло оцветяване4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5">
    <w:name w:val="Светло оцветяване - Акцент 14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5">
    <w:name w:val="Светло оцветяване - Акцент 24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5">
    <w:name w:val="Светло оцветяване - Акцент 34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5">
    <w:name w:val="Светло оцветяване13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5">
    <w:name w:val="Светло оцветяване - Акцент 113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5">
    <w:name w:val="Светло оцветяване - Акцент 213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5">
    <w:name w:val="Светло оцветяване - Акцент 313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50">
    <w:name w:val="Светло оцветяване5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5">
    <w:name w:val="Светло оцветяване - Акцент 15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5">
    <w:name w:val="Светло оцветяване - Акцент 25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5">
    <w:name w:val="Светло оцветяване - Акцент 35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5">
    <w:name w:val="Светло оцветяване14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5">
    <w:name w:val="Светло оцветяване - Акцент 114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5">
    <w:name w:val="Светло оцветяване - Акцент 214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5">
    <w:name w:val="Светло оцветяване - Акцент 314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50">
    <w:name w:val="Светло оцветяване6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5">
    <w:name w:val="Светло оцветяване - Акцент 16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5">
    <w:name w:val="Светло оцветяване - Акцент 26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5">
    <w:name w:val="Светло оцветяване - Акцент 36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5">
    <w:name w:val="Светло оцветяване15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5">
    <w:name w:val="Светло оцветяване - Акцент 115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5">
    <w:name w:val="Светло оцветяване - Акцент 215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5">
    <w:name w:val="Светло оцветяване - Акцент 315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50">
    <w:name w:val="Светло оцветяване7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5">
    <w:name w:val="Светло оцветяване - Акцент 17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5">
    <w:name w:val="Светло оцветяване - Акцент 27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5">
    <w:name w:val="Светло оцветяване - Акцент 37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50">
    <w:name w:val="Светло оцветяване16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5">
    <w:name w:val="Светло оцветяване - Акцент 116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5">
    <w:name w:val="Светло оцветяване - Акцент 216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5">
    <w:name w:val="Светло оцветяване - Акцент 316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50">
    <w:name w:val="Светло оцветяване8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5">
    <w:name w:val="Светло оцветяване - Акцент 18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5">
    <w:name w:val="Светло оцветяване - Акцент 28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5">
    <w:name w:val="Светло оцветяване - Акцент 38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50">
    <w:name w:val="Светло оцветяване17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5">
    <w:name w:val="Светло оцветяване - Акцент 117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5">
    <w:name w:val="Светло оцветяване - Акцент 217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5">
    <w:name w:val="Светло оцветяване - Акцент 317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5">
    <w:name w:val="Светло оцветяване9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5">
    <w:name w:val="Светло оцветяване - Акцент 19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5">
    <w:name w:val="Светло оцветяване - Акцент 29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5">
    <w:name w:val="Светло оцветяване - Акцент 39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50">
    <w:name w:val="Светло оцветяване311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5">
    <w:name w:val="Светло оцветяване - Акцент 1311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5">
    <w:name w:val="Светло оцветяване - Акцент 2311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5">
    <w:name w:val="Светло оцветяване - Акцент 3311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5">
    <w:name w:val="Без списък235"/>
    <w:next w:val="NoList"/>
    <w:uiPriority w:val="99"/>
    <w:semiHidden/>
    <w:unhideWhenUsed/>
    <w:rsid w:val="006605D3"/>
  </w:style>
  <w:style w:type="table" w:customStyle="1" w:styleId="1050">
    <w:name w:val="Светло оцветяване105"/>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5">
    <w:name w:val="Светло оцветяване - Акцент 1105"/>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5">
    <w:name w:val="Светло оцветяване - Акцент 2105"/>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5">
    <w:name w:val="Светло оцветяване - Акцент 3105"/>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50">
    <w:name w:val="Светло оцветяване19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5">
    <w:name w:val="Светло оцветяване - Акцент 119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5">
    <w:name w:val="Светло оцветяване - Акцент 219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5">
    <w:name w:val="Светло оцветяване - Акцент 319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50">
    <w:name w:val="Светло оцветяване2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5">
    <w:name w:val="Светло оцветяване - Акцент 12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5">
    <w:name w:val="Светло оцветяване - Акцент 22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5">
    <w:name w:val="Светло оцветяване - Акцент 32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5">
    <w:name w:val="Светло оцветяване11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5">
    <w:name w:val="Светло оцветяване - Акцент 111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5">
    <w:name w:val="Светло оцветяване - Акцент 211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5">
    <w:name w:val="Светло оцветяване - Акцент 311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5">
    <w:name w:val="Светло оцветяване3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5">
    <w:name w:val="Светло оцветяване - Акцент 13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5">
    <w:name w:val="Светло оцветяване - Акцент 23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5">
    <w:name w:val="Светло оцветяване - Акцент 33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5">
    <w:name w:val="Светло оцветяване12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5">
    <w:name w:val="Светло оцветяване - Акцент 112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5">
    <w:name w:val="Светло оцветяване - Акцент 212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5">
    <w:name w:val="Светло оцветяване - Акцент 312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5">
    <w:name w:val="Светло оцветяване4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5">
    <w:name w:val="Светло оцветяване - Акцент 14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5">
    <w:name w:val="Светло оцветяване - Акцент 24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5">
    <w:name w:val="Светло оцветяване - Акцент 34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5">
    <w:name w:val="Светло оцветяване13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5">
    <w:name w:val="Светло оцветяване - Акцент 113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5">
    <w:name w:val="Светло оцветяване - Акцент 213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5">
    <w:name w:val="Светло оцветяване - Акцент 313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5">
    <w:name w:val="Светло оцветяване5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5">
    <w:name w:val="Светло оцветяване - Акцент 15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5">
    <w:name w:val="Светло оцветяване - Акцент 25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5">
    <w:name w:val="Светло оцветяване - Акцент 35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5">
    <w:name w:val="Светло оцветяване14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5">
    <w:name w:val="Светло оцветяване - Акцент 114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5">
    <w:name w:val="Светло оцветяване - Акцент 214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5">
    <w:name w:val="Светло оцветяване - Акцент 314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5">
    <w:name w:val="Светло оцветяване6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5">
    <w:name w:val="Светло оцветяване - Акцент 16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5">
    <w:name w:val="Светло оцветяване - Акцент 26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5">
    <w:name w:val="Светло оцветяване - Акцент 36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5">
    <w:name w:val="Светло оцветяване15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5">
    <w:name w:val="Светло оцветяване - Акцент 115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5">
    <w:name w:val="Светло оцветяване - Акцент 215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5">
    <w:name w:val="Светло оцветяване - Акцент 315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5">
    <w:name w:val="Светло оцветяване7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5">
    <w:name w:val="Светло оцветяване - Акцент 17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5">
    <w:name w:val="Светло оцветяване - Акцент 27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5">
    <w:name w:val="Светло оцветяване - Акцент 37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5">
    <w:name w:val="Светло оцветяване16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5">
    <w:name w:val="Светло оцветяване - Акцент 116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5">
    <w:name w:val="Светло оцветяване - Акцент 216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5">
    <w:name w:val="Светло оцветяване - Акцент 316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5">
    <w:name w:val="Светло оцветяване8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5">
    <w:name w:val="Светло оцветяване - Акцент 18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5">
    <w:name w:val="Светло оцветяване - Акцент 28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5">
    <w:name w:val="Светло оцветяване - Акцент 38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5">
    <w:name w:val="Светло оцветяване1725"/>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5">
    <w:name w:val="Светло оцветяване - Акцент 11725"/>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5">
    <w:name w:val="Светло оцветяване - Акцент 21725"/>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5">
    <w:name w:val="Светло оцветяване - Акцент 31725"/>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42">
    <w:name w:val="Без списък242"/>
    <w:next w:val="NoList"/>
    <w:uiPriority w:val="99"/>
    <w:semiHidden/>
    <w:unhideWhenUsed/>
    <w:rsid w:val="006605D3"/>
  </w:style>
  <w:style w:type="numbering" w:customStyle="1" w:styleId="11020">
    <w:name w:val="Без списък1102"/>
    <w:next w:val="NoList"/>
    <w:uiPriority w:val="99"/>
    <w:semiHidden/>
    <w:unhideWhenUsed/>
    <w:rsid w:val="006605D3"/>
  </w:style>
  <w:style w:type="numbering" w:customStyle="1" w:styleId="11222">
    <w:name w:val="Без списък1122"/>
    <w:next w:val="NoList"/>
    <w:semiHidden/>
    <w:rsid w:val="006605D3"/>
  </w:style>
  <w:style w:type="numbering" w:customStyle="1" w:styleId="11122">
    <w:name w:val="Без списък11122"/>
    <w:next w:val="NoList"/>
    <w:uiPriority w:val="99"/>
    <w:semiHidden/>
    <w:unhideWhenUsed/>
    <w:rsid w:val="006605D3"/>
  </w:style>
  <w:style w:type="table" w:customStyle="1" w:styleId="2020">
    <w:name w:val="Светло оцветяване202"/>
    <w:basedOn w:val="TableNormal"/>
    <w:next w:val="LightShading"/>
    <w:uiPriority w:val="60"/>
    <w:rsid w:val="006605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2">
    <w:name w:val="Светло оцветяване - Акцент 1202"/>
    <w:basedOn w:val="TableNormal"/>
    <w:next w:val="LightShading-Accent1"/>
    <w:uiPriority w:val="60"/>
    <w:rsid w:val="006605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02">
    <w:name w:val="Светло оцветяване - Акцент 2202"/>
    <w:basedOn w:val="TableNormal"/>
    <w:next w:val="LightShading-Accent2"/>
    <w:uiPriority w:val="60"/>
    <w:rsid w:val="006605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2">
    <w:name w:val="Светло оцветяване - Акцент 3202"/>
    <w:basedOn w:val="TableNormal"/>
    <w:next w:val="LightShading-Accent3"/>
    <w:uiPriority w:val="60"/>
    <w:rsid w:val="006605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52">
    <w:name w:val="Без списък252"/>
    <w:next w:val="NoList"/>
    <w:uiPriority w:val="99"/>
    <w:semiHidden/>
    <w:unhideWhenUsed/>
    <w:rsid w:val="006605D3"/>
  </w:style>
  <w:style w:type="numbering" w:customStyle="1" w:styleId="3222">
    <w:name w:val="Без списък322"/>
    <w:next w:val="NoList"/>
    <w:uiPriority w:val="99"/>
    <w:semiHidden/>
    <w:unhideWhenUsed/>
    <w:rsid w:val="006605D3"/>
  </w:style>
  <w:style w:type="numbering" w:customStyle="1" w:styleId="4222">
    <w:name w:val="Без списък422"/>
    <w:next w:val="NoList"/>
    <w:uiPriority w:val="99"/>
    <w:semiHidden/>
    <w:unhideWhenUsed/>
    <w:rsid w:val="006605D3"/>
  </w:style>
  <w:style w:type="numbering" w:customStyle="1" w:styleId="5222">
    <w:name w:val="Без списък522"/>
    <w:next w:val="NoList"/>
    <w:uiPriority w:val="99"/>
    <w:semiHidden/>
    <w:unhideWhenUsed/>
    <w:rsid w:val="006605D3"/>
  </w:style>
  <w:style w:type="numbering" w:customStyle="1" w:styleId="6222">
    <w:name w:val="Без списък622"/>
    <w:next w:val="NoList"/>
    <w:uiPriority w:val="99"/>
    <w:semiHidden/>
    <w:unhideWhenUsed/>
    <w:rsid w:val="006605D3"/>
  </w:style>
  <w:style w:type="table" w:customStyle="1" w:styleId="11021">
    <w:name w:val="Светло оцветяване110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2">
    <w:name w:val="Светло оцветяване - Акцент 1110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02">
    <w:name w:val="Светло оцветяване - Акцент 2110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02">
    <w:name w:val="Светло оцветяване - Акцент 3110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120">
    <w:name w:val="Без списък712"/>
    <w:next w:val="NoList"/>
    <w:uiPriority w:val="99"/>
    <w:semiHidden/>
    <w:unhideWhenUsed/>
    <w:rsid w:val="006605D3"/>
  </w:style>
  <w:style w:type="numbering" w:customStyle="1" w:styleId="12122">
    <w:name w:val="Без списък1212"/>
    <w:next w:val="NoList"/>
    <w:uiPriority w:val="99"/>
    <w:semiHidden/>
    <w:unhideWhenUsed/>
    <w:rsid w:val="006605D3"/>
  </w:style>
  <w:style w:type="table" w:customStyle="1" w:styleId="2320">
    <w:name w:val="Светло оцветяване2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ветло оцветяване - Акцент 12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32">
    <w:name w:val="Светло оцветяване - Акцент 22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32">
    <w:name w:val="Светло оцветяване - Акцент 32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32">
    <w:name w:val="Светло оцветяване11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2">
    <w:name w:val="Светло оцветяване - Акцент 111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32">
    <w:name w:val="Светло оцветяване - Акцент 211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32">
    <w:name w:val="Светло оцветяване - Акцент 311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120">
    <w:name w:val="Без списък812"/>
    <w:next w:val="NoList"/>
    <w:uiPriority w:val="99"/>
    <w:semiHidden/>
    <w:unhideWhenUsed/>
    <w:rsid w:val="006605D3"/>
  </w:style>
  <w:style w:type="numbering" w:customStyle="1" w:styleId="13122">
    <w:name w:val="Без списък1312"/>
    <w:next w:val="NoList"/>
    <w:uiPriority w:val="99"/>
    <w:semiHidden/>
    <w:unhideWhenUsed/>
    <w:rsid w:val="006605D3"/>
  </w:style>
  <w:style w:type="numbering" w:customStyle="1" w:styleId="111122">
    <w:name w:val="Без списък111122"/>
    <w:next w:val="NoList"/>
    <w:semiHidden/>
    <w:rsid w:val="006605D3"/>
  </w:style>
  <w:style w:type="numbering" w:customStyle="1" w:styleId="11111112">
    <w:name w:val="Без списък11111112"/>
    <w:next w:val="NoList"/>
    <w:uiPriority w:val="99"/>
    <w:semiHidden/>
    <w:unhideWhenUsed/>
    <w:rsid w:val="006605D3"/>
  </w:style>
  <w:style w:type="table" w:customStyle="1" w:styleId="332">
    <w:name w:val="Светло оцветяване332"/>
    <w:basedOn w:val="TableNormal"/>
    <w:next w:val="LightShading"/>
    <w:uiPriority w:val="60"/>
    <w:rsid w:val="006605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2">
    <w:name w:val="Светло оцветяване - Акцент 1332"/>
    <w:basedOn w:val="TableNormal"/>
    <w:next w:val="LightShading-Accent1"/>
    <w:uiPriority w:val="60"/>
    <w:rsid w:val="006605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32">
    <w:name w:val="Светло оцветяване - Акцент 2332"/>
    <w:basedOn w:val="TableNormal"/>
    <w:next w:val="LightShading-Accent2"/>
    <w:uiPriority w:val="60"/>
    <w:rsid w:val="006605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32">
    <w:name w:val="Светло оцветяване - Акцент 3332"/>
    <w:basedOn w:val="TableNormal"/>
    <w:next w:val="LightShading-Accent3"/>
    <w:uiPriority w:val="60"/>
    <w:rsid w:val="006605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120">
    <w:name w:val="Без списък2112"/>
    <w:next w:val="NoList"/>
    <w:uiPriority w:val="99"/>
    <w:semiHidden/>
    <w:unhideWhenUsed/>
    <w:rsid w:val="006605D3"/>
  </w:style>
  <w:style w:type="numbering" w:customStyle="1" w:styleId="31120">
    <w:name w:val="Без списък3112"/>
    <w:next w:val="NoList"/>
    <w:uiPriority w:val="99"/>
    <w:semiHidden/>
    <w:unhideWhenUsed/>
    <w:rsid w:val="006605D3"/>
  </w:style>
  <w:style w:type="numbering" w:customStyle="1" w:styleId="41120">
    <w:name w:val="Без списък4112"/>
    <w:next w:val="NoList"/>
    <w:uiPriority w:val="99"/>
    <w:semiHidden/>
    <w:unhideWhenUsed/>
    <w:rsid w:val="006605D3"/>
  </w:style>
  <w:style w:type="numbering" w:customStyle="1" w:styleId="51120">
    <w:name w:val="Без списък5112"/>
    <w:next w:val="NoList"/>
    <w:uiPriority w:val="99"/>
    <w:semiHidden/>
    <w:unhideWhenUsed/>
    <w:rsid w:val="006605D3"/>
  </w:style>
  <w:style w:type="numbering" w:customStyle="1" w:styleId="61120">
    <w:name w:val="Без списък6112"/>
    <w:next w:val="NoList"/>
    <w:uiPriority w:val="99"/>
    <w:semiHidden/>
    <w:unhideWhenUsed/>
    <w:rsid w:val="006605D3"/>
  </w:style>
  <w:style w:type="table" w:customStyle="1" w:styleId="1232">
    <w:name w:val="Светло оцветяване12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2">
    <w:name w:val="Светло оцветяване - Акцент 112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32">
    <w:name w:val="Светло оцветяване - Акцент 212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32">
    <w:name w:val="Светло оцветяване - Акцент 312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120">
    <w:name w:val="Без списък912"/>
    <w:next w:val="NoList"/>
    <w:uiPriority w:val="99"/>
    <w:semiHidden/>
    <w:unhideWhenUsed/>
    <w:rsid w:val="006605D3"/>
  </w:style>
  <w:style w:type="numbering" w:customStyle="1" w:styleId="1012">
    <w:name w:val="Без списък1012"/>
    <w:next w:val="NoList"/>
    <w:uiPriority w:val="99"/>
    <w:semiHidden/>
    <w:unhideWhenUsed/>
    <w:rsid w:val="006605D3"/>
  </w:style>
  <w:style w:type="numbering" w:customStyle="1" w:styleId="14122">
    <w:name w:val="Без списък1412"/>
    <w:next w:val="NoList"/>
    <w:uiPriority w:val="99"/>
    <w:semiHidden/>
    <w:unhideWhenUsed/>
    <w:rsid w:val="006605D3"/>
  </w:style>
  <w:style w:type="table" w:customStyle="1" w:styleId="432">
    <w:name w:val="Светло оцветяване4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32">
    <w:name w:val="Светло оцветяване - Акцент 14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32">
    <w:name w:val="Светло оцветяване - Акцент 24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32">
    <w:name w:val="Светло оцветяване - Акцент 34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32">
    <w:name w:val="Светло оцветяване13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2">
    <w:name w:val="Светло оцветяване - Акцент 113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32">
    <w:name w:val="Светло оцветяване - Акцент 213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32">
    <w:name w:val="Светло оцветяване - Акцент 313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122">
    <w:name w:val="Без списък1512"/>
    <w:next w:val="NoList"/>
    <w:uiPriority w:val="99"/>
    <w:semiHidden/>
    <w:unhideWhenUsed/>
    <w:rsid w:val="006605D3"/>
  </w:style>
  <w:style w:type="numbering" w:customStyle="1" w:styleId="16120">
    <w:name w:val="Без списък1612"/>
    <w:next w:val="NoList"/>
    <w:uiPriority w:val="99"/>
    <w:semiHidden/>
    <w:unhideWhenUsed/>
    <w:rsid w:val="006605D3"/>
  </w:style>
  <w:style w:type="table" w:customStyle="1" w:styleId="532">
    <w:name w:val="Светло оцветяване5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32">
    <w:name w:val="Светло оцветяване - Акцент 15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32">
    <w:name w:val="Светло оцветяване - Акцент 25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32">
    <w:name w:val="Светло оцветяване - Акцент 35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320">
    <w:name w:val="Светло оцветяване14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2">
    <w:name w:val="Светло оцветяване - Акцент 114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32">
    <w:name w:val="Светло оцветяване - Акцент 214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32">
    <w:name w:val="Светло оцветяване - Акцент 314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120">
    <w:name w:val="Без списък1712"/>
    <w:next w:val="NoList"/>
    <w:uiPriority w:val="99"/>
    <w:semiHidden/>
    <w:unhideWhenUsed/>
    <w:rsid w:val="006605D3"/>
  </w:style>
  <w:style w:type="numbering" w:customStyle="1" w:styleId="1812">
    <w:name w:val="Без списък1812"/>
    <w:next w:val="NoList"/>
    <w:uiPriority w:val="99"/>
    <w:semiHidden/>
    <w:unhideWhenUsed/>
    <w:rsid w:val="006605D3"/>
  </w:style>
  <w:style w:type="table" w:customStyle="1" w:styleId="632">
    <w:name w:val="Светло оцветяване6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32">
    <w:name w:val="Светло оцветяване - Акцент 16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32">
    <w:name w:val="Светло оцветяване - Акцент 26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32">
    <w:name w:val="Светло оцветяване - Акцент 36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32">
    <w:name w:val="Светло оцветяване15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2">
    <w:name w:val="Светло оцветяване - Акцент 115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32">
    <w:name w:val="Светло оцветяване - Акцент 215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32">
    <w:name w:val="Светло оцветяване - Акцент 315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12">
    <w:name w:val="Без списък1912"/>
    <w:next w:val="NoList"/>
    <w:uiPriority w:val="99"/>
    <w:semiHidden/>
    <w:unhideWhenUsed/>
    <w:rsid w:val="006605D3"/>
  </w:style>
  <w:style w:type="table" w:customStyle="1" w:styleId="732">
    <w:name w:val="Светло оцветяване7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32">
    <w:name w:val="Светло оцветяване - Акцент 17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32">
    <w:name w:val="Светло оцветяване - Акцент 27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32">
    <w:name w:val="Светло оцветяване - Акцент 37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32">
    <w:name w:val="Светло оцветяване16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32">
    <w:name w:val="Светло оцветяване - Акцент 116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32">
    <w:name w:val="Светло оцветяване - Акцент 216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32">
    <w:name w:val="Светло оцветяване - Акцент 316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12">
    <w:name w:val="Без списък2012"/>
    <w:next w:val="NoList"/>
    <w:uiPriority w:val="99"/>
    <w:semiHidden/>
    <w:unhideWhenUsed/>
    <w:rsid w:val="006605D3"/>
  </w:style>
  <w:style w:type="table" w:customStyle="1" w:styleId="832">
    <w:name w:val="Светло оцветяване8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2">
    <w:name w:val="Светло оцветяване - Акцент 18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32">
    <w:name w:val="Светло оцветяване - Акцент 28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32">
    <w:name w:val="Светло оцветяване - Акцент 38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32">
    <w:name w:val="Светло оцветяване17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32">
    <w:name w:val="Светло оцветяване - Акцент 117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32">
    <w:name w:val="Светло оцветяване - Акцент 217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32">
    <w:name w:val="Светло оцветяване - Акцент 317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120">
    <w:name w:val="Без списък2212"/>
    <w:next w:val="NoList"/>
    <w:uiPriority w:val="99"/>
    <w:semiHidden/>
    <w:unhideWhenUsed/>
    <w:rsid w:val="006605D3"/>
  </w:style>
  <w:style w:type="table" w:customStyle="1" w:styleId="922">
    <w:name w:val="Светло оцветяване92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22">
    <w:name w:val="Светло оцветяване - Акцент 192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22">
    <w:name w:val="Светло оцветяване - Акцент 292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22">
    <w:name w:val="Светло оцветяване - Акцент 392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120">
    <w:name w:val="Светло оцветяване18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12">
    <w:name w:val="Светло оцветяване - Акцент 118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12">
    <w:name w:val="Светло оцветяване - Акцент 218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12">
    <w:name w:val="Светло оцветяване - Акцент 318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21">
    <w:name w:val="Светло оцветяване2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2">
    <w:name w:val="Светло оцветяване - Акцент 12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12">
    <w:name w:val="Светло оцветяване - Акцент 22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12">
    <w:name w:val="Светло оцветяване - Акцент 32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120">
    <w:name w:val="Светло оцветяване11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2">
    <w:name w:val="Светло оцветяване - Акцент 111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2">
    <w:name w:val="Светло оцветяване - Акцент 211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12">
    <w:name w:val="Светло оцветяване - Акцент 311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22">
    <w:name w:val="Светло оцветяване3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2">
    <w:name w:val="Светло оцветяване - Акцент 13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22">
    <w:name w:val="Светло оцветяване - Акцент 23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22">
    <w:name w:val="Светло оцветяване - Акцент 33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120">
    <w:name w:val="Светло оцветяване12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2">
    <w:name w:val="Светло оцветяване - Акцент 112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12">
    <w:name w:val="Светло оцветяване - Акцент 212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12">
    <w:name w:val="Светло оцветяване - Акцент 312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121">
    <w:name w:val="Светло оцветяване4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12">
    <w:name w:val="Светло оцветяване - Акцент 14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12">
    <w:name w:val="Светло оцветяване - Акцент 24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12">
    <w:name w:val="Светло оцветяване - Акцент 34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120">
    <w:name w:val="Светло оцветяване13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2">
    <w:name w:val="Светло оцветяване - Акцент 113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12">
    <w:name w:val="Светло оцветяване - Акцент 213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12">
    <w:name w:val="Светло оцветяване - Акцент 313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121">
    <w:name w:val="Светло оцветяване5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12">
    <w:name w:val="Светло оцветяване - Акцент 15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12">
    <w:name w:val="Светло оцветяване - Акцент 25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12">
    <w:name w:val="Светло оцветяване - Акцент 35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120">
    <w:name w:val="Светло оцветяване14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2">
    <w:name w:val="Светло оцветяване - Акцент 114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12">
    <w:name w:val="Светло оцветяване - Акцент 214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12">
    <w:name w:val="Светло оцветяване - Акцент 314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121">
    <w:name w:val="Светло оцветяване6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12">
    <w:name w:val="Светло оцветяване - Акцент 16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12">
    <w:name w:val="Светло оцветяване - Акцент 26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12">
    <w:name w:val="Светло оцветяване - Акцент 36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120">
    <w:name w:val="Светло оцветяване15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2">
    <w:name w:val="Светло оцветяване - Акцент 115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12">
    <w:name w:val="Светло оцветяване - Акцент 215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12">
    <w:name w:val="Светло оцветяване - Акцент 315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12">
    <w:name w:val="Светло оцветяване7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12">
    <w:name w:val="Светло оцветяване - Акцент 17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12">
    <w:name w:val="Светло оцветяване - Акцент 27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12">
    <w:name w:val="Светло оцветяване - Акцент 37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12">
    <w:name w:val="Светло оцветяване16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2">
    <w:name w:val="Светло оцветяване - Акцент 116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12">
    <w:name w:val="Светло оцветяване - Акцент 216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12">
    <w:name w:val="Светло оцветяване - Акцент 316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12">
    <w:name w:val="Светло оцветяване8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12">
    <w:name w:val="Светло оцветяване - Акцент 18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12">
    <w:name w:val="Светло оцветяване - Акцент 28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12">
    <w:name w:val="Светло оцветяване - Акцент 38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12">
    <w:name w:val="Светло оцветяване17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2">
    <w:name w:val="Светло оцветяване - Акцент 117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12">
    <w:name w:val="Светло оцветяване - Акцент 217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12">
    <w:name w:val="Светло оцветяване - Акцент 317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12">
    <w:name w:val="Светло оцветяване9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12">
    <w:name w:val="Светло оцветяване - Акцент 19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12">
    <w:name w:val="Светло оцветяване - Акцент 29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12">
    <w:name w:val="Светло оцветяване - Акцент 39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12">
    <w:name w:val="Светло оцветяване311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2">
    <w:name w:val="Светло оцветяване - Акцент 1311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12">
    <w:name w:val="Светло оцветяване - Акцент 2311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12">
    <w:name w:val="Светло оцветяване - Акцент 3311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12">
    <w:name w:val="Без списък2312"/>
    <w:next w:val="NoList"/>
    <w:uiPriority w:val="99"/>
    <w:semiHidden/>
    <w:unhideWhenUsed/>
    <w:rsid w:val="006605D3"/>
  </w:style>
  <w:style w:type="table" w:customStyle="1" w:styleId="10120">
    <w:name w:val="Светло оцветяване101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12">
    <w:name w:val="Светло оцветяване - Акцент 1101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12">
    <w:name w:val="Светло оцветяване - Акцент 2101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12">
    <w:name w:val="Светло оцветяване - Акцент 3101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120">
    <w:name w:val="Светло оцветяване19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12">
    <w:name w:val="Светло оцветяване - Акцент 119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12">
    <w:name w:val="Светло оцветяване - Акцент 219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12">
    <w:name w:val="Светло оцветяване - Акцент 319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121">
    <w:name w:val="Светло оцветяване2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2">
    <w:name w:val="Светло оцветяване - Акцент 12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12">
    <w:name w:val="Светло оцветяване - Акцент 22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12">
    <w:name w:val="Светло оцветяване - Акцент 32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120">
    <w:name w:val="Светло оцветяване11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ветло оцветяване - Акцент 111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12">
    <w:name w:val="Светло оцветяване - Акцент 211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12">
    <w:name w:val="Светло оцветяване - Акцент 311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120">
    <w:name w:val="Светло оцветяване3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2">
    <w:name w:val="Светло оцветяване - Акцент 13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12">
    <w:name w:val="Светло оцветяване - Акцент 23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12">
    <w:name w:val="Светло оцветяване - Акцент 33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120">
    <w:name w:val="Светло оцветяване12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12">
    <w:name w:val="Светло оцветяване - Акцент 112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12">
    <w:name w:val="Светло оцветяване - Акцент 212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12">
    <w:name w:val="Светло оцветяване - Акцент 312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120">
    <w:name w:val="Светло оцветяване4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12">
    <w:name w:val="Светло оцветяване - Акцент 14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12">
    <w:name w:val="Светло оцветяване - Акцент 24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12">
    <w:name w:val="Светло оцветяване - Акцент 34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120">
    <w:name w:val="Светло оцветяване13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12">
    <w:name w:val="Светло оцветяване - Акцент 113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12">
    <w:name w:val="Светло оцветяване - Акцент 213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12">
    <w:name w:val="Светло оцветяване - Акцент 313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120">
    <w:name w:val="Светло оцветяване5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12">
    <w:name w:val="Светло оцветяване - Акцент 15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12">
    <w:name w:val="Светло оцветяване - Акцент 25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12">
    <w:name w:val="Светло оцветяване - Акцент 35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120">
    <w:name w:val="Светло оцветяване14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12">
    <w:name w:val="Светло оцветяване - Акцент 114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12">
    <w:name w:val="Светло оцветяване - Акцент 214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12">
    <w:name w:val="Светло оцветяване - Акцент 314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120">
    <w:name w:val="Светло оцветяване6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12">
    <w:name w:val="Светло оцветяване - Акцент 16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12">
    <w:name w:val="Светло оцветяване - Акцент 26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12">
    <w:name w:val="Светло оцветяване - Акцент 36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120">
    <w:name w:val="Светло оцветяване15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12">
    <w:name w:val="Светло оцветяване - Акцент 115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12">
    <w:name w:val="Светло оцветяване - Акцент 215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12">
    <w:name w:val="Светло оцветяване - Акцент 315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12">
    <w:name w:val="Светло оцветяване7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12">
    <w:name w:val="Светло оцветяване - Акцент 17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12">
    <w:name w:val="Светло оцветяване - Акцент 27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12">
    <w:name w:val="Светло оцветяване - Акцент 37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12">
    <w:name w:val="Светло оцветяване16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12">
    <w:name w:val="Светло оцветяване - Акцент 116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12">
    <w:name w:val="Светло оцветяване - Акцент 216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12">
    <w:name w:val="Светло оцветяване - Акцент 316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12">
    <w:name w:val="Светло оцветяване8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2">
    <w:name w:val="Светло оцветяване - Акцент 18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12">
    <w:name w:val="Светло оцветяване - Акцент 28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12">
    <w:name w:val="Светло оцветяване - Акцент 38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12">
    <w:name w:val="Светло оцветяване1721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12">
    <w:name w:val="Светло оцветяване - Акцент 11721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12">
    <w:name w:val="Светло оцветяване - Акцент 21721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12">
    <w:name w:val="Светло оцветяване - Акцент 31721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62">
    <w:name w:val="Без списък262"/>
    <w:next w:val="NoList"/>
    <w:uiPriority w:val="99"/>
    <w:semiHidden/>
    <w:unhideWhenUsed/>
    <w:rsid w:val="006605D3"/>
  </w:style>
  <w:style w:type="numbering" w:customStyle="1" w:styleId="11320">
    <w:name w:val="Без списък1132"/>
    <w:next w:val="NoList"/>
    <w:uiPriority w:val="99"/>
    <w:semiHidden/>
    <w:unhideWhenUsed/>
    <w:rsid w:val="006605D3"/>
  </w:style>
  <w:style w:type="numbering" w:customStyle="1" w:styleId="1142">
    <w:name w:val="Без списък1142"/>
    <w:next w:val="NoList"/>
    <w:uiPriority w:val="99"/>
    <w:semiHidden/>
    <w:unhideWhenUsed/>
    <w:rsid w:val="006605D3"/>
  </w:style>
  <w:style w:type="numbering" w:customStyle="1" w:styleId="11132">
    <w:name w:val="Без списък11132"/>
    <w:next w:val="NoList"/>
    <w:semiHidden/>
    <w:rsid w:val="006605D3"/>
  </w:style>
  <w:style w:type="numbering" w:customStyle="1" w:styleId="111132">
    <w:name w:val="Без списък111132"/>
    <w:next w:val="NoList"/>
    <w:uiPriority w:val="99"/>
    <w:semiHidden/>
    <w:unhideWhenUsed/>
    <w:rsid w:val="006605D3"/>
  </w:style>
  <w:style w:type="table" w:customStyle="1" w:styleId="2420">
    <w:name w:val="Светло оцветяване242"/>
    <w:basedOn w:val="TableNormal"/>
    <w:next w:val="LightShading"/>
    <w:uiPriority w:val="60"/>
    <w:rsid w:val="006605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ветло оцветяване - Акцент 1242"/>
    <w:basedOn w:val="TableNormal"/>
    <w:next w:val="LightShading-Accent1"/>
    <w:uiPriority w:val="60"/>
    <w:rsid w:val="006605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42">
    <w:name w:val="Светло оцветяване - Акцент 2242"/>
    <w:basedOn w:val="TableNormal"/>
    <w:next w:val="LightShading-Accent2"/>
    <w:uiPriority w:val="60"/>
    <w:rsid w:val="006605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42">
    <w:name w:val="Светло оцветяване - Акцент 3242"/>
    <w:basedOn w:val="TableNormal"/>
    <w:next w:val="LightShading-Accent3"/>
    <w:uiPriority w:val="60"/>
    <w:rsid w:val="006605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72">
    <w:name w:val="Без списък272"/>
    <w:next w:val="NoList"/>
    <w:uiPriority w:val="99"/>
    <w:semiHidden/>
    <w:unhideWhenUsed/>
    <w:rsid w:val="006605D3"/>
  </w:style>
  <w:style w:type="numbering" w:customStyle="1" w:styleId="3320">
    <w:name w:val="Без списък332"/>
    <w:next w:val="NoList"/>
    <w:uiPriority w:val="99"/>
    <w:semiHidden/>
    <w:unhideWhenUsed/>
    <w:rsid w:val="006605D3"/>
  </w:style>
  <w:style w:type="numbering" w:customStyle="1" w:styleId="4320">
    <w:name w:val="Без списък432"/>
    <w:next w:val="NoList"/>
    <w:uiPriority w:val="99"/>
    <w:semiHidden/>
    <w:unhideWhenUsed/>
    <w:rsid w:val="006605D3"/>
  </w:style>
  <w:style w:type="numbering" w:customStyle="1" w:styleId="5320">
    <w:name w:val="Без списък532"/>
    <w:next w:val="NoList"/>
    <w:uiPriority w:val="99"/>
    <w:semiHidden/>
    <w:unhideWhenUsed/>
    <w:rsid w:val="006605D3"/>
  </w:style>
  <w:style w:type="numbering" w:customStyle="1" w:styleId="6320">
    <w:name w:val="Без списък632"/>
    <w:next w:val="NoList"/>
    <w:uiPriority w:val="99"/>
    <w:semiHidden/>
    <w:unhideWhenUsed/>
    <w:rsid w:val="006605D3"/>
  </w:style>
  <w:style w:type="table" w:customStyle="1" w:styleId="11420">
    <w:name w:val="Светло оцветяване11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2">
    <w:name w:val="Светло оцветяване - Акцент 111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42">
    <w:name w:val="Светло оцветяване - Акцент 211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42">
    <w:name w:val="Светло оцветяване - Акцент 311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7220">
    <w:name w:val="Без списък722"/>
    <w:next w:val="NoList"/>
    <w:uiPriority w:val="99"/>
    <w:semiHidden/>
    <w:unhideWhenUsed/>
    <w:rsid w:val="006605D3"/>
  </w:style>
  <w:style w:type="numbering" w:customStyle="1" w:styleId="12222">
    <w:name w:val="Без списък1222"/>
    <w:next w:val="NoList"/>
    <w:uiPriority w:val="99"/>
    <w:semiHidden/>
    <w:unhideWhenUsed/>
    <w:rsid w:val="006605D3"/>
  </w:style>
  <w:style w:type="table" w:customStyle="1" w:styleId="2520">
    <w:name w:val="Светло оцветяване25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2">
    <w:name w:val="Светло оцветяване - Акцент 125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52">
    <w:name w:val="Светло оцветяване - Акцент 225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52">
    <w:name w:val="Светло оцветяване - Акцент 325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52">
    <w:name w:val="Светло оцветяване115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2">
    <w:name w:val="Светло оцветяване - Акцент 1115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52">
    <w:name w:val="Светло оцветяване - Акцент 2115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52">
    <w:name w:val="Светло оцветяване - Акцент 3115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8220">
    <w:name w:val="Без списък822"/>
    <w:next w:val="NoList"/>
    <w:uiPriority w:val="99"/>
    <w:semiHidden/>
    <w:unhideWhenUsed/>
    <w:rsid w:val="006605D3"/>
  </w:style>
  <w:style w:type="numbering" w:customStyle="1" w:styleId="13222">
    <w:name w:val="Без списък1322"/>
    <w:next w:val="NoList"/>
    <w:uiPriority w:val="99"/>
    <w:semiHidden/>
    <w:unhideWhenUsed/>
    <w:rsid w:val="006605D3"/>
  </w:style>
  <w:style w:type="numbering" w:customStyle="1" w:styleId="1111122">
    <w:name w:val="Без списък1111122"/>
    <w:next w:val="NoList"/>
    <w:semiHidden/>
    <w:rsid w:val="006605D3"/>
  </w:style>
  <w:style w:type="numbering" w:customStyle="1" w:styleId="111111111">
    <w:name w:val="Без списък111111111"/>
    <w:next w:val="NoList"/>
    <w:uiPriority w:val="99"/>
    <w:semiHidden/>
    <w:unhideWhenUsed/>
    <w:rsid w:val="006605D3"/>
  </w:style>
  <w:style w:type="table" w:customStyle="1" w:styleId="342">
    <w:name w:val="Светло оцветяване342"/>
    <w:basedOn w:val="TableNormal"/>
    <w:next w:val="LightShading"/>
    <w:uiPriority w:val="60"/>
    <w:rsid w:val="006605D3"/>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2">
    <w:name w:val="Светло оцветяване - Акцент 1342"/>
    <w:basedOn w:val="TableNormal"/>
    <w:next w:val="LightShading-Accent1"/>
    <w:uiPriority w:val="60"/>
    <w:rsid w:val="006605D3"/>
    <w:rPr>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42">
    <w:name w:val="Светло оцветяване - Акцент 2342"/>
    <w:basedOn w:val="TableNormal"/>
    <w:next w:val="LightShading-Accent2"/>
    <w:uiPriority w:val="60"/>
    <w:rsid w:val="006605D3"/>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42">
    <w:name w:val="Светло оцветяване - Акцент 3342"/>
    <w:basedOn w:val="TableNormal"/>
    <w:next w:val="LightShading-Accent3"/>
    <w:uiPriority w:val="60"/>
    <w:rsid w:val="006605D3"/>
    <w:rPr>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122">
    <w:name w:val="Без списък2122"/>
    <w:next w:val="NoList"/>
    <w:uiPriority w:val="99"/>
    <w:semiHidden/>
    <w:unhideWhenUsed/>
    <w:rsid w:val="006605D3"/>
  </w:style>
  <w:style w:type="numbering" w:customStyle="1" w:styleId="31220">
    <w:name w:val="Без списък3122"/>
    <w:next w:val="NoList"/>
    <w:uiPriority w:val="99"/>
    <w:semiHidden/>
    <w:unhideWhenUsed/>
    <w:rsid w:val="006605D3"/>
  </w:style>
  <w:style w:type="numbering" w:customStyle="1" w:styleId="4122">
    <w:name w:val="Без списък4122"/>
    <w:next w:val="NoList"/>
    <w:uiPriority w:val="99"/>
    <w:semiHidden/>
    <w:unhideWhenUsed/>
    <w:rsid w:val="006605D3"/>
  </w:style>
  <w:style w:type="numbering" w:customStyle="1" w:styleId="5122">
    <w:name w:val="Без списък5122"/>
    <w:next w:val="NoList"/>
    <w:uiPriority w:val="99"/>
    <w:semiHidden/>
    <w:unhideWhenUsed/>
    <w:rsid w:val="006605D3"/>
  </w:style>
  <w:style w:type="numbering" w:customStyle="1" w:styleId="6122">
    <w:name w:val="Без списък6122"/>
    <w:next w:val="NoList"/>
    <w:uiPriority w:val="99"/>
    <w:semiHidden/>
    <w:unhideWhenUsed/>
    <w:rsid w:val="006605D3"/>
  </w:style>
  <w:style w:type="table" w:customStyle="1" w:styleId="1242">
    <w:name w:val="Светло оцветяване12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о оцветяване - Акцент 112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42">
    <w:name w:val="Светло оцветяване - Акцент 212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42">
    <w:name w:val="Светло оцветяване - Акцент 312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9220">
    <w:name w:val="Без списък922"/>
    <w:next w:val="NoList"/>
    <w:uiPriority w:val="99"/>
    <w:semiHidden/>
    <w:unhideWhenUsed/>
    <w:rsid w:val="006605D3"/>
  </w:style>
  <w:style w:type="numbering" w:customStyle="1" w:styleId="1022">
    <w:name w:val="Без списък1022"/>
    <w:next w:val="NoList"/>
    <w:uiPriority w:val="99"/>
    <w:semiHidden/>
    <w:unhideWhenUsed/>
    <w:rsid w:val="006605D3"/>
  </w:style>
  <w:style w:type="numbering" w:customStyle="1" w:styleId="14222">
    <w:name w:val="Без списък1422"/>
    <w:next w:val="NoList"/>
    <w:uiPriority w:val="99"/>
    <w:semiHidden/>
    <w:unhideWhenUsed/>
    <w:rsid w:val="006605D3"/>
  </w:style>
  <w:style w:type="table" w:customStyle="1" w:styleId="442">
    <w:name w:val="Светло оцветяване4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42">
    <w:name w:val="Светло оцветяване - Акцент 14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42">
    <w:name w:val="Светло оцветяване - Акцент 24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42">
    <w:name w:val="Светло оцветяване - Акцент 34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42">
    <w:name w:val="Светло оцветяване134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42">
    <w:name w:val="Светло оцветяване - Акцент 1134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42">
    <w:name w:val="Светло оцветяване - Акцент 2134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42">
    <w:name w:val="Светло оцветяване - Акцент 3134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5222">
    <w:name w:val="Без списък1522"/>
    <w:next w:val="NoList"/>
    <w:uiPriority w:val="99"/>
    <w:semiHidden/>
    <w:unhideWhenUsed/>
    <w:rsid w:val="006605D3"/>
  </w:style>
  <w:style w:type="numbering" w:customStyle="1" w:styleId="16220">
    <w:name w:val="Без списък1622"/>
    <w:next w:val="NoList"/>
    <w:uiPriority w:val="99"/>
    <w:semiHidden/>
    <w:unhideWhenUsed/>
    <w:rsid w:val="006605D3"/>
  </w:style>
  <w:style w:type="table" w:customStyle="1" w:styleId="542">
    <w:name w:val="Светло оцветяване5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42">
    <w:name w:val="Светло оцветяване - Акцент 15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42">
    <w:name w:val="Светло оцветяване - Акцент 25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42">
    <w:name w:val="Светло оцветяване - Акцент 35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42">
    <w:name w:val="Светло оцветяване144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2">
    <w:name w:val="Светло оцветяване - Акцент 1144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42">
    <w:name w:val="Светло оцветяване - Акцент 2144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42">
    <w:name w:val="Светло оцветяване - Акцент 3144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7220">
    <w:name w:val="Без списък1722"/>
    <w:next w:val="NoList"/>
    <w:uiPriority w:val="99"/>
    <w:semiHidden/>
    <w:unhideWhenUsed/>
    <w:rsid w:val="006605D3"/>
  </w:style>
  <w:style w:type="numbering" w:customStyle="1" w:styleId="1822">
    <w:name w:val="Без списък1822"/>
    <w:next w:val="NoList"/>
    <w:uiPriority w:val="99"/>
    <w:semiHidden/>
    <w:unhideWhenUsed/>
    <w:rsid w:val="006605D3"/>
  </w:style>
  <w:style w:type="table" w:customStyle="1" w:styleId="642">
    <w:name w:val="Светло оцветяване6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42">
    <w:name w:val="Светло оцветяване - Акцент 16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42">
    <w:name w:val="Светло оцветяване - Акцент 26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42">
    <w:name w:val="Светло оцветяване - Акцент 36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42">
    <w:name w:val="Светло оцветяване154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2">
    <w:name w:val="Светло оцветяване - Акцент 1154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42">
    <w:name w:val="Светло оцветяване - Акцент 2154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42">
    <w:name w:val="Светло оцветяване - Акцент 3154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922">
    <w:name w:val="Без списък1922"/>
    <w:next w:val="NoList"/>
    <w:uiPriority w:val="99"/>
    <w:semiHidden/>
    <w:unhideWhenUsed/>
    <w:rsid w:val="006605D3"/>
  </w:style>
  <w:style w:type="table" w:customStyle="1" w:styleId="742">
    <w:name w:val="Светло оцветяване7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42">
    <w:name w:val="Светло оцветяване - Акцент 17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42">
    <w:name w:val="Светло оцветяване - Акцент 27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42">
    <w:name w:val="Светло оцветяване - Акцент 37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42">
    <w:name w:val="Светло оцветяване164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42">
    <w:name w:val="Светло оцветяване - Акцент 1164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42">
    <w:name w:val="Светло оцветяване - Акцент 2164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42">
    <w:name w:val="Светло оцветяване - Акцент 3164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022">
    <w:name w:val="Без списък2022"/>
    <w:next w:val="NoList"/>
    <w:uiPriority w:val="99"/>
    <w:semiHidden/>
    <w:unhideWhenUsed/>
    <w:rsid w:val="006605D3"/>
  </w:style>
  <w:style w:type="table" w:customStyle="1" w:styleId="842">
    <w:name w:val="Светло оцветяване84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42">
    <w:name w:val="Светло оцветяване - Акцент 184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42">
    <w:name w:val="Светло оцветяване - Акцент 284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42">
    <w:name w:val="Светло оцветяване - Акцент 384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42">
    <w:name w:val="Светло оцветяване174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42">
    <w:name w:val="Светло оцветяване - Акцент 1174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42">
    <w:name w:val="Светло оцветяване - Акцент 2174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42">
    <w:name w:val="Светло оцветяване - Акцент 3174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222">
    <w:name w:val="Без списък2222"/>
    <w:next w:val="NoList"/>
    <w:uiPriority w:val="99"/>
    <w:semiHidden/>
    <w:unhideWhenUsed/>
    <w:rsid w:val="006605D3"/>
  </w:style>
  <w:style w:type="table" w:customStyle="1" w:styleId="932">
    <w:name w:val="Светло оцветяване93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32">
    <w:name w:val="Светло оцветяване - Акцент 193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32">
    <w:name w:val="Светло оцветяване - Акцент 293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32">
    <w:name w:val="Светло оцветяване - Акцент 393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8220">
    <w:name w:val="Светло оцветяване18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22">
    <w:name w:val="Светло оцветяване - Акцент 118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822">
    <w:name w:val="Светло оцветяване - Акцент 218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822">
    <w:name w:val="Светло оцветяване - Акцент 318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220">
    <w:name w:val="Светло оцветяване2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ветло оцветяване - Акцент 12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122">
    <w:name w:val="Светло оцветяване - Акцент 22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122">
    <w:name w:val="Светло оцветяване - Акцент 32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1220">
    <w:name w:val="Светло оцветяване11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2">
    <w:name w:val="Светло оцветяване - Акцент 111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22">
    <w:name w:val="Светло оцветяване - Акцент 211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122">
    <w:name w:val="Светло оцветяване - Акцент 311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32">
    <w:name w:val="Светло оцветяване313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32">
    <w:name w:val="Светло оцветяване - Акцент 1313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32">
    <w:name w:val="Светло оцветяване - Акцент 2313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32">
    <w:name w:val="Светло оцветяване - Акцент 3313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1220">
    <w:name w:val="Светло оцветяване12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2">
    <w:name w:val="Светло оцветяване - Акцент 112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22">
    <w:name w:val="Светло оцветяване - Акцент 212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122">
    <w:name w:val="Светло оцветяване - Акцент 312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220">
    <w:name w:val="Светло оцветяване4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2">
    <w:name w:val="Светло оцветяване - Акцент 14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122">
    <w:name w:val="Светло оцветяване - Акцент 24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122">
    <w:name w:val="Светло оцветяване - Акцент 34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1220">
    <w:name w:val="Светло оцветяване13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2">
    <w:name w:val="Светло оцветяване - Акцент 113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22">
    <w:name w:val="Светло оцветяване - Акцент 213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122">
    <w:name w:val="Светло оцветяване - Акцент 313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1220">
    <w:name w:val="Светло оцветяване5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2">
    <w:name w:val="Светло оцветяване - Акцент 15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122">
    <w:name w:val="Светло оцветяване - Акцент 25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122">
    <w:name w:val="Светло оцветяване - Акцент 35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1220">
    <w:name w:val="Светло оцветяване14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2">
    <w:name w:val="Светло оцветяване - Акцент 114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122">
    <w:name w:val="Светло оцветяване - Акцент 214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122">
    <w:name w:val="Светло оцветяване - Акцент 314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1220">
    <w:name w:val="Светло оцветяване6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2">
    <w:name w:val="Светло оцветяване - Акцент 16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122">
    <w:name w:val="Светло оцветяване - Акцент 26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122">
    <w:name w:val="Светло оцветяване - Акцент 36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1220">
    <w:name w:val="Светло оцветяване15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2">
    <w:name w:val="Светло оцветяване - Акцент 115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122">
    <w:name w:val="Светло оцветяване - Акцент 215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122">
    <w:name w:val="Светло оцветяване - Акцент 315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122">
    <w:name w:val="Светло оцветяване7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22">
    <w:name w:val="Светло оцветяване - Акцент 17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122">
    <w:name w:val="Светло оцветяване - Акцент 27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122">
    <w:name w:val="Светло оцветяване - Акцент 37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122">
    <w:name w:val="Светло оцветяване16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22">
    <w:name w:val="Светло оцветяване - Акцент 116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122">
    <w:name w:val="Светло оцветяване - Акцент 216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122">
    <w:name w:val="Светло оцветяване - Акцент 316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122">
    <w:name w:val="Светло оцветяване8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122">
    <w:name w:val="Светло оцветяване - Акцент 18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122">
    <w:name w:val="Светло оцветяване - Акцент 28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122">
    <w:name w:val="Светло оцветяване - Акцент 38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22">
    <w:name w:val="Светло оцветяване17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2">
    <w:name w:val="Светло оцветяване - Акцент 117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122">
    <w:name w:val="Светло оцветяване - Акцент 217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122">
    <w:name w:val="Светло оцветяване - Акцент 317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9122">
    <w:name w:val="Светло оцветяване9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122">
    <w:name w:val="Светло оцветяване - Акцент 19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9122">
    <w:name w:val="Светло оцветяване - Акцент 29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9122">
    <w:name w:val="Светло оцветяване - Акцент 39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1122">
    <w:name w:val="Светло оцветяване311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22">
    <w:name w:val="Светло оцветяване - Акцент 1311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1122">
    <w:name w:val="Светло оцветяване - Акцент 2311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1122">
    <w:name w:val="Светло оцветяване - Акцент 3311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2322">
    <w:name w:val="Без списък2322"/>
    <w:next w:val="NoList"/>
    <w:uiPriority w:val="99"/>
    <w:semiHidden/>
    <w:unhideWhenUsed/>
    <w:rsid w:val="006605D3"/>
  </w:style>
  <w:style w:type="table" w:customStyle="1" w:styleId="10220">
    <w:name w:val="Светло оцветяване1022"/>
    <w:basedOn w:val="TableNormal"/>
    <w:next w:val="LightShading"/>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22">
    <w:name w:val="Светло оцветяване - Акцент 11022"/>
    <w:basedOn w:val="TableNormal"/>
    <w:next w:val="LightShading-Accent1"/>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022">
    <w:name w:val="Светло оцветяване - Акцент 21022"/>
    <w:basedOn w:val="TableNormal"/>
    <w:next w:val="LightShading-Accent2"/>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022">
    <w:name w:val="Светло оцветяване - Акцент 31022"/>
    <w:basedOn w:val="TableNormal"/>
    <w:next w:val="LightShading-Accent3"/>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9220">
    <w:name w:val="Светло оцветяване19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922">
    <w:name w:val="Светло оцветяване - Акцент 119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922">
    <w:name w:val="Светло оцветяване - Акцент 219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922">
    <w:name w:val="Светло оцветяване - Акцент 319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2220">
    <w:name w:val="Светло оцветяване2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2">
    <w:name w:val="Светло оцветяване - Акцент 12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222">
    <w:name w:val="Светло оцветяване - Акцент 22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222">
    <w:name w:val="Светло оцветяване - Акцент 32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2220">
    <w:name w:val="Светло оцветяване11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2">
    <w:name w:val="Светло оцветяване - Акцент 111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22">
    <w:name w:val="Светло оцветяване - Акцент 211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222">
    <w:name w:val="Светло оцветяване - Акцент 311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32220">
    <w:name w:val="Светло оцветяване3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2">
    <w:name w:val="Светло оцветяване - Акцент 13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222">
    <w:name w:val="Светло оцветяване - Акцент 23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3222">
    <w:name w:val="Светло оцветяване - Акцент 33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2220">
    <w:name w:val="Светло оцветяване12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22">
    <w:name w:val="Светло оцветяване - Акцент 112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22">
    <w:name w:val="Светло оцветяване - Акцент 212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2222">
    <w:name w:val="Светло оцветяване - Акцент 312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220">
    <w:name w:val="Светло оцветяване4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22">
    <w:name w:val="Светло оцветяване - Акцент 14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4222">
    <w:name w:val="Светло оцветяване - Акцент 24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4222">
    <w:name w:val="Светло оцветяване - Акцент 34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32220">
    <w:name w:val="Светло оцветяване13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2">
    <w:name w:val="Светло оцветяване - Акцент 113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22">
    <w:name w:val="Светло оцветяване - Акцент 213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3222">
    <w:name w:val="Светло оцветяване - Акцент 313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52220">
    <w:name w:val="Светло оцветяване5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222">
    <w:name w:val="Светло оцветяване - Акцент 15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5222">
    <w:name w:val="Светло оцветяване - Акцент 25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5222">
    <w:name w:val="Светло оцветяване - Акцент 35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42220">
    <w:name w:val="Светло оцветяване14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2">
    <w:name w:val="Светло оцветяване - Акцент 114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222">
    <w:name w:val="Светло оцветяване - Акцент 214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4222">
    <w:name w:val="Светло оцветяване - Акцент 314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62220">
    <w:name w:val="Светло оцветяване6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222">
    <w:name w:val="Светло оцветяване - Акцент 16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6222">
    <w:name w:val="Светло оцветяване - Акцент 26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6222">
    <w:name w:val="Светло оцветяване - Акцент 36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52220">
    <w:name w:val="Светло оцветяване15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22">
    <w:name w:val="Светло оцветяване - Акцент 115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222">
    <w:name w:val="Светло оцветяване - Акцент 215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5222">
    <w:name w:val="Светло оцветяване - Акцент 315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7222">
    <w:name w:val="Светло оцветяване7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222">
    <w:name w:val="Светло оцветяване - Акцент 17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222">
    <w:name w:val="Светло оцветяване - Акцент 27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7222">
    <w:name w:val="Светло оцветяване - Акцент 37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6222">
    <w:name w:val="Светло оцветяване16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222">
    <w:name w:val="Светло оцветяване - Акцент 116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6222">
    <w:name w:val="Светло оцветяване - Акцент 216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6222">
    <w:name w:val="Светло оцветяване - Акцент 316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8222">
    <w:name w:val="Светло оцветяване8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22">
    <w:name w:val="Светло оцветяване - Акцент 18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8222">
    <w:name w:val="Светло оцветяване - Акцент 28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8222">
    <w:name w:val="Светло оцветяване - Акцент 38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222">
    <w:name w:val="Светло оцветяване17222"/>
    <w:basedOn w:val="TableNormal"/>
    <w:uiPriority w:val="60"/>
    <w:rsid w:val="006605D3"/>
    <w:rPr>
      <w:color w:val="00000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22">
    <w:name w:val="Светло оцветяване - Акцент 117222"/>
    <w:basedOn w:val="TableNormal"/>
    <w:uiPriority w:val="60"/>
    <w:rsid w:val="006605D3"/>
    <w:rPr>
      <w:color w:val="365F91"/>
      <w:lang w:val="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7222">
    <w:name w:val="Светло оцветяване - Акцент 217222"/>
    <w:basedOn w:val="TableNormal"/>
    <w:uiPriority w:val="60"/>
    <w:rsid w:val="006605D3"/>
    <w:rPr>
      <w:color w:val="943634"/>
      <w:lang w:val="en-US"/>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7222">
    <w:name w:val="Светло оцветяване - Акцент 317222"/>
    <w:basedOn w:val="TableNormal"/>
    <w:uiPriority w:val="60"/>
    <w:rsid w:val="006605D3"/>
    <w:rPr>
      <w:color w:val="76923C"/>
      <w:lang w:val="en-US"/>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725453">
      <w:bodyDiv w:val="1"/>
      <w:marLeft w:val="0"/>
      <w:marRight w:val="0"/>
      <w:marTop w:val="0"/>
      <w:marBottom w:val="0"/>
      <w:divBdr>
        <w:top w:val="none" w:sz="0" w:space="0" w:color="auto"/>
        <w:left w:val="none" w:sz="0" w:space="0" w:color="auto"/>
        <w:bottom w:val="none" w:sz="0" w:space="0" w:color="auto"/>
        <w:right w:val="none" w:sz="0" w:space="0" w:color="auto"/>
      </w:divBdr>
    </w:div>
    <w:div w:id="743139986">
      <w:bodyDiv w:val="1"/>
      <w:marLeft w:val="0"/>
      <w:marRight w:val="0"/>
      <w:marTop w:val="0"/>
      <w:marBottom w:val="0"/>
      <w:divBdr>
        <w:top w:val="none" w:sz="0" w:space="0" w:color="auto"/>
        <w:left w:val="none" w:sz="0" w:space="0" w:color="auto"/>
        <w:bottom w:val="none" w:sz="0" w:space="0" w:color="auto"/>
        <w:right w:val="none" w:sz="0" w:space="0" w:color="auto"/>
      </w:divBdr>
    </w:div>
    <w:div w:id="1261795483">
      <w:bodyDiv w:val="1"/>
      <w:marLeft w:val="0"/>
      <w:marRight w:val="0"/>
      <w:marTop w:val="0"/>
      <w:marBottom w:val="0"/>
      <w:divBdr>
        <w:top w:val="none" w:sz="0" w:space="0" w:color="auto"/>
        <w:left w:val="none" w:sz="0" w:space="0" w:color="auto"/>
        <w:bottom w:val="none" w:sz="0" w:space="0" w:color="auto"/>
        <w:right w:val="none" w:sz="0" w:space="0" w:color="auto"/>
      </w:divBdr>
    </w:div>
    <w:div w:id="1571693164">
      <w:bodyDiv w:val="1"/>
      <w:marLeft w:val="0"/>
      <w:marRight w:val="0"/>
      <w:marTop w:val="0"/>
      <w:marBottom w:val="0"/>
      <w:divBdr>
        <w:top w:val="none" w:sz="0" w:space="0" w:color="auto"/>
        <w:left w:val="none" w:sz="0" w:space="0" w:color="auto"/>
        <w:bottom w:val="none" w:sz="0" w:space="0" w:color="auto"/>
        <w:right w:val="none" w:sz="0" w:space="0" w:color="auto"/>
      </w:divBdr>
    </w:div>
    <w:div w:id="1769151403">
      <w:bodyDiv w:val="1"/>
      <w:marLeft w:val="0"/>
      <w:marRight w:val="0"/>
      <w:marTop w:val="0"/>
      <w:marBottom w:val="0"/>
      <w:divBdr>
        <w:top w:val="none" w:sz="0" w:space="0" w:color="auto"/>
        <w:left w:val="none" w:sz="0" w:space="0" w:color="auto"/>
        <w:bottom w:val="none" w:sz="0" w:space="0" w:color="auto"/>
        <w:right w:val="none" w:sz="0" w:space="0" w:color="auto"/>
      </w:divBdr>
    </w:div>
    <w:div w:id="2052144826">
      <w:bodyDiv w:val="1"/>
      <w:marLeft w:val="0"/>
      <w:marRight w:val="0"/>
      <w:marTop w:val="0"/>
      <w:marBottom w:val="0"/>
      <w:divBdr>
        <w:top w:val="none" w:sz="0" w:space="0" w:color="auto"/>
        <w:left w:val="none" w:sz="0" w:space="0" w:color="auto"/>
        <w:bottom w:val="none" w:sz="0" w:space="0" w:color="auto"/>
        <w:right w:val="none" w:sz="0" w:space="0" w:color="auto"/>
      </w:divBdr>
    </w:div>
    <w:div w:id="208707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image" Target="media/image1.emf"/><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chart" Target="charts/chart68.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3.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1.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header" Target="header1.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3.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Регистрирани</c:v>
                </c:pt>
              </c:strCache>
            </c:strRef>
          </c:tx>
          <c:spPr>
            <a:solidFill>
              <a:srgbClr val="9BBB59">
                <a:lumMod val="75000"/>
              </a:srgbClr>
            </a:solidFill>
            <a:scene3d>
              <a:camera prst="orthographicFront"/>
              <a:lightRig rig="threePt" dir="t"/>
            </a:scene3d>
            <a:sp3d>
              <a:bevelT prst="relaxedInset"/>
              <a:bevelB w="152400" h="50800" prst="softRound"/>
            </a:sp3d>
          </c:spPr>
          <c:invertIfNegative val="0"/>
          <c:dLbls>
            <c:spPr>
              <a:noFill/>
              <a:ln w="253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16110</c:v>
                </c:pt>
                <c:pt idx="1">
                  <c:v>17534</c:v>
                </c:pt>
                <c:pt idx="2">
                  <c:v>20382</c:v>
                </c:pt>
              </c:numCache>
            </c:numRef>
          </c:val>
          <c:extLst>
            <c:ext xmlns:c16="http://schemas.microsoft.com/office/drawing/2014/chart" uri="{C3380CC4-5D6E-409C-BE32-E72D297353CC}">
              <c16:uniqueId val="{00000000-6B9E-48C8-8E15-3D2C87D56033}"/>
            </c:ext>
          </c:extLst>
        </c:ser>
        <c:ser>
          <c:idx val="1"/>
          <c:order val="1"/>
          <c:tx>
            <c:strRef>
              <c:f>Лист1!$C$1</c:f>
              <c:strCache>
                <c:ptCount val="1"/>
                <c:pt idx="0">
                  <c:v>Разкрити</c:v>
                </c:pt>
              </c:strCache>
            </c:strRef>
          </c:tx>
          <c:spPr>
            <a:solidFill>
              <a:srgbClr val="FF0000"/>
            </a:solidFill>
            <a:scene3d>
              <a:camera prst="orthographicFront"/>
              <a:lightRig rig="threePt" dir="t"/>
            </a:scene3d>
            <a:sp3d>
              <a:bevelT prst="relaxedInset"/>
              <a:bevelB w="152400" h="50800" prst="softRound"/>
            </a:sp3d>
          </c:spPr>
          <c:invertIfNegative val="0"/>
          <c:dLbls>
            <c:dLbl>
              <c:idx val="0"/>
              <c:layout>
                <c:manualLayout>
                  <c:x val="1.0899182561307882E-2"/>
                  <c:y val="3.8004744907364184E-3"/>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E-48C8-8E15-3D2C87D56033}"/>
                </c:ext>
              </c:extLst>
            </c:dLbl>
            <c:dLbl>
              <c:idx val="1"/>
              <c:layout>
                <c:manualLayout>
                  <c:x val="1.0899182561307902E-2"/>
                  <c:y val="0"/>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9E-48C8-8E15-3D2C87D56033}"/>
                </c:ext>
              </c:extLst>
            </c:dLbl>
            <c:dLbl>
              <c:idx val="2"/>
              <c:layout>
                <c:manualLayout>
                  <c:x val="1.3079019073569483E-2"/>
                  <c:y val="6.9674560777029346E-17"/>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9E-48C8-8E15-3D2C87D56033}"/>
                </c:ext>
              </c:extLst>
            </c:dLbl>
            <c:spPr>
              <a:noFill/>
              <a:ln w="253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Лист1!$C$2:$C$4</c:f>
              <c:numCache>
                <c:formatCode>General</c:formatCode>
                <c:ptCount val="3"/>
                <c:pt idx="0">
                  <c:v>4731</c:v>
                </c:pt>
                <c:pt idx="1">
                  <c:v>4977</c:v>
                </c:pt>
                <c:pt idx="2">
                  <c:v>6146</c:v>
                </c:pt>
              </c:numCache>
            </c:numRef>
          </c:val>
          <c:extLst>
            <c:ext xmlns:c16="http://schemas.microsoft.com/office/drawing/2014/chart" uri="{C3380CC4-5D6E-409C-BE32-E72D297353CC}">
              <c16:uniqueId val="{00000004-6B9E-48C8-8E15-3D2C87D56033}"/>
            </c:ext>
          </c:extLst>
        </c:ser>
        <c:ser>
          <c:idx val="2"/>
          <c:order val="2"/>
          <c:tx>
            <c:strRef>
              <c:f>Лист1!$D$1</c:f>
              <c:strCache>
                <c:ptCount val="1"/>
                <c:pt idx="0">
                  <c:v>Осъдени лица с влязъл в сила съдебен акт</c:v>
                </c:pt>
              </c:strCache>
            </c:strRef>
          </c:tx>
          <c:spPr>
            <a:solidFill>
              <a:srgbClr val="4F81BD"/>
            </a:solidFill>
            <a:scene3d>
              <a:camera prst="orthographicFront"/>
              <a:lightRig rig="threePt" dir="t"/>
            </a:scene3d>
            <a:sp3d>
              <a:bevelT/>
            </a:sp3d>
          </c:spPr>
          <c:invertIfNegative val="0"/>
          <c:dLbls>
            <c:dLbl>
              <c:idx val="0"/>
              <c:layout>
                <c:manualLayout>
                  <c:x val="1.3079019073569483E-2"/>
                  <c:y val="0"/>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9E-48C8-8E15-3D2C87D56033}"/>
                </c:ext>
              </c:extLst>
            </c:dLbl>
            <c:dLbl>
              <c:idx val="1"/>
              <c:layout>
                <c:manualLayout>
                  <c:x val="8.7193460490463219E-3"/>
                  <c:y val="0"/>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9E-48C8-8E15-3D2C87D56033}"/>
                </c:ext>
              </c:extLst>
            </c:dLbl>
            <c:dLbl>
              <c:idx val="2"/>
              <c:layout>
                <c:manualLayout>
                  <c:x val="8.7193460490463219E-3"/>
                  <c:y val="7.6009489814728368E-3"/>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9E-48C8-8E15-3D2C87D56033}"/>
                </c:ext>
              </c:extLst>
            </c:dLbl>
            <c:spPr>
              <a:noFill/>
              <a:ln w="2536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Лист1!$D$2:$D$4</c:f>
              <c:numCache>
                <c:formatCode>General</c:formatCode>
                <c:ptCount val="3"/>
                <c:pt idx="0">
                  <c:v>2689</c:v>
                </c:pt>
                <c:pt idx="1">
                  <c:v>2136</c:v>
                </c:pt>
                <c:pt idx="2">
                  <c:v>2953</c:v>
                </c:pt>
              </c:numCache>
            </c:numRef>
          </c:val>
          <c:extLst>
            <c:ext xmlns:c16="http://schemas.microsoft.com/office/drawing/2014/chart" uri="{C3380CC4-5D6E-409C-BE32-E72D297353CC}">
              <c16:uniqueId val="{00000008-6B9E-48C8-8E15-3D2C87D56033}"/>
            </c:ext>
          </c:extLst>
        </c:ser>
        <c:dLbls>
          <c:showLegendKey val="0"/>
          <c:showVal val="0"/>
          <c:showCatName val="0"/>
          <c:showSerName val="0"/>
          <c:showPercent val="0"/>
          <c:showBubbleSize val="0"/>
        </c:dLbls>
        <c:gapWidth val="150"/>
        <c:axId val="1332929423"/>
        <c:axId val="1"/>
      </c:barChart>
      <c:catAx>
        <c:axId val="133292942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929423"/>
        <c:crosses val="autoZero"/>
        <c:crossBetween val="between"/>
      </c:valAx>
      <c:spPr>
        <a:noFill/>
        <a:ln w="25369">
          <a:noFill/>
        </a:ln>
      </c:spPr>
    </c:plotArea>
    <c:legend>
      <c:legendPos val="r"/>
      <c:overlay val="0"/>
    </c:legend>
    <c:plotVisOnly val="1"/>
    <c:dispBlanksAs val="gap"/>
    <c:showDLblsOverMax val="0"/>
  </c:chart>
  <c:spPr>
    <a:no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a:latin typeface="Times New Roman" panose="02020603050405020304" pitchFamily="18" charset="0"/>
                <a:cs typeface="Times New Roman" panose="02020603050405020304" pitchFamily="18" charset="0"/>
              </a:defRPr>
            </a:pPr>
            <a:r>
              <a:rPr lang="bg-BG"/>
              <a:t>Приключени досъдебни производства за района на Софийска градска прокуратура 2021 г.</a:t>
            </a:r>
          </a:p>
        </c:rich>
      </c:tx>
      <c:overlay val="0"/>
    </c:title>
    <c:autoTitleDeleted val="0"/>
    <c:view3D>
      <c:rotX val="30"/>
      <c:rotY val="180"/>
      <c:rAngAx val="0"/>
      <c:perspective val="20"/>
    </c:view3D>
    <c:floor>
      <c:thickness val="0"/>
    </c:floor>
    <c:sideWall>
      <c:thickness val="0"/>
    </c:sideWall>
    <c:backWall>
      <c:thickness val="0"/>
    </c:backWall>
    <c:plotArea>
      <c:layout/>
      <c:pie3DChart>
        <c:varyColors val="1"/>
        <c:ser>
          <c:idx val="0"/>
          <c:order val="0"/>
          <c:tx>
            <c:strRef>
              <c:f>Лист1!$B$1</c:f>
              <c:strCache>
                <c:ptCount val="1"/>
                <c:pt idx="0">
                  <c:v>Приключени досъдебни производства за района на Софийска градска прокуратура 2018 г.</c:v>
                </c:pt>
              </c:strCache>
            </c:strRef>
          </c:tx>
          <c:spPr>
            <a:solidFill>
              <a:srgbClr val="FFC000"/>
            </a:solidFill>
          </c:spPr>
          <c:explosion val="25"/>
          <c:dPt>
            <c:idx val="0"/>
            <c:bubble3D val="0"/>
            <c:spPr>
              <a:solidFill>
                <a:srgbClr val="00B050"/>
              </a:solidFill>
            </c:spPr>
            <c:extLst>
              <c:ext xmlns:c16="http://schemas.microsoft.com/office/drawing/2014/chart" uri="{C3380CC4-5D6E-409C-BE32-E72D297353CC}">
                <c16:uniqueId val="{00000000-3210-4837-90F4-1A69AF87E2FE}"/>
              </c:ext>
            </c:extLst>
          </c:dPt>
          <c:dPt>
            <c:idx val="1"/>
            <c:bubble3D val="0"/>
            <c:spPr>
              <a:solidFill>
                <a:srgbClr val="FFFF00"/>
              </a:solidFill>
            </c:spPr>
            <c:extLst>
              <c:ext xmlns:c16="http://schemas.microsoft.com/office/drawing/2014/chart" uri="{C3380CC4-5D6E-409C-BE32-E72D297353CC}">
                <c16:uniqueId val="{00000001-3210-4837-90F4-1A69AF87E2FE}"/>
              </c:ext>
            </c:extLst>
          </c:dPt>
          <c:dLbls>
            <c:dLbl>
              <c:idx val="0"/>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10-4837-90F4-1A69AF87E2FE}"/>
                </c:ext>
              </c:extLst>
            </c:dLbl>
            <c:dLbl>
              <c:idx val="1"/>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10-4837-90F4-1A69AF87E2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Приключени в законов срок</c:v>
                </c:pt>
                <c:pt idx="1">
                  <c:v>Приключени извън законов срок</c:v>
                </c:pt>
              </c:strCache>
            </c:strRef>
          </c:cat>
          <c:val>
            <c:numRef>
              <c:f>Лист1!$B$2:$B$3</c:f>
              <c:numCache>
                <c:formatCode>0.00%</c:formatCode>
                <c:ptCount val="2"/>
                <c:pt idx="0">
                  <c:v>0.99680000000000002</c:v>
                </c:pt>
                <c:pt idx="1">
                  <c:v>3.2000000000000002E-3</c:v>
                </c:pt>
              </c:numCache>
            </c:numRef>
          </c:val>
          <c:extLst>
            <c:ext xmlns:c16="http://schemas.microsoft.com/office/drawing/2014/chart" uri="{C3380CC4-5D6E-409C-BE32-E72D297353CC}">
              <c16:uniqueId val="{00000002-3210-4837-90F4-1A69AF87E2FE}"/>
            </c:ext>
          </c:extLst>
        </c:ser>
        <c:dLbls>
          <c:showLegendKey val="0"/>
          <c:showVal val="0"/>
          <c:showCatName val="0"/>
          <c:showSerName val="0"/>
          <c:showPercent val="0"/>
          <c:showBubbleSize val="0"/>
          <c:showLeaderLines val="1"/>
        </c:dLbls>
      </c:pie3DChart>
      <c:spPr>
        <a:noFill/>
        <a:ln w="25335">
          <a:noFill/>
        </a:ln>
      </c:spPr>
    </c:plotArea>
    <c:legend>
      <c:legendPos val="r"/>
      <c:overlay val="0"/>
    </c:legend>
    <c:plotVisOnly val="1"/>
    <c:dispBlanksAs val="gap"/>
    <c:showDLblsOverMax val="0"/>
  </c:chart>
  <c:spPr>
    <a:solidFill>
      <a:schemeClr val="bg1"/>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latin typeface="Times New Roman" panose="02020603050405020304" pitchFamily="18" charset="0"/>
                <a:cs typeface="Times New Roman" panose="02020603050405020304" pitchFamily="18" charset="0"/>
              </a:defRPr>
            </a:pPr>
            <a:r>
              <a:rPr lang="bg-BG"/>
              <a:t>Неприключени досъдебни производства за района на Софийска градска прокуратура 2021г.</a:t>
            </a:r>
          </a:p>
        </c:rich>
      </c:tx>
      <c:overlay val="0"/>
    </c:title>
    <c:autoTitleDeleted val="0"/>
    <c:view3D>
      <c:rotX val="30"/>
      <c:rotY val="220"/>
      <c:rAngAx val="0"/>
    </c:view3D>
    <c:floor>
      <c:thickness val="0"/>
    </c:floor>
    <c:sideWall>
      <c:thickness val="0"/>
    </c:sideWall>
    <c:backWall>
      <c:thickness val="0"/>
    </c:backWall>
    <c:plotArea>
      <c:layout/>
      <c:pie3DChart>
        <c:varyColors val="1"/>
        <c:ser>
          <c:idx val="0"/>
          <c:order val="0"/>
          <c:tx>
            <c:strRef>
              <c:f>Лист1!$B$1</c:f>
              <c:strCache>
                <c:ptCount val="1"/>
                <c:pt idx="0">
                  <c:v>Неприключени досъдебни производства за района на Софийска градска прокуратура 2018 г.</c:v>
                </c:pt>
              </c:strCache>
            </c:strRef>
          </c:tx>
          <c:explosion val="25"/>
          <c:dPt>
            <c:idx val="0"/>
            <c:bubble3D val="0"/>
            <c:spPr>
              <a:solidFill>
                <a:srgbClr val="00B0F0"/>
              </a:solidFill>
            </c:spPr>
            <c:extLst>
              <c:ext xmlns:c16="http://schemas.microsoft.com/office/drawing/2014/chart" uri="{C3380CC4-5D6E-409C-BE32-E72D297353CC}">
                <c16:uniqueId val="{00000000-C6BA-4428-9C30-D422BF40910E}"/>
              </c:ext>
            </c:extLst>
          </c:dPt>
          <c:dPt>
            <c:idx val="1"/>
            <c:bubble3D val="0"/>
            <c:spPr>
              <a:solidFill>
                <a:srgbClr val="F47710"/>
              </a:solidFill>
            </c:spPr>
            <c:extLst>
              <c:ext xmlns:c16="http://schemas.microsoft.com/office/drawing/2014/chart" uri="{C3380CC4-5D6E-409C-BE32-E72D297353CC}">
                <c16:uniqueId val="{00000001-C6BA-4428-9C30-D422BF40910E}"/>
              </c:ext>
            </c:extLst>
          </c:dPt>
          <c:dLbls>
            <c:spPr>
              <a:noFill/>
              <a:ln w="25368">
                <a:noFill/>
              </a:ln>
            </c:spPr>
            <c:txPr>
              <a:bodyPr wrap="square" lIns="38100" tIns="19050" rIns="38100" bIns="19050" anchor="ctr">
                <a:spAutoFit/>
              </a:bodyPr>
              <a:lstStyle/>
              <a:p>
                <a:pPr>
                  <a:defRPr sz="1400"/>
                </a:pPr>
                <a:endParaRPr lang="bg-BG"/>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Неприключени в законов срок</c:v>
                </c:pt>
                <c:pt idx="1">
                  <c:v>Неприключени извън законов срок</c:v>
                </c:pt>
              </c:strCache>
            </c:strRef>
          </c:cat>
          <c:val>
            <c:numRef>
              <c:f>Лист1!$B$2:$B$3</c:f>
              <c:numCache>
                <c:formatCode>0.00%</c:formatCode>
                <c:ptCount val="2"/>
                <c:pt idx="0">
                  <c:v>0.99690000000000001</c:v>
                </c:pt>
                <c:pt idx="1">
                  <c:v>3.0999999999999999E-3</c:v>
                </c:pt>
              </c:numCache>
            </c:numRef>
          </c:val>
          <c:extLst>
            <c:ext xmlns:c16="http://schemas.microsoft.com/office/drawing/2014/chart" uri="{C3380CC4-5D6E-409C-BE32-E72D297353CC}">
              <c16:uniqueId val="{00000002-C6BA-4428-9C30-D422BF40910E}"/>
            </c:ext>
          </c:extLst>
        </c:ser>
        <c:dLbls>
          <c:showLegendKey val="0"/>
          <c:showVal val="0"/>
          <c:showCatName val="0"/>
          <c:showSerName val="0"/>
          <c:showPercent val="0"/>
          <c:showBubbleSize val="0"/>
          <c:showLeaderLines val="1"/>
        </c:dLbls>
      </c:pie3DChart>
      <c:spPr>
        <a:noFill/>
        <a:ln w="25371">
          <a:noFill/>
        </a:ln>
      </c:spPr>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v>Глава ІІ от НК</c:v>
          </c:tx>
          <c:invertIfNegative val="0"/>
          <c:dLbls>
            <c:dLbl>
              <c:idx val="0"/>
              <c:layout>
                <c:manualLayout>
                  <c:x val="1.2408230793092733E-2"/>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Лист1!$B$2:$D$2</c:f>
              <c:numCache>
                <c:formatCode>0.00%</c:formatCode>
                <c:ptCount val="1"/>
                <c:pt idx="0">
                  <c:v>0.125</c:v>
                </c:pt>
              </c:numCache>
            </c:numRef>
          </c:val>
          <c:extLst>
            <c:ext xmlns:c16="http://schemas.microsoft.com/office/drawing/2014/chart" uri="{C3380CC4-5D6E-409C-BE32-E72D297353CC}">
              <c16:uniqueId val="{00000000-9CCF-4796-865F-9822CD10CAFA}"/>
            </c:ext>
          </c:extLst>
        </c:ser>
        <c:ser>
          <c:idx val="1"/>
          <c:order val="1"/>
          <c:tx>
            <c:v>Глава ІІІ от НК</c:v>
          </c:tx>
          <c:invertIfNegative val="0"/>
          <c:dLbls>
            <c:dLbl>
              <c:idx val="0"/>
              <c:layout>
                <c:manualLayout>
                  <c:x val="1.8612346189639126E-2"/>
                  <c:y val="-3.2085561497326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Лист1!$B$3:$D$3</c:f>
              <c:numCache>
                <c:formatCode>0.00%</c:formatCode>
                <c:ptCount val="1"/>
                <c:pt idx="0">
                  <c:v>1.03E-2</c:v>
                </c:pt>
              </c:numCache>
            </c:numRef>
          </c:val>
          <c:extLst>
            <c:ext xmlns:c16="http://schemas.microsoft.com/office/drawing/2014/chart" uri="{C3380CC4-5D6E-409C-BE32-E72D297353CC}">
              <c16:uniqueId val="{00000001-9CCF-4796-865F-9822CD10CAFA}"/>
            </c:ext>
          </c:extLst>
        </c:ser>
        <c:ser>
          <c:idx val="2"/>
          <c:order val="2"/>
          <c:tx>
            <c:strRef>
              <c:f>Лист1!$A$4</c:f>
              <c:strCache>
                <c:ptCount val="1"/>
                <c:pt idx="0">
                  <c:v>Глава ІV от НК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1"/>
                <c:pt idx="0">
                  <c:v>2021 г.</c:v>
                </c:pt>
              </c:strCache>
            </c:strRef>
          </c:cat>
          <c:val>
            <c:numRef>
              <c:f>Лист1!$B$4:$D$4</c:f>
              <c:numCache>
                <c:formatCode>0.00%</c:formatCode>
                <c:ptCount val="1"/>
                <c:pt idx="0">
                  <c:v>1.0500000000000001E-2</c:v>
                </c:pt>
              </c:numCache>
            </c:numRef>
          </c:val>
          <c:extLst>
            <c:ext xmlns:c16="http://schemas.microsoft.com/office/drawing/2014/chart" uri="{C3380CC4-5D6E-409C-BE32-E72D297353CC}">
              <c16:uniqueId val="{00000002-9CCF-4796-865F-9822CD10CAFA}"/>
            </c:ext>
          </c:extLst>
        </c:ser>
        <c:ser>
          <c:idx val="3"/>
          <c:order val="3"/>
          <c:tx>
            <c:strRef>
              <c:f>Лист1!$A$5</c:f>
              <c:strCache>
                <c:ptCount val="1"/>
                <c:pt idx="0">
                  <c:v>Глава V от НК</c:v>
                </c:pt>
              </c:strCache>
            </c:strRef>
          </c:tx>
          <c:invertIfNegative val="0"/>
          <c:dLbls>
            <c:dLbl>
              <c:idx val="0"/>
              <c:layout>
                <c:manualLayout>
                  <c:x val="1.0340192327577293E-2"/>
                  <c:y val="-7.1301247771836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1"/>
                <c:pt idx="0">
                  <c:v>2021 г.</c:v>
                </c:pt>
              </c:strCache>
            </c:strRef>
          </c:cat>
          <c:val>
            <c:numRef>
              <c:f>Лист1!$B$5:$D$5</c:f>
              <c:numCache>
                <c:formatCode>0.00%</c:formatCode>
                <c:ptCount val="1"/>
                <c:pt idx="0">
                  <c:v>0.42509999999999998</c:v>
                </c:pt>
              </c:numCache>
            </c:numRef>
          </c:val>
          <c:extLst>
            <c:ext xmlns:c16="http://schemas.microsoft.com/office/drawing/2014/chart" uri="{C3380CC4-5D6E-409C-BE32-E72D297353CC}">
              <c16:uniqueId val="{00000003-9CCF-4796-865F-9822CD10CAFA}"/>
            </c:ext>
          </c:extLst>
        </c:ser>
        <c:ser>
          <c:idx val="4"/>
          <c:order val="4"/>
          <c:tx>
            <c:strRef>
              <c:f>Лист1!$A$6</c:f>
              <c:strCache>
                <c:ptCount val="1"/>
                <c:pt idx="0">
                  <c:v>Глава VІ от НК</c:v>
                </c:pt>
              </c:strCache>
            </c:strRef>
          </c:tx>
          <c:invertIfNegative val="0"/>
          <c:dLbls>
            <c:dLbl>
              <c:idx val="0"/>
              <c:layout>
                <c:manualLayout>
                  <c:x val="2.4816461586185504E-2"/>
                  <c:y val="-1.7825311942959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Лист1!$B$6:$D$6</c:f>
              <c:numCache>
                <c:formatCode>0.00%</c:formatCode>
                <c:ptCount val="1"/>
                <c:pt idx="0">
                  <c:v>6.3399999999999998E-2</c:v>
                </c:pt>
              </c:numCache>
            </c:numRef>
          </c:val>
          <c:extLst>
            <c:ext xmlns:c16="http://schemas.microsoft.com/office/drawing/2014/chart" uri="{C3380CC4-5D6E-409C-BE32-E72D297353CC}">
              <c16:uniqueId val="{00000004-9CCF-4796-865F-9822CD10CAFA}"/>
            </c:ext>
          </c:extLst>
        </c:ser>
        <c:ser>
          <c:idx val="5"/>
          <c:order val="5"/>
          <c:tx>
            <c:strRef>
              <c:f>Лист1!$A$7</c:f>
              <c:strCache>
                <c:ptCount val="1"/>
                <c:pt idx="0">
                  <c:v>Глава VІІ от НК</c:v>
                </c:pt>
              </c:strCache>
            </c:strRef>
          </c:tx>
          <c:invertIfNegative val="0"/>
          <c:dLbls>
            <c:dLbl>
              <c:idx val="0"/>
              <c:layout>
                <c:manualLayout>
                  <c:x val="1.8612346189639126E-2"/>
                  <c:y val="-2.8520499108734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Лист1!$B$7:$D$7</c:f>
              <c:numCache>
                <c:formatCode>0.00%</c:formatCode>
                <c:ptCount val="1"/>
                <c:pt idx="0">
                  <c:v>1.7299999999999999E-2</c:v>
                </c:pt>
              </c:numCache>
            </c:numRef>
          </c:val>
          <c:extLst>
            <c:ext xmlns:c16="http://schemas.microsoft.com/office/drawing/2014/chart" uri="{C3380CC4-5D6E-409C-BE32-E72D297353CC}">
              <c16:uniqueId val="{00000005-9CCF-4796-865F-9822CD10CAFA}"/>
            </c:ext>
          </c:extLst>
        </c:ser>
        <c:ser>
          <c:idx val="6"/>
          <c:order val="6"/>
          <c:tx>
            <c:strRef>
              <c:f>Лист1!$A$8</c:f>
              <c:strCache>
                <c:ptCount val="1"/>
                <c:pt idx="0">
                  <c:v>Глава VІІІ от НК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1"/>
                <c:pt idx="0">
                  <c:v>2021 г.</c:v>
                </c:pt>
              </c:strCache>
            </c:strRef>
          </c:cat>
          <c:val>
            <c:numRef>
              <c:f>Лист1!$B$8:$D$8</c:f>
              <c:numCache>
                <c:formatCode>0.00%</c:formatCode>
                <c:ptCount val="1"/>
                <c:pt idx="0">
                  <c:v>1.5599999999999999E-2</c:v>
                </c:pt>
              </c:numCache>
            </c:numRef>
          </c:val>
          <c:extLst>
            <c:ext xmlns:c16="http://schemas.microsoft.com/office/drawing/2014/chart" uri="{C3380CC4-5D6E-409C-BE32-E72D297353CC}">
              <c16:uniqueId val="{00000006-9CCF-4796-865F-9822CD10CAFA}"/>
            </c:ext>
          </c:extLst>
        </c:ser>
        <c:ser>
          <c:idx val="7"/>
          <c:order val="7"/>
          <c:tx>
            <c:strRef>
              <c:f>Лист1!$A$9</c:f>
              <c:strCache>
                <c:ptCount val="1"/>
                <c:pt idx="0">
                  <c:v>Глава ІХ от НК</c:v>
                </c:pt>
              </c:strCache>
            </c:strRef>
          </c:tx>
          <c:invertIfNegative val="0"/>
          <c:dLbls>
            <c:dLbl>
              <c:idx val="0"/>
              <c:layout>
                <c:manualLayout>
                  <c:x val="6.2041153965463761E-3"/>
                  <c:y val="-7.1301247771837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Лист1!$B$9:$D$9</c:f>
              <c:numCache>
                <c:formatCode>0.00%</c:formatCode>
                <c:ptCount val="1"/>
                <c:pt idx="0">
                  <c:v>3.9600000000000003E-2</c:v>
                </c:pt>
              </c:numCache>
            </c:numRef>
          </c:val>
          <c:extLst>
            <c:ext xmlns:c16="http://schemas.microsoft.com/office/drawing/2014/chart" uri="{C3380CC4-5D6E-409C-BE32-E72D297353CC}">
              <c16:uniqueId val="{00000007-9CCF-4796-865F-9822CD10CAFA}"/>
            </c:ext>
          </c:extLst>
        </c:ser>
        <c:ser>
          <c:idx val="8"/>
          <c:order val="8"/>
          <c:tx>
            <c:strRef>
              <c:f>Лист1!$A$10</c:f>
              <c:strCache>
                <c:ptCount val="1"/>
                <c:pt idx="0">
                  <c:v>Глава ІХа от НК</c:v>
                </c:pt>
              </c:strCache>
            </c:strRef>
          </c:tx>
          <c:invertIfNegative val="0"/>
          <c:dLbls>
            <c:dLbl>
              <c:idx val="0"/>
              <c:layout>
                <c:manualLayout>
                  <c:x val="1.8612346189639053E-2"/>
                  <c:y val="-1.06951871657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Лист1!$B$10:$D$10</c:f>
              <c:numCache>
                <c:formatCode>0.00%</c:formatCode>
                <c:ptCount val="1"/>
                <c:pt idx="0">
                  <c:v>2.8999999999999998E-3</c:v>
                </c:pt>
              </c:numCache>
            </c:numRef>
          </c:val>
          <c:extLst>
            <c:ext xmlns:c16="http://schemas.microsoft.com/office/drawing/2014/chart" uri="{C3380CC4-5D6E-409C-BE32-E72D297353CC}">
              <c16:uniqueId val="{00000008-9CCF-4796-865F-9822CD10CAFA}"/>
            </c:ext>
          </c:extLst>
        </c:ser>
        <c:ser>
          <c:idx val="9"/>
          <c:order val="9"/>
          <c:tx>
            <c:strRef>
              <c:f>Лист1!$A$11</c:f>
              <c:strCache>
                <c:ptCount val="1"/>
                <c:pt idx="0">
                  <c:v>Глава Х от НК</c:v>
                </c:pt>
              </c:strCache>
            </c:strRef>
          </c:tx>
          <c:invertIfNegative val="0"/>
          <c:dLbls>
            <c:dLbl>
              <c:idx val="0"/>
              <c:layout>
                <c:manualLayout>
                  <c:x val="0"/>
                  <c:y val="-1.4260249554367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Лист1!$B$11:$D$11</c:f>
              <c:numCache>
                <c:formatCode>0.00%</c:formatCode>
                <c:ptCount val="1"/>
                <c:pt idx="0">
                  <c:v>2.6599999999999999E-2</c:v>
                </c:pt>
              </c:numCache>
            </c:numRef>
          </c:val>
          <c:extLst>
            <c:ext xmlns:c16="http://schemas.microsoft.com/office/drawing/2014/chart" uri="{C3380CC4-5D6E-409C-BE32-E72D297353CC}">
              <c16:uniqueId val="{00000009-9CCF-4796-865F-9822CD10CAFA}"/>
            </c:ext>
          </c:extLst>
        </c:ser>
        <c:ser>
          <c:idx val="10"/>
          <c:order val="10"/>
          <c:tx>
            <c:strRef>
              <c:f>Лист1!$A$12</c:f>
              <c:strCache>
                <c:ptCount val="1"/>
                <c:pt idx="0">
                  <c:v>Глава ХІ от НК</c:v>
                </c:pt>
              </c:strCache>
            </c:strRef>
          </c:tx>
          <c:invertIfNegative val="0"/>
          <c:dLbls>
            <c:dLbl>
              <c:idx val="0"/>
              <c:layout>
                <c:manualLayout>
                  <c:x val="1.4476269258608135E-2"/>
                  <c:y val="-1.426024955436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EA-4F52-A5D0-F440D47074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 г.</c:v>
                </c:pt>
              </c:strCache>
            </c:strRef>
          </c:cat>
          <c:val>
            <c:numRef>
              <c:f>Лист1!$B$12:$D$12</c:f>
              <c:numCache>
                <c:formatCode>0.00%</c:formatCode>
                <c:ptCount val="1"/>
                <c:pt idx="0">
                  <c:v>0.26350000000000001</c:v>
                </c:pt>
              </c:numCache>
            </c:numRef>
          </c:val>
          <c:extLst>
            <c:ext xmlns:c16="http://schemas.microsoft.com/office/drawing/2014/chart" uri="{C3380CC4-5D6E-409C-BE32-E72D297353CC}">
              <c16:uniqueId val="{0000000A-9CCF-4796-865F-9822CD10CAFA}"/>
            </c:ext>
          </c:extLst>
        </c:ser>
        <c:dLbls>
          <c:showLegendKey val="0"/>
          <c:showVal val="0"/>
          <c:showCatName val="0"/>
          <c:showSerName val="0"/>
          <c:showPercent val="0"/>
          <c:showBubbleSize val="0"/>
        </c:dLbls>
        <c:gapWidth val="150"/>
        <c:shape val="box"/>
        <c:axId val="1332931503"/>
        <c:axId val="1"/>
        <c:axId val="0"/>
      </c:bar3DChart>
      <c:catAx>
        <c:axId val="133293150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00%" sourceLinked="1"/>
        <c:majorTickMark val="out"/>
        <c:minorTickMark val="none"/>
        <c:tickLblPos val="nextTo"/>
        <c:crossAx val="1332931503"/>
        <c:crosses val="autoZero"/>
        <c:crossBetween val="between"/>
      </c:valAx>
      <c:spPr>
        <a:noFill/>
        <a:ln w="24801">
          <a:noFill/>
        </a:ln>
      </c:spPr>
    </c:plotArea>
    <c:legend>
      <c:legendPos val="r"/>
      <c:overlay val="0"/>
    </c:legend>
    <c:plotVisOnly val="1"/>
    <c:dispBlanksAs val="gap"/>
    <c:showDLblsOverMax val="0"/>
  </c:chart>
  <c:spPr>
    <a:ln w="3101"/>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50"/>
      <c:depthPercent val="100"/>
      <c:rAngAx val="1"/>
    </c:view3D>
    <c:floor>
      <c:thickness val="0"/>
    </c:floor>
    <c:sideWall>
      <c:thickness val="0"/>
    </c:sideWall>
    <c:backWall>
      <c:thickness val="0"/>
    </c:backWall>
    <c:plotArea>
      <c:layout/>
      <c:bar3DChart>
        <c:barDir val="bar"/>
        <c:grouping val="clustered"/>
        <c:varyColors val="0"/>
        <c:ser>
          <c:idx val="0"/>
          <c:order val="0"/>
          <c:tx>
            <c:v>Глава ІІ от НК</c:v>
          </c:tx>
          <c:invertIfNegative val="0"/>
          <c:dLbls>
            <c:dLbl>
              <c:idx val="0"/>
              <c:layout>
                <c:manualLayout>
                  <c:x val="1.86284782861799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Лист1!$B$2:$D$2</c:f>
              <c:numCache>
                <c:formatCode>0.00%</c:formatCode>
                <c:ptCount val="1"/>
                <c:pt idx="0">
                  <c:v>0.1739</c:v>
                </c:pt>
              </c:numCache>
            </c:numRef>
          </c:val>
          <c:extLst>
            <c:ext xmlns:c16="http://schemas.microsoft.com/office/drawing/2014/chart" uri="{C3380CC4-5D6E-409C-BE32-E72D297353CC}">
              <c16:uniqueId val="{00000000-3983-43C0-A1E6-A99C7EBFBC25}"/>
            </c:ext>
          </c:extLst>
        </c:ser>
        <c:ser>
          <c:idx val="1"/>
          <c:order val="1"/>
          <c:tx>
            <c:v>Глава ІІІ от НК</c:v>
          </c:tx>
          <c:invertIfNegative val="0"/>
          <c:dLbls>
            <c:dLbl>
              <c:idx val="0"/>
              <c:layout>
                <c:manualLayout>
                  <c:x val="1.8628478286179976E-2"/>
                  <c:y val="-1.26369957246588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Лист1!$B$3:$D$3</c:f>
              <c:numCache>
                <c:formatCode>0.00%</c:formatCode>
                <c:ptCount val="1"/>
                <c:pt idx="0">
                  <c:v>2.2000000000000001E-3</c:v>
                </c:pt>
              </c:numCache>
            </c:numRef>
          </c:val>
          <c:extLst>
            <c:ext xmlns:c16="http://schemas.microsoft.com/office/drawing/2014/chart" uri="{C3380CC4-5D6E-409C-BE32-E72D297353CC}">
              <c16:uniqueId val="{00000001-3983-43C0-A1E6-A99C7EBFBC25}"/>
            </c:ext>
          </c:extLst>
        </c:ser>
        <c:ser>
          <c:idx val="2"/>
          <c:order val="2"/>
          <c:tx>
            <c:strRef>
              <c:f>Лист1!$A$4</c:f>
              <c:strCache>
                <c:ptCount val="1"/>
                <c:pt idx="0">
                  <c:v>Глава ІV от НК</c:v>
                </c:pt>
              </c:strCache>
            </c:strRef>
          </c:tx>
          <c:invertIfNegative val="0"/>
          <c:dLbls>
            <c:dLbl>
              <c:idx val="0"/>
              <c:layout>
                <c:manualLayout>
                  <c:x val="1.3971358714634978E-2"/>
                  <c:y val="-3.4464931931759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Лист1!$B$4:$D$4</c:f>
              <c:numCache>
                <c:formatCode>0.00%</c:formatCode>
                <c:ptCount val="1"/>
                <c:pt idx="0">
                  <c:v>1.9699999999999999E-2</c:v>
                </c:pt>
              </c:numCache>
            </c:numRef>
          </c:val>
          <c:extLst>
            <c:ext xmlns:c16="http://schemas.microsoft.com/office/drawing/2014/chart" uri="{C3380CC4-5D6E-409C-BE32-E72D297353CC}">
              <c16:uniqueId val="{00000002-3983-43C0-A1E6-A99C7EBFBC25}"/>
            </c:ext>
          </c:extLst>
        </c:ser>
        <c:ser>
          <c:idx val="3"/>
          <c:order val="3"/>
          <c:tx>
            <c:strRef>
              <c:f>Лист1!$A$5</c:f>
              <c:strCache>
                <c:ptCount val="1"/>
                <c:pt idx="0">
                  <c:v>Глава V от НК</c:v>
                </c:pt>
              </c:strCache>
            </c:strRef>
          </c:tx>
          <c:invertIfNegative val="0"/>
          <c:dLbls>
            <c:dLbl>
              <c:idx val="0"/>
              <c:layout>
                <c:manualLayout>
                  <c:x val="2.0957038071952497E-2"/>
                  <c:y val="-1.26369957246588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Лист1!$B$5:$D$5</c:f>
              <c:numCache>
                <c:formatCode>0.00%</c:formatCode>
                <c:ptCount val="1"/>
                <c:pt idx="0">
                  <c:v>0.56869999999999998</c:v>
                </c:pt>
              </c:numCache>
            </c:numRef>
          </c:val>
          <c:extLst>
            <c:ext xmlns:c16="http://schemas.microsoft.com/office/drawing/2014/chart" uri="{C3380CC4-5D6E-409C-BE32-E72D297353CC}">
              <c16:uniqueId val="{00000003-3983-43C0-A1E6-A99C7EBFBC25}"/>
            </c:ext>
          </c:extLst>
        </c:ser>
        <c:ser>
          <c:idx val="4"/>
          <c:order val="4"/>
          <c:tx>
            <c:strRef>
              <c:f>Лист1!$A$6</c:f>
              <c:strCache>
                <c:ptCount val="1"/>
                <c:pt idx="0">
                  <c:v>Глава VІ от НК</c:v>
                </c:pt>
              </c:strCache>
            </c:strRef>
          </c:tx>
          <c:invertIfNegative val="0"/>
          <c:dLbls>
            <c:dLbl>
              <c:idx val="0"/>
              <c:layout>
                <c:manualLayout>
                  <c:x val="1.3971358714634998E-2"/>
                  <c:y val="-3.44649319317588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Лист1!$B$6:$D$6</c:f>
              <c:numCache>
                <c:formatCode>0.00%</c:formatCode>
                <c:ptCount val="1"/>
                <c:pt idx="0">
                  <c:v>5.2200000000000003E-2</c:v>
                </c:pt>
              </c:numCache>
            </c:numRef>
          </c:val>
          <c:extLst>
            <c:ext xmlns:c16="http://schemas.microsoft.com/office/drawing/2014/chart" uri="{C3380CC4-5D6E-409C-BE32-E72D297353CC}">
              <c16:uniqueId val="{00000004-3983-43C0-A1E6-A99C7EBFBC25}"/>
            </c:ext>
          </c:extLst>
        </c:ser>
        <c:ser>
          <c:idx val="5"/>
          <c:order val="5"/>
          <c:invertIfNegative val="0"/>
          <c:dLbls>
            <c:dLbl>
              <c:idx val="0"/>
              <c:layout>
                <c:manualLayout>
                  <c:x val="6.98567935731749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Lit>
              <c:formatCode>General</c:formatCode>
              <c:ptCount val="1"/>
              <c:pt idx="0">
                <c:v>0</c:v>
              </c:pt>
            </c:numLit>
          </c:val>
          <c:extLst>
            <c:ext xmlns:c16="http://schemas.microsoft.com/office/drawing/2014/chart" uri="{C3380CC4-5D6E-409C-BE32-E72D297353CC}">
              <c16:uniqueId val="{00000005-3983-43C0-A1E6-A99C7EBFBC25}"/>
            </c:ext>
          </c:extLst>
        </c:ser>
        <c:ser>
          <c:idx val="6"/>
          <c:order val="6"/>
          <c:tx>
            <c:strRef>
              <c:f>Лист1!$A$7</c:f>
              <c:strCache>
                <c:ptCount val="1"/>
                <c:pt idx="0">
                  <c:v>Глава VІІІ от НК</c:v>
                </c:pt>
              </c:strCache>
            </c:strRef>
          </c:tx>
          <c:invertIfNegative val="0"/>
          <c:dLbls>
            <c:dLbl>
              <c:idx val="0"/>
              <c:layout>
                <c:manualLayout>
                  <c:x val="6.98567935731749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Lit>
              <c:formatCode>General</c:formatCode>
              <c:ptCount val="1"/>
              <c:pt idx="0">
                <c:v>0</c:v>
              </c:pt>
            </c:numLit>
          </c:val>
          <c:extLst>
            <c:ext xmlns:c16="http://schemas.microsoft.com/office/drawing/2014/chart" uri="{C3380CC4-5D6E-409C-BE32-E72D297353CC}">
              <c16:uniqueId val="{00000006-3983-43C0-A1E6-A99C7EBFBC25}"/>
            </c:ext>
          </c:extLst>
        </c:ser>
        <c:ser>
          <c:idx val="7"/>
          <c:order val="7"/>
          <c:tx>
            <c:strRef>
              <c:f>Лист1!$A$8</c:f>
              <c:strCache>
                <c:ptCount val="1"/>
                <c:pt idx="0">
                  <c:v>Глава ІХ от НК</c:v>
                </c:pt>
              </c:strCache>
            </c:strRef>
          </c:tx>
          <c:invertIfNegative val="0"/>
          <c:dLbls>
            <c:dLbl>
              <c:idx val="0"/>
              <c:layout>
                <c:manualLayout>
                  <c:x val="1.6299918500407476E-2"/>
                  <c:y val="-6.31849786232941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Лист1!$B$7:$D$7</c:f>
              <c:numCache>
                <c:formatCode>0.00%</c:formatCode>
                <c:ptCount val="1"/>
                <c:pt idx="0">
                  <c:v>1.44E-2</c:v>
                </c:pt>
              </c:numCache>
            </c:numRef>
          </c:val>
          <c:extLst>
            <c:ext xmlns:c16="http://schemas.microsoft.com/office/drawing/2014/chart" uri="{C3380CC4-5D6E-409C-BE32-E72D297353CC}">
              <c16:uniqueId val="{00000007-3983-43C0-A1E6-A99C7EBFBC25}"/>
            </c:ext>
          </c:extLst>
        </c:ser>
        <c:ser>
          <c:idx val="8"/>
          <c:order val="8"/>
          <c:tx>
            <c:strRef>
              <c:f>Лист1!$A$9</c:f>
              <c:strCache>
                <c:ptCount val="1"/>
                <c:pt idx="0">
                  <c:v>Глава ІХа от НК</c:v>
                </c:pt>
              </c:strCache>
            </c:strRef>
          </c:tx>
          <c:invertIfNegative val="0"/>
          <c:dLbls>
            <c:dLbl>
              <c:idx val="0"/>
              <c:layout>
                <c:manualLayout>
                  <c:x val="1.1642798928862498E-2"/>
                  <c:y val="-6.89298638635191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Лист1!$B$8:$D$8</c:f>
              <c:numCache>
                <c:formatCode>0.00%</c:formatCode>
                <c:ptCount val="1"/>
                <c:pt idx="0">
                  <c:v>3.2099999999999997E-2</c:v>
                </c:pt>
              </c:numCache>
            </c:numRef>
          </c:val>
          <c:extLst>
            <c:ext xmlns:c16="http://schemas.microsoft.com/office/drawing/2014/chart" uri="{C3380CC4-5D6E-409C-BE32-E72D297353CC}">
              <c16:uniqueId val="{00000008-3983-43C0-A1E6-A99C7EBFBC25}"/>
            </c:ext>
          </c:extLst>
        </c:ser>
        <c:ser>
          <c:idx val="9"/>
          <c:order val="9"/>
          <c:tx>
            <c:strRef>
              <c:f>Лист1!$A$10</c:f>
              <c:strCache>
                <c:ptCount val="1"/>
                <c:pt idx="0">
                  <c:v>Глава Х от НК</c:v>
                </c:pt>
              </c:strCache>
            </c:strRef>
          </c:tx>
          <c:invertIfNegative val="0"/>
          <c:dLbls>
            <c:dLbl>
              <c:idx val="0"/>
              <c:layout>
                <c:manualLayout>
                  <c:x val="6.985679357317499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Лист1!$B$9:$D$9</c:f>
              <c:numCache>
                <c:formatCode>0.00%</c:formatCode>
                <c:ptCount val="1"/>
                <c:pt idx="0">
                  <c:v>2.5000000000000001E-3</c:v>
                </c:pt>
              </c:numCache>
            </c:numRef>
          </c:val>
          <c:extLst>
            <c:ext xmlns:c16="http://schemas.microsoft.com/office/drawing/2014/chart" uri="{C3380CC4-5D6E-409C-BE32-E72D297353CC}">
              <c16:uniqueId val="{00000009-3983-43C0-A1E6-A99C7EBFBC25}"/>
            </c:ext>
          </c:extLst>
        </c:ser>
        <c:ser>
          <c:idx val="10"/>
          <c:order val="10"/>
          <c:tx>
            <c:strRef>
              <c:f>Лист1!$A$11</c:f>
              <c:strCache>
                <c:ptCount val="1"/>
                <c:pt idx="0">
                  <c:v>Глава ХІ от НК</c:v>
                </c:pt>
              </c:strCache>
            </c:strRef>
          </c:tx>
          <c:invertIfNegative val="0"/>
          <c:dLbls>
            <c:dLbl>
              <c:idx val="0"/>
              <c:layout>
                <c:manualLayout>
                  <c:x val="1.3971358714635019E-2"/>
                  <c:y val="-3.4464931931759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4B1-49ED-959F-EB49831F46CA}"/>
                </c:ext>
              </c:extLst>
            </c:dLbl>
            <c:spPr>
              <a:noFill/>
              <a:ln w="25437">
                <a:noFill/>
              </a:ln>
            </c:spPr>
            <c:txPr>
              <a:bodyPr wrap="square" lIns="38100" tIns="19050" rIns="38100" bIns="19050" anchor="ctr">
                <a:spAutoFit/>
              </a:bodyPr>
              <a:lstStyle/>
              <a:p>
                <a:pPr>
                  <a:defRPr sz="12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Лист1!$B$1:$D$1</c:f>
              <c:strCache>
                <c:ptCount val="1"/>
                <c:pt idx="0">
                  <c:v>2021г.</c:v>
                </c:pt>
              </c:strCache>
            </c:strRef>
          </c:cat>
          <c:val>
            <c:numRef>
              <c:f>Лист1!$B$10:$D$10</c:f>
              <c:numCache>
                <c:formatCode>0.00%</c:formatCode>
                <c:ptCount val="1"/>
                <c:pt idx="0">
                  <c:v>3.0099999999999998E-2</c:v>
                </c:pt>
              </c:numCache>
            </c:numRef>
          </c:val>
          <c:extLst>
            <c:ext xmlns:c16="http://schemas.microsoft.com/office/drawing/2014/chart" uri="{C3380CC4-5D6E-409C-BE32-E72D297353CC}">
              <c16:uniqueId val="{0000000A-3983-43C0-A1E6-A99C7EBFBC25}"/>
            </c:ext>
          </c:extLst>
        </c:ser>
        <c:dLbls>
          <c:showLegendKey val="0"/>
          <c:showVal val="0"/>
          <c:showCatName val="0"/>
          <c:showSerName val="0"/>
          <c:showPercent val="0"/>
          <c:showBubbleSize val="0"/>
        </c:dLbls>
        <c:gapWidth val="150"/>
        <c:shape val="cylinder"/>
        <c:axId val="192425664"/>
        <c:axId val="1"/>
        <c:axId val="0"/>
      </c:bar3DChart>
      <c:catAx>
        <c:axId val="192425664"/>
        <c:scaling>
          <c:orientation val="minMax"/>
        </c:scaling>
        <c:delete val="0"/>
        <c:axPos val="l"/>
        <c:numFmt formatCode="General" sourceLinked="1"/>
        <c:majorTickMark val="out"/>
        <c:minorTickMark val="none"/>
        <c:tickLblPos val="nextTo"/>
        <c:crossAx val="1"/>
        <c:crosses val="min"/>
        <c:auto val="1"/>
        <c:lblAlgn val="ctr"/>
        <c:lblOffset val="100"/>
        <c:noMultiLvlLbl val="0"/>
      </c:catAx>
      <c:valAx>
        <c:axId val="1"/>
        <c:scaling>
          <c:orientation val="minMax"/>
        </c:scaling>
        <c:delete val="0"/>
        <c:axPos val="b"/>
        <c:majorGridlines/>
        <c:numFmt formatCode="0.00%" sourceLinked="1"/>
        <c:majorTickMark val="out"/>
        <c:minorTickMark val="none"/>
        <c:tickLblPos val="nextTo"/>
        <c:crossAx val="192425664"/>
        <c:crosses val="autoZero"/>
        <c:crossBetween val="between"/>
      </c:valAx>
      <c:spPr>
        <a:noFill/>
        <a:ln w="25437">
          <a:noFill/>
        </a:ln>
      </c:spPr>
    </c:plotArea>
    <c:legend>
      <c:legendPos val="r"/>
      <c:legendEntry>
        <c:idx val="5"/>
        <c:delete val="1"/>
      </c:legendEntry>
      <c:overlay val="0"/>
    </c:legend>
    <c:plotVisOnly val="1"/>
    <c:dispBlanksAs val="gap"/>
    <c:showDLblsOverMax val="0"/>
  </c:chart>
  <c:spPr>
    <a:ln w="3177"/>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a:latin typeface="Times New Roman" panose="02020603050405020304" pitchFamily="18" charset="0"/>
                <a:cs typeface="Times New Roman" panose="02020603050405020304" pitchFamily="18" charset="0"/>
              </a:defRPr>
            </a:pPr>
            <a:r>
              <a:rPr lang="bg-BG"/>
              <a:t>Срочност на решаване на досъдебните производства от прокурор 20</a:t>
            </a:r>
            <a:r>
              <a:rPr lang="en-US"/>
              <a:t>21</a:t>
            </a:r>
            <a:r>
              <a:rPr lang="bg-BG"/>
              <a:t> г.</a:t>
            </a:r>
          </a:p>
        </c:rich>
      </c:tx>
      <c:overlay val="0"/>
    </c:title>
    <c:autoTitleDeleted val="0"/>
    <c:plotArea>
      <c:layout/>
      <c:lineChart>
        <c:grouping val="stacked"/>
        <c:varyColors val="0"/>
        <c:ser>
          <c:idx val="0"/>
          <c:order val="0"/>
          <c:tx>
            <c:strRef>
              <c:f>Лист1!$B$1</c:f>
              <c:strCache>
                <c:ptCount val="1"/>
                <c:pt idx="0">
                  <c:v>Срочност на решаване на досъдебните производства от прокурор 2018 г.</c:v>
                </c:pt>
              </c:strCache>
            </c:strRef>
          </c:tx>
          <c:marker>
            <c:spPr>
              <a:solidFill>
                <a:srgbClr val="FF0000"/>
              </a:solidFill>
            </c:spPr>
          </c:marker>
          <c:dLbls>
            <c:dLbl>
              <c:idx val="0"/>
              <c:layout>
                <c:manualLayout>
                  <c:x val="-1.4686084934524538E-2"/>
                  <c:y val="-3.143418467583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91-4C1F-AA6A-62120D28BBDF}"/>
                </c:ext>
              </c:extLst>
            </c:dLbl>
            <c:dLbl>
              <c:idx val="1"/>
              <c:layout>
                <c:manualLayout>
                  <c:x val="-9.7907232896831155E-3"/>
                  <c:y val="-3.9292730844793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91-4C1F-AA6A-62120D28BBDF}"/>
                </c:ext>
              </c:extLst>
            </c:dLbl>
            <c:dLbl>
              <c:idx val="2"/>
              <c:layout>
                <c:manualLayout>
                  <c:x val="-8.9747260054087821E-17"/>
                  <c:y val="-3.1434184675834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91-4C1F-AA6A-62120D28BBDF}"/>
                </c:ext>
              </c:extLst>
            </c:dLbl>
            <c:dLbl>
              <c:idx val="3"/>
              <c:layout>
                <c:manualLayout>
                  <c:x val="-1.4686084934524538E-2"/>
                  <c:y val="-3.536345776031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91-4C1F-AA6A-62120D28BBDF}"/>
                </c:ext>
              </c:extLst>
            </c:dLbl>
            <c:spPr>
              <a:noFill/>
              <a:ln w="2534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 1 месец</c:v>
                </c:pt>
                <c:pt idx="1">
                  <c:v>над 1 месец без удължаване</c:v>
                </c:pt>
                <c:pt idx="2">
                  <c:v>до 2 месеца с удължен срок</c:v>
                </c:pt>
                <c:pt idx="3">
                  <c:v>над 2 месеца</c:v>
                </c:pt>
              </c:strCache>
            </c:strRef>
          </c:cat>
          <c:val>
            <c:numRef>
              <c:f>Лист1!$B$2:$B$5</c:f>
              <c:numCache>
                <c:formatCode>0.00%</c:formatCode>
                <c:ptCount val="4"/>
                <c:pt idx="0">
                  <c:v>0.98839999999999995</c:v>
                </c:pt>
                <c:pt idx="1">
                  <c:v>3.2000000000000002E-3</c:v>
                </c:pt>
                <c:pt idx="2">
                  <c:v>6.1000000000000004E-3</c:v>
                </c:pt>
                <c:pt idx="3">
                  <c:v>2.3E-3</c:v>
                </c:pt>
              </c:numCache>
            </c:numRef>
          </c:val>
          <c:smooth val="0"/>
          <c:extLst>
            <c:ext xmlns:c16="http://schemas.microsoft.com/office/drawing/2014/chart" uri="{C3380CC4-5D6E-409C-BE32-E72D297353CC}">
              <c16:uniqueId val="{00000000-CC88-4AED-856F-C660A6D208DB}"/>
            </c:ext>
          </c:extLst>
        </c:ser>
        <c:dLbls>
          <c:showLegendKey val="0"/>
          <c:showVal val="0"/>
          <c:showCatName val="0"/>
          <c:showSerName val="0"/>
          <c:showPercent val="0"/>
          <c:showBubbleSize val="0"/>
        </c:dLbls>
        <c:marker val="1"/>
        <c:smooth val="0"/>
        <c:axId val="191140736"/>
        <c:axId val="1"/>
      </c:lineChart>
      <c:catAx>
        <c:axId val="19114073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1"/>
        <c:crosses val="autoZero"/>
        <c:auto val="1"/>
        <c:lblAlgn val="ctr"/>
        <c:lblOffset val="100"/>
        <c:noMultiLvlLbl val="0"/>
      </c:catAx>
      <c:valAx>
        <c:axId val="1"/>
        <c:scaling>
          <c:orientation val="minMax"/>
        </c:scaling>
        <c:delete val="0"/>
        <c:axPos val="l"/>
        <c:majorGridlines>
          <c:spPr>
            <a:ln>
              <a:solidFill>
                <a:srgbClr val="0070C0"/>
              </a:solidFill>
            </a:ln>
          </c:spPr>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19114073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8">
                <a:latin typeface="Times New Roman" panose="02020603050405020304" pitchFamily="18" charset="0"/>
                <a:cs typeface="Times New Roman" panose="02020603050405020304" pitchFamily="18" charset="0"/>
              </a:defRPr>
            </a:pPr>
            <a:r>
              <a:rPr lang="bg-BG" sz="1194">
                <a:latin typeface="Times New Roman" panose="02020603050405020304" pitchFamily="18" charset="0"/>
                <a:cs typeface="Times New Roman" panose="02020603050405020304" pitchFamily="18" charset="0"/>
              </a:rPr>
              <a:t>Относителен дял на прекратените производства без тези по давност от общо приключените досъдебни производства </a:t>
            </a:r>
          </a:p>
          <a:p>
            <a:pPr>
              <a:defRPr sz="1188">
                <a:latin typeface="Times New Roman" panose="02020603050405020304" pitchFamily="18" charset="0"/>
                <a:cs typeface="Times New Roman" panose="02020603050405020304" pitchFamily="18" charset="0"/>
              </a:defRPr>
            </a:pPr>
            <a:r>
              <a:rPr lang="bg-BG" sz="1194">
                <a:latin typeface="Times New Roman" panose="02020603050405020304" pitchFamily="18" charset="0"/>
                <a:cs typeface="Times New Roman" panose="02020603050405020304" pitchFamily="18" charset="0"/>
              </a:rPr>
              <a:t>2021 г.</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Относителен дял на прекратените производства без тези по давност от общо приключените  досъдебни производства 2018 г.</c:v>
                </c:pt>
              </c:strCache>
            </c:strRef>
          </c:tx>
          <c:spPr>
            <a:solidFill>
              <a:schemeClr val="accent1"/>
            </a:solidFill>
          </c:spPr>
          <c:explosion val="25"/>
          <c:dPt>
            <c:idx val="0"/>
            <c:bubble3D val="0"/>
            <c:extLst>
              <c:ext xmlns:c16="http://schemas.microsoft.com/office/drawing/2014/chart" uri="{C3380CC4-5D6E-409C-BE32-E72D297353CC}">
                <c16:uniqueId val="{00000000-6BFB-46FC-A93C-1797C7C1953F}"/>
              </c:ext>
            </c:extLst>
          </c:dPt>
          <c:dPt>
            <c:idx val="1"/>
            <c:bubble3D val="0"/>
            <c:spPr>
              <a:solidFill>
                <a:srgbClr val="FFC000"/>
              </a:solidFill>
            </c:spPr>
            <c:extLst>
              <c:ext xmlns:c16="http://schemas.microsoft.com/office/drawing/2014/chart" uri="{C3380CC4-5D6E-409C-BE32-E72D297353CC}">
                <c16:uniqueId val="{00000001-6BFB-46FC-A93C-1797C7C1953F}"/>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Прекратени /без давност/</c:v>
                </c:pt>
                <c:pt idx="1">
                  <c:v>Общо приключени ДП</c:v>
                </c:pt>
              </c:strCache>
            </c:strRef>
          </c:cat>
          <c:val>
            <c:numRef>
              <c:f>Лист1!$B$2:$B$3</c:f>
              <c:numCache>
                <c:formatCode>General</c:formatCode>
                <c:ptCount val="2"/>
                <c:pt idx="0">
                  <c:v>6644</c:v>
                </c:pt>
                <c:pt idx="1">
                  <c:v>21778</c:v>
                </c:pt>
              </c:numCache>
            </c:numRef>
          </c:val>
          <c:extLst>
            <c:ext xmlns:c16="http://schemas.microsoft.com/office/drawing/2014/chart" uri="{C3380CC4-5D6E-409C-BE32-E72D297353CC}">
              <c16:uniqueId val="{00000002-6BFB-46FC-A93C-1797C7C1953F}"/>
            </c:ext>
          </c:extLst>
        </c:ser>
        <c:dLbls>
          <c:showLegendKey val="0"/>
          <c:showVal val="0"/>
          <c:showCatName val="0"/>
          <c:showSerName val="0"/>
          <c:showPercent val="0"/>
          <c:showBubbleSize val="0"/>
          <c:showLeaderLines val="1"/>
        </c:dLbls>
      </c:pie3DChart>
      <c:spPr>
        <a:noFill/>
        <a:ln w="25336">
          <a:noFill/>
        </a:ln>
      </c:spPr>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5"/>
            </a:pPr>
            <a:r>
              <a:rPr lang="bg-BG" sz="1195">
                <a:latin typeface="Times New Roman" panose="02020603050405020304" pitchFamily="18" charset="0"/>
                <a:cs typeface="Times New Roman" panose="02020603050405020304" pitchFamily="18" charset="0"/>
              </a:rPr>
              <a:t>Постановени съдебни решения</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Лист1!$B$2</c:f>
              <c:strCache>
                <c:ptCount val="1"/>
                <c:pt idx="0">
                  <c:v>2520</c:v>
                </c:pt>
              </c:strCache>
            </c:strRef>
          </c:tx>
          <c:dPt>
            <c:idx val="0"/>
            <c:bubble3D val="0"/>
            <c:spPr>
              <a:solidFill>
                <a:srgbClr val="FF0000"/>
              </a:solidFill>
            </c:spPr>
            <c:extLst>
              <c:ext xmlns:c16="http://schemas.microsoft.com/office/drawing/2014/chart" uri="{C3380CC4-5D6E-409C-BE32-E72D297353CC}">
                <c16:uniqueId val="{00000000-139A-422E-9AC6-9C124931D5E3}"/>
              </c:ext>
            </c:extLst>
          </c:dPt>
          <c:dPt>
            <c:idx val="1"/>
            <c:bubble3D val="0"/>
            <c:spPr>
              <a:solidFill>
                <a:srgbClr val="FFFF00"/>
              </a:solidFill>
            </c:spPr>
            <c:extLst>
              <c:ext xmlns:c16="http://schemas.microsoft.com/office/drawing/2014/chart" uri="{C3380CC4-5D6E-409C-BE32-E72D297353CC}">
                <c16:uniqueId val="{00000001-139A-422E-9AC6-9C124931D5E3}"/>
              </c:ext>
            </c:extLst>
          </c:dPt>
          <c:dPt>
            <c:idx val="2"/>
            <c:bubble3D val="0"/>
            <c:spPr>
              <a:solidFill>
                <a:srgbClr val="4F81BD"/>
              </a:solidFill>
            </c:spPr>
            <c:extLst>
              <c:ext xmlns:c16="http://schemas.microsoft.com/office/drawing/2014/chart" uri="{C3380CC4-5D6E-409C-BE32-E72D297353CC}">
                <c16:uniqueId val="{00000002-139A-422E-9AC6-9C124931D5E3}"/>
              </c:ext>
            </c:extLst>
          </c:dPt>
          <c:dLbls>
            <c:spPr>
              <a:noFill/>
              <a:ln w="25320">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Обвинителни актове 2520 бр.</c:v>
                </c:pt>
                <c:pt idx="1">
                  <c:v>Споразумения 657 бр.</c:v>
                </c:pt>
                <c:pt idx="2">
                  <c:v>чл. 78а НК 365 бр.</c:v>
                </c:pt>
              </c:strCache>
            </c:strRef>
          </c:cat>
          <c:val>
            <c:numRef>
              <c:f>Лист1!$B$2:$B$4</c:f>
              <c:numCache>
                <c:formatCode>General</c:formatCode>
                <c:ptCount val="3"/>
                <c:pt idx="0">
                  <c:v>2520</c:v>
                </c:pt>
                <c:pt idx="1">
                  <c:v>657</c:v>
                </c:pt>
                <c:pt idx="2">
                  <c:v>365</c:v>
                </c:pt>
              </c:numCache>
            </c:numRef>
          </c:val>
          <c:extLst>
            <c:ext xmlns:c16="http://schemas.microsoft.com/office/drawing/2014/chart" uri="{C3380CC4-5D6E-409C-BE32-E72D297353CC}">
              <c16:uniqueId val="{00000003-139A-422E-9AC6-9C124931D5E3}"/>
            </c:ext>
          </c:extLst>
        </c:ser>
        <c:dLbls>
          <c:showLegendKey val="0"/>
          <c:showVal val="0"/>
          <c:showCatName val="0"/>
          <c:showSerName val="0"/>
          <c:showPercent val="0"/>
          <c:showBubbleSize val="0"/>
          <c:showLeaderLines val="0"/>
        </c:dLbls>
      </c:pie3DChart>
      <c:spPr>
        <a:noFill/>
        <a:ln w="25374">
          <a:noFill/>
        </a:ln>
      </c:spPr>
    </c:plotArea>
    <c:legend>
      <c:legendPos val="r"/>
      <c:layout>
        <c:manualLayout>
          <c:xMode val="edge"/>
          <c:yMode val="edge"/>
          <c:x val="0.61156617660554669"/>
          <c:y val="0.33333333333333331"/>
          <c:w val="0.33396564065855405"/>
          <c:h val="0.39080470496743464"/>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Съотношение на осъдени лица спрямо предадени на съд лица</a:t>
            </a:r>
            <a:r>
              <a:rPr lang="en-US"/>
              <a:t> </a:t>
            </a:r>
            <a:r>
              <a:rPr lang="bg-BG"/>
              <a:t>20</a:t>
            </a:r>
            <a:r>
              <a:rPr lang="en-US"/>
              <a:t>2</a:t>
            </a:r>
            <a:r>
              <a:rPr lang="bg-BG"/>
              <a:t>1г.</a:t>
            </a:r>
          </a:p>
        </c:rich>
      </c:tx>
      <c:overlay val="0"/>
    </c:title>
    <c:autoTitleDeleted val="0"/>
    <c:plotArea>
      <c:layout/>
      <c:barChart>
        <c:barDir val="col"/>
        <c:grouping val="clustered"/>
        <c:varyColors val="0"/>
        <c:ser>
          <c:idx val="0"/>
          <c:order val="0"/>
          <c:tx>
            <c:strRef>
              <c:f>Лист1!$B$1</c:f>
              <c:strCache>
                <c:ptCount val="1"/>
                <c:pt idx="0">
                  <c:v>Съотношение на осъдени лица спрямо предадени на съд лица 64 %</c:v>
                </c:pt>
              </c:strCache>
            </c:strRef>
          </c:tx>
          <c:spPr>
            <a:solidFill>
              <a:srgbClr val="1F497D">
                <a:lumMod val="60000"/>
                <a:lumOff val="40000"/>
              </a:srgbClr>
            </a:solidFill>
            <a:ln>
              <a:solidFill>
                <a:schemeClr val="accent1"/>
              </a:solidFill>
            </a:ln>
          </c:spPr>
          <c:invertIfNegative val="0"/>
          <c:dPt>
            <c:idx val="0"/>
            <c:invertIfNegative val="0"/>
            <c:bubble3D val="0"/>
            <c:spPr>
              <a:solidFill>
                <a:srgbClr val="FF0000"/>
              </a:solidFill>
              <a:ln>
                <a:solidFill>
                  <a:schemeClr val="accent1"/>
                </a:solidFill>
              </a:ln>
            </c:spPr>
            <c:extLst>
              <c:ext xmlns:c16="http://schemas.microsoft.com/office/drawing/2014/chart" uri="{C3380CC4-5D6E-409C-BE32-E72D297353CC}">
                <c16:uniqueId val="{00000000-A7D6-4EFD-B6E7-7DA29EE79B59}"/>
              </c:ext>
            </c:extLst>
          </c:dPt>
          <c:dPt>
            <c:idx val="1"/>
            <c:invertIfNegative val="0"/>
            <c:bubble3D val="0"/>
            <c:extLst>
              <c:ext xmlns:c16="http://schemas.microsoft.com/office/drawing/2014/chart" uri="{C3380CC4-5D6E-409C-BE32-E72D297353CC}">
                <c16:uniqueId val="{00000001-A7D6-4EFD-B6E7-7DA29EE79B59}"/>
              </c:ext>
            </c:extLst>
          </c:dPt>
          <c:dLbls>
            <c:spPr>
              <a:noFill/>
              <a:ln w="25276">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Осъдени лица 2689</c:v>
                </c:pt>
                <c:pt idx="1">
                  <c:v>Предадени на съд 3378</c:v>
                </c:pt>
              </c:strCache>
            </c:strRef>
          </c:cat>
          <c:val>
            <c:numRef>
              <c:f>Лист1!$B$2:$B$3</c:f>
              <c:numCache>
                <c:formatCode>General</c:formatCode>
                <c:ptCount val="2"/>
                <c:pt idx="0">
                  <c:v>2689</c:v>
                </c:pt>
                <c:pt idx="1">
                  <c:v>3378</c:v>
                </c:pt>
              </c:numCache>
            </c:numRef>
          </c:val>
          <c:extLst>
            <c:ext xmlns:c16="http://schemas.microsoft.com/office/drawing/2014/chart" uri="{C3380CC4-5D6E-409C-BE32-E72D297353CC}">
              <c16:uniqueId val="{00000002-A7D6-4EFD-B6E7-7DA29EE79B59}"/>
            </c:ext>
          </c:extLst>
        </c:ser>
        <c:dLbls>
          <c:showLegendKey val="0"/>
          <c:showVal val="0"/>
          <c:showCatName val="0"/>
          <c:showSerName val="0"/>
          <c:showPercent val="0"/>
          <c:showBubbleSize val="0"/>
        </c:dLbls>
        <c:gapWidth val="100"/>
        <c:axId val="1334953999"/>
        <c:axId val="1"/>
      </c:barChart>
      <c:catAx>
        <c:axId val="1334953999"/>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4953999"/>
        <c:crossesAt val="1"/>
        <c:crossBetween val="between"/>
      </c:valAx>
    </c:plotArea>
    <c:plotVisOnly val="1"/>
    <c:dispBlanksAs val="gap"/>
    <c:showDLblsOverMax val="0"/>
  </c:chart>
  <c:spPr>
    <a:effectLst>
      <a:glow>
        <a:srgbClr val="4F81BD">
          <a:alpha val="40000"/>
        </a:srgbClr>
      </a:glow>
    </a:effec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5038141044024023E-2"/>
          <c:y val="4.1465993221435557E-2"/>
          <c:w val="0.90478602505592109"/>
          <c:h val="0.77533455376901417"/>
        </c:manualLayout>
      </c:layout>
      <c:bar3DChart>
        <c:barDir val="col"/>
        <c:grouping val="clustered"/>
        <c:varyColors val="0"/>
        <c:ser>
          <c:idx val="0"/>
          <c:order val="0"/>
          <c:tx>
            <c:strRef>
              <c:f>Лист1!$B$5</c:f>
              <c:strCache>
                <c:ptCount val="1"/>
                <c:pt idx="0">
                  <c:v>ОБЩО</c:v>
                </c:pt>
              </c:strCache>
            </c:strRef>
          </c:tx>
          <c:spPr>
            <a:scene3d>
              <a:camera prst="orthographicFront"/>
              <a:lightRig rig="threePt" dir="t"/>
            </a:scene3d>
            <a:sp3d>
              <a:bevelT prst="relaxedInset"/>
            </a:sp3d>
          </c:spPr>
          <c:invertIfNegative val="0"/>
          <c:dLbls>
            <c:spPr>
              <a:noFill/>
              <a:ln w="252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2689</c:v>
                </c:pt>
                <c:pt idx="1">
                  <c:v>2136</c:v>
                </c:pt>
                <c:pt idx="2">
                  <c:v>2953</c:v>
                </c:pt>
              </c:numCache>
            </c:numRef>
          </c:val>
          <c:extLst>
            <c:ext xmlns:c16="http://schemas.microsoft.com/office/drawing/2014/chart" uri="{C3380CC4-5D6E-409C-BE32-E72D297353CC}">
              <c16:uniqueId val="{00000000-24AA-42C6-8CA5-562428CC064C}"/>
            </c:ext>
          </c:extLst>
        </c:ser>
        <c:ser>
          <c:idx val="1"/>
          <c:order val="1"/>
          <c:tx>
            <c:strRef>
              <c:f>Лист1!$C$5</c:f>
              <c:strCache>
                <c:ptCount val="1"/>
                <c:pt idx="0">
                  <c:v>СГП</c:v>
                </c:pt>
              </c:strCache>
            </c:strRef>
          </c:tx>
          <c:spPr>
            <a:scene3d>
              <a:camera prst="orthographicFront"/>
              <a:lightRig rig="threePt" dir="t"/>
            </a:scene3d>
            <a:sp3d>
              <a:bevelT prst="relaxedInset"/>
            </a:sp3d>
          </c:spPr>
          <c:invertIfNegative val="0"/>
          <c:dLbls>
            <c:spPr>
              <a:noFill/>
              <a:ln w="252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Лист1!$C$2:$C$4</c:f>
              <c:numCache>
                <c:formatCode>General</c:formatCode>
                <c:ptCount val="3"/>
                <c:pt idx="0">
                  <c:v>450</c:v>
                </c:pt>
                <c:pt idx="1">
                  <c:v>380</c:v>
                </c:pt>
                <c:pt idx="2">
                  <c:v>432</c:v>
                </c:pt>
              </c:numCache>
            </c:numRef>
          </c:val>
          <c:extLst>
            <c:ext xmlns:c16="http://schemas.microsoft.com/office/drawing/2014/chart" uri="{C3380CC4-5D6E-409C-BE32-E72D297353CC}">
              <c16:uniqueId val="{00000001-24AA-42C6-8CA5-562428CC064C}"/>
            </c:ext>
          </c:extLst>
        </c:ser>
        <c:ser>
          <c:idx val="2"/>
          <c:order val="2"/>
          <c:tx>
            <c:strRef>
              <c:f>Лист1!$D$5</c:f>
              <c:strCache>
                <c:ptCount val="1"/>
                <c:pt idx="0">
                  <c:v>СРП</c:v>
                </c:pt>
              </c:strCache>
            </c:strRef>
          </c:tx>
          <c:spPr>
            <a:scene3d>
              <a:camera prst="orthographicFront"/>
              <a:lightRig rig="threePt" dir="t"/>
            </a:scene3d>
            <a:sp3d>
              <a:bevelT prst="relaxedInset"/>
            </a:sp3d>
          </c:spPr>
          <c:invertIfNegative val="0"/>
          <c:dLbls>
            <c:spPr>
              <a:noFill/>
              <a:ln w="252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Лист1!$D$2:$D$4</c:f>
              <c:numCache>
                <c:formatCode>General</c:formatCode>
                <c:ptCount val="3"/>
                <c:pt idx="0">
                  <c:v>2239</c:v>
                </c:pt>
                <c:pt idx="1">
                  <c:v>1756</c:v>
                </c:pt>
                <c:pt idx="2">
                  <c:v>2521</c:v>
                </c:pt>
              </c:numCache>
            </c:numRef>
          </c:val>
          <c:extLst>
            <c:ext xmlns:c16="http://schemas.microsoft.com/office/drawing/2014/chart" uri="{C3380CC4-5D6E-409C-BE32-E72D297353CC}">
              <c16:uniqueId val="{00000002-24AA-42C6-8CA5-562428CC064C}"/>
            </c:ext>
          </c:extLst>
        </c:ser>
        <c:dLbls>
          <c:showLegendKey val="0"/>
          <c:showVal val="0"/>
          <c:showCatName val="0"/>
          <c:showSerName val="0"/>
          <c:showPercent val="0"/>
          <c:showBubbleSize val="0"/>
        </c:dLbls>
        <c:gapWidth val="75"/>
        <c:shape val="box"/>
        <c:axId val="1243053679"/>
        <c:axId val="1"/>
        <c:axId val="0"/>
      </c:bar3DChart>
      <c:catAx>
        <c:axId val="1243053679"/>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crossAx val="1243053679"/>
        <c:crosses val="autoZero"/>
        <c:crossBetween val="between"/>
      </c:valAx>
      <c:spPr>
        <a:noFill/>
        <a:ln w="25363">
          <a:noFill/>
        </a:ln>
      </c:spPr>
    </c:plotArea>
    <c:legend>
      <c:legendPos val="r"/>
      <c:layout>
        <c:manualLayout>
          <c:xMode val="edge"/>
          <c:yMode val="edge"/>
          <c:x val="0.34477375721293263"/>
          <c:y val="0.89106168501845628"/>
          <c:w val="0.30421205776244259"/>
          <c:h val="8.3799186456274599E-2"/>
        </c:manualLayout>
      </c:layout>
      <c:overlay val="0"/>
    </c:legend>
    <c:plotVisOnly val="1"/>
    <c:dispBlanksAs val="gap"/>
    <c:showDLblsOverMax val="0"/>
  </c:chart>
  <c:spPr>
    <a:scene3d>
      <a:camera prst="orthographicFront"/>
      <a:lightRig rig="threePt" dir="t"/>
    </a:scene3d>
    <a:sp3d>
      <a:bevelT w="152400" h="50800" prst="softRound"/>
      <a:bevelB w="152400" h="50800" prst="softRound"/>
    </a:sp3d>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191">
                <a:latin typeface="Times New Roman" panose="02020603050405020304" pitchFamily="18" charset="0"/>
                <a:cs typeface="Times New Roman" panose="02020603050405020304" pitchFamily="18" charset="0"/>
              </a:defRPr>
            </a:pPr>
            <a:r>
              <a:rPr lang="bg-BG" sz="1191">
                <a:latin typeface="Times New Roman" panose="02020603050405020304" pitchFamily="18" charset="0"/>
                <a:cs typeface="Times New Roman" panose="02020603050405020304" pitchFamily="18" charset="0"/>
              </a:rPr>
              <a:t>Брой осъдителни и санкционни решения по глави от НК за 2020г.</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1543972399226899E-2"/>
          <c:y val="0.20419178872755236"/>
          <c:w val="0.65828862799002441"/>
          <c:h val="0.64310151774755386"/>
        </c:manualLayout>
      </c:layout>
      <c:pie3DChart>
        <c:varyColors val="1"/>
        <c:ser>
          <c:idx val="0"/>
          <c:order val="0"/>
          <c:tx>
            <c:strRef>
              <c:f>Лист1!$B$1</c:f>
              <c:strCache>
                <c:ptCount val="1"/>
                <c:pt idx="0">
                  <c:v>брой осъдителни и санкционни решения по глави от НК</c:v>
                </c:pt>
              </c:strCache>
            </c:strRef>
          </c:tx>
          <c:dPt>
            <c:idx val="0"/>
            <c:bubble3D val="0"/>
            <c:extLst>
              <c:ext xmlns:c16="http://schemas.microsoft.com/office/drawing/2014/chart" uri="{C3380CC4-5D6E-409C-BE32-E72D297353CC}">
                <c16:uniqueId val="{00000000-9D43-41E8-8B4A-755FC77204AD}"/>
              </c:ext>
            </c:extLst>
          </c:dPt>
          <c:dPt>
            <c:idx val="1"/>
            <c:bubble3D val="0"/>
            <c:extLst>
              <c:ext xmlns:c16="http://schemas.microsoft.com/office/drawing/2014/chart" uri="{C3380CC4-5D6E-409C-BE32-E72D297353CC}">
                <c16:uniqueId val="{00000001-9D43-41E8-8B4A-755FC77204AD}"/>
              </c:ext>
            </c:extLst>
          </c:dPt>
          <c:dPt>
            <c:idx val="2"/>
            <c:bubble3D val="0"/>
            <c:extLst>
              <c:ext xmlns:c16="http://schemas.microsoft.com/office/drawing/2014/chart" uri="{C3380CC4-5D6E-409C-BE32-E72D297353CC}">
                <c16:uniqueId val="{00000002-9D43-41E8-8B4A-755FC77204AD}"/>
              </c:ext>
            </c:extLst>
          </c:dPt>
          <c:dPt>
            <c:idx val="3"/>
            <c:bubble3D val="0"/>
            <c:extLst>
              <c:ext xmlns:c16="http://schemas.microsoft.com/office/drawing/2014/chart" uri="{C3380CC4-5D6E-409C-BE32-E72D297353CC}">
                <c16:uniqueId val="{00000003-9D43-41E8-8B4A-755FC77204AD}"/>
              </c:ext>
            </c:extLst>
          </c:dPt>
          <c:dPt>
            <c:idx val="4"/>
            <c:bubble3D val="0"/>
            <c:extLst>
              <c:ext xmlns:c16="http://schemas.microsoft.com/office/drawing/2014/chart" uri="{C3380CC4-5D6E-409C-BE32-E72D297353CC}">
                <c16:uniqueId val="{00000004-9D43-41E8-8B4A-755FC77204AD}"/>
              </c:ext>
            </c:extLst>
          </c:dPt>
          <c:dPt>
            <c:idx val="5"/>
            <c:bubble3D val="0"/>
            <c:extLst>
              <c:ext xmlns:c16="http://schemas.microsoft.com/office/drawing/2014/chart" uri="{C3380CC4-5D6E-409C-BE32-E72D297353CC}">
                <c16:uniqueId val="{00000005-9D43-41E8-8B4A-755FC77204AD}"/>
              </c:ext>
            </c:extLst>
          </c:dPt>
          <c:dPt>
            <c:idx val="6"/>
            <c:bubble3D val="0"/>
            <c:extLst>
              <c:ext xmlns:c16="http://schemas.microsoft.com/office/drawing/2014/chart" uri="{C3380CC4-5D6E-409C-BE32-E72D297353CC}">
                <c16:uniqueId val="{00000006-9D43-41E8-8B4A-755FC77204AD}"/>
              </c:ext>
            </c:extLst>
          </c:dPt>
          <c:dPt>
            <c:idx val="7"/>
            <c:bubble3D val="0"/>
            <c:extLst>
              <c:ext xmlns:c16="http://schemas.microsoft.com/office/drawing/2014/chart" uri="{C3380CC4-5D6E-409C-BE32-E72D297353CC}">
                <c16:uniqueId val="{00000007-9D43-41E8-8B4A-755FC77204AD}"/>
              </c:ext>
            </c:extLst>
          </c:dPt>
          <c:dPt>
            <c:idx val="8"/>
            <c:bubble3D val="0"/>
            <c:extLst>
              <c:ext xmlns:c16="http://schemas.microsoft.com/office/drawing/2014/chart" uri="{C3380CC4-5D6E-409C-BE32-E72D297353CC}">
                <c16:uniqueId val="{00000008-9D43-41E8-8B4A-755FC77204AD}"/>
              </c:ext>
            </c:extLst>
          </c:dPt>
          <c:dPt>
            <c:idx val="9"/>
            <c:bubble3D val="0"/>
            <c:extLst>
              <c:ext xmlns:c16="http://schemas.microsoft.com/office/drawing/2014/chart" uri="{C3380CC4-5D6E-409C-BE32-E72D297353CC}">
                <c16:uniqueId val="{00000009-9D43-41E8-8B4A-755FC77204AD}"/>
              </c:ext>
            </c:extLst>
          </c:dPt>
          <c:dLbls>
            <c:dLbl>
              <c:idx val="0"/>
              <c:layout>
                <c:manualLayout>
                  <c:x val="1.1574074074074073E-2"/>
                  <c:y val="-3.5668379560239771E-2"/>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43-41E8-8B4A-755FC77204AD}"/>
                </c:ext>
              </c:extLst>
            </c:dLbl>
            <c:dLbl>
              <c:idx val="1"/>
              <c:layout>
                <c:manualLayout>
                  <c:x val="6.9444444444443599E-3"/>
                  <c:y val="-5.5555555555555552E-2"/>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3-41E8-8B4A-755FC77204AD}"/>
                </c:ext>
              </c:extLst>
            </c:dLbl>
            <c:dLbl>
              <c:idx val="2"/>
              <c:layout>
                <c:manualLayout>
                  <c:x val="2.3148148148148147E-2"/>
                  <c:y val="0"/>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43-41E8-8B4A-755FC77204AD}"/>
                </c:ext>
              </c:extLst>
            </c:dLbl>
            <c:dLbl>
              <c:idx val="3"/>
              <c:layout>
                <c:manualLayout>
                  <c:x val="4.6296296296296294E-3"/>
                  <c:y val="6.737360583600846E-2"/>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43-41E8-8B4A-755FC77204AD}"/>
                </c:ext>
              </c:extLst>
            </c:dLbl>
            <c:dLbl>
              <c:idx val="4"/>
              <c:layout>
                <c:manualLayout>
                  <c:x val="8.1018518518518517E-2"/>
                  <c:y val="3.9631532844710861E-3"/>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43-41E8-8B4A-755FC77204AD}"/>
                </c:ext>
              </c:extLst>
            </c:dLbl>
            <c:dLbl>
              <c:idx val="5"/>
              <c:layout>
                <c:manualLayout>
                  <c:x val="1.3888888888888888E-2"/>
                  <c:y val="1.1889459853413258E-2"/>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43-41E8-8B4A-755FC77204AD}"/>
                </c:ext>
              </c:extLst>
            </c:dLbl>
            <c:dLbl>
              <c:idx val="6"/>
              <c:layout>
                <c:manualLayout>
                  <c:x val="-3.2407407407407406E-2"/>
                  <c:y val="1.1889459853413258E-2"/>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43-41E8-8B4A-755FC77204AD}"/>
                </c:ext>
              </c:extLst>
            </c:dLbl>
            <c:dLbl>
              <c:idx val="7"/>
              <c:layout>
                <c:manualLayout>
                  <c:x val="-2.5462962962962962E-2"/>
                  <c:y val="1.5852613137884344E-2"/>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43-41E8-8B4A-755FC77204AD}"/>
                </c:ext>
              </c:extLst>
            </c:dLbl>
            <c:dLbl>
              <c:idx val="8"/>
              <c:layout>
                <c:manualLayout>
                  <c:x val="-2.3148148148148147E-2"/>
                  <c:y val="0"/>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43-41E8-8B4A-755FC77204AD}"/>
                </c:ext>
              </c:extLst>
            </c:dLbl>
            <c:dLbl>
              <c:idx val="9"/>
              <c:layout>
                <c:manualLayout>
                  <c:x val="-3.8947865486517463E-2"/>
                  <c:y val="-5.5499110998221994E-3"/>
                </c:manualLayout>
              </c:layout>
              <c:spPr/>
              <c:txPr>
                <a:bodyPr/>
                <a:lstStyle/>
                <a:p>
                  <a:pPr>
                    <a:defRPr/>
                  </a:pPr>
                  <a:endParaRPr lang="bg-BG"/>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43-41E8-8B4A-755FC77204AD}"/>
                </c:ext>
              </c:extLst>
            </c:dLbl>
            <c:spPr>
              <a:noFill/>
              <a:ln w="25226">
                <a:noFill/>
              </a:ln>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Глава ІІ</c:v>
                </c:pt>
                <c:pt idx="1">
                  <c:v>Глава III</c:v>
                </c:pt>
                <c:pt idx="2">
                  <c:v>Глава ІV</c:v>
                </c:pt>
                <c:pt idx="3">
                  <c:v>Глава V</c:v>
                </c:pt>
                <c:pt idx="4">
                  <c:v>Глава VІ</c:v>
                </c:pt>
                <c:pt idx="5">
                  <c:v>Глава VІІ</c:v>
                </c:pt>
                <c:pt idx="6">
                  <c:v>Глава VІІІ</c:v>
                </c:pt>
                <c:pt idx="7">
                  <c:v>Глава ІХ</c:v>
                </c:pt>
                <c:pt idx="8">
                  <c:v>Глава Х</c:v>
                </c:pt>
                <c:pt idx="9">
                  <c:v>Глава ХІ</c:v>
                </c:pt>
              </c:strCache>
            </c:strRef>
          </c:cat>
          <c:val>
            <c:numRef>
              <c:f>Лист1!$B$2:$B$11</c:f>
              <c:numCache>
                <c:formatCode>General</c:formatCode>
                <c:ptCount val="10"/>
                <c:pt idx="0">
                  <c:v>261</c:v>
                </c:pt>
                <c:pt idx="1">
                  <c:v>17</c:v>
                </c:pt>
                <c:pt idx="2">
                  <c:v>57</c:v>
                </c:pt>
                <c:pt idx="3">
                  <c:v>779</c:v>
                </c:pt>
                <c:pt idx="4">
                  <c:v>82</c:v>
                </c:pt>
                <c:pt idx="5">
                  <c:v>17</c:v>
                </c:pt>
                <c:pt idx="6">
                  <c:v>49</c:v>
                </c:pt>
                <c:pt idx="7">
                  <c:v>99</c:v>
                </c:pt>
                <c:pt idx="8">
                  <c:v>85</c:v>
                </c:pt>
                <c:pt idx="9">
                  <c:v>1243</c:v>
                </c:pt>
              </c:numCache>
            </c:numRef>
          </c:val>
          <c:extLst>
            <c:ext xmlns:c16="http://schemas.microsoft.com/office/drawing/2014/chart" uri="{C3380CC4-5D6E-409C-BE32-E72D297353CC}">
              <c16:uniqueId val="{0000000A-9D43-41E8-8B4A-755FC77204AD}"/>
            </c:ext>
          </c:extLst>
        </c:ser>
        <c:dLbls>
          <c:showLegendKey val="0"/>
          <c:showVal val="0"/>
          <c:showCatName val="0"/>
          <c:showSerName val="0"/>
          <c:showPercent val="0"/>
          <c:showBubbleSize val="0"/>
          <c:showLeaderLines val="1"/>
        </c:dLbls>
      </c:pie3DChart>
      <c:spPr>
        <a:noFill/>
        <a:ln w="25386">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a:pPr>
            <a:r>
              <a:rPr lang="bg-BG" sz="1196">
                <a:latin typeface="Times New Roman" panose="02020603050405020304" pitchFamily="18" charset="0"/>
                <a:cs typeface="Times New Roman" panose="02020603050405020304" pitchFamily="18" charset="0"/>
              </a:rPr>
              <a:t>Структура на престъпността по внесени в съда</a:t>
            </a:r>
            <a:r>
              <a:rPr lang="bg-BG" sz="1196" baseline="0">
                <a:latin typeface="Times New Roman" panose="02020603050405020304" pitchFamily="18" charset="0"/>
                <a:cs typeface="Times New Roman" panose="02020603050405020304" pitchFamily="18" charset="0"/>
              </a:rPr>
              <a:t> прокурорски актове</a:t>
            </a:r>
            <a:endParaRPr lang="bg-BG" sz="1200">
              <a:latin typeface="Times New Roman" panose="02020603050405020304" pitchFamily="18" charset="0"/>
              <a:cs typeface="Times New Roman" panose="02020603050405020304" pitchFamily="18" charset="0"/>
            </a:endParaRPr>
          </a:p>
        </c:rich>
      </c:tx>
      <c:layout>
        <c:manualLayout>
          <c:xMode val="edge"/>
          <c:yMode val="edge"/>
          <c:x val="0.1141000845968634"/>
          <c:y val="3.485864266966629E-2"/>
        </c:manualLayout>
      </c:layout>
      <c:overlay val="0"/>
    </c:title>
    <c:autoTitleDeleted val="0"/>
    <c:view3D>
      <c:rotX val="30"/>
      <c:rotY val="1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на осъдени и санкционирани лица с влязъл в сила съдебен акт</c:v>
                </c:pt>
              </c:strCache>
            </c:strRef>
          </c:tx>
          <c:explosion val="25"/>
          <c:dPt>
            <c:idx val="0"/>
            <c:bubble3D val="0"/>
            <c:extLst>
              <c:ext xmlns:c16="http://schemas.microsoft.com/office/drawing/2014/chart" uri="{C3380CC4-5D6E-409C-BE32-E72D297353CC}">
                <c16:uniqueId val="{00000000-28F4-47AC-845B-6DC4B1E2E0B9}"/>
              </c:ext>
            </c:extLst>
          </c:dPt>
          <c:dPt>
            <c:idx val="1"/>
            <c:bubble3D val="0"/>
            <c:extLst>
              <c:ext xmlns:c16="http://schemas.microsoft.com/office/drawing/2014/chart" uri="{C3380CC4-5D6E-409C-BE32-E72D297353CC}">
                <c16:uniqueId val="{00000001-28F4-47AC-845B-6DC4B1E2E0B9}"/>
              </c:ext>
            </c:extLst>
          </c:dPt>
          <c:dPt>
            <c:idx val="2"/>
            <c:bubble3D val="0"/>
            <c:extLst>
              <c:ext xmlns:c16="http://schemas.microsoft.com/office/drawing/2014/chart" uri="{C3380CC4-5D6E-409C-BE32-E72D297353CC}">
                <c16:uniqueId val="{00000002-28F4-47AC-845B-6DC4B1E2E0B9}"/>
              </c:ext>
            </c:extLst>
          </c:dPt>
          <c:dPt>
            <c:idx val="3"/>
            <c:bubble3D val="0"/>
            <c:extLst>
              <c:ext xmlns:c16="http://schemas.microsoft.com/office/drawing/2014/chart" uri="{C3380CC4-5D6E-409C-BE32-E72D297353CC}">
                <c16:uniqueId val="{00000003-28F4-47AC-845B-6DC4B1E2E0B9}"/>
              </c:ext>
            </c:extLst>
          </c:dPt>
          <c:dPt>
            <c:idx val="4"/>
            <c:bubble3D val="0"/>
            <c:spPr>
              <a:ln>
                <a:solidFill>
                  <a:srgbClr val="4F81BD"/>
                </a:solidFill>
              </a:ln>
            </c:spPr>
            <c:extLst>
              <c:ext xmlns:c16="http://schemas.microsoft.com/office/drawing/2014/chart" uri="{C3380CC4-5D6E-409C-BE32-E72D297353CC}">
                <c16:uniqueId val="{00000004-28F4-47AC-845B-6DC4B1E2E0B9}"/>
              </c:ext>
            </c:extLst>
          </c:dPt>
          <c:dPt>
            <c:idx val="5"/>
            <c:bubble3D val="0"/>
            <c:extLst>
              <c:ext xmlns:c16="http://schemas.microsoft.com/office/drawing/2014/chart" uri="{C3380CC4-5D6E-409C-BE32-E72D297353CC}">
                <c16:uniqueId val="{00000005-28F4-47AC-845B-6DC4B1E2E0B9}"/>
              </c:ext>
            </c:extLst>
          </c:dPt>
          <c:dPt>
            <c:idx val="6"/>
            <c:bubble3D val="0"/>
            <c:extLst>
              <c:ext xmlns:c16="http://schemas.microsoft.com/office/drawing/2014/chart" uri="{C3380CC4-5D6E-409C-BE32-E72D297353CC}">
                <c16:uniqueId val="{00000006-28F4-47AC-845B-6DC4B1E2E0B9}"/>
              </c:ext>
            </c:extLst>
          </c:dPt>
          <c:dPt>
            <c:idx val="7"/>
            <c:bubble3D val="0"/>
            <c:extLst>
              <c:ext xmlns:c16="http://schemas.microsoft.com/office/drawing/2014/chart" uri="{C3380CC4-5D6E-409C-BE32-E72D297353CC}">
                <c16:uniqueId val="{00000007-28F4-47AC-845B-6DC4B1E2E0B9}"/>
              </c:ext>
            </c:extLst>
          </c:dPt>
          <c:dPt>
            <c:idx val="8"/>
            <c:bubble3D val="0"/>
            <c:extLst>
              <c:ext xmlns:c16="http://schemas.microsoft.com/office/drawing/2014/chart" uri="{C3380CC4-5D6E-409C-BE32-E72D297353CC}">
                <c16:uniqueId val="{00000008-28F4-47AC-845B-6DC4B1E2E0B9}"/>
              </c:ext>
            </c:extLst>
          </c:dPt>
          <c:dPt>
            <c:idx val="9"/>
            <c:bubble3D val="0"/>
            <c:extLst>
              <c:ext xmlns:c16="http://schemas.microsoft.com/office/drawing/2014/chart" uri="{C3380CC4-5D6E-409C-BE32-E72D297353CC}">
                <c16:uniqueId val="{00000009-28F4-47AC-845B-6DC4B1E2E0B9}"/>
              </c:ext>
            </c:extLst>
          </c:dPt>
          <c:dLbls>
            <c:spPr>
              <a:noFill/>
              <a:ln w="25385">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Глава ІІ</c:v>
                </c:pt>
                <c:pt idx="1">
                  <c:v>Глава ІІІ</c:v>
                </c:pt>
                <c:pt idx="2">
                  <c:v>Глава ІV</c:v>
                </c:pt>
                <c:pt idx="3">
                  <c:v>Глава V</c:v>
                </c:pt>
                <c:pt idx="4">
                  <c:v>Глава VІ</c:v>
                </c:pt>
                <c:pt idx="5">
                  <c:v>Глава VІІ</c:v>
                </c:pt>
                <c:pt idx="6">
                  <c:v>Глава VІІІ</c:v>
                </c:pt>
                <c:pt idx="7">
                  <c:v>Глава IX</c:v>
                </c:pt>
                <c:pt idx="8">
                  <c:v>Глава Х</c:v>
                </c:pt>
                <c:pt idx="9">
                  <c:v>Глава ХІ</c:v>
                </c:pt>
              </c:strCache>
            </c:strRef>
          </c:cat>
          <c:val>
            <c:numRef>
              <c:f>Лист1!$B$2:$B$11</c:f>
              <c:numCache>
                <c:formatCode>General</c:formatCode>
                <c:ptCount val="10"/>
                <c:pt idx="0">
                  <c:v>365</c:v>
                </c:pt>
                <c:pt idx="1">
                  <c:v>16</c:v>
                </c:pt>
                <c:pt idx="2">
                  <c:v>86</c:v>
                </c:pt>
                <c:pt idx="3">
                  <c:v>775</c:v>
                </c:pt>
                <c:pt idx="4">
                  <c:v>111</c:v>
                </c:pt>
                <c:pt idx="5">
                  <c:v>33</c:v>
                </c:pt>
                <c:pt idx="6">
                  <c:v>60</c:v>
                </c:pt>
                <c:pt idx="7">
                  <c:v>137</c:v>
                </c:pt>
                <c:pt idx="8">
                  <c:v>152</c:v>
                </c:pt>
                <c:pt idx="9">
                  <c:v>1411</c:v>
                </c:pt>
              </c:numCache>
            </c:numRef>
          </c:val>
          <c:extLst>
            <c:ext xmlns:c16="http://schemas.microsoft.com/office/drawing/2014/chart" uri="{C3380CC4-5D6E-409C-BE32-E72D297353CC}">
              <c16:uniqueId val="{0000000A-28F4-47AC-845B-6DC4B1E2E0B9}"/>
            </c:ext>
          </c:extLst>
        </c:ser>
        <c:dLbls>
          <c:showLegendKey val="0"/>
          <c:showVal val="0"/>
          <c:showCatName val="0"/>
          <c:showSerName val="0"/>
          <c:showPercent val="0"/>
          <c:showBubbleSize val="0"/>
          <c:showLeaderLines val="1"/>
        </c:dLbls>
      </c:pie3DChart>
      <c:spPr>
        <a:noFill/>
        <a:ln w="25385">
          <a:noFill/>
        </a:ln>
      </c:spPr>
    </c:plotArea>
    <c:legend>
      <c:legendPos val="b"/>
      <c:layout>
        <c:manualLayout>
          <c:xMode val="edge"/>
          <c:yMode val="edge"/>
          <c:x val="0.15969996312444415"/>
          <c:y val="0.85209577374256784"/>
          <c:w val="0.70480900631222743"/>
          <c:h val="9.5701965825700341E-2"/>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2">
                <a:latin typeface="Times New Roman" panose="02020603050405020304" pitchFamily="18" charset="0"/>
                <a:cs typeface="Times New Roman" panose="02020603050405020304" pitchFamily="18" charset="0"/>
              </a:defRPr>
            </a:pPr>
            <a:r>
              <a:rPr lang="bg-BG" sz="1192">
                <a:latin typeface="Times New Roman" panose="02020603050405020304" pitchFamily="18" charset="0"/>
                <a:cs typeface="Times New Roman" panose="02020603050405020304" pitchFamily="18" charset="0"/>
              </a:rPr>
              <a:t>Сравнителни данни на периода 2019г. - 2021г.</a:t>
            </a:r>
          </a:p>
        </c:rich>
      </c:tx>
      <c:overlay val="0"/>
    </c:title>
    <c:autoTitleDeleted val="0"/>
    <c:plotArea>
      <c:layout/>
      <c:barChart>
        <c:barDir val="col"/>
        <c:grouping val="clustered"/>
        <c:varyColors val="0"/>
        <c:ser>
          <c:idx val="0"/>
          <c:order val="0"/>
          <c:tx>
            <c:strRef>
              <c:f>Лист1!$B$1</c:f>
              <c:strCache>
                <c:ptCount val="1"/>
                <c:pt idx="0">
                  <c:v>Общо</c:v>
                </c:pt>
              </c:strCache>
            </c:strRef>
          </c:tx>
          <c:spPr>
            <a:solidFill>
              <a:srgbClr val="C00000"/>
            </a:solidFill>
            <a:scene3d>
              <a:camera prst="orthographicFront"/>
              <a:lightRig rig="threePt" dir="t"/>
            </a:scene3d>
            <a:sp3d>
              <a:bevelT prst="relaxedInset"/>
              <a:bevelB prst="relaxedInset"/>
            </a:sp3d>
          </c:spPr>
          <c:invertIfNegative val="0"/>
          <c:dLbls>
            <c:spPr>
              <a:noFill/>
              <a:ln w="25234">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2021г.</c:v>
                </c:pt>
                <c:pt idx="1">
                  <c:v>2020г. </c:v>
                </c:pt>
                <c:pt idx="2">
                  <c:v>2019г.</c:v>
                </c:pt>
              </c:strCache>
            </c:strRef>
          </c:cat>
          <c:val>
            <c:numRef>
              <c:f>Лист1!$B$2:$B$5</c:f>
              <c:numCache>
                <c:formatCode>General</c:formatCode>
                <c:ptCount val="4"/>
                <c:pt idx="0">
                  <c:v>233</c:v>
                </c:pt>
                <c:pt idx="1">
                  <c:v>183</c:v>
                </c:pt>
                <c:pt idx="2">
                  <c:v>256</c:v>
                </c:pt>
              </c:numCache>
            </c:numRef>
          </c:val>
          <c:extLst>
            <c:ext xmlns:c16="http://schemas.microsoft.com/office/drawing/2014/chart" uri="{C3380CC4-5D6E-409C-BE32-E72D297353CC}">
              <c16:uniqueId val="{00000000-B6FE-4FE7-928F-568B1C2F03FA}"/>
            </c:ext>
          </c:extLst>
        </c:ser>
        <c:ser>
          <c:idx val="1"/>
          <c:order val="1"/>
          <c:tx>
            <c:strRef>
              <c:f>Лист1!$C$1</c:f>
              <c:strCache>
                <c:ptCount val="1"/>
                <c:pt idx="0">
                  <c:v>СГП</c:v>
                </c:pt>
              </c:strCache>
            </c:strRef>
          </c:tx>
          <c:spPr>
            <a:solidFill>
              <a:schemeClr val="tx2">
                <a:lumMod val="60000"/>
                <a:lumOff val="40000"/>
              </a:schemeClr>
            </a:solidFill>
            <a:scene3d>
              <a:camera prst="orthographicFront"/>
              <a:lightRig rig="threePt" dir="t"/>
            </a:scene3d>
            <a:sp3d>
              <a:bevelT prst="relaxedInset"/>
              <a:bevelB prst="relaxedInset"/>
            </a:sp3d>
          </c:spPr>
          <c:invertIfNegative val="0"/>
          <c:dLbls>
            <c:spPr>
              <a:noFill/>
              <a:ln w="25234">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2021г.</c:v>
                </c:pt>
                <c:pt idx="1">
                  <c:v>2020г. </c:v>
                </c:pt>
                <c:pt idx="2">
                  <c:v>2019г.</c:v>
                </c:pt>
              </c:strCache>
            </c:strRef>
          </c:cat>
          <c:val>
            <c:numRef>
              <c:f>Лист1!$C$2:$C$5</c:f>
              <c:numCache>
                <c:formatCode>General</c:formatCode>
                <c:ptCount val="4"/>
                <c:pt idx="0">
                  <c:v>71</c:v>
                </c:pt>
                <c:pt idx="1">
                  <c:v>58</c:v>
                </c:pt>
                <c:pt idx="2">
                  <c:v>77</c:v>
                </c:pt>
              </c:numCache>
            </c:numRef>
          </c:val>
          <c:extLst>
            <c:ext xmlns:c16="http://schemas.microsoft.com/office/drawing/2014/chart" uri="{C3380CC4-5D6E-409C-BE32-E72D297353CC}">
              <c16:uniqueId val="{00000001-B6FE-4FE7-928F-568B1C2F03FA}"/>
            </c:ext>
          </c:extLst>
        </c:ser>
        <c:ser>
          <c:idx val="2"/>
          <c:order val="2"/>
          <c:tx>
            <c:strRef>
              <c:f>Лист1!$D$1</c:f>
              <c:strCache>
                <c:ptCount val="1"/>
                <c:pt idx="0">
                  <c:v>СРП</c:v>
                </c:pt>
              </c:strCache>
            </c:strRef>
          </c:tx>
          <c:spPr>
            <a:solidFill>
              <a:schemeClr val="accent3">
                <a:lumMod val="50000"/>
              </a:schemeClr>
            </a:solidFill>
            <a:scene3d>
              <a:camera prst="orthographicFront"/>
              <a:lightRig rig="threePt" dir="t"/>
            </a:scene3d>
            <a:sp3d>
              <a:bevelT prst="relaxedInset"/>
              <a:bevelB prst="relaxedInset"/>
            </a:sp3d>
          </c:spPr>
          <c:invertIfNegative val="0"/>
          <c:dLbls>
            <c:spPr>
              <a:noFill/>
              <a:ln w="25234">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2021г.</c:v>
                </c:pt>
                <c:pt idx="1">
                  <c:v>2020г. </c:v>
                </c:pt>
                <c:pt idx="2">
                  <c:v>2019г.</c:v>
                </c:pt>
              </c:strCache>
            </c:strRef>
          </c:cat>
          <c:val>
            <c:numRef>
              <c:f>Лист1!$D$2:$D$5</c:f>
              <c:numCache>
                <c:formatCode>General</c:formatCode>
                <c:ptCount val="4"/>
                <c:pt idx="0">
                  <c:v>162</c:v>
                </c:pt>
                <c:pt idx="1">
                  <c:v>125</c:v>
                </c:pt>
                <c:pt idx="2">
                  <c:v>129</c:v>
                </c:pt>
              </c:numCache>
            </c:numRef>
          </c:val>
          <c:extLst>
            <c:ext xmlns:c16="http://schemas.microsoft.com/office/drawing/2014/chart" uri="{C3380CC4-5D6E-409C-BE32-E72D297353CC}">
              <c16:uniqueId val="{00000002-B6FE-4FE7-928F-568B1C2F03FA}"/>
            </c:ext>
          </c:extLst>
        </c:ser>
        <c:dLbls>
          <c:showLegendKey val="0"/>
          <c:showVal val="0"/>
          <c:showCatName val="0"/>
          <c:showSerName val="0"/>
          <c:showPercent val="0"/>
          <c:showBubbleSize val="0"/>
        </c:dLbls>
        <c:gapWidth val="150"/>
        <c:axId val="1243053679"/>
        <c:axId val="1"/>
      </c:barChart>
      <c:catAx>
        <c:axId val="1243053679"/>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crossAx val="1243053679"/>
        <c:crosses val="autoZero"/>
        <c:crossBetween val="between"/>
      </c:valAx>
    </c:plotArea>
    <c:legend>
      <c:legendPos val="r"/>
      <c:layout>
        <c:manualLayout>
          <c:xMode val="edge"/>
          <c:yMode val="edge"/>
          <c:x val="0.87282233293459344"/>
          <c:y val="0.41379335216685698"/>
          <c:w val="0.11846691116865815"/>
          <c:h val="0.26332271443168842"/>
        </c:manualLayout>
      </c:layout>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3"/>
            </a:pPr>
            <a:r>
              <a:rPr lang="bg-BG" sz="1193">
                <a:latin typeface="Times New Roman" panose="02020603050405020304" pitchFamily="18" charset="0"/>
                <a:cs typeface="Times New Roman" panose="02020603050405020304" pitchFamily="18" charset="0"/>
              </a:rPr>
              <a:t>Процентно</a:t>
            </a:r>
            <a:r>
              <a:rPr lang="bg-BG" sz="1193" baseline="0">
                <a:latin typeface="Times New Roman" panose="02020603050405020304" pitchFamily="18" charset="0"/>
                <a:cs typeface="Times New Roman" panose="02020603050405020304" pitchFamily="18" charset="0"/>
              </a:rPr>
              <a:t> отношение на лица с влязъл в сила съдебен акт и лица с влязла в сила оправдателна присъда за 2021 г. - 6,24 </a:t>
            </a:r>
            <a:r>
              <a:rPr lang="en-US" sz="1193" baseline="0">
                <a:latin typeface="Times New Roman" panose="02020603050405020304" pitchFamily="18" charset="0"/>
                <a:cs typeface="Times New Roman" panose="02020603050405020304" pitchFamily="18" charset="0"/>
              </a:rPr>
              <a:t>%</a:t>
            </a:r>
            <a:endParaRPr lang="bg-BG"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Продажби</c:v>
                </c:pt>
              </c:strCache>
            </c:strRef>
          </c:tx>
          <c:spPr>
            <a:pattFill prst="solidDmnd">
              <a:fgClr>
                <a:schemeClr val="accent1"/>
              </a:fgClr>
              <a:bgClr>
                <a:schemeClr val="bg1"/>
              </a:bgClr>
            </a:pattFill>
            <a:ln>
              <a:solidFill>
                <a:schemeClr val="accent1"/>
              </a:solidFill>
            </a:ln>
          </c:spPr>
          <c:dPt>
            <c:idx val="0"/>
            <c:bubble3D val="0"/>
            <c:spPr>
              <a:solidFill>
                <a:srgbClr val="FF0000"/>
              </a:solidFill>
              <a:ln>
                <a:solidFill>
                  <a:schemeClr val="accent1"/>
                </a:solidFill>
              </a:ln>
            </c:spPr>
            <c:extLst>
              <c:ext xmlns:c16="http://schemas.microsoft.com/office/drawing/2014/chart" uri="{C3380CC4-5D6E-409C-BE32-E72D297353CC}">
                <c16:uniqueId val="{00000000-2BCD-453A-B9C2-D42CDBDEA056}"/>
              </c:ext>
            </c:extLst>
          </c:dPt>
          <c:dPt>
            <c:idx val="1"/>
            <c:bubble3D val="0"/>
            <c:spPr>
              <a:solidFill>
                <a:srgbClr val="4F81BD"/>
              </a:solidFill>
              <a:ln>
                <a:solidFill>
                  <a:schemeClr val="accent1"/>
                </a:solidFill>
              </a:ln>
            </c:spPr>
            <c:extLst>
              <c:ext xmlns:c16="http://schemas.microsoft.com/office/drawing/2014/chart" uri="{C3380CC4-5D6E-409C-BE32-E72D297353CC}">
                <c16:uniqueId val="{00000001-2BCD-453A-B9C2-D42CDBDEA056}"/>
              </c:ext>
            </c:extLst>
          </c:dPt>
          <c:dLbls>
            <c:dLbl>
              <c:idx val="0"/>
              <c:numFmt formatCode="General" sourceLinked="0"/>
              <c:spPr/>
              <c:txPr>
                <a:bodyPr/>
                <a:lstStyle/>
                <a:p>
                  <a:pPr>
                    <a:defRPr sz="1400"/>
                  </a:pPr>
                  <a:endParaRPr lang="bg-BG"/>
                </a:p>
              </c:txPr>
              <c:showLegendKey val="0"/>
              <c:showVal val="0"/>
              <c:showCatName val="0"/>
              <c:showSerName val="0"/>
              <c:showPercent val="1"/>
              <c:showBubbleSize val="0"/>
              <c:extLst>
                <c:ext xmlns:c16="http://schemas.microsoft.com/office/drawing/2014/chart" uri="{C3380CC4-5D6E-409C-BE32-E72D297353CC}">
                  <c16:uniqueId val="{00000000-2BCD-453A-B9C2-D42CDBDEA056}"/>
                </c:ext>
              </c:extLst>
            </c:dLbl>
            <c:dLbl>
              <c:idx val="1"/>
              <c:numFmt formatCode="General" sourceLinked="0"/>
              <c:spPr/>
              <c:txPr>
                <a:bodyPr/>
                <a:lstStyle/>
                <a:p>
                  <a:pPr>
                    <a:defRPr sz="1400"/>
                  </a:pPr>
                  <a:endParaRPr lang="bg-BG"/>
                </a:p>
              </c:txPr>
              <c:showLegendKey val="0"/>
              <c:showVal val="0"/>
              <c:showCatName val="0"/>
              <c:showSerName val="0"/>
              <c:showPercent val="1"/>
              <c:showBubbleSize val="0"/>
              <c:extLst>
                <c:ext xmlns:c16="http://schemas.microsoft.com/office/drawing/2014/chart" uri="{C3380CC4-5D6E-409C-BE32-E72D297353CC}">
                  <c16:uniqueId val="{00000001-2BCD-453A-B9C2-D42CDBDEA056}"/>
                </c:ext>
              </c:extLst>
            </c:dLbl>
            <c:spPr>
              <a:noFill/>
              <a:ln w="25387">
                <a:noFill/>
              </a:ln>
            </c:spPr>
            <c:txPr>
              <a:bodyPr wrap="square" lIns="38100" tIns="19050" rIns="38100" bIns="19050" anchor="ctr">
                <a:spAutoFit/>
              </a:bodyPr>
              <a:lstStyle/>
              <a:p>
                <a:pPr>
                  <a:defRPr sz="1400"/>
                </a:pPr>
                <a:endParaRPr lang="bg-BG"/>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Лица с влязъл в сила съдебен акт - 2868 бр.</c:v>
                </c:pt>
                <c:pt idx="1">
                  <c:v>Оправдани лица с влязъл в сила съдебен акт 179 бр.</c:v>
                </c:pt>
              </c:strCache>
            </c:strRef>
          </c:cat>
          <c:val>
            <c:numRef>
              <c:f>Лист1!$B$2:$B$3</c:f>
              <c:numCache>
                <c:formatCode>#,000</c:formatCode>
                <c:ptCount val="2"/>
                <c:pt idx="0">
                  <c:v>93.73</c:v>
                </c:pt>
                <c:pt idx="1">
                  <c:v>6.24</c:v>
                </c:pt>
              </c:numCache>
            </c:numRef>
          </c:val>
          <c:extLst>
            <c:ext xmlns:c16="http://schemas.microsoft.com/office/drawing/2014/chart" uri="{C3380CC4-5D6E-409C-BE32-E72D297353CC}">
              <c16:uniqueId val="{00000002-2BCD-453A-B9C2-D42CDBDEA056}"/>
            </c:ext>
          </c:extLst>
        </c:ser>
        <c:dLbls>
          <c:showLegendKey val="0"/>
          <c:showVal val="0"/>
          <c:showCatName val="0"/>
          <c:showSerName val="0"/>
          <c:showPercent val="0"/>
          <c:showBubbleSize val="0"/>
          <c:showLeaderLines val="1"/>
        </c:dLbls>
      </c:pie3DChart>
      <c:spPr>
        <a:noFill/>
        <a:ln w="25387">
          <a:noFill/>
        </a:ln>
      </c:spPr>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5462962962962962E-2"/>
          <c:y val="0.31708034809592328"/>
          <c:w val="0.92814655984497096"/>
          <c:h val="0.61817317543546857"/>
        </c:manualLayout>
      </c:layout>
      <c:barChart>
        <c:barDir val="col"/>
        <c:grouping val="clustered"/>
        <c:varyColors val="0"/>
        <c:ser>
          <c:idx val="0"/>
          <c:order val="0"/>
          <c:tx>
            <c:strRef>
              <c:f>Лист1!$B$1</c:f>
              <c:strCache>
                <c:ptCount val="1"/>
                <c:pt idx="0">
                  <c:v>2019 г. - 290 лица</c:v>
                </c:pt>
              </c:strCache>
            </c:strRef>
          </c:tx>
          <c:spPr>
            <a:solidFill>
              <a:srgbClr val="0070C0"/>
            </a:solidFill>
            <a:scene3d>
              <a:camera prst="orthographicFront"/>
              <a:lightRig rig="threePt" dir="t"/>
            </a:scene3d>
            <a:sp3d>
              <a:bevelT prst="relaxedInset"/>
            </a:sp3d>
          </c:spPr>
          <c:invertIfNegative val="0"/>
          <c:dLbls>
            <c:dLbl>
              <c:idx val="0"/>
              <c:layout>
                <c:manualLayout>
                  <c:x val="9.1975299924573015E-3"/>
                  <c:y val="0.25732140319355923"/>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02-4C6F-B843-0CE0D9BA0EC6}"/>
                </c:ext>
              </c:extLst>
            </c:dLbl>
            <c:spPr>
              <a:noFill/>
              <a:ln w="252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290</c:v>
                </c:pt>
              </c:numCache>
            </c:numRef>
          </c:val>
          <c:extLst>
            <c:ext xmlns:c16="http://schemas.microsoft.com/office/drawing/2014/chart" uri="{C3380CC4-5D6E-409C-BE32-E72D297353CC}">
              <c16:uniqueId val="{00000001-B202-4C6F-B843-0CE0D9BA0EC6}"/>
            </c:ext>
          </c:extLst>
        </c:ser>
        <c:ser>
          <c:idx val="1"/>
          <c:order val="1"/>
          <c:tx>
            <c:strRef>
              <c:f>Лист1!$C$1</c:f>
              <c:strCache>
                <c:ptCount val="1"/>
                <c:pt idx="0">
                  <c:v>2020 г. -143 лица</c:v>
                </c:pt>
              </c:strCache>
            </c:strRef>
          </c:tx>
          <c:spPr>
            <a:solidFill>
              <a:srgbClr val="F79646">
                <a:lumMod val="60000"/>
                <a:lumOff val="40000"/>
              </a:srgbClr>
            </a:solidFill>
            <a:scene3d>
              <a:camera prst="orthographicFront"/>
              <a:lightRig rig="threePt" dir="t"/>
            </a:scene3d>
            <a:sp3d>
              <a:bevelT prst="relaxedInset"/>
            </a:sp3d>
          </c:spPr>
          <c:invertIfNegative val="0"/>
          <c:dLbls>
            <c:dLbl>
              <c:idx val="0"/>
              <c:layout>
                <c:manualLayout>
                  <c:x val="6.9052329050001754E-3"/>
                  <c:y val="0.18881318286392637"/>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02-4C6F-B843-0CE0D9BA0EC6}"/>
                </c:ext>
              </c:extLst>
            </c:dLbl>
            <c:spPr>
              <a:noFill/>
              <a:ln w="252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143</c:v>
                </c:pt>
              </c:numCache>
            </c:numRef>
          </c:val>
          <c:extLst>
            <c:ext xmlns:c16="http://schemas.microsoft.com/office/drawing/2014/chart" uri="{C3380CC4-5D6E-409C-BE32-E72D297353CC}">
              <c16:uniqueId val="{00000003-B202-4C6F-B843-0CE0D9BA0EC6}"/>
            </c:ext>
          </c:extLst>
        </c:ser>
        <c:ser>
          <c:idx val="2"/>
          <c:order val="2"/>
          <c:tx>
            <c:strRef>
              <c:f>Лист1!$D$1</c:f>
              <c:strCache>
                <c:ptCount val="1"/>
                <c:pt idx="0">
                  <c:v>2021 г. -179 лица</c:v>
                </c:pt>
              </c:strCache>
            </c:strRef>
          </c:tx>
          <c:spPr>
            <a:solidFill>
              <a:srgbClr val="9BBB59">
                <a:lumMod val="75000"/>
              </a:srgbClr>
            </a:solidFill>
            <a:effectLst>
              <a:outerShdw blurRad="50800" dist="38100" dir="5400000" algn="t" rotWithShape="0">
                <a:prstClr val="black">
                  <a:alpha val="40000"/>
                </a:prstClr>
              </a:outerShdw>
            </a:effectLst>
            <a:scene3d>
              <a:camera prst="orthographicFront"/>
              <a:lightRig rig="threePt" dir="t"/>
            </a:scene3d>
            <a:sp3d>
              <a:bevelT w="114300" prst="hardEdge"/>
            </a:sp3d>
          </c:spPr>
          <c:invertIfNegative val="0"/>
          <c:dLbls>
            <c:dLbl>
              <c:idx val="0"/>
              <c:layout>
                <c:manualLayout>
                  <c:x val="-4.6361199923987147E-5"/>
                  <c:y val="0.13796495135077799"/>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02-4C6F-B843-0CE0D9BA0EC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179</c:v>
                </c:pt>
              </c:numCache>
            </c:numRef>
          </c:val>
          <c:extLst>
            <c:ext xmlns:c16="http://schemas.microsoft.com/office/drawing/2014/chart" uri="{C3380CC4-5D6E-409C-BE32-E72D297353CC}">
              <c16:uniqueId val="{00000005-B202-4C6F-B843-0CE0D9BA0EC6}"/>
            </c:ext>
          </c:extLst>
        </c:ser>
        <c:dLbls>
          <c:showLegendKey val="0"/>
          <c:showVal val="0"/>
          <c:showCatName val="0"/>
          <c:showSerName val="0"/>
          <c:showPercent val="0"/>
          <c:showBubbleSize val="0"/>
        </c:dLbls>
        <c:gapWidth val="150"/>
        <c:overlap val="-25"/>
        <c:axId val="1243053679"/>
        <c:axId val="1"/>
      </c:barChart>
      <c:catAx>
        <c:axId val="1243053679"/>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243053679"/>
        <c:crosses val="autoZero"/>
        <c:crossBetween val="between"/>
      </c:valAx>
      <c:spPr>
        <a:noFill/>
        <a:ln w="25387">
          <a:noFill/>
        </a:ln>
      </c:spPr>
    </c:plotArea>
    <c:legend>
      <c:legendPos val="r"/>
      <c:layout>
        <c:manualLayout>
          <c:xMode val="edge"/>
          <c:yMode val="edge"/>
          <c:x val="9.8418466922403927E-2"/>
          <c:y val="2.8010931623237818E-2"/>
          <c:w val="0.2249560087040402"/>
          <c:h val="0.21568633817680008"/>
        </c:manualLayout>
      </c:layout>
      <c:overlay val="0"/>
    </c:legend>
    <c:plotVisOnly val="1"/>
    <c:dispBlanksAs val="gap"/>
    <c:showDLblsOverMax val="0"/>
  </c:chart>
  <c:spPr>
    <a:scene3d>
      <a:camera prst="orthographicFront"/>
      <a:lightRig rig="threePt" dir="t"/>
    </a:scene3d>
    <a:sp3d>
      <a:bevelT prst="relaxedInset"/>
      <a:bevelB prst="relaxedInset"/>
    </a:sp3d>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dLbl>
              <c:idx val="0"/>
              <c:tx>
                <c:rich>
                  <a:bodyPr/>
                  <a:lstStyle/>
                  <a:p>
                    <a:pPr>
                      <a:defRPr/>
                    </a:pPr>
                    <a:r>
                      <a:rPr lang="en-US"/>
                      <a:t>985</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1E-4869-9801-697934EB41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Брой дела СГП</c:v>
                </c:pt>
                <c:pt idx="1">
                  <c:v>Проведени заседания СГП</c:v>
                </c:pt>
                <c:pt idx="2">
                  <c:v>Брой дела СРП</c:v>
                </c:pt>
                <c:pt idx="3">
                  <c:v>Брой заседания СРП</c:v>
                </c:pt>
              </c:strCache>
            </c:strRef>
          </c:cat>
          <c:val>
            <c:numRef>
              <c:f>Лист1!$B$2:$B$5</c:f>
              <c:numCache>
                <c:formatCode>General</c:formatCode>
                <c:ptCount val="4"/>
                <c:pt idx="0">
                  <c:v>1008</c:v>
                </c:pt>
                <c:pt idx="1">
                  <c:v>1393</c:v>
                </c:pt>
                <c:pt idx="2">
                  <c:v>340</c:v>
                </c:pt>
                <c:pt idx="3">
                  <c:v>397</c:v>
                </c:pt>
              </c:numCache>
            </c:numRef>
          </c:val>
          <c:extLst>
            <c:ext xmlns:c16="http://schemas.microsoft.com/office/drawing/2014/chart" uri="{C3380CC4-5D6E-409C-BE32-E72D297353CC}">
              <c16:uniqueId val="{00000001-151E-4869-9801-697934EB41EC}"/>
            </c:ext>
          </c:extLst>
        </c:ser>
        <c:ser>
          <c:idx val="1"/>
          <c:order val="1"/>
          <c:tx>
            <c:strRef>
              <c:f>Лист1!$C$1</c:f>
              <c:strCache>
                <c:ptCount val="1"/>
                <c:pt idx="0">
                  <c:v>2020г.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Брой дела СГП</c:v>
                </c:pt>
                <c:pt idx="1">
                  <c:v>Проведени заседания СГП</c:v>
                </c:pt>
                <c:pt idx="2">
                  <c:v>Брой дела СРП</c:v>
                </c:pt>
                <c:pt idx="3">
                  <c:v>Брой заседания СРП</c:v>
                </c:pt>
              </c:strCache>
            </c:strRef>
          </c:cat>
          <c:val>
            <c:numRef>
              <c:f>Лист1!$C$2:$C$5</c:f>
              <c:numCache>
                <c:formatCode>General</c:formatCode>
                <c:ptCount val="4"/>
                <c:pt idx="0">
                  <c:v>985</c:v>
                </c:pt>
                <c:pt idx="1">
                  <c:v>1109</c:v>
                </c:pt>
                <c:pt idx="2">
                  <c:v>475</c:v>
                </c:pt>
                <c:pt idx="3">
                  <c:v>514</c:v>
                </c:pt>
              </c:numCache>
            </c:numRef>
          </c:val>
          <c:extLst>
            <c:ext xmlns:c16="http://schemas.microsoft.com/office/drawing/2014/chart" uri="{C3380CC4-5D6E-409C-BE32-E72D297353CC}">
              <c16:uniqueId val="{00000002-151E-4869-9801-697934EB41EC}"/>
            </c:ext>
          </c:extLst>
        </c:ser>
        <c:ser>
          <c:idx val="2"/>
          <c:order val="2"/>
          <c:tx>
            <c:strRef>
              <c:f>Лист1!$D$1</c:f>
              <c:strCache>
                <c:ptCount val="1"/>
                <c:pt idx="0">
                  <c:v>2019г.</c:v>
                </c:pt>
              </c:strCache>
            </c:strRef>
          </c:tx>
          <c:invertIfNegative val="0"/>
          <c:dLbls>
            <c:dLbl>
              <c:idx val="0"/>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1E-4869-9801-697934EB41EC}"/>
                </c:ext>
              </c:extLst>
            </c:dLbl>
            <c:dLbl>
              <c:idx val="1"/>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1E-4869-9801-697934EB41EC}"/>
                </c:ext>
              </c:extLst>
            </c:dLbl>
            <c:dLbl>
              <c:idx val="2"/>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1E-4869-9801-697934EB41EC}"/>
                </c:ext>
              </c:extLst>
            </c:dLbl>
            <c:dLbl>
              <c:idx val="3"/>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1E-4869-9801-697934EB41E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Брой дела СГП</c:v>
                </c:pt>
                <c:pt idx="1">
                  <c:v>Проведени заседания СГП</c:v>
                </c:pt>
                <c:pt idx="2">
                  <c:v>Брой дела СРП</c:v>
                </c:pt>
                <c:pt idx="3">
                  <c:v>Брой заседания СРП</c:v>
                </c:pt>
              </c:strCache>
            </c:strRef>
          </c:cat>
          <c:val>
            <c:numRef>
              <c:f>Лист1!$D$2:$D$5</c:f>
              <c:numCache>
                <c:formatCode>General</c:formatCode>
                <c:ptCount val="4"/>
                <c:pt idx="0">
                  <c:v>933</c:v>
                </c:pt>
                <c:pt idx="1">
                  <c:v>1336</c:v>
                </c:pt>
                <c:pt idx="2">
                  <c:v>556</c:v>
                </c:pt>
                <c:pt idx="3">
                  <c:v>669</c:v>
                </c:pt>
              </c:numCache>
            </c:numRef>
          </c:val>
          <c:extLst>
            <c:ext xmlns:c16="http://schemas.microsoft.com/office/drawing/2014/chart" uri="{C3380CC4-5D6E-409C-BE32-E72D297353CC}">
              <c16:uniqueId val="{00000007-151E-4869-9801-697934EB41EC}"/>
            </c:ext>
          </c:extLst>
        </c:ser>
        <c:dLbls>
          <c:showLegendKey val="0"/>
          <c:showVal val="0"/>
          <c:showCatName val="0"/>
          <c:showSerName val="0"/>
          <c:showPercent val="0"/>
          <c:showBubbleSize val="0"/>
        </c:dLbls>
        <c:gapWidth val="150"/>
        <c:axId val="1332930671"/>
        <c:axId val="1"/>
      </c:barChart>
      <c:catAx>
        <c:axId val="133293067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930671"/>
        <c:crosses val="autoZero"/>
        <c:crossBetween val="between"/>
      </c:valAx>
    </c:plotArea>
    <c:legend>
      <c:legendPos val="r"/>
      <c:layout>
        <c:manualLayout>
          <c:xMode val="edge"/>
          <c:yMode val="edge"/>
          <c:x val="0.88440112227350887"/>
          <c:y val="0.36516825052040908"/>
          <c:w val="0.10027857724680966"/>
          <c:h val="0.25000018101185634"/>
        </c:manualLayout>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a:latin typeface="Times New Roman" panose="02020603050405020304" pitchFamily="18" charset="0"/>
                <a:cs typeface="Times New Roman" panose="02020603050405020304" pitchFamily="18" charset="0"/>
              </a:defRPr>
            </a:pPr>
            <a:r>
              <a:rPr lang="bg-BG" sz="1197">
                <a:latin typeface="Times New Roman" panose="02020603050405020304" pitchFamily="18" charset="0"/>
                <a:cs typeface="Times New Roman" panose="02020603050405020304" pitchFamily="18" charset="0"/>
              </a:rPr>
              <a:t>Първоинстанционни дела</a:t>
            </a:r>
          </a:p>
        </c:rich>
      </c:tx>
      <c:overlay val="0"/>
    </c:title>
    <c:autoTitleDeleted val="0"/>
    <c:plotArea>
      <c:layout/>
      <c:barChart>
        <c:barDir val="col"/>
        <c:grouping val="clustered"/>
        <c:varyColors val="0"/>
        <c:ser>
          <c:idx val="0"/>
          <c:order val="0"/>
          <c:tx>
            <c:strRef>
              <c:f>Лист1!$B$1</c:f>
              <c:strCache>
                <c:ptCount val="1"/>
                <c:pt idx="0">
                  <c:v>2021г.</c:v>
                </c:pt>
              </c:strCache>
            </c:strRef>
          </c:tx>
          <c:invertIfNegative val="0"/>
          <c:dLbls>
            <c:dLbl>
              <c:idx val="0"/>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C0-42BB-9AA1-6B38887D0E01}"/>
                </c:ext>
              </c:extLst>
            </c:dLbl>
            <c:dLbl>
              <c:idx val="1"/>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C0-42BB-9AA1-6B38887D0E01}"/>
                </c:ext>
              </c:extLst>
            </c:dLbl>
            <c:dLbl>
              <c:idx val="2"/>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C0-42BB-9AA1-6B38887D0E01}"/>
                </c:ext>
              </c:extLst>
            </c:dLbl>
            <c:dLbl>
              <c:idx val="3"/>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C0-42BB-9AA1-6B38887D0E0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4"/>
                <c:pt idx="0">
                  <c:v>Първоинстанционни СГП</c:v>
                </c:pt>
                <c:pt idx="1">
                  <c:v>Решени първоинстанционни СГП</c:v>
                </c:pt>
                <c:pt idx="2">
                  <c:v>Първоинстанционни СРП</c:v>
                </c:pt>
                <c:pt idx="3">
                  <c:v>Решени първоинстанционни СРП</c:v>
                </c:pt>
              </c:strCache>
            </c:strRef>
          </c:cat>
          <c:val>
            <c:numRef>
              <c:f>Лист1!$B$2:$B$5</c:f>
              <c:numCache>
                <c:formatCode>General</c:formatCode>
                <c:ptCount val="4"/>
                <c:pt idx="0">
                  <c:v>842</c:v>
                </c:pt>
                <c:pt idx="1">
                  <c:v>690</c:v>
                </c:pt>
                <c:pt idx="2">
                  <c:v>358</c:v>
                </c:pt>
                <c:pt idx="3">
                  <c:v>284</c:v>
                </c:pt>
              </c:numCache>
            </c:numRef>
          </c:val>
          <c:extLst>
            <c:ext xmlns:c16="http://schemas.microsoft.com/office/drawing/2014/chart" uri="{C3380CC4-5D6E-409C-BE32-E72D297353CC}">
              <c16:uniqueId val="{00000004-9CC0-42BB-9AA1-6B38887D0E01}"/>
            </c:ext>
          </c:extLst>
        </c:ser>
        <c:ser>
          <c:idx val="1"/>
          <c:order val="1"/>
          <c:tx>
            <c:strRef>
              <c:f>Лист1!$C$1</c:f>
              <c:strCache>
                <c:ptCount val="1"/>
                <c:pt idx="0">
                  <c:v>  2020г.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Първоинстанционни СГП</c:v>
                </c:pt>
                <c:pt idx="1">
                  <c:v>Решени първоинстанционни СГП</c:v>
                </c:pt>
                <c:pt idx="2">
                  <c:v>Първоинстанционни СРП</c:v>
                </c:pt>
                <c:pt idx="3">
                  <c:v>Решени първоинстанционни СРП</c:v>
                </c:pt>
              </c:strCache>
            </c:strRef>
          </c:cat>
          <c:val>
            <c:numRef>
              <c:f>Лист1!$C$2:$C$5</c:f>
              <c:numCache>
                <c:formatCode>General</c:formatCode>
                <c:ptCount val="4"/>
                <c:pt idx="0">
                  <c:v>501</c:v>
                </c:pt>
                <c:pt idx="1">
                  <c:v>436</c:v>
                </c:pt>
                <c:pt idx="2">
                  <c:v>388</c:v>
                </c:pt>
                <c:pt idx="3">
                  <c:v>310</c:v>
                </c:pt>
              </c:numCache>
            </c:numRef>
          </c:val>
          <c:extLst>
            <c:ext xmlns:c16="http://schemas.microsoft.com/office/drawing/2014/chart" uri="{C3380CC4-5D6E-409C-BE32-E72D297353CC}">
              <c16:uniqueId val="{00000005-9CC0-42BB-9AA1-6B38887D0E01}"/>
            </c:ext>
          </c:extLst>
        </c:ser>
        <c:ser>
          <c:idx val="2"/>
          <c:order val="2"/>
          <c:tx>
            <c:strRef>
              <c:f>Лист1!$D$1</c:f>
              <c:strCache>
                <c:ptCount val="1"/>
                <c:pt idx="0">
                  <c:v>2019г.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Първоинстанционни СГП</c:v>
                </c:pt>
                <c:pt idx="1">
                  <c:v>Решени първоинстанционни СГП</c:v>
                </c:pt>
                <c:pt idx="2">
                  <c:v>Първоинстанционни СРП</c:v>
                </c:pt>
                <c:pt idx="3">
                  <c:v>Решени първоинстанционни СРП</c:v>
                </c:pt>
              </c:strCache>
            </c:strRef>
          </c:cat>
          <c:val>
            <c:numRef>
              <c:f>Лист1!$D$2:$D$5</c:f>
              <c:numCache>
                <c:formatCode>General</c:formatCode>
                <c:ptCount val="4"/>
                <c:pt idx="0">
                  <c:v>521</c:v>
                </c:pt>
                <c:pt idx="1">
                  <c:v>393</c:v>
                </c:pt>
                <c:pt idx="2">
                  <c:v>478</c:v>
                </c:pt>
                <c:pt idx="3">
                  <c:v>326</c:v>
                </c:pt>
              </c:numCache>
            </c:numRef>
          </c:val>
          <c:extLst>
            <c:ext xmlns:c16="http://schemas.microsoft.com/office/drawing/2014/chart" uri="{C3380CC4-5D6E-409C-BE32-E72D297353CC}">
              <c16:uniqueId val="{00000006-9CC0-42BB-9AA1-6B38887D0E01}"/>
            </c:ext>
          </c:extLst>
        </c:ser>
        <c:dLbls>
          <c:showLegendKey val="0"/>
          <c:showVal val="0"/>
          <c:showCatName val="0"/>
          <c:showSerName val="0"/>
          <c:showPercent val="0"/>
          <c:showBubbleSize val="0"/>
        </c:dLbls>
        <c:gapWidth val="75"/>
        <c:overlap val="-25"/>
        <c:axId val="1243056175"/>
        <c:axId val="1"/>
      </c:barChart>
      <c:catAx>
        <c:axId val="1243056175"/>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spPr>
          <a:ln w="9503">
            <a:noFill/>
          </a:ln>
        </c:spPr>
        <c:crossAx val="1243056175"/>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Предявени искове от СГП</c:v>
                </c:pt>
              </c:strCache>
            </c:strRef>
          </c:cat>
          <c:val>
            <c:numRef>
              <c:f>Лист1!$B$2</c:f>
              <c:numCache>
                <c:formatCode>General</c:formatCode>
                <c:ptCount val="1"/>
                <c:pt idx="0">
                  <c:v>576</c:v>
                </c:pt>
              </c:numCache>
            </c:numRef>
          </c:val>
          <c:extLst>
            <c:ext xmlns:c16="http://schemas.microsoft.com/office/drawing/2014/chart" uri="{C3380CC4-5D6E-409C-BE32-E72D297353CC}">
              <c16:uniqueId val="{00000000-5F66-493A-9F53-2135D8A6E1D3}"/>
            </c:ext>
          </c:extLst>
        </c:ser>
        <c:ser>
          <c:idx val="1"/>
          <c:order val="1"/>
          <c:tx>
            <c:strRef>
              <c:f>Лист1!$C$1</c:f>
              <c:strCache>
                <c:ptCount val="1"/>
                <c:pt idx="0">
                  <c:v>2020г.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Предявени искове от СГП</c:v>
                </c:pt>
              </c:strCache>
            </c:strRef>
          </c:cat>
          <c:val>
            <c:numRef>
              <c:f>Лист1!$C$2</c:f>
              <c:numCache>
                <c:formatCode>General</c:formatCode>
                <c:ptCount val="1"/>
                <c:pt idx="0">
                  <c:v>198</c:v>
                </c:pt>
              </c:numCache>
            </c:numRef>
          </c:val>
          <c:extLst>
            <c:ext xmlns:c16="http://schemas.microsoft.com/office/drawing/2014/chart" uri="{C3380CC4-5D6E-409C-BE32-E72D297353CC}">
              <c16:uniqueId val="{00000001-5F66-493A-9F53-2135D8A6E1D3}"/>
            </c:ext>
          </c:extLst>
        </c:ser>
        <c:ser>
          <c:idx val="2"/>
          <c:order val="2"/>
          <c:tx>
            <c:strRef>
              <c:f>Лист1!$D$1</c:f>
              <c:strCache>
                <c:ptCount val="1"/>
                <c:pt idx="0">
                  <c:v>2019г.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Предявени искове от СГП</c:v>
                </c:pt>
              </c:strCache>
            </c:strRef>
          </c:cat>
          <c:val>
            <c:numRef>
              <c:f>Лист1!$D$2</c:f>
              <c:numCache>
                <c:formatCode>General</c:formatCode>
                <c:ptCount val="1"/>
                <c:pt idx="0">
                  <c:v>174</c:v>
                </c:pt>
              </c:numCache>
            </c:numRef>
          </c:val>
          <c:extLst>
            <c:ext xmlns:c16="http://schemas.microsoft.com/office/drawing/2014/chart" uri="{C3380CC4-5D6E-409C-BE32-E72D297353CC}">
              <c16:uniqueId val="{00000002-5F66-493A-9F53-2135D8A6E1D3}"/>
            </c:ext>
          </c:extLst>
        </c:ser>
        <c:dLbls>
          <c:showLegendKey val="0"/>
          <c:showVal val="0"/>
          <c:showCatName val="0"/>
          <c:showSerName val="0"/>
          <c:showPercent val="0"/>
          <c:showBubbleSize val="0"/>
        </c:dLbls>
        <c:gapWidth val="150"/>
        <c:axId val="1334953167"/>
        <c:axId val="1"/>
      </c:barChart>
      <c:catAx>
        <c:axId val="133495316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4953167"/>
        <c:crosses val="autoZero"/>
        <c:crossBetween val="between"/>
      </c:valAx>
    </c:plotArea>
    <c:legend>
      <c:legendPos val="r"/>
      <c:layout>
        <c:manualLayout>
          <c:xMode val="edge"/>
          <c:yMode val="edge"/>
          <c:x val="0.88783788738503078"/>
          <c:y val="0.33566404199475064"/>
          <c:w val="9.7297437479599513E-2"/>
          <c:h val="0.31118869715753616"/>
        </c:manualLayou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198">
              <a:latin typeface="Times New Roman" panose="02020603050405020304" pitchFamily="18" charset="0"/>
              <a:cs typeface="Times New Roman" panose="02020603050405020304" pitchFamily="18" charset="0"/>
            </a:defRPr>
          </a:pPr>
          <a:endParaRPr lang="bg-BG"/>
        </a:p>
      </c:txPr>
    </c:title>
    <c:autoTitleDeleted val="0"/>
    <c:plotArea>
      <c:layout/>
      <c:barChart>
        <c:barDir val="col"/>
        <c:grouping val="clustered"/>
        <c:varyColors val="0"/>
        <c:ser>
          <c:idx val="0"/>
          <c:order val="0"/>
          <c:tx>
            <c:strRef>
              <c:f>Лист1!$B$1</c:f>
              <c:strCache>
                <c:ptCount val="1"/>
                <c:pt idx="0">
                  <c:v>Процент на уважените искове, предявени от СГП</c:v>
                </c:pt>
              </c:strCache>
            </c:strRef>
          </c:tx>
          <c:invertIfNegative val="0"/>
          <c:dLbls>
            <c:dLbl>
              <c:idx val="2"/>
              <c:tx>
                <c:rich>
                  <a:bodyPr/>
                  <a:lstStyle/>
                  <a:p>
                    <a:pPr>
                      <a:defRPr/>
                    </a:pPr>
                    <a:r>
                      <a:rPr lang="en-US"/>
                      <a:t>38,89</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40-40D1-B6F4-A1327E2A48C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34.200000000000003</c:v>
                </c:pt>
                <c:pt idx="1">
                  <c:v>45</c:v>
                </c:pt>
                <c:pt idx="2">
                  <c:v>38.89</c:v>
                </c:pt>
              </c:numCache>
            </c:numRef>
          </c:val>
          <c:extLst>
            <c:ext xmlns:c16="http://schemas.microsoft.com/office/drawing/2014/chart" uri="{C3380CC4-5D6E-409C-BE32-E72D297353CC}">
              <c16:uniqueId val="{00000001-2740-40D1-B6F4-A1327E2A48C6}"/>
            </c:ext>
          </c:extLst>
        </c:ser>
        <c:dLbls>
          <c:showLegendKey val="0"/>
          <c:showVal val="0"/>
          <c:showCatName val="0"/>
          <c:showSerName val="0"/>
          <c:showPercent val="0"/>
          <c:showBubbleSize val="0"/>
        </c:dLbls>
        <c:gapWidth val="150"/>
        <c:axId val="1243054095"/>
        <c:axId val="1"/>
      </c:barChart>
      <c:catAx>
        <c:axId val="1243054095"/>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243054095"/>
        <c:crosses val="autoZero"/>
        <c:crossBetween val="between"/>
      </c:valAx>
    </c:plotArea>
    <c:legend>
      <c:legendPos val="r"/>
      <c:layout>
        <c:manualLayout>
          <c:xMode val="edge"/>
          <c:yMode val="edge"/>
          <c:x val="0.68482492499340486"/>
          <c:y val="0.48484876659790216"/>
          <c:w val="0.3127635962029448"/>
          <c:h val="0.1325968755750549"/>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6450860309127E-2"/>
          <c:y val="2.492859348463795E-2"/>
          <c:w val="0.83275390055409737"/>
          <c:h val="0.83940192218619736"/>
        </c:manualLayout>
      </c:layout>
      <c:barChart>
        <c:barDir val="col"/>
        <c:grouping val="clustered"/>
        <c:varyColors val="0"/>
        <c:ser>
          <c:idx val="0"/>
          <c:order val="0"/>
          <c:tx>
            <c:strRef>
              <c:f>Лист1!$B$1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Уведомления до КПКОНПИ от СГП</c:v>
                </c:pt>
                <c:pt idx="1">
                  <c:v>Уведомления до КПКОНПИ от СРП</c:v>
                </c:pt>
              </c:strCache>
            </c:strRef>
          </c:cat>
          <c:val>
            <c:numRef>
              <c:f>Лист1!$B$2:$B$3</c:f>
              <c:numCache>
                <c:formatCode>General</c:formatCode>
                <c:ptCount val="2"/>
                <c:pt idx="0">
                  <c:v>134</c:v>
                </c:pt>
                <c:pt idx="1">
                  <c:v>844</c:v>
                </c:pt>
              </c:numCache>
            </c:numRef>
          </c:val>
          <c:extLst>
            <c:ext xmlns:c16="http://schemas.microsoft.com/office/drawing/2014/chart" uri="{C3380CC4-5D6E-409C-BE32-E72D297353CC}">
              <c16:uniqueId val="{00000000-0F17-4A4D-BAE3-E3C7ED1786FE}"/>
            </c:ext>
          </c:extLst>
        </c:ser>
        <c:ser>
          <c:idx val="1"/>
          <c:order val="1"/>
          <c:tx>
            <c:strRef>
              <c:f>Лист1!$C$1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Уведомления до КПКОНПИ от СГП</c:v>
                </c:pt>
                <c:pt idx="1">
                  <c:v>Уведомления до КПКОНПИ от СРП</c:v>
                </c:pt>
              </c:strCache>
            </c:strRef>
          </c:cat>
          <c:val>
            <c:numRef>
              <c:f>Лист1!$C$2:$C$3</c:f>
              <c:numCache>
                <c:formatCode>General</c:formatCode>
                <c:ptCount val="2"/>
                <c:pt idx="0">
                  <c:v>89</c:v>
                </c:pt>
                <c:pt idx="1">
                  <c:v>71</c:v>
                </c:pt>
              </c:numCache>
            </c:numRef>
          </c:val>
          <c:extLst>
            <c:ext xmlns:c16="http://schemas.microsoft.com/office/drawing/2014/chart" uri="{C3380CC4-5D6E-409C-BE32-E72D297353CC}">
              <c16:uniqueId val="{00000001-0F17-4A4D-BAE3-E3C7ED1786FE}"/>
            </c:ext>
          </c:extLst>
        </c:ser>
        <c:ser>
          <c:idx val="2"/>
          <c:order val="2"/>
          <c:tx>
            <c:strRef>
              <c:f>Лист1!$D$1</c:f>
              <c:strCache>
                <c:ptCount val="1"/>
                <c:pt idx="0">
                  <c:v>2019</c:v>
                </c:pt>
              </c:strCache>
            </c:strRef>
          </c:tx>
          <c:invertIfNegative val="0"/>
          <c:dLbls>
            <c:dLbl>
              <c:idx val="0"/>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17-4A4D-BAE3-E3C7ED1786FE}"/>
                </c:ext>
              </c:extLst>
            </c:dLbl>
            <c:dLbl>
              <c:idx val="1"/>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17-4A4D-BAE3-E3C7ED1786F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Уведомления до КПКОНПИ от СГП</c:v>
                </c:pt>
                <c:pt idx="1">
                  <c:v>Уведомления до КПКОНПИ от СРП</c:v>
                </c:pt>
              </c:strCache>
            </c:strRef>
          </c:cat>
          <c:val>
            <c:numRef>
              <c:f>Лист1!$D$2:$D$3</c:f>
              <c:numCache>
                <c:formatCode>General</c:formatCode>
                <c:ptCount val="2"/>
                <c:pt idx="0">
                  <c:v>168</c:v>
                </c:pt>
                <c:pt idx="1">
                  <c:v>51</c:v>
                </c:pt>
              </c:numCache>
            </c:numRef>
          </c:val>
          <c:extLst>
            <c:ext xmlns:c16="http://schemas.microsoft.com/office/drawing/2014/chart" uri="{C3380CC4-5D6E-409C-BE32-E72D297353CC}">
              <c16:uniqueId val="{00000004-0F17-4A4D-BAE3-E3C7ED1786FE}"/>
            </c:ext>
          </c:extLst>
        </c:ser>
        <c:dLbls>
          <c:showLegendKey val="0"/>
          <c:showVal val="0"/>
          <c:showCatName val="0"/>
          <c:showSerName val="0"/>
          <c:showPercent val="0"/>
          <c:showBubbleSize val="0"/>
        </c:dLbls>
        <c:gapWidth val="150"/>
        <c:axId val="1332924847"/>
        <c:axId val="1"/>
      </c:barChart>
      <c:catAx>
        <c:axId val="133292484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924847"/>
        <c:crosses val="autoZero"/>
        <c:crossBetween val="between"/>
      </c:valAx>
      <c:spPr>
        <a:noFill/>
        <a:ln w="25361">
          <a:noFill/>
        </a:ln>
      </c:spPr>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Постановени решения на 1ва инст. СГП</c:v>
                </c:pt>
                <c:pt idx="1">
                  <c:v>От тях осъдителни за СГП</c:v>
                </c:pt>
                <c:pt idx="2">
                  <c:v>Постановени решения на 1ва инст. СРП</c:v>
                </c:pt>
                <c:pt idx="3">
                  <c:v>От тях осъдителни за СРП</c:v>
                </c:pt>
              </c:strCache>
            </c:strRef>
          </c:cat>
          <c:val>
            <c:numRef>
              <c:f>Лист1!$B$2:$B$5</c:f>
              <c:numCache>
                <c:formatCode>General</c:formatCode>
                <c:ptCount val="4"/>
                <c:pt idx="0">
                  <c:v>152</c:v>
                </c:pt>
                <c:pt idx="1">
                  <c:v>124</c:v>
                </c:pt>
                <c:pt idx="2">
                  <c:v>77</c:v>
                </c:pt>
                <c:pt idx="3">
                  <c:v>77</c:v>
                </c:pt>
              </c:numCache>
            </c:numRef>
          </c:val>
          <c:extLst>
            <c:ext xmlns:c16="http://schemas.microsoft.com/office/drawing/2014/chart" uri="{C3380CC4-5D6E-409C-BE32-E72D297353CC}">
              <c16:uniqueId val="{00000000-B97E-43CA-94CF-1C057E4DE3DD}"/>
            </c:ext>
          </c:extLst>
        </c:ser>
        <c:ser>
          <c:idx val="1"/>
          <c:order val="1"/>
          <c:tx>
            <c:strRef>
              <c:f>Лист1!$C$1</c:f>
              <c:strCache>
                <c:ptCount val="1"/>
                <c:pt idx="0">
                  <c:v>2020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Постановени решения на 1ва инст. СГП</c:v>
                </c:pt>
                <c:pt idx="1">
                  <c:v>От тях осъдителни за СГП</c:v>
                </c:pt>
                <c:pt idx="2">
                  <c:v>Постановени решения на 1ва инст. СРП</c:v>
                </c:pt>
                <c:pt idx="3">
                  <c:v>От тях осъдителни за СРП</c:v>
                </c:pt>
              </c:strCache>
            </c:strRef>
          </c:cat>
          <c:val>
            <c:numRef>
              <c:f>Лист1!$C$2:$C$5</c:f>
              <c:numCache>
                <c:formatCode>General</c:formatCode>
                <c:ptCount val="4"/>
                <c:pt idx="0">
                  <c:v>101</c:v>
                </c:pt>
                <c:pt idx="1">
                  <c:v>92</c:v>
                </c:pt>
                <c:pt idx="2">
                  <c:v>85</c:v>
                </c:pt>
                <c:pt idx="3">
                  <c:v>85</c:v>
                </c:pt>
              </c:numCache>
            </c:numRef>
          </c:val>
          <c:extLst>
            <c:ext xmlns:c16="http://schemas.microsoft.com/office/drawing/2014/chart" uri="{C3380CC4-5D6E-409C-BE32-E72D297353CC}">
              <c16:uniqueId val="{00000001-B97E-43CA-94CF-1C057E4DE3DD}"/>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Постановени решения на 1ва инст. СГП</c:v>
                </c:pt>
                <c:pt idx="1">
                  <c:v>От тях осъдителни за СГП</c:v>
                </c:pt>
                <c:pt idx="2">
                  <c:v>Постановени решения на 1ва инст. СРП</c:v>
                </c:pt>
                <c:pt idx="3">
                  <c:v>От тях осъдителни за СРП</c:v>
                </c:pt>
              </c:strCache>
            </c:strRef>
          </c:cat>
          <c:val>
            <c:numRef>
              <c:f>Лист1!$D$2:$D$5</c:f>
              <c:numCache>
                <c:formatCode>General</c:formatCode>
                <c:ptCount val="4"/>
                <c:pt idx="0">
                  <c:v>120</c:v>
                </c:pt>
                <c:pt idx="1">
                  <c:v>117</c:v>
                </c:pt>
                <c:pt idx="2">
                  <c:v>80</c:v>
                </c:pt>
                <c:pt idx="3">
                  <c:v>76</c:v>
                </c:pt>
              </c:numCache>
            </c:numRef>
          </c:val>
          <c:extLst>
            <c:ext xmlns:c16="http://schemas.microsoft.com/office/drawing/2014/chart" uri="{C3380CC4-5D6E-409C-BE32-E72D297353CC}">
              <c16:uniqueId val="{00000002-B97E-43CA-94CF-1C057E4DE3DD}"/>
            </c:ext>
          </c:extLst>
        </c:ser>
        <c:dLbls>
          <c:showLegendKey val="0"/>
          <c:showVal val="0"/>
          <c:showCatName val="0"/>
          <c:showSerName val="0"/>
          <c:showPercent val="0"/>
          <c:showBubbleSize val="0"/>
        </c:dLbls>
        <c:gapWidth val="150"/>
        <c:axId val="150845952"/>
        <c:axId val="246205824"/>
      </c:barChart>
      <c:catAx>
        <c:axId val="150845952"/>
        <c:scaling>
          <c:orientation val="minMax"/>
        </c:scaling>
        <c:delete val="0"/>
        <c:axPos val="b"/>
        <c:numFmt formatCode="General" sourceLinked="1"/>
        <c:majorTickMark val="out"/>
        <c:minorTickMark val="none"/>
        <c:tickLblPos val="nextTo"/>
        <c:crossAx val="246205824"/>
        <c:crosses val="autoZero"/>
        <c:auto val="1"/>
        <c:lblAlgn val="ctr"/>
        <c:lblOffset val="100"/>
        <c:noMultiLvlLbl val="0"/>
      </c:catAx>
      <c:valAx>
        <c:axId val="246205824"/>
        <c:scaling>
          <c:orientation val="minMax"/>
        </c:scaling>
        <c:delete val="0"/>
        <c:axPos val="l"/>
        <c:majorGridlines/>
        <c:numFmt formatCode="General" sourceLinked="1"/>
        <c:majorTickMark val="out"/>
        <c:minorTickMark val="none"/>
        <c:tickLblPos val="nextTo"/>
        <c:crossAx val="150845952"/>
        <c:crosses val="autoZero"/>
        <c:crossBetween val="between"/>
      </c:valAx>
    </c:plotArea>
    <c:legend>
      <c:legendPos val="r"/>
      <c:layout>
        <c:manualLayout>
          <c:xMode val="edge"/>
          <c:yMode val="edge"/>
          <c:x val="0.8729281767955801"/>
          <c:y val="0.35943060498220641"/>
          <c:w val="0.11049723756906077"/>
          <c:h val="0.24911032028469751"/>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Постановени решения от въззивна инстанция</c:v>
                </c:pt>
                <c:pt idx="1">
                  <c:v>От тях осъдителни решения срещу ПРБ</c:v>
                </c:pt>
              </c:strCache>
            </c:strRef>
          </c:cat>
          <c:val>
            <c:numRef>
              <c:f>Лист1!$B$2:$B$3</c:f>
              <c:numCache>
                <c:formatCode>General</c:formatCode>
                <c:ptCount val="2"/>
                <c:pt idx="0">
                  <c:v>40</c:v>
                </c:pt>
                <c:pt idx="1">
                  <c:v>27</c:v>
                </c:pt>
              </c:numCache>
            </c:numRef>
          </c:val>
          <c:extLst>
            <c:ext xmlns:c16="http://schemas.microsoft.com/office/drawing/2014/chart" uri="{C3380CC4-5D6E-409C-BE32-E72D297353CC}">
              <c16:uniqueId val="{00000000-82BE-49FF-AB28-0DB0D20E82F5}"/>
            </c:ext>
          </c:extLst>
        </c:ser>
        <c:ser>
          <c:idx val="1"/>
          <c:order val="1"/>
          <c:tx>
            <c:strRef>
              <c:f>Лист1!$C$1</c:f>
              <c:strCache>
                <c:ptCount val="1"/>
                <c:pt idx="0">
                  <c:v>2020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Постановени решения от въззивна инстанция</c:v>
                </c:pt>
                <c:pt idx="1">
                  <c:v>От тях осъдителни решения срещу ПРБ</c:v>
                </c:pt>
              </c:strCache>
            </c:strRef>
          </c:cat>
          <c:val>
            <c:numRef>
              <c:f>Лист1!$C$2:$C$3</c:f>
              <c:numCache>
                <c:formatCode>General</c:formatCode>
                <c:ptCount val="2"/>
                <c:pt idx="0">
                  <c:v>40</c:v>
                </c:pt>
                <c:pt idx="1">
                  <c:v>16</c:v>
                </c:pt>
              </c:numCache>
            </c:numRef>
          </c:val>
          <c:extLst>
            <c:ext xmlns:c16="http://schemas.microsoft.com/office/drawing/2014/chart" uri="{C3380CC4-5D6E-409C-BE32-E72D297353CC}">
              <c16:uniqueId val="{00000001-82BE-49FF-AB28-0DB0D20E82F5}"/>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Постановени решения от въззивна инстанция</c:v>
                </c:pt>
                <c:pt idx="1">
                  <c:v>От тях осъдителни решения срещу ПРБ</c:v>
                </c:pt>
              </c:strCache>
            </c:strRef>
          </c:cat>
          <c:val>
            <c:numRef>
              <c:f>Лист1!$D$2:$D$3</c:f>
              <c:numCache>
                <c:formatCode>General</c:formatCode>
                <c:ptCount val="2"/>
                <c:pt idx="0">
                  <c:v>29</c:v>
                </c:pt>
                <c:pt idx="1">
                  <c:v>13</c:v>
                </c:pt>
              </c:numCache>
            </c:numRef>
          </c:val>
          <c:extLst>
            <c:ext xmlns:c16="http://schemas.microsoft.com/office/drawing/2014/chart" uri="{C3380CC4-5D6E-409C-BE32-E72D297353CC}">
              <c16:uniqueId val="{00000002-82BE-49FF-AB28-0DB0D20E82F5}"/>
            </c:ext>
          </c:extLst>
        </c:ser>
        <c:dLbls>
          <c:showLegendKey val="0"/>
          <c:showVal val="0"/>
          <c:showCatName val="0"/>
          <c:showSerName val="0"/>
          <c:showPercent val="0"/>
          <c:showBubbleSize val="0"/>
        </c:dLbls>
        <c:gapWidth val="150"/>
        <c:axId val="150856704"/>
        <c:axId val="246207552"/>
      </c:barChart>
      <c:catAx>
        <c:axId val="150856704"/>
        <c:scaling>
          <c:orientation val="minMax"/>
        </c:scaling>
        <c:delete val="0"/>
        <c:axPos val="b"/>
        <c:numFmt formatCode="General" sourceLinked="1"/>
        <c:majorTickMark val="out"/>
        <c:minorTickMark val="none"/>
        <c:tickLblPos val="nextTo"/>
        <c:crossAx val="246207552"/>
        <c:crosses val="autoZero"/>
        <c:auto val="1"/>
        <c:lblAlgn val="ctr"/>
        <c:lblOffset val="100"/>
        <c:noMultiLvlLbl val="0"/>
      </c:catAx>
      <c:valAx>
        <c:axId val="246207552"/>
        <c:scaling>
          <c:orientation val="minMax"/>
        </c:scaling>
        <c:delete val="0"/>
        <c:axPos val="l"/>
        <c:majorGridlines/>
        <c:numFmt formatCode="General" sourceLinked="1"/>
        <c:majorTickMark val="out"/>
        <c:minorTickMark val="none"/>
        <c:tickLblPos val="nextTo"/>
        <c:crossAx val="150856704"/>
        <c:crosses val="autoZero"/>
        <c:crossBetween val="between"/>
      </c:valAx>
    </c:plotArea>
    <c:legend>
      <c:legendPos val="r"/>
      <c:layout>
        <c:manualLayout>
          <c:xMode val="edge"/>
          <c:yMode val="edge"/>
          <c:x val="0.87316176470588236"/>
          <c:y val="0.28877005347593582"/>
          <c:w val="0.11029411764705882"/>
          <c:h val="0.3850267379679144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a:pPr>
            <a:r>
              <a:rPr lang="bg-BG" sz="1196">
                <a:latin typeface="Times New Roman" panose="02020603050405020304" pitchFamily="18" charset="0"/>
                <a:cs typeface="Times New Roman" panose="02020603050405020304" pitchFamily="18" charset="0"/>
              </a:rPr>
              <a:t>Структура на осъдени и санкционирани лица с влязъл в сила съдебен акт</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Структура на осъдени и санкционирани лица с влязъл в сила съдебен акт</c:v>
                </c:pt>
              </c:strCache>
            </c:strRef>
          </c:tx>
          <c:explosion val="25"/>
          <c:dPt>
            <c:idx val="0"/>
            <c:bubble3D val="0"/>
            <c:extLst>
              <c:ext xmlns:c16="http://schemas.microsoft.com/office/drawing/2014/chart" uri="{C3380CC4-5D6E-409C-BE32-E72D297353CC}">
                <c16:uniqueId val="{00000000-EEA6-4C63-83E0-19F202FF296F}"/>
              </c:ext>
            </c:extLst>
          </c:dPt>
          <c:dPt>
            <c:idx val="1"/>
            <c:bubble3D val="0"/>
            <c:extLst>
              <c:ext xmlns:c16="http://schemas.microsoft.com/office/drawing/2014/chart" uri="{C3380CC4-5D6E-409C-BE32-E72D297353CC}">
                <c16:uniqueId val="{00000001-EEA6-4C63-83E0-19F202FF296F}"/>
              </c:ext>
            </c:extLst>
          </c:dPt>
          <c:dPt>
            <c:idx val="2"/>
            <c:bubble3D val="0"/>
            <c:extLst>
              <c:ext xmlns:c16="http://schemas.microsoft.com/office/drawing/2014/chart" uri="{C3380CC4-5D6E-409C-BE32-E72D297353CC}">
                <c16:uniqueId val="{00000002-EEA6-4C63-83E0-19F202FF296F}"/>
              </c:ext>
            </c:extLst>
          </c:dPt>
          <c:dPt>
            <c:idx val="3"/>
            <c:bubble3D val="0"/>
            <c:extLst>
              <c:ext xmlns:c16="http://schemas.microsoft.com/office/drawing/2014/chart" uri="{C3380CC4-5D6E-409C-BE32-E72D297353CC}">
                <c16:uniqueId val="{00000003-EEA6-4C63-83E0-19F202FF296F}"/>
              </c:ext>
            </c:extLst>
          </c:dPt>
          <c:dPt>
            <c:idx val="4"/>
            <c:bubble3D val="0"/>
            <c:extLst>
              <c:ext xmlns:c16="http://schemas.microsoft.com/office/drawing/2014/chart" uri="{C3380CC4-5D6E-409C-BE32-E72D297353CC}">
                <c16:uniqueId val="{00000004-EEA6-4C63-83E0-19F202FF296F}"/>
              </c:ext>
            </c:extLst>
          </c:dPt>
          <c:dPt>
            <c:idx val="5"/>
            <c:bubble3D val="0"/>
            <c:extLst>
              <c:ext xmlns:c16="http://schemas.microsoft.com/office/drawing/2014/chart" uri="{C3380CC4-5D6E-409C-BE32-E72D297353CC}">
                <c16:uniqueId val="{00000005-EEA6-4C63-83E0-19F202FF296F}"/>
              </c:ext>
            </c:extLst>
          </c:dPt>
          <c:dPt>
            <c:idx val="6"/>
            <c:bubble3D val="0"/>
            <c:extLst>
              <c:ext xmlns:c16="http://schemas.microsoft.com/office/drawing/2014/chart" uri="{C3380CC4-5D6E-409C-BE32-E72D297353CC}">
                <c16:uniqueId val="{00000006-EEA6-4C63-83E0-19F202FF296F}"/>
              </c:ext>
            </c:extLst>
          </c:dPt>
          <c:dPt>
            <c:idx val="7"/>
            <c:bubble3D val="0"/>
            <c:extLst>
              <c:ext xmlns:c16="http://schemas.microsoft.com/office/drawing/2014/chart" uri="{C3380CC4-5D6E-409C-BE32-E72D297353CC}">
                <c16:uniqueId val="{00000007-EEA6-4C63-83E0-19F202FF296F}"/>
              </c:ext>
            </c:extLst>
          </c:dPt>
          <c:dPt>
            <c:idx val="8"/>
            <c:bubble3D val="0"/>
            <c:extLst>
              <c:ext xmlns:c16="http://schemas.microsoft.com/office/drawing/2014/chart" uri="{C3380CC4-5D6E-409C-BE32-E72D297353CC}">
                <c16:uniqueId val="{00000008-EEA6-4C63-83E0-19F202FF296F}"/>
              </c:ext>
            </c:extLst>
          </c:dPt>
          <c:dPt>
            <c:idx val="9"/>
            <c:bubble3D val="0"/>
            <c:extLst>
              <c:ext xmlns:c16="http://schemas.microsoft.com/office/drawing/2014/chart" uri="{C3380CC4-5D6E-409C-BE32-E72D297353CC}">
                <c16:uniqueId val="{00000009-EEA6-4C63-83E0-19F202FF296F}"/>
              </c:ext>
            </c:extLst>
          </c:dPt>
          <c:dPt>
            <c:idx val="10"/>
            <c:bubble3D val="0"/>
            <c:extLst>
              <c:ext xmlns:c16="http://schemas.microsoft.com/office/drawing/2014/chart" uri="{C3380CC4-5D6E-409C-BE32-E72D297353CC}">
                <c16:uniqueId val="{0000000A-EEA6-4C63-83E0-19F202FF296F}"/>
              </c:ext>
            </c:extLst>
          </c:dPt>
          <c:dLbls>
            <c:spPr>
              <a:noFill/>
              <a:ln w="25387">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Глава ІІ</c:v>
                </c:pt>
                <c:pt idx="1">
                  <c:v>Глава ІІІ</c:v>
                </c:pt>
                <c:pt idx="2">
                  <c:v>Глава ІV</c:v>
                </c:pt>
                <c:pt idx="3">
                  <c:v>Глава V</c:v>
                </c:pt>
                <c:pt idx="4">
                  <c:v>Глава VІ</c:v>
                </c:pt>
                <c:pt idx="5">
                  <c:v>Глава VІІ</c:v>
                </c:pt>
                <c:pt idx="6">
                  <c:v>Глава VІІІ</c:v>
                </c:pt>
                <c:pt idx="7">
                  <c:v>Глава IX</c:v>
                </c:pt>
                <c:pt idx="9">
                  <c:v>Глава Х</c:v>
                </c:pt>
                <c:pt idx="10">
                  <c:v>Глава ХІ</c:v>
                </c:pt>
              </c:strCache>
            </c:strRef>
          </c:cat>
          <c:val>
            <c:numRef>
              <c:f>Лист1!$B$2:$B$12</c:f>
              <c:numCache>
                <c:formatCode>General</c:formatCode>
                <c:ptCount val="11"/>
                <c:pt idx="0">
                  <c:v>261</c:v>
                </c:pt>
                <c:pt idx="1">
                  <c:v>17</c:v>
                </c:pt>
                <c:pt idx="2">
                  <c:v>57</c:v>
                </c:pt>
                <c:pt idx="3">
                  <c:v>779</c:v>
                </c:pt>
                <c:pt idx="4">
                  <c:v>82</c:v>
                </c:pt>
                <c:pt idx="5">
                  <c:v>17</c:v>
                </c:pt>
                <c:pt idx="6">
                  <c:v>49</c:v>
                </c:pt>
                <c:pt idx="7">
                  <c:v>99</c:v>
                </c:pt>
                <c:pt idx="9">
                  <c:v>85</c:v>
                </c:pt>
                <c:pt idx="10">
                  <c:v>1243</c:v>
                </c:pt>
              </c:numCache>
            </c:numRef>
          </c:val>
          <c:extLst>
            <c:ext xmlns:c16="http://schemas.microsoft.com/office/drawing/2014/chart" uri="{C3380CC4-5D6E-409C-BE32-E72D297353CC}">
              <c16:uniqueId val="{0000000B-EEA6-4C63-83E0-19F202FF296F}"/>
            </c:ext>
          </c:extLst>
        </c:ser>
        <c:dLbls>
          <c:showLegendKey val="0"/>
          <c:showVal val="0"/>
          <c:showCatName val="0"/>
          <c:showSerName val="0"/>
          <c:showPercent val="0"/>
          <c:showBubbleSize val="0"/>
          <c:showLeaderLines val="1"/>
        </c:dLbls>
      </c:pie3DChart>
      <c:spPr>
        <a:noFill/>
        <a:ln w="25387">
          <a:noFill/>
        </a:ln>
      </c:spPr>
    </c:plotArea>
    <c:legend>
      <c:legendPos val="r"/>
      <c:legendEntry>
        <c:idx val="8"/>
        <c:delete val="1"/>
      </c:legendEntry>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20588206895886"/>
          <c:y val="0.11630349064685717"/>
          <c:w val="0.67509470711245856"/>
          <c:h val="0.7148071528371982"/>
        </c:manualLayout>
      </c:layout>
      <c:barChart>
        <c:barDir val="col"/>
        <c:grouping val="clustered"/>
        <c:varyColors val="0"/>
        <c:ser>
          <c:idx val="0"/>
          <c:order val="0"/>
          <c:tx>
            <c:strRef>
              <c:f>Лист1!$B$1</c:f>
              <c:strCache>
                <c:ptCount val="1"/>
                <c:pt idx="0">
                  <c:v>2021г.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СГП</c:v>
                </c:pt>
                <c:pt idx="1">
                  <c:v> СРП</c:v>
                </c:pt>
              </c:strCache>
            </c:strRef>
          </c:cat>
          <c:val>
            <c:numRef>
              <c:f>Лист1!$B$2:$B$3</c:f>
              <c:numCache>
                <c:formatCode>General</c:formatCode>
                <c:ptCount val="2"/>
                <c:pt idx="0">
                  <c:v>83</c:v>
                </c:pt>
                <c:pt idx="1">
                  <c:v>0</c:v>
                </c:pt>
              </c:numCache>
            </c:numRef>
          </c:val>
          <c:extLst>
            <c:ext xmlns:c16="http://schemas.microsoft.com/office/drawing/2014/chart" uri="{C3380CC4-5D6E-409C-BE32-E72D297353CC}">
              <c16:uniqueId val="{00000000-9366-4CB8-AF9D-C2ED2CE2335B}"/>
            </c:ext>
          </c:extLst>
        </c:ser>
        <c:ser>
          <c:idx val="1"/>
          <c:order val="1"/>
          <c:tx>
            <c:strRef>
              <c:f>Лист1!$C$1</c:f>
              <c:strCache>
                <c:ptCount val="1"/>
                <c:pt idx="0">
                  <c:v>2020г.</c:v>
                </c:pt>
              </c:strCache>
            </c:strRef>
          </c:tx>
          <c:invertIfNegative val="0"/>
          <c:dLbls>
            <c:dLbl>
              <c:idx val="0"/>
              <c:layout>
                <c:manualLayout>
                  <c:x val="-3.5102799650043744E-3"/>
                  <c:y val="-8.630663320123062E-3"/>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6-4CB8-AF9D-C2ED2CE233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СГП</c:v>
                </c:pt>
                <c:pt idx="1">
                  <c:v> СРП</c:v>
                </c:pt>
              </c:strCache>
            </c:strRef>
          </c:cat>
          <c:val>
            <c:numRef>
              <c:f>Лист1!$C$2:$C$3</c:f>
              <c:numCache>
                <c:formatCode>General</c:formatCode>
                <c:ptCount val="2"/>
                <c:pt idx="0">
                  <c:v>92</c:v>
                </c:pt>
                <c:pt idx="1">
                  <c:v>0</c:v>
                </c:pt>
              </c:numCache>
            </c:numRef>
          </c:val>
          <c:extLst>
            <c:ext xmlns:c16="http://schemas.microsoft.com/office/drawing/2014/chart" uri="{C3380CC4-5D6E-409C-BE32-E72D297353CC}">
              <c16:uniqueId val="{00000002-9366-4CB8-AF9D-C2ED2CE2335B}"/>
            </c:ext>
          </c:extLst>
        </c:ser>
        <c:ser>
          <c:idx val="2"/>
          <c:order val="2"/>
          <c:tx>
            <c:strRef>
              <c:f>Лист1!$D$1</c:f>
              <c:strCache>
                <c:ptCount val="1"/>
                <c:pt idx="0">
                  <c:v>2019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СГП</c:v>
                </c:pt>
                <c:pt idx="1">
                  <c:v> СРП</c:v>
                </c:pt>
              </c:strCache>
            </c:strRef>
          </c:cat>
          <c:val>
            <c:numRef>
              <c:f>Лист1!$D$2:$D$3</c:f>
              <c:numCache>
                <c:formatCode>General</c:formatCode>
                <c:ptCount val="2"/>
                <c:pt idx="0">
                  <c:v>111</c:v>
                </c:pt>
                <c:pt idx="1">
                  <c:v>0</c:v>
                </c:pt>
              </c:numCache>
            </c:numRef>
          </c:val>
          <c:extLst>
            <c:ext xmlns:c16="http://schemas.microsoft.com/office/drawing/2014/chart" uri="{C3380CC4-5D6E-409C-BE32-E72D297353CC}">
              <c16:uniqueId val="{00000003-9366-4CB8-AF9D-C2ED2CE2335B}"/>
            </c:ext>
          </c:extLst>
        </c:ser>
        <c:dLbls>
          <c:showLegendKey val="0"/>
          <c:showVal val="0"/>
          <c:showCatName val="0"/>
          <c:showSerName val="0"/>
          <c:showPercent val="0"/>
          <c:showBubbleSize val="0"/>
        </c:dLbls>
        <c:gapWidth val="150"/>
        <c:axId val="150859264"/>
        <c:axId val="246209280"/>
      </c:barChart>
      <c:catAx>
        <c:axId val="150859264"/>
        <c:scaling>
          <c:orientation val="minMax"/>
        </c:scaling>
        <c:delete val="0"/>
        <c:axPos val="b"/>
        <c:numFmt formatCode="General" sourceLinked="1"/>
        <c:majorTickMark val="out"/>
        <c:minorTickMark val="none"/>
        <c:tickLblPos val="nextTo"/>
        <c:crossAx val="246209280"/>
        <c:crosses val="autoZero"/>
        <c:auto val="1"/>
        <c:lblAlgn val="ctr"/>
        <c:lblOffset val="100"/>
        <c:noMultiLvlLbl val="0"/>
      </c:catAx>
      <c:valAx>
        <c:axId val="246209280"/>
        <c:scaling>
          <c:orientation val="minMax"/>
        </c:scaling>
        <c:delete val="0"/>
        <c:axPos val="l"/>
        <c:majorGridlines/>
        <c:numFmt formatCode="General" sourceLinked="1"/>
        <c:majorTickMark val="out"/>
        <c:minorTickMark val="none"/>
        <c:tickLblPos val="nextTo"/>
        <c:crossAx val="150859264"/>
        <c:crosses val="autoZero"/>
        <c:crossBetween val="between"/>
      </c:valAx>
    </c:plotArea>
    <c:legend>
      <c:legendPos val="r"/>
      <c:layout>
        <c:manualLayout>
          <c:xMode val="edge"/>
          <c:yMode val="edge"/>
          <c:x val="0.83974358974358976"/>
          <c:y val="0.23039215686274508"/>
          <c:w val="0.14743589743589744"/>
          <c:h val="0.45588235294117646"/>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8">
                <a:latin typeface="Times New Roman" panose="02020603050405020304" pitchFamily="18" charset="0"/>
                <a:cs typeface="Times New Roman" panose="02020603050405020304" pitchFamily="18" charset="0"/>
              </a:defRPr>
            </a:pPr>
            <a:r>
              <a:rPr lang="bg-BG" sz="958">
                <a:latin typeface="Times New Roman" panose="02020603050405020304" pitchFamily="18" charset="0"/>
                <a:cs typeface="Times New Roman" panose="02020603050405020304" pitchFamily="18" charset="0"/>
              </a:rPr>
              <a:t>Основания за осъждане по ЗОДОВ за 2021 г. за</a:t>
            </a:r>
            <a:r>
              <a:rPr lang="bg-BG" sz="958" baseline="0">
                <a:latin typeface="Times New Roman" panose="02020603050405020304" pitchFamily="18" charset="0"/>
                <a:cs typeface="Times New Roman" panose="02020603050405020304" pitchFamily="18" charset="0"/>
              </a:rPr>
              <a:t> съдебния район на СГП</a:t>
            </a:r>
            <a:endParaRPr lang="bg-BG"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Колона1</c:v>
                </c:pt>
              </c:strCache>
            </c:strRef>
          </c:tx>
          <c:dPt>
            <c:idx val="0"/>
            <c:bubble3D val="0"/>
            <c:extLst>
              <c:ext xmlns:c16="http://schemas.microsoft.com/office/drawing/2014/chart" uri="{C3380CC4-5D6E-409C-BE32-E72D297353CC}">
                <c16:uniqueId val="{00000000-2D60-4675-9A03-7547B2E9C2F6}"/>
              </c:ext>
            </c:extLst>
          </c:dPt>
          <c:dPt>
            <c:idx val="1"/>
            <c:bubble3D val="0"/>
            <c:extLst>
              <c:ext xmlns:c16="http://schemas.microsoft.com/office/drawing/2014/chart" uri="{C3380CC4-5D6E-409C-BE32-E72D297353CC}">
                <c16:uniqueId val="{00000001-2D60-4675-9A03-7547B2E9C2F6}"/>
              </c:ext>
            </c:extLst>
          </c:dPt>
          <c:dPt>
            <c:idx val="2"/>
            <c:bubble3D val="0"/>
            <c:extLst>
              <c:ext xmlns:c16="http://schemas.microsoft.com/office/drawing/2014/chart" uri="{C3380CC4-5D6E-409C-BE32-E72D297353CC}">
                <c16:uniqueId val="{00000002-2D60-4675-9A03-7547B2E9C2F6}"/>
              </c:ext>
            </c:extLst>
          </c:dPt>
          <c:dPt>
            <c:idx val="3"/>
            <c:bubble3D val="0"/>
            <c:extLst>
              <c:ext xmlns:c16="http://schemas.microsoft.com/office/drawing/2014/chart" uri="{C3380CC4-5D6E-409C-BE32-E72D297353CC}">
                <c16:uniqueId val="{00000003-2D60-4675-9A03-7547B2E9C2F6}"/>
              </c:ext>
            </c:extLst>
          </c:dPt>
          <c:dLbls>
            <c:dLbl>
              <c:idx val="0"/>
              <c:layout>
                <c:manualLayout>
                  <c:x val="-8.7928113509038758E-2"/>
                  <c:y val="-0.1775678040244969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60-4675-9A03-7547B2E9C2F6}"/>
                </c:ext>
              </c:extLst>
            </c:dLbl>
            <c:dLbl>
              <c:idx val="1"/>
              <c:layout>
                <c:manualLayout>
                  <c:x val="6.1440232562616715E-2"/>
                  <c:y val="5.520162252445717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60-4675-9A03-7547B2E9C2F6}"/>
                </c:ext>
              </c:extLst>
            </c:dLbl>
            <c:dLbl>
              <c:idx val="3"/>
              <c:layout>
                <c:manualLayout>
                  <c:x val="8.7233120921009575E-3"/>
                  <c:y val="-1.66653410747898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0-4675-9A03-7547B2E9C2F6}"/>
                </c:ext>
              </c:extLst>
            </c:dLbl>
            <c:spPr>
              <a:noFill/>
              <a:ln>
                <a:noFill/>
              </a:ln>
              <a:effectLst/>
            </c:spPr>
            <c:txPr>
              <a:bodyPr/>
              <a:lstStyle/>
              <a:p>
                <a:pPr>
                  <a:defRPr sz="1118" b="1"/>
                </a:pPr>
                <a:endParaRPr lang="bg-BG"/>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Оправдан подсъдим - чл. 2, ал.1, т.3, пр.1 от ЗОДОВ</c:v>
                </c:pt>
                <c:pt idx="1">
                  <c:v>Прекратено наказателно производство - чл. 2, ал.1, т.3, пр.2 от ЗОДОВ</c:v>
                </c:pt>
                <c:pt idx="2">
                  <c:v>Незаконно използване на СРС</c:v>
                </c:pt>
                <c:pt idx="3">
                  <c:v>Нарушение на правото за разглеждане на делото в разумен срок /чл. 2б ЗОДОВ/</c:v>
                </c:pt>
              </c:strCache>
            </c:strRef>
          </c:cat>
          <c:val>
            <c:numRef>
              <c:f>Лист1!$B$2:$B$5</c:f>
              <c:numCache>
                <c:formatCode>General</c:formatCode>
                <c:ptCount val="4"/>
                <c:pt idx="0">
                  <c:v>64</c:v>
                </c:pt>
                <c:pt idx="1">
                  <c:v>19</c:v>
                </c:pt>
                <c:pt idx="2">
                  <c:v>0</c:v>
                </c:pt>
                <c:pt idx="3">
                  <c:v>0</c:v>
                </c:pt>
              </c:numCache>
            </c:numRef>
          </c:val>
          <c:extLst>
            <c:ext xmlns:c16="http://schemas.microsoft.com/office/drawing/2014/chart" uri="{C3380CC4-5D6E-409C-BE32-E72D297353CC}">
              <c16:uniqueId val="{00000004-2D60-4675-9A03-7547B2E9C2F6}"/>
            </c:ext>
          </c:extLst>
        </c:ser>
        <c:dLbls>
          <c:showLegendKey val="0"/>
          <c:showVal val="0"/>
          <c:showCatName val="0"/>
          <c:showSerName val="0"/>
          <c:showPercent val="0"/>
          <c:showBubbleSize val="0"/>
          <c:showLeaderLines val="0"/>
        </c:dLbls>
      </c:pie3DChart>
      <c:spPr>
        <a:noFill/>
        <a:ln w="20275">
          <a:noFill/>
        </a:ln>
      </c:spPr>
    </c:plotArea>
    <c:legend>
      <c:legendPos val="r"/>
      <c:layout>
        <c:manualLayout>
          <c:xMode val="edge"/>
          <c:yMode val="edge"/>
          <c:x val="0.64835164835164838"/>
          <c:y val="0.13505747126436782"/>
          <c:w val="0.33150183150183149"/>
          <c:h val="0.77011494252873558"/>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layout>
        <c:manualLayout>
          <c:xMode val="edge"/>
          <c:yMode val="edge"/>
          <c:x val="0.15520366444579042"/>
          <c:y val="0"/>
        </c:manualLayout>
      </c:layout>
      <c:overlay val="0"/>
    </c:title>
    <c:autoTitleDeleted val="0"/>
    <c:plotArea>
      <c:layout>
        <c:manualLayout>
          <c:layoutTarget val="inner"/>
          <c:xMode val="edge"/>
          <c:yMode val="edge"/>
          <c:x val="0.13238222692519164"/>
          <c:y val="0.25932051516816212"/>
          <c:w val="0.5604765906238004"/>
          <c:h val="0.5705714460111091"/>
        </c:manualLayout>
      </c:layout>
      <c:lineChart>
        <c:grouping val="standard"/>
        <c:varyColors val="0"/>
        <c:ser>
          <c:idx val="0"/>
          <c:order val="0"/>
          <c:tx>
            <c:strRef>
              <c:f>Лист1!$B$1</c:f>
              <c:strCache>
                <c:ptCount val="1"/>
                <c:pt idx="0">
                  <c:v>Размер на присъдените обезщетения за съдебния район на СГП</c:v>
                </c:pt>
              </c:strCache>
            </c:strRef>
          </c:tx>
          <c:marker>
            <c:symbol val="none"/>
          </c:marker>
          <c:dLbls>
            <c:dLbl>
              <c:idx val="0"/>
              <c:layout>
                <c:manualLayout>
                  <c:x val="-1.201923076923077E-2"/>
                  <c:y val="4.7619047619047623E-3"/>
                </c:manualLayout>
              </c:layout>
              <c:spPr/>
              <c:txPr>
                <a:bodyPr/>
                <a:lstStyle/>
                <a:p>
                  <a:pPr>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3C-40FE-92D2-05BED8322E30}"/>
                </c:ext>
              </c:extLst>
            </c:dLbl>
            <c:dLbl>
              <c:idx val="2"/>
              <c:layout>
                <c:manualLayout>
                  <c:x val="-7.4519230769230768E-2"/>
                  <c:y val="5.7142857142857141E-2"/>
                </c:manualLayout>
              </c:layout>
              <c:spPr/>
              <c:txPr>
                <a:bodyPr/>
                <a:lstStyle/>
                <a:p>
                  <a:pPr>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3C-40FE-92D2-05BED8322E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 </c:v>
                </c:pt>
                <c:pt idx="1">
                  <c:v>2020 г. </c:v>
                </c:pt>
                <c:pt idx="2">
                  <c:v>2021 г. </c:v>
                </c:pt>
              </c:strCache>
            </c:strRef>
          </c:cat>
          <c:val>
            <c:numRef>
              <c:f>Лист1!$B$2:$B$4</c:f>
              <c:numCache>
                <c:formatCode>General</c:formatCode>
                <c:ptCount val="3"/>
                <c:pt idx="0">
                  <c:v>1635256.21</c:v>
                </c:pt>
                <c:pt idx="1">
                  <c:v>1058572.83</c:v>
                </c:pt>
                <c:pt idx="2">
                  <c:v>842492.96</c:v>
                </c:pt>
              </c:numCache>
            </c:numRef>
          </c:val>
          <c:smooth val="0"/>
          <c:extLst>
            <c:ext xmlns:c16="http://schemas.microsoft.com/office/drawing/2014/chart" uri="{C3380CC4-5D6E-409C-BE32-E72D297353CC}">
              <c16:uniqueId val="{00000002-273C-40FE-92D2-05BED8322E30}"/>
            </c:ext>
          </c:extLst>
        </c:ser>
        <c:dLbls>
          <c:showLegendKey val="0"/>
          <c:showVal val="0"/>
          <c:showCatName val="0"/>
          <c:showSerName val="0"/>
          <c:showPercent val="0"/>
          <c:showBubbleSize val="0"/>
        </c:dLbls>
        <c:smooth val="0"/>
        <c:axId val="163175936"/>
        <c:axId val="357505216"/>
      </c:lineChart>
      <c:catAx>
        <c:axId val="163175936"/>
        <c:scaling>
          <c:orientation val="minMax"/>
        </c:scaling>
        <c:delete val="0"/>
        <c:axPos val="b"/>
        <c:numFmt formatCode="General" sourceLinked="1"/>
        <c:majorTickMark val="out"/>
        <c:minorTickMark val="none"/>
        <c:tickLblPos val="nextTo"/>
        <c:crossAx val="357505216"/>
        <c:crosses val="autoZero"/>
        <c:auto val="1"/>
        <c:lblAlgn val="ctr"/>
        <c:lblOffset val="100"/>
        <c:noMultiLvlLbl val="0"/>
      </c:catAx>
      <c:valAx>
        <c:axId val="357505216"/>
        <c:scaling>
          <c:orientation val="minMax"/>
        </c:scaling>
        <c:delete val="0"/>
        <c:axPos val="l"/>
        <c:majorGridlines/>
        <c:numFmt formatCode="General" sourceLinked="1"/>
        <c:majorTickMark val="out"/>
        <c:minorTickMark val="none"/>
        <c:tickLblPos val="nextTo"/>
        <c:crossAx val="163175936"/>
        <c:crosses val="autoZero"/>
        <c:crossBetween val="between"/>
      </c:valAx>
    </c:plotArea>
    <c:legend>
      <c:legendPos val="r"/>
      <c:layout>
        <c:manualLayout>
          <c:xMode val="edge"/>
          <c:yMode val="edge"/>
          <c:x val="0.70810810810810809"/>
          <c:y val="0.4306049822064057"/>
          <c:w val="0.29009009009009007"/>
          <c:h val="0.48398576512455516"/>
        </c:manualLayout>
      </c:layout>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Общо</c:v>
                </c:pt>
              </c:strCache>
            </c:strRef>
          </c:tx>
          <c:spPr>
            <a:solidFill>
              <a:srgbClr val="0070C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Лист1!$B$2:$B$4</c:f>
              <c:numCache>
                <c:formatCode>General</c:formatCode>
                <c:ptCount val="3"/>
                <c:pt idx="0">
                  <c:v>1791</c:v>
                </c:pt>
                <c:pt idx="1">
                  <c:v>1554</c:v>
                </c:pt>
                <c:pt idx="2">
                  <c:v>2102</c:v>
                </c:pt>
              </c:numCache>
            </c:numRef>
          </c:val>
          <c:extLst>
            <c:ext xmlns:c16="http://schemas.microsoft.com/office/drawing/2014/chart" uri="{C3380CC4-5D6E-409C-BE32-E72D297353CC}">
              <c16:uniqueId val="{00000000-9F6A-407E-864D-BBC4BABB7168}"/>
            </c:ext>
          </c:extLst>
        </c:ser>
        <c:ser>
          <c:idx val="1"/>
          <c:order val="1"/>
          <c:tx>
            <c:strRef>
              <c:f>Лист1!$C$1</c:f>
              <c:strCache>
                <c:ptCount val="1"/>
                <c:pt idx="0">
                  <c:v>Доживотен затвор</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Лист1!$C$2:$C$4</c:f>
              <c:numCache>
                <c:formatCode>General</c:formatCode>
                <c:ptCount val="3"/>
                <c:pt idx="0">
                  <c:v>0</c:v>
                </c:pt>
                <c:pt idx="1">
                  <c:v>2</c:v>
                </c:pt>
                <c:pt idx="2">
                  <c:v>3</c:v>
                </c:pt>
              </c:numCache>
            </c:numRef>
          </c:val>
          <c:extLst>
            <c:ext xmlns:c16="http://schemas.microsoft.com/office/drawing/2014/chart" uri="{C3380CC4-5D6E-409C-BE32-E72D297353CC}">
              <c16:uniqueId val="{00000001-9F6A-407E-864D-BBC4BABB7168}"/>
            </c:ext>
          </c:extLst>
        </c:ser>
        <c:ser>
          <c:idx val="2"/>
          <c:order val="2"/>
          <c:tx>
            <c:strRef>
              <c:f>Лист1!$D$1</c:f>
              <c:strCache>
                <c:ptCount val="1"/>
                <c:pt idx="0">
                  <c:v>Лишаване от свобода</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Лист1!$D$2:$D$4</c:f>
              <c:numCache>
                <c:formatCode>General</c:formatCode>
                <c:ptCount val="3"/>
                <c:pt idx="0">
                  <c:v>1092</c:v>
                </c:pt>
                <c:pt idx="1">
                  <c:v>998</c:v>
                </c:pt>
                <c:pt idx="2">
                  <c:v>1306</c:v>
                </c:pt>
              </c:numCache>
            </c:numRef>
          </c:val>
          <c:extLst>
            <c:ext xmlns:c16="http://schemas.microsoft.com/office/drawing/2014/chart" uri="{C3380CC4-5D6E-409C-BE32-E72D297353CC}">
              <c16:uniqueId val="{00000002-9F6A-407E-864D-BBC4BABB7168}"/>
            </c:ext>
          </c:extLst>
        </c:ser>
        <c:ser>
          <c:idx val="3"/>
          <c:order val="3"/>
          <c:tx>
            <c:strRef>
              <c:f>Лист1!$E$1</c:f>
              <c:strCache>
                <c:ptCount val="1"/>
                <c:pt idx="0">
                  <c:v>Лишаване от права</c:v>
                </c:pt>
              </c:strCache>
            </c:strRef>
          </c:tx>
          <c:invertIfNegative val="0"/>
          <c:dLbls>
            <c:dLbl>
              <c:idx val="0"/>
              <c:layout>
                <c:manualLayout>
                  <c:x val="1.1015642211940957E-2"/>
                  <c:y val="-2.1293585307426234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6A-407E-864D-BBC4BABB7168}"/>
                </c:ext>
              </c:extLst>
            </c:dLbl>
            <c:dLbl>
              <c:idx val="1"/>
              <c:layout>
                <c:manualLayout>
                  <c:x val="6.6079295154185024E-3"/>
                  <c:y val="0"/>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6A-407E-864D-BBC4BABB7168}"/>
                </c:ext>
              </c:extLst>
            </c:dLbl>
            <c:dLbl>
              <c:idx val="2"/>
              <c:layout>
                <c:manualLayout>
                  <c:x val="6.6079295154185024E-3"/>
                  <c:y val="-5.3191489361702126E-3"/>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6A-407E-864D-BBC4BABB716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Лист1!$E$2:$E$4</c:f>
              <c:numCache>
                <c:formatCode>General</c:formatCode>
                <c:ptCount val="3"/>
                <c:pt idx="0">
                  <c:v>589</c:v>
                </c:pt>
                <c:pt idx="1">
                  <c:v>438</c:v>
                </c:pt>
                <c:pt idx="2">
                  <c:v>635</c:v>
                </c:pt>
              </c:numCache>
            </c:numRef>
          </c:val>
          <c:extLst>
            <c:ext xmlns:c16="http://schemas.microsoft.com/office/drawing/2014/chart" uri="{C3380CC4-5D6E-409C-BE32-E72D297353CC}">
              <c16:uniqueId val="{00000006-9F6A-407E-864D-BBC4BABB7168}"/>
            </c:ext>
          </c:extLst>
        </c:ser>
        <c:ser>
          <c:idx val="4"/>
          <c:order val="4"/>
          <c:tx>
            <c:strRef>
              <c:f>Лист1!$F$1</c:f>
              <c:strCache>
                <c:ptCount val="1"/>
                <c:pt idx="0">
                  <c:v>Пробация</c:v>
                </c:pt>
              </c:strCache>
            </c:strRef>
          </c:tx>
          <c:invertIfNegative val="0"/>
          <c:dLbls>
            <c:dLbl>
              <c:idx val="0"/>
              <c:layout>
                <c:manualLayout>
                  <c:x val="1.1013215859030796E-2"/>
                  <c:y val="0"/>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6A-407E-864D-BBC4BABB7168}"/>
                </c:ext>
              </c:extLst>
            </c:dLbl>
            <c:dLbl>
              <c:idx val="1"/>
              <c:layout>
                <c:manualLayout>
                  <c:x val="1.3215859030837005E-2"/>
                  <c:y val="1.0638297872340522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6A-407E-864D-BBC4BABB7168}"/>
                </c:ext>
              </c:extLst>
            </c:dLbl>
            <c:dLbl>
              <c:idx val="2"/>
              <c:layout>
                <c:manualLayout>
                  <c:x val="2.4229074889867759E-2"/>
                  <c:y val="5.3191489361701155E-3"/>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6A-407E-864D-BBC4BABB716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Лист1!$F$2:$F$4</c:f>
              <c:numCache>
                <c:formatCode>General</c:formatCode>
                <c:ptCount val="3"/>
                <c:pt idx="0">
                  <c:v>390</c:v>
                </c:pt>
                <c:pt idx="1">
                  <c:v>327</c:v>
                </c:pt>
                <c:pt idx="2">
                  <c:v>461</c:v>
                </c:pt>
              </c:numCache>
            </c:numRef>
          </c:val>
          <c:extLst>
            <c:ext xmlns:c16="http://schemas.microsoft.com/office/drawing/2014/chart" uri="{C3380CC4-5D6E-409C-BE32-E72D297353CC}">
              <c16:uniqueId val="{0000000A-9F6A-407E-864D-BBC4BABB7168}"/>
            </c:ext>
          </c:extLst>
        </c:ser>
        <c:ser>
          <c:idx val="5"/>
          <c:order val="5"/>
          <c:tx>
            <c:strRef>
              <c:f>Лист1!$G$1</c:f>
              <c:strCache>
                <c:ptCount val="1"/>
                <c:pt idx="0">
                  <c:v>Обществено порицание</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Лист1!$G$2:$G$4</c:f>
              <c:numCache>
                <c:formatCode>General</c:formatCode>
                <c:ptCount val="3"/>
                <c:pt idx="0">
                  <c:v>40</c:v>
                </c:pt>
                <c:pt idx="1">
                  <c:v>33</c:v>
                </c:pt>
                <c:pt idx="2">
                  <c:v>51</c:v>
                </c:pt>
              </c:numCache>
            </c:numRef>
          </c:val>
          <c:extLst>
            <c:ext xmlns:c16="http://schemas.microsoft.com/office/drawing/2014/chart" uri="{C3380CC4-5D6E-409C-BE32-E72D297353CC}">
              <c16:uniqueId val="{0000000B-9F6A-407E-864D-BBC4BABB7168}"/>
            </c:ext>
          </c:extLst>
        </c:ser>
        <c:dLbls>
          <c:showLegendKey val="0"/>
          <c:showVal val="0"/>
          <c:showCatName val="0"/>
          <c:showSerName val="0"/>
          <c:showPercent val="0"/>
          <c:showBubbleSize val="0"/>
        </c:dLbls>
        <c:gapWidth val="150"/>
        <c:axId val="1243057839"/>
        <c:axId val="1"/>
      </c:barChart>
      <c:catAx>
        <c:axId val="1243057839"/>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crossAx val="1243057839"/>
        <c:crosses val="autoZero"/>
        <c:crossBetween val="between"/>
      </c:valAx>
    </c:plotArea>
    <c:legend>
      <c:legendPos val="r"/>
      <c:layout>
        <c:manualLayout>
          <c:xMode val="edge"/>
          <c:yMode val="edge"/>
          <c:x val="0.70394736842105265"/>
          <c:y val="0.26033057851239672"/>
          <c:w val="0.27796052631578949"/>
          <c:h val="0.43801652892561982"/>
        </c:manualLayout>
      </c:layout>
      <c:overlay val="0"/>
    </c:legend>
    <c:plotVisOnly val="1"/>
    <c:dispBlanksAs val="gap"/>
    <c:showDLblsOverMax val="0"/>
  </c:chart>
  <c:spPr>
    <a:solidFill>
      <a:schemeClr val="lt1"/>
    </a:solidFill>
    <a:ln w="6329" cap="flat" cmpd="sng" algn="ctr">
      <a:solidFill>
        <a:schemeClr val="tx1"/>
      </a:solidFill>
      <a:prstDash val="solid"/>
    </a:ln>
    <a:effectLst/>
  </c:spPr>
  <c:txPr>
    <a:bodyPr/>
    <a:lstStyle/>
    <a:p>
      <a:pPr>
        <a:defRPr>
          <a:solidFill>
            <a:schemeClr val="dk1"/>
          </a:solidFill>
          <a:latin typeface="+mn-lt"/>
          <a:ea typeface="+mn-ea"/>
          <a:cs typeface="+mn-cs"/>
        </a:defRPr>
      </a:pPr>
      <a:endParaRPr lang="bg-BG"/>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71259842519686"/>
          <c:y val="5.046601803173395E-2"/>
          <c:w val="0.75657335475206089"/>
          <c:h val="0.82657193987115252"/>
        </c:manualLayout>
      </c:layout>
      <c:barChart>
        <c:barDir val="col"/>
        <c:grouping val="clustered"/>
        <c:varyColors val="0"/>
        <c:ser>
          <c:idx val="0"/>
          <c:order val="0"/>
          <c:tx>
            <c:strRef>
              <c:f>Лист1!$B$1</c:f>
              <c:strCache>
                <c:ptCount val="1"/>
                <c:pt idx="0">
                  <c:v>Общо</c:v>
                </c:pt>
              </c:strCache>
            </c:strRef>
          </c:tx>
          <c:spPr>
            <a:solidFill>
              <a:srgbClr val="C00000"/>
            </a:solidFill>
            <a:ln w="12645" cap="sq" cmpd="dbl">
              <a:solidFill>
                <a:srgbClr val="C00000"/>
              </a:solidFill>
            </a:ln>
            <a:effectLst>
              <a:glow rad="101600">
                <a:schemeClr val="accent4">
                  <a:satMod val="175000"/>
                  <a:alpha val="40000"/>
                </a:schemeClr>
              </a:glow>
              <a:innerShdw blurRad="114300">
                <a:schemeClr val="accent1">
                  <a:lumMod val="50000"/>
                </a:schemeClr>
              </a:innerShdw>
            </a:effectLst>
            <a:scene3d>
              <a:camera prst="orthographicFront"/>
              <a:lightRig rig="threePt" dir="t"/>
            </a:scene3d>
            <a:sp3d>
              <a:bevelT prst="relaxedInset"/>
              <a:bevelB prst="relaxedInset"/>
            </a:sp3d>
          </c:spPr>
          <c:invertIfNegative val="0"/>
          <c:dLbls>
            <c:dLbl>
              <c:idx val="0"/>
              <c:layout>
                <c:manualLayout>
                  <c:x val="0"/>
                  <c:y val="-2.3678259069985105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87-4711-8424-5727D8FF6F84}"/>
                </c:ext>
              </c:extLst>
            </c:dLbl>
            <c:dLbl>
              <c:idx val="2"/>
              <c:layout>
                <c:manualLayout>
                  <c:x val="3.2154340836012861E-3"/>
                  <c:y val="3.2967032967032954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87-4711-8424-5727D8FF6F8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80</c:v>
                </c:pt>
                <c:pt idx="1">
                  <c:v>91</c:v>
                </c:pt>
                <c:pt idx="2">
                  <c:v>111</c:v>
                </c:pt>
              </c:numCache>
            </c:numRef>
          </c:val>
          <c:extLst>
            <c:ext xmlns:c16="http://schemas.microsoft.com/office/drawing/2014/chart" uri="{C3380CC4-5D6E-409C-BE32-E72D297353CC}">
              <c16:uniqueId val="{00000002-5787-4711-8424-5727D8FF6F84}"/>
            </c:ext>
          </c:extLst>
        </c:ser>
        <c:dLbls>
          <c:showLegendKey val="0"/>
          <c:showVal val="0"/>
          <c:showCatName val="0"/>
          <c:showSerName val="0"/>
          <c:showPercent val="0"/>
          <c:showBubbleSize val="0"/>
        </c:dLbls>
        <c:gapWidth val="150"/>
        <c:axId val="1332924431"/>
        <c:axId val="1"/>
      </c:barChart>
      <c:catAx>
        <c:axId val="133292443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924431"/>
        <c:crosses val="autoZero"/>
        <c:crossBetween val="between"/>
      </c:valAx>
      <c:spPr>
        <a:ln>
          <a:solidFill>
            <a:schemeClr val="tx1"/>
          </a:solidFill>
        </a:ln>
      </c:spPr>
    </c:plotArea>
    <c:legend>
      <c:legendPos val="r"/>
      <c:layout>
        <c:manualLayout>
          <c:xMode val="edge"/>
          <c:yMode val="edge"/>
          <c:x val="0.83173076923076927"/>
          <c:y val="7.3770491803278687E-2"/>
          <c:w val="1.201923076923077E-2"/>
          <c:h val="0.79508196721311475"/>
        </c:manualLayout>
      </c:layout>
      <c:overlay val="0"/>
      <c:spPr>
        <a:noFill/>
      </c:spPr>
    </c:legend>
    <c:plotVisOnly val="1"/>
    <c:dispBlanksAs val="gap"/>
    <c:showDLblsOverMax val="0"/>
  </c:chart>
  <c:spPr>
    <a:noFill/>
    <a:ln cmpd="sng">
      <a:solidFill>
        <a:schemeClr val="tx1"/>
      </a:solidFill>
    </a:ln>
    <a:scene3d>
      <a:camera prst="orthographicFront"/>
      <a:lightRig rig="threePt" dir="t"/>
    </a:scene3d>
    <a:sp3d>
      <a:bevelT prst="relaxedInset"/>
    </a:sp3d>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035131568598317E-2"/>
          <c:y val="5.0465998568360773E-2"/>
          <c:w val="0.75657335475206089"/>
          <c:h val="0.82657193987115252"/>
        </c:manualLayout>
      </c:layout>
      <c:barChart>
        <c:barDir val="col"/>
        <c:grouping val="clustered"/>
        <c:varyColors val="0"/>
        <c:ser>
          <c:idx val="0"/>
          <c:order val="0"/>
          <c:tx>
            <c:strRef>
              <c:f>Лист1!$B$1</c:f>
              <c:strCache>
                <c:ptCount val="1"/>
                <c:pt idx="0">
                  <c:v>Общо</c:v>
                </c:pt>
              </c:strCache>
            </c:strRef>
          </c:tx>
          <c:spPr>
            <a:solidFill>
              <a:srgbClr val="0070C0"/>
            </a:solidFill>
            <a:ln w="12673" cap="sq" cmpd="dbl">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101600">
                <a:schemeClr val="accent4">
                  <a:satMod val="175000"/>
                  <a:alpha val="40000"/>
                </a:schemeClr>
              </a:glow>
              <a:innerShdw blurRad="114300">
                <a:schemeClr val="accent1">
                  <a:lumMod val="50000"/>
                </a:schemeClr>
              </a:innerShdw>
            </a:effectLst>
            <a:scene3d>
              <a:camera prst="orthographicFront"/>
              <a:lightRig rig="threePt" dir="t"/>
            </a:scene3d>
            <a:sp3d>
              <a:bevelT prst="relaxedInset"/>
              <a:bevelB prst="relaxedInset"/>
            </a:sp3d>
          </c:spPr>
          <c:invertIfNegative val="0"/>
          <c:dLbls>
            <c:dLbl>
              <c:idx val="0"/>
              <c:layout>
                <c:manualLayout>
                  <c:x val="0"/>
                  <c:y val="-2.3678259069985105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C-4006-8B78-813BC3BBD73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1541</c:v>
                </c:pt>
                <c:pt idx="1">
                  <c:v>1248</c:v>
                </c:pt>
                <c:pt idx="2">
                  <c:v>1650</c:v>
                </c:pt>
              </c:numCache>
            </c:numRef>
          </c:val>
          <c:extLst>
            <c:ext xmlns:c16="http://schemas.microsoft.com/office/drawing/2014/chart" uri="{C3380CC4-5D6E-409C-BE32-E72D297353CC}">
              <c16:uniqueId val="{00000001-784C-4006-8B78-813BC3BBD735}"/>
            </c:ext>
          </c:extLst>
        </c:ser>
        <c:ser>
          <c:idx val="1"/>
          <c:order val="1"/>
          <c:tx>
            <c:strRef>
              <c:f>Лист1!$C$1</c:f>
              <c:strCache>
                <c:ptCount val="1"/>
                <c:pt idx="0">
                  <c:v>СГП</c:v>
                </c:pt>
              </c:strCache>
            </c:strRef>
          </c:tx>
          <c:spPr>
            <a:ln>
              <a:solidFill>
                <a:schemeClr val="accent6">
                  <a:lumMod val="75000"/>
                </a:schemeClr>
              </a:solidFill>
            </a:ln>
            <a:effectLst>
              <a:innerShdw blurRad="114300">
                <a:prstClr val="black"/>
              </a:innerShdw>
            </a:effectLst>
            <a:scene3d>
              <a:camera prst="orthographicFront"/>
              <a:lightRig rig="threePt" dir="t"/>
            </a:scene3d>
            <a:sp3d>
              <a:bevelT prst="relaxedInset"/>
            </a:sp3d>
          </c:spPr>
          <c:invertIfNegative val="0"/>
          <c:dLbls>
            <c:dLbl>
              <c:idx val="0"/>
              <c:layout>
                <c:manualLayout>
                  <c:x val="0"/>
                  <c:y val="-3.7887757518351967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C-4006-8B78-813BC3BBD735}"/>
                </c:ext>
              </c:extLst>
            </c:dLbl>
            <c:dLbl>
              <c:idx val="1"/>
              <c:layout>
                <c:manualLayout>
                  <c:x val="-3.8905327399024827E-17"/>
                  <c:y val="-2.3678259069985105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C-4006-8B78-813BC3BBD735}"/>
                </c:ext>
              </c:extLst>
            </c:dLbl>
            <c:dLbl>
              <c:idx val="2"/>
              <c:layout>
                <c:manualLayout>
                  <c:x val="0"/>
                  <c:y val="-2.8413910883982124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4C-4006-8B78-813BC3BBD73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Лист1!$C$2:$C$4</c:f>
              <c:numCache>
                <c:formatCode>General</c:formatCode>
                <c:ptCount val="3"/>
                <c:pt idx="0">
                  <c:v>276</c:v>
                </c:pt>
                <c:pt idx="1">
                  <c:v>270</c:v>
                </c:pt>
                <c:pt idx="2">
                  <c:v>255</c:v>
                </c:pt>
              </c:numCache>
            </c:numRef>
          </c:val>
          <c:extLst>
            <c:ext xmlns:c16="http://schemas.microsoft.com/office/drawing/2014/chart" uri="{C3380CC4-5D6E-409C-BE32-E72D297353CC}">
              <c16:uniqueId val="{00000005-784C-4006-8B78-813BC3BBD735}"/>
            </c:ext>
          </c:extLst>
        </c:ser>
        <c:ser>
          <c:idx val="2"/>
          <c:order val="2"/>
          <c:tx>
            <c:strRef>
              <c:f>Лист1!$D$1</c:f>
              <c:strCache>
                <c:ptCount val="1"/>
                <c:pt idx="0">
                  <c:v>СРП</c:v>
                </c:pt>
              </c:strCache>
            </c:strRef>
          </c:tx>
          <c:spPr>
            <a:ln>
              <a:solidFill>
                <a:schemeClr val="accent1">
                  <a:lumMod val="75000"/>
                </a:schemeClr>
              </a:solidFill>
            </a:ln>
            <a:effectLst>
              <a:innerShdw blurRad="114300">
                <a:schemeClr val="accent4">
                  <a:lumMod val="60000"/>
                  <a:lumOff val="40000"/>
                </a:schemeClr>
              </a:innerShdw>
            </a:effectLst>
            <a:scene3d>
              <a:camera prst="orthographicFront"/>
              <a:lightRig rig="threePt" dir="t"/>
            </a:scene3d>
            <a:sp3d>
              <a:bevelT prst="relaxedInset"/>
            </a:sp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Лист1!$D$2:$D$4</c:f>
              <c:numCache>
                <c:formatCode>General</c:formatCode>
                <c:ptCount val="3"/>
                <c:pt idx="0">
                  <c:v>1265</c:v>
                </c:pt>
                <c:pt idx="1">
                  <c:v>978</c:v>
                </c:pt>
                <c:pt idx="2">
                  <c:v>1395</c:v>
                </c:pt>
              </c:numCache>
            </c:numRef>
          </c:val>
          <c:extLst>
            <c:ext xmlns:c16="http://schemas.microsoft.com/office/drawing/2014/chart" uri="{C3380CC4-5D6E-409C-BE32-E72D297353CC}">
              <c16:uniqueId val="{00000006-784C-4006-8B78-813BC3BBD735}"/>
            </c:ext>
          </c:extLst>
        </c:ser>
        <c:dLbls>
          <c:showLegendKey val="0"/>
          <c:showVal val="0"/>
          <c:showCatName val="0"/>
          <c:showSerName val="0"/>
          <c:showPercent val="0"/>
          <c:showBubbleSize val="0"/>
        </c:dLbls>
        <c:gapWidth val="150"/>
        <c:axId val="1243059919"/>
        <c:axId val="1"/>
      </c:barChart>
      <c:catAx>
        <c:axId val="1243059919"/>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243059919"/>
        <c:crosses val="autoZero"/>
        <c:crossBetween val="between"/>
      </c:valAx>
      <c:spPr>
        <a:ln>
          <a:solidFill>
            <a:schemeClr val="tx1"/>
          </a:solidFill>
        </a:ln>
      </c:spPr>
    </c:plotArea>
    <c:legend>
      <c:legendPos val="r"/>
      <c:layout>
        <c:manualLayout>
          <c:xMode val="edge"/>
          <c:yMode val="edge"/>
          <c:x val="0.84724689165186506"/>
          <c:y val="7.6433121019108277E-2"/>
          <c:w val="0.10834813499111901"/>
          <c:h val="0.80254777070063699"/>
        </c:manualLayout>
      </c:layout>
      <c:overlay val="0"/>
      <c:spPr>
        <a:noFill/>
      </c:spPr>
    </c:legend>
    <c:plotVisOnly val="1"/>
    <c:dispBlanksAs val="gap"/>
    <c:showDLblsOverMax val="0"/>
  </c:chart>
  <c:spPr>
    <a:noFill/>
    <a:ln cmpd="sng">
      <a:solidFill>
        <a:schemeClr val="tx1"/>
      </a:solidFill>
    </a:ln>
    <a:scene3d>
      <a:camera prst="orthographicFront"/>
      <a:lightRig rig="threePt" dir="t"/>
    </a:scene3d>
    <a:sp3d>
      <a:bevelT prst="relaxedInset"/>
    </a:sp3d>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6114843424382174E-2"/>
          <c:y val="7.2607260726072612E-2"/>
          <c:w val="0.83126452015280272"/>
          <c:h val="0.61353845324129008"/>
        </c:manualLayout>
      </c:layout>
      <c:bar3DChart>
        <c:barDir val="bar"/>
        <c:grouping val="stacked"/>
        <c:varyColors val="0"/>
        <c:ser>
          <c:idx val="0"/>
          <c:order val="0"/>
          <c:tx>
            <c:strRef>
              <c:f>Лист1!$B$1</c:f>
              <c:strCache>
                <c:ptCount val="1"/>
                <c:pt idx="0">
                  <c:v>Уважени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219</c:v>
                </c:pt>
                <c:pt idx="1">
                  <c:v>124</c:v>
                </c:pt>
                <c:pt idx="2">
                  <c:v>170</c:v>
                </c:pt>
              </c:numCache>
            </c:numRef>
          </c:val>
          <c:extLst>
            <c:ext xmlns:c16="http://schemas.microsoft.com/office/drawing/2014/chart" uri="{C3380CC4-5D6E-409C-BE32-E72D297353CC}">
              <c16:uniqueId val="{00000000-73A6-41E7-887B-5500A6EFC7AA}"/>
            </c:ext>
          </c:extLst>
        </c:ser>
        <c:ser>
          <c:idx val="1"/>
          <c:order val="1"/>
          <c:tx>
            <c:strRef>
              <c:f>Лист1!$C$1</c:f>
              <c:strCache>
                <c:ptCount val="1"/>
                <c:pt idx="0">
                  <c:v>Неуважени</c:v>
                </c:pt>
              </c:strCache>
            </c:strRef>
          </c:tx>
          <c:spPr>
            <a:solidFill>
              <a:srgbClr val="FFFF00"/>
            </a:solidFill>
          </c:spPr>
          <c:invertIfNegative val="0"/>
          <c:dLbls>
            <c:dLbl>
              <c:idx val="2"/>
              <c:layout>
                <c:manualLayout>
                  <c:x val="0"/>
                  <c:y val="9.6678434297844888E-6"/>
                </c:manualLayout>
              </c:layout>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A6-41E7-887B-5500A6EFC7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Лист1!$C$2:$C$4</c:f>
              <c:numCache>
                <c:formatCode>General</c:formatCode>
                <c:ptCount val="3"/>
                <c:pt idx="0">
                  <c:v>4</c:v>
                </c:pt>
                <c:pt idx="1">
                  <c:v>2</c:v>
                </c:pt>
                <c:pt idx="2">
                  <c:v>7</c:v>
                </c:pt>
              </c:numCache>
            </c:numRef>
          </c:val>
          <c:extLst>
            <c:ext xmlns:c16="http://schemas.microsoft.com/office/drawing/2014/chart" uri="{C3380CC4-5D6E-409C-BE32-E72D297353CC}">
              <c16:uniqueId val="{00000002-73A6-41E7-887B-5500A6EFC7AA}"/>
            </c:ext>
          </c:extLst>
        </c:ser>
        <c:ser>
          <c:idx val="2"/>
          <c:order val="2"/>
          <c:tx>
            <c:strRef>
              <c:f>Лист1!$D$1</c:f>
              <c:strCache>
                <c:ptCount val="1"/>
                <c:pt idx="0">
                  <c:v>Неразгледани</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Лист1!$D$2:$D$4</c:f>
              <c:numCache>
                <c:formatCode>General</c:formatCode>
                <c:ptCount val="3"/>
                <c:pt idx="0">
                  <c:v>119</c:v>
                </c:pt>
                <c:pt idx="1">
                  <c:v>105</c:v>
                </c:pt>
                <c:pt idx="2">
                  <c:v>121</c:v>
                </c:pt>
              </c:numCache>
            </c:numRef>
          </c:val>
          <c:extLst>
            <c:ext xmlns:c16="http://schemas.microsoft.com/office/drawing/2014/chart" uri="{C3380CC4-5D6E-409C-BE32-E72D297353CC}">
              <c16:uniqueId val="{00000003-73A6-41E7-887B-5500A6EFC7AA}"/>
            </c:ext>
          </c:extLst>
        </c:ser>
        <c:dLbls>
          <c:showLegendKey val="0"/>
          <c:showVal val="0"/>
          <c:showCatName val="0"/>
          <c:showSerName val="0"/>
          <c:showPercent val="0"/>
          <c:showBubbleSize val="0"/>
        </c:dLbls>
        <c:gapWidth val="75"/>
        <c:shape val="box"/>
        <c:axId val="1332927343"/>
        <c:axId val="1"/>
        <c:axId val="0"/>
      </c:bar3DChart>
      <c:catAx>
        <c:axId val="1332927343"/>
        <c:scaling>
          <c:orientation val="minMax"/>
        </c:scaling>
        <c:delete val="0"/>
        <c:axPos val="l"/>
        <c:majorGridlines/>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b"/>
        <c:numFmt formatCode="General" sourceLinked="1"/>
        <c:majorTickMark val="none"/>
        <c:minorTickMark val="none"/>
        <c:tickLblPos val="nextTo"/>
        <c:crossAx val="1332927343"/>
        <c:crosses val="autoZero"/>
        <c:crossBetween val="between"/>
      </c:valAx>
      <c:spPr>
        <a:noFill/>
        <a:ln w="25392">
          <a:noFill/>
        </a:ln>
      </c:spPr>
    </c:plotArea>
    <c:legend>
      <c:legendPos val="r"/>
      <c:layout>
        <c:manualLayout>
          <c:xMode val="edge"/>
          <c:yMode val="edge"/>
          <c:x val="0.23408239700374531"/>
          <c:y val="0.84"/>
          <c:w val="0.52434456928838946"/>
          <c:h val="0.12"/>
        </c:manualLayout>
      </c:layout>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СГП</a:t>
            </a:r>
          </a:p>
        </c:rich>
      </c:tx>
      <c:overlay val="0"/>
    </c:title>
    <c:autoTitleDeleted val="0"/>
    <c:plotArea>
      <c:layout>
        <c:manualLayout>
          <c:layoutTarget val="inner"/>
          <c:xMode val="edge"/>
          <c:yMode val="edge"/>
          <c:x val="5.2256532066508314E-2"/>
          <c:y val="0.35509991756445608"/>
          <c:w val="0.88151160542969564"/>
          <c:h val="0.42678059789118533"/>
        </c:manualLayout>
      </c:layout>
      <c:barChart>
        <c:barDir val="col"/>
        <c:grouping val="clustered"/>
        <c:varyColors val="0"/>
        <c:ser>
          <c:idx val="0"/>
          <c:order val="0"/>
          <c:tx>
            <c:strRef>
              <c:f>Лист1!$B$1</c:f>
              <c:strCache>
                <c:ptCount val="1"/>
                <c:pt idx="0">
                  <c:v>Производства</c:v>
                </c:pt>
              </c:strCache>
            </c:strRef>
          </c:tx>
          <c:spPr>
            <a:solidFill>
              <a:srgbClr val="FF0000"/>
            </a:solidFill>
            <a:scene3d>
              <a:camera prst="orthographicFront"/>
              <a:lightRig rig="threePt" dir="t"/>
            </a:scene3d>
            <a:sp3d>
              <a:bevelT prst="relaxedInse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452</c:v>
                </c:pt>
                <c:pt idx="1">
                  <c:v>565</c:v>
                </c:pt>
                <c:pt idx="2">
                  <c:v>231</c:v>
                </c:pt>
              </c:numCache>
            </c:numRef>
          </c:val>
          <c:extLst>
            <c:ext xmlns:c16="http://schemas.microsoft.com/office/drawing/2014/chart" uri="{C3380CC4-5D6E-409C-BE32-E72D297353CC}">
              <c16:uniqueId val="{00000000-5FF9-490C-94E8-59DA13CB2DDF}"/>
            </c:ext>
          </c:extLst>
        </c:ser>
        <c:ser>
          <c:idx val="1"/>
          <c:order val="1"/>
          <c:tx>
            <c:strRef>
              <c:f>Лист1!$C$1</c:f>
              <c:strCache>
                <c:ptCount val="1"/>
                <c:pt idx="0">
                  <c:v>Заседания</c:v>
                </c:pt>
              </c:strCache>
            </c:strRef>
          </c:tx>
          <c:spPr>
            <a:solidFill>
              <a:srgbClr val="FFC000"/>
            </a:solidFill>
            <a:scene3d>
              <a:camera prst="orthographicFront"/>
              <a:lightRig rig="threePt" dir="t"/>
            </a:scene3d>
            <a:sp3d>
              <a:bevelT prst="relaxedInse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Лист1!$C$2:$C$4</c:f>
              <c:numCache>
                <c:formatCode>General</c:formatCode>
                <c:ptCount val="3"/>
                <c:pt idx="0">
                  <c:v>730</c:v>
                </c:pt>
                <c:pt idx="1">
                  <c:v>865</c:v>
                </c:pt>
                <c:pt idx="2">
                  <c:v>310</c:v>
                </c:pt>
              </c:numCache>
            </c:numRef>
          </c:val>
          <c:extLst>
            <c:ext xmlns:c16="http://schemas.microsoft.com/office/drawing/2014/chart" uri="{C3380CC4-5D6E-409C-BE32-E72D297353CC}">
              <c16:uniqueId val="{00000001-5FF9-490C-94E8-59DA13CB2DDF}"/>
            </c:ext>
          </c:extLst>
        </c:ser>
        <c:dLbls>
          <c:showLegendKey val="0"/>
          <c:showVal val="0"/>
          <c:showCatName val="0"/>
          <c:showSerName val="0"/>
          <c:showPercent val="0"/>
          <c:showBubbleSize val="0"/>
        </c:dLbls>
        <c:gapWidth val="150"/>
        <c:overlap val="-25"/>
        <c:axId val="1243053679"/>
        <c:axId val="1"/>
      </c:barChart>
      <c:catAx>
        <c:axId val="1243053679"/>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243053679"/>
        <c:crosses val="autoZero"/>
        <c:crossBetween val="between"/>
      </c:valAx>
    </c:plotArea>
    <c:legend>
      <c:legendPos val="r"/>
      <c:layout>
        <c:manualLayout>
          <c:xMode val="edge"/>
          <c:yMode val="edge"/>
          <c:x val="2.7874564459930314E-2"/>
          <c:y val="5.5248618784530384E-3"/>
          <c:w val="0.9233449477351916"/>
          <c:h val="0.40331491712707185"/>
        </c:manualLayout>
      </c:layout>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СРП</a:t>
            </a:r>
          </a:p>
        </c:rich>
      </c:tx>
      <c:overlay val="0"/>
    </c:title>
    <c:autoTitleDeleted val="0"/>
    <c:plotArea>
      <c:layout>
        <c:manualLayout>
          <c:layoutTarget val="inner"/>
          <c:xMode val="edge"/>
          <c:yMode val="edge"/>
          <c:x val="5.8201058201058198E-2"/>
          <c:y val="0.30089633957045692"/>
          <c:w val="0.78559913610809218"/>
          <c:h val="0.49757067455911763"/>
        </c:manualLayout>
      </c:layout>
      <c:barChart>
        <c:barDir val="col"/>
        <c:grouping val="clustered"/>
        <c:varyColors val="0"/>
        <c:ser>
          <c:idx val="0"/>
          <c:order val="0"/>
          <c:tx>
            <c:strRef>
              <c:f>Лист1!$B$1</c:f>
              <c:strCache>
                <c:ptCount val="1"/>
                <c:pt idx="0">
                  <c:v>Производства</c:v>
                </c:pt>
              </c:strCache>
            </c:strRef>
          </c:tx>
          <c:spPr>
            <a:solidFill>
              <a:schemeClr val="accent1">
                <a:lumMod val="75000"/>
              </a:schemeClr>
            </a:solidFill>
            <a:scene3d>
              <a:camera prst="orthographicFront"/>
              <a:lightRig rig="threePt" dir="t"/>
            </a:scene3d>
            <a:sp3d>
              <a:bevelT prst="relaxedInse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Лист1!$B$2:$B$4</c:f>
              <c:numCache>
                <c:formatCode>General</c:formatCode>
                <c:ptCount val="3"/>
                <c:pt idx="0">
                  <c:v>405</c:v>
                </c:pt>
                <c:pt idx="1">
                  <c:v>329</c:v>
                </c:pt>
                <c:pt idx="2">
                  <c:v>459</c:v>
                </c:pt>
              </c:numCache>
            </c:numRef>
          </c:val>
          <c:extLst>
            <c:ext xmlns:c16="http://schemas.microsoft.com/office/drawing/2014/chart" uri="{C3380CC4-5D6E-409C-BE32-E72D297353CC}">
              <c16:uniqueId val="{00000000-BF47-470E-B53F-6C46C768B624}"/>
            </c:ext>
          </c:extLst>
        </c:ser>
        <c:ser>
          <c:idx val="1"/>
          <c:order val="1"/>
          <c:tx>
            <c:strRef>
              <c:f>Лист1!$C$1</c:f>
              <c:strCache>
                <c:ptCount val="1"/>
                <c:pt idx="0">
                  <c:v>Заседания</c:v>
                </c:pt>
              </c:strCache>
            </c:strRef>
          </c:tx>
          <c:spPr>
            <a:solidFill>
              <a:schemeClr val="accent3">
                <a:lumMod val="75000"/>
              </a:schemeClr>
            </a:solidFill>
            <a:scene3d>
              <a:camera prst="orthographicFront"/>
              <a:lightRig rig="threePt" dir="t"/>
            </a:scene3d>
            <a:sp3d>
              <a:bevelT prst="relaxedInset"/>
            </a:sp3d>
          </c:spPr>
          <c:invertIfNegative val="0"/>
          <c:dLbls>
            <c:dLbl>
              <c:idx val="2"/>
              <c:layout>
                <c:manualLayout>
                  <c:x val="7.441860465116279E-2"/>
                  <c:y val="4.3795620437956206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47-470E-B53F-6C46C768B6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2021г.</c:v>
                </c:pt>
                <c:pt idx="1">
                  <c:v>2020г.</c:v>
                </c:pt>
                <c:pt idx="2">
                  <c:v>2019г.</c:v>
                </c:pt>
              </c:strCache>
            </c:strRef>
          </c:cat>
          <c:val>
            <c:numRef>
              <c:f>Лист1!$C$2:$C$4</c:f>
              <c:numCache>
                <c:formatCode>General</c:formatCode>
                <c:ptCount val="3"/>
                <c:pt idx="0">
                  <c:v>682</c:v>
                </c:pt>
                <c:pt idx="1">
                  <c:v>534</c:v>
                </c:pt>
                <c:pt idx="2">
                  <c:v>762</c:v>
                </c:pt>
              </c:numCache>
            </c:numRef>
          </c:val>
          <c:extLst>
            <c:ext xmlns:c16="http://schemas.microsoft.com/office/drawing/2014/chart" uri="{C3380CC4-5D6E-409C-BE32-E72D297353CC}">
              <c16:uniqueId val="{00000002-BF47-470E-B53F-6C46C768B624}"/>
            </c:ext>
          </c:extLst>
        </c:ser>
        <c:dLbls>
          <c:showLegendKey val="0"/>
          <c:showVal val="0"/>
          <c:showCatName val="0"/>
          <c:showSerName val="0"/>
          <c:showPercent val="0"/>
          <c:showBubbleSize val="0"/>
        </c:dLbls>
        <c:gapWidth val="150"/>
        <c:overlap val="-25"/>
        <c:axId val="1334952335"/>
        <c:axId val="1"/>
      </c:barChart>
      <c:catAx>
        <c:axId val="1334952335"/>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334952335"/>
        <c:crosses val="autoZero"/>
        <c:crossBetween val="between"/>
      </c:valAx>
    </c:plotArea>
    <c:legend>
      <c:legendPos val="r"/>
      <c:layout>
        <c:manualLayout>
          <c:xMode val="edge"/>
          <c:yMode val="edge"/>
          <c:x val="2.4390243902439025E-2"/>
          <c:y val="0.143646408839779"/>
          <c:w val="0.83623693379790942"/>
          <c:h val="0.11049723756906077"/>
        </c:manualLayout>
      </c:layou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9.5914260717410341E-2"/>
          <c:y val="5.4483541430192961E-2"/>
          <c:w val="0.88464129483814524"/>
          <c:h val="0.71988419274888693"/>
        </c:manualLayout>
      </c:layout>
      <c:bar3DChart>
        <c:barDir val="col"/>
        <c:grouping val="clustered"/>
        <c:varyColors val="0"/>
        <c:ser>
          <c:idx val="0"/>
          <c:order val="0"/>
          <c:spPr>
            <a:solidFill>
              <a:srgbClr val="4F81BD"/>
            </a:solidFill>
            <a:ln w="25365">
              <a:noFill/>
            </a:ln>
          </c:spPr>
          <c:invertIfNegative val="0"/>
          <c:dPt>
            <c:idx val="1"/>
            <c:invertIfNegative val="0"/>
            <c:bubble3D val="0"/>
            <c:spPr>
              <a:solidFill>
                <a:srgbClr val="C0504D"/>
              </a:solidFill>
              <a:ln w="25365">
                <a:noFill/>
              </a:ln>
            </c:spPr>
            <c:extLst>
              <c:ext xmlns:c16="http://schemas.microsoft.com/office/drawing/2014/chart" uri="{C3380CC4-5D6E-409C-BE32-E72D297353CC}">
                <c16:uniqueId val="{00000000-66E6-4D00-A7BE-CD66F3F7B26B}"/>
              </c:ext>
            </c:extLst>
          </c:dPt>
          <c:dPt>
            <c:idx val="2"/>
            <c:invertIfNegative val="0"/>
            <c:bubble3D val="0"/>
            <c:spPr>
              <a:solidFill>
                <a:srgbClr val="F79646"/>
              </a:solidFill>
              <a:ln w="25365">
                <a:noFill/>
              </a:ln>
            </c:spPr>
            <c:extLst>
              <c:ext xmlns:c16="http://schemas.microsoft.com/office/drawing/2014/chart" uri="{C3380CC4-5D6E-409C-BE32-E72D297353CC}">
                <c16:uniqueId val="{00000001-66E6-4D00-A7BE-CD66F3F7B26B}"/>
              </c:ext>
            </c:extLst>
          </c:dPt>
          <c:dLbls>
            <c:dLbl>
              <c:idx val="0"/>
              <c:layout>
                <c:manualLayout>
                  <c:x val="2.7777777777777779E-3"/>
                  <c:y val="-5.5555555555555552E-2"/>
                </c:manualLayout>
              </c:layout>
              <c:tx>
                <c:rich>
                  <a:bodyPr/>
                  <a:lstStyle/>
                  <a:p>
                    <a:r>
                      <a:rPr lang="en-US"/>
                      <a:t>7,88%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E6-4D00-A7BE-CD66F3F7B26B}"/>
                </c:ext>
              </c:extLst>
            </c:dLbl>
            <c:dLbl>
              <c:idx val="1"/>
              <c:layout>
                <c:manualLayout>
                  <c:x val="0"/>
                  <c:y val="-3.7037037037037077E-2"/>
                </c:manualLayout>
              </c:layout>
              <c:tx>
                <c:rich>
                  <a:bodyPr/>
                  <a:lstStyle/>
                  <a:p>
                    <a:r>
                      <a:rPr lang="en-US"/>
                      <a:t>36,28%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E6-4D00-A7BE-CD66F3F7B26B}"/>
                </c:ext>
              </c:extLst>
            </c:dLbl>
            <c:dLbl>
              <c:idx val="2"/>
              <c:layout>
                <c:manualLayout>
                  <c:x val="8.3333333333332309E-3"/>
                  <c:y val="-3.2407407407407406E-2"/>
                </c:manualLayout>
              </c:layout>
              <c:tx>
                <c:rich>
                  <a:bodyPr/>
                  <a:lstStyle/>
                  <a:p>
                    <a:r>
                      <a:rPr lang="en-US"/>
                      <a:t>55,82%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E6-4D00-A7BE-CD66F3F7B26B}"/>
                </c:ext>
              </c:extLst>
            </c:dLbl>
            <c:spPr>
              <a:noFill/>
              <a:ln w="25365">
                <a:noFill/>
              </a:ln>
            </c:spPr>
            <c:txPr>
              <a:bodyPr rot="0" spcFirstLastPara="1" vertOverflow="ellipsis" vert="horz" wrap="square" anchor="ctr" anchorCtr="1"/>
              <a:lstStyle/>
              <a:p>
                <a:pPr>
                  <a:defRPr sz="1049" b="1"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Sheet2!$A$1:$A$3</c:f>
              <c:strCache>
                <c:ptCount val="3"/>
                <c:pt idx="0">
                  <c:v>I  група</c:v>
                </c:pt>
                <c:pt idx="1">
                  <c:v>II група</c:v>
                </c:pt>
                <c:pt idx="2">
                  <c:v>III група</c:v>
                </c:pt>
              </c:strCache>
            </c:strRef>
          </c:cat>
          <c:val>
            <c:numRef>
              <c:f>Sheet2!$B$1:$B$3</c:f>
              <c:numCache>
                <c:formatCode>#,#00%</c:formatCode>
                <c:ptCount val="3"/>
                <c:pt idx="0">
                  <c:v>7.8799999999999995E-2</c:v>
                </c:pt>
                <c:pt idx="1">
                  <c:v>0.36280000000000001</c:v>
                </c:pt>
                <c:pt idx="2">
                  <c:v>0.55820000000000003</c:v>
                </c:pt>
              </c:numCache>
            </c:numRef>
          </c:val>
          <c:extLst>
            <c:ext xmlns:c16="http://schemas.microsoft.com/office/drawing/2014/chart" uri="{C3380CC4-5D6E-409C-BE32-E72D297353CC}">
              <c16:uniqueId val="{00000003-66E6-4D00-A7BE-CD66F3F7B26B}"/>
            </c:ext>
          </c:extLst>
        </c:ser>
        <c:dLbls>
          <c:showLegendKey val="0"/>
          <c:showVal val="0"/>
          <c:showCatName val="0"/>
          <c:showSerName val="0"/>
          <c:showPercent val="0"/>
          <c:showBubbleSize val="0"/>
        </c:dLbls>
        <c:gapWidth val="150"/>
        <c:shape val="box"/>
        <c:axId val="1328659855"/>
        <c:axId val="1"/>
        <c:axId val="0"/>
      </c:bar3DChart>
      <c:catAx>
        <c:axId val="1328659855"/>
        <c:scaling>
          <c:orientation val="minMax"/>
        </c:scaling>
        <c:delete val="0"/>
        <c:axPos val="b"/>
        <c:numFmt formatCode="General" sourceLinked="1"/>
        <c:majorTickMark val="none"/>
        <c:minorTickMark val="none"/>
        <c:tickLblPos val="nextTo"/>
        <c:spPr>
          <a:ln w="9512">
            <a:noFill/>
          </a:ln>
        </c:spPr>
        <c:txPr>
          <a:bodyPr rot="-60000000" spcFirstLastPara="1" vertOverflow="ellipsis" vert="horz" wrap="square" anchor="ctr" anchorCtr="1"/>
          <a:lstStyle/>
          <a:p>
            <a:pPr>
              <a:defRPr sz="1049"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orientation val="minMax"/>
        </c:scaling>
        <c:delete val="0"/>
        <c:axPos val="l"/>
        <c:majorGridlines>
          <c:spPr>
            <a:ln w="9512" cap="flat" cmpd="sng" algn="ctr">
              <a:solidFill>
                <a:schemeClr val="tx1">
                  <a:lumMod val="15000"/>
                  <a:lumOff val="85000"/>
                </a:schemeClr>
              </a:solidFill>
              <a:round/>
            </a:ln>
            <a:effectLst/>
          </c:spPr>
        </c:majorGridlines>
        <c:numFmt formatCode="0%" sourceLinked="0"/>
        <c:majorTickMark val="none"/>
        <c:minorTickMark val="none"/>
        <c:tickLblPos val="nextTo"/>
        <c:spPr>
          <a:ln w="9512">
            <a:noFill/>
          </a:ln>
        </c:spPr>
        <c:txPr>
          <a:bodyPr rot="-60000000" spcFirstLastPara="1" vertOverflow="ellipsis" vert="horz" wrap="square" anchor="ctr" anchorCtr="1"/>
          <a:lstStyle/>
          <a:p>
            <a:pPr>
              <a:defRPr sz="1049" b="1" i="0" u="none" strike="noStrike" kern="1200" baseline="0">
                <a:solidFill>
                  <a:sysClr val="windowText" lastClr="000000"/>
                </a:solidFill>
                <a:latin typeface="+mn-lt"/>
                <a:ea typeface="+mn-ea"/>
                <a:cs typeface="+mn-cs"/>
              </a:defRPr>
            </a:pPr>
            <a:endParaRPr lang="bg-BG"/>
          </a:p>
        </c:txPr>
        <c:crossAx val="1328659855"/>
        <c:crosses val="autoZero"/>
        <c:crossBetween val="between"/>
      </c:valAx>
      <c:spPr>
        <a:noFill/>
        <a:ln w="25393">
          <a:noFill/>
        </a:ln>
      </c:spPr>
    </c:plotArea>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sz="1049" b="1">
          <a:solidFill>
            <a:sysClr val="windowText" lastClr="000000"/>
          </a:solidFill>
        </a:defRPr>
      </a:pPr>
      <a:endParaRPr lang="bg-BG"/>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28382699378613"/>
          <c:y val="3.0897821982778469E-2"/>
          <c:w val="0.79377865071988496"/>
          <c:h val="0.8058968058968059"/>
        </c:manualLayout>
      </c:layout>
      <c:lineChart>
        <c:grouping val="stacked"/>
        <c:varyColors val="0"/>
        <c:ser>
          <c:idx val="0"/>
          <c:order val="0"/>
          <c:tx>
            <c:strRef>
              <c:f>Sheet1!$A$2</c:f>
              <c:strCache>
                <c:ptCount val="1"/>
                <c:pt idx="0">
                  <c:v>Процент, %</c:v>
                </c:pt>
              </c:strCache>
            </c:strRef>
          </c:tx>
          <c:marker>
            <c:symbol val="diamond"/>
            <c:size val="3"/>
            <c:spPr>
              <a:solidFill>
                <a:srgbClr val="000080"/>
              </a:solidFill>
              <a:ln>
                <a:solidFill>
                  <a:srgbClr val="000080"/>
                </a:solidFill>
                <a:prstDash val="solid"/>
              </a:ln>
            </c:spPr>
          </c:marker>
          <c:dLbls>
            <c:dLbl>
              <c:idx val="0"/>
              <c:layout>
                <c:manualLayout>
                  <c:x val="-5.5430737026544719E-2"/>
                  <c:y val="4.7110232338805402E-2"/>
                </c:manualLayout>
              </c:layout>
              <c:numFmt formatCode="General" sourceLinked="0"/>
              <c:spPr>
                <a:noFill/>
                <a:ln w="23763">
                  <a:noFill/>
                </a:ln>
              </c:spPr>
              <c:txPr>
                <a:bodyPr/>
                <a:lstStyle/>
                <a:p>
                  <a:pPr>
                    <a:defRPr sz="1055" b="1" i="0" u="none" strike="noStrike" baseline="0">
                      <a:solidFill>
                        <a:srgbClr val="000000"/>
                      </a:solidFill>
                      <a:latin typeface="Calibri"/>
                      <a:ea typeface="Calibri"/>
                      <a:cs typeface="Calibri"/>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F7-4C9D-85C9-91D534744F61}"/>
                </c:ext>
              </c:extLst>
            </c:dLbl>
            <c:dLbl>
              <c:idx val="1"/>
              <c:layout>
                <c:manualLayout>
                  <c:x val="-4.7125173534794729E-2"/>
                  <c:y val="4.9960264874443827E-2"/>
                </c:manualLayout>
              </c:layout>
              <c:numFmt formatCode="General" sourceLinked="0"/>
              <c:spPr>
                <a:noFill/>
                <a:ln w="23763">
                  <a:noFill/>
                </a:ln>
              </c:spPr>
              <c:txPr>
                <a:bodyPr/>
                <a:lstStyle/>
                <a:p>
                  <a:pPr>
                    <a:defRPr sz="1055" b="1" i="0" u="none" strike="noStrike" baseline="0">
                      <a:solidFill>
                        <a:srgbClr val="000000"/>
                      </a:solidFill>
                      <a:latin typeface="Calibri"/>
                      <a:ea typeface="Calibri"/>
                      <a:cs typeface="Calibri"/>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F7-4C9D-85C9-91D534744F61}"/>
                </c:ext>
              </c:extLst>
            </c:dLbl>
            <c:dLbl>
              <c:idx val="2"/>
              <c:layout>
                <c:manualLayout>
                  <c:x val="-5.0447345472604765E-2"/>
                  <c:y val="2.7513236909940064E-2"/>
                </c:manualLayout>
              </c:layout>
              <c:numFmt formatCode="General" sourceLinked="0"/>
              <c:spPr>
                <a:noFill/>
                <a:ln w="23763">
                  <a:noFill/>
                </a:ln>
              </c:spPr>
              <c:txPr>
                <a:bodyPr/>
                <a:lstStyle/>
                <a:p>
                  <a:pPr>
                    <a:defRPr sz="1055" b="1" i="0" u="none" strike="noStrike" baseline="0">
                      <a:solidFill>
                        <a:srgbClr val="000000"/>
                      </a:solidFill>
                      <a:latin typeface="Calibri"/>
                      <a:ea typeface="Calibri"/>
                      <a:cs typeface="Calibri"/>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F7-4C9D-85C9-91D534744F61}"/>
                </c:ext>
              </c:extLst>
            </c:dLbl>
            <c:dLbl>
              <c:idx val="3"/>
              <c:layout>
                <c:manualLayout>
                  <c:xMode val="edge"/>
                  <c:yMode val="edge"/>
                  <c:x val="0.93853820598006643"/>
                  <c:y val="0.59459459459459463"/>
                </c:manualLayout>
              </c:layout>
              <c:numFmt formatCode="General" sourceLinked="0"/>
              <c:spPr>
                <a:noFill/>
                <a:ln w="23763">
                  <a:noFill/>
                </a:ln>
              </c:spPr>
              <c:txPr>
                <a:bodyPr/>
                <a:lstStyle/>
                <a:p>
                  <a:pPr>
                    <a:defRPr sz="1055" b="1" i="0" u="none" strike="noStrike" baseline="0">
                      <a:solidFill>
                        <a:srgbClr val="000000"/>
                      </a:solidFill>
                      <a:latin typeface="Calibri"/>
                      <a:ea typeface="Calibri"/>
                      <a:cs typeface="Calibri"/>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F7-4C9D-85C9-91D534744F61}"/>
                </c:ext>
              </c:extLst>
            </c:dLbl>
            <c:dLbl>
              <c:idx val="4"/>
              <c:numFmt formatCode="General" sourceLinked="0"/>
              <c:spPr>
                <a:noFill/>
                <a:ln w="23763">
                  <a:noFill/>
                </a:ln>
              </c:spPr>
              <c:txPr>
                <a:bodyPr/>
                <a:lstStyle/>
                <a:p>
                  <a:pPr>
                    <a:defRPr sz="1055" b="1" i="0" u="none" strike="noStrike" baseline="0">
                      <a:solidFill>
                        <a:srgbClr val="000000"/>
                      </a:solidFill>
                      <a:latin typeface="Calibri"/>
                      <a:ea typeface="Calibri"/>
                      <a:cs typeface="Calibri"/>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F7-4C9D-85C9-91D534744F61}"/>
                </c:ext>
              </c:extLst>
            </c:dLbl>
            <c:dLbl>
              <c:idx val="5"/>
              <c:numFmt formatCode="General" sourceLinked="0"/>
              <c:spPr>
                <a:noFill/>
                <a:ln w="23763">
                  <a:noFill/>
                </a:ln>
              </c:spPr>
              <c:txPr>
                <a:bodyPr/>
                <a:lstStyle/>
                <a:p>
                  <a:pPr>
                    <a:defRPr sz="1055" b="1" i="0" u="none" strike="noStrike" baseline="0">
                      <a:solidFill>
                        <a:srgbClr val="000000"/>
                      </a:solidFill>
                      <a:latin typeface="Calibri"/>
                      <a:ea typeface="Calibri"/>
                      <a:cs typeface="Calibri"/>
                    </a:defRPr>
                  </a:pPr>
                  <a:endParaRPr lang="bg-BG"/>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F7-4C9D-85C9-91D534744F61}"/>
                </c:ext>
              </c:extLst>
            </c:dLbl>
            <c:numFmt formatCode="General" sourceLinked="0"/>
            <c:spPr>
              <a:noFill/>
              <a:ln w="23763">
                <a:noFill/>
              </a:ln>
            </c:spPr>
            <c:txPr>
              <a:bodyPr wrap="square" lIns="38100" tIns="19050" rIns="38100" bIns="19050" anchor="ctr">
                <a:spAutoFit/>
              </a:bodyPr>
              <a:lstStyle/>
              <a:p>
                <a:pPr>
                  <a:defRPr sz="1055" b="1"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2019 г.</c:v>
                </c:pt>
                <c:pt idx="1">
                  <c:v>2020 г.</c:v>
                </c:pt>
                <c:pt idx="2">
                  <c:v>2021г.</c:v>
                </c:pt>
              </c:strCache>
            </c:strRef>
          </c:cat>
          <c:val>
            <c:numRef>
              <c:f>Sheet1!$B$2:$D$2</c:f>
              <c:numCache>
                <c:formatCode>#,000%</c:formatCode>
                <c:ptCount val="3"/>
                <c:pt idx="0">
                  <c:v>0.97689999999999999</c:v>
                </c:pt>
                <c:pt idx="1">
                  <c:v>0.95850000000000002</c:v>
                </c:pt>
                <c:pt idx="2">
                  <c:v>0.94320000000000004</c:v>
                </c:pt>
              </c:numCache>
            </c:numRef>
          </c:val>
          <c:smooth val="0"/>
          <c:extLst>
            <c:ext xmlns:c16="http://schemas.microsoft.com/office/drawing/2014/chart" uri="{C3380CC4-5D6E-409C-BE32-E72D297353CC}">
              <c16:uniqueId val="{00000006-A4F7-4C9D-85C9-91D534744F61}"/>
            </c:ext>
          </c:extLst>
        </c:ser>
        <c:dLbls>
          <c:showLegendKey val="0"/>
          <c:showVal val="0"/>
          <c:showCatName val="0"/>
          <c:showSerName val="0"/>
          <c:showPercent val="0"/>
          <c:showBubbleSize val="0"/>
        </c:dLbls>
        <c:marker val="1"/>
        <c:smooth val="0"/>
        <c:axId val="1328660687"/>
        <c:axId val="1"/>
      </c:lineChart>
      <c:catAx>
        <c:axId val="1328660687"/>
        <c:scaling>
          <c:orientation val="minMax"/>
        </c:scaling>
        <c:delete val="0"/>
        <c:axPos val="b"/>
        <c:numFmt formatCode="General" sourceLinked="1"/>
        <c:majorTickMark val="out"/>
        <c:minorTickMark val="none"/>
        <c:tickLblPos val="nextTo"/>
        <c:spPr>
          <a:ln w="2970">
            <a:solidFill>
              <a:srgbClr val="000000"/>
            </a:solidFill>
            <a:prstDash val="solid"/>
          </a:ln>
        </c:spPr>
        <c:txPr>
          <a:bodyPr rot="0" vert="horz"/>
          <a:lstStyle/>
          <a:p>
            <a:pPr>
              <a:defRPr sz="1285" b="1" i="0" u="none" strike="noStrike" baseline="0">
                <a:solidFill>
                  <a:srgbClr val="000000"/>
                </a:solidFill>
                <a:latin typeface="Calibri"/>
                <a:ea typeface="Calibri"/>
                <a:cs typeface="Calibri"/>
              </a:defRPr>
            </a:pPr>
            <a:endParaRPr lang="bg-BG"/>
          </a:p>
        </c:txPr>
        <c:crossAx val="1"/>
        <c:crosses val="autoZero"/>
        <c:auto val="1"/>
        <c:lblAlgn val="ctr"/>
        <c:lblOffset val="100"/>
        <c:noMultiLvlLbl val="0"/>
      </c:catAx>
      <c:valAx>
        <c:axId val="1"/>
        <c:scaling>
          <c:orientation val="minMax"/>
        </c:scaling>
        <c:delete val="0"/>
        <c:axPos val="l"/>
        <c:majorGridlines>
          <c:spPr>
            <a:ln w="2970">
              <a:solidFill>
                <a:srgbClr val="0070C0"/>
              </a:solidFill>
              <a:prstDash val="sysDash"/>
            </a:ln>
          </c:spPr>
        </c:majorGridlines>
        <c:numFmt formatCode="#,000%" sourceLinked="1"/>
        <c:majorTickMark val="out"/>
        <c:minorTickMark val="none"/>
        <c:tickLblPos val="nextTo"/>
        <c:spPr>
          <a:ln w="2970">
            <a:solidFill>
              <a:srgbClr val="000000"/>
            </a:solidFill>
            <a:prstDash val="solid"/>
          </a:ln>
        </c:spPr>
        <c:txPr>
          <a:bodyPr rot="0" vert="horz"/>
          <a:lstStyle/>
          <a:p>
            <a:pPr>
              <a:defRPr sz="985" b="1" i="0" u="none" strike="noStrike" baseline="0">
                <a:solidFill>
                  <a:srgbClr val="000000"/>
                </a:solidFill>
                <a:latin typeface="Calibri"/>
                <a:ea typeface="Calibri"/>
                <a:cs typeface="Calibri"/>
              </a:defRPr>
            </a:pPr>
            <a:endParaRPr lang="bg-BG"/>
          </a:p>
        </c:txPr>
        <c:crossAx val="1328660687"/>
        <c:crosses val="autoZero"/>
        <c:crossBetween val="between"/>
      </c:valAx>
      <c:spPr>
        <a:gradFill>
          <a:gsLst>
            <a:gs pos="0">
              <a:srgbClr val="4F81BD">
                <a:tint val="66000"/>
                <a:satMod val="160000"/>
              </a:srgbClr>
            </a:gs>
            <a:gs pos="42000">
              <a:srgbClr val="4F81BD">
                <a:tint val="44500"/>
                <a:satMod val="160000"/>
                <a:lumMod val="78000"/>
                <a:lumOff val="22000"/>
                <a:alpha val="80000"/>
              </a:srgbClr>
            </a:gs>
            <a:gs pos="100000">
              <a:srgbClr val="4F81BD">
                <a:tint val="23500"/>
                <a:satMod val="160000"/>
              </a:srgbClr>
            </a:gs>
          </a:gsLst>
          <a:lin ang="6000000" scaled="0"/>
        </a:gradFill>
        <a:ln w="11881">
          <a:solidFill>
            <a:srgbClr val="808080"/>
          </a:solidFill>
          <a:prstDash val="solid"/>
        </a:ln>
        <a:effectLst>
          <a:glow>
            <a:srgbClr val="4F81BD">
              <a:alpha val="66000"/>
            </a:srgbClr>
          </a:glow>
          <a:innerShdw blurRad="63500" dist="50800" dir="18900000">
            <a:prstClr val="black">
              <a:alpha val="50000"/>
            </a:prstClr>
          </a:innerShdw>
        </a:effectLst>
      </c:spPr>
    </c:plotArea>
    <c:plotVisOnly val="1"/>
    <c:dispBlanksAs val="gap"/>
    <c:showDLblsOverMax val="0"/>
  </c:chart>
  <c:spPr>
    <a:noFill/>
    <a:ln>
      <a:noFill/>
    </a:ln>
  </c:spPr>
  <c:txPr>
    <a:bodyPr/>
    <a:lstStyle/>
    <a:p>
      <a:pPr>
        <a:defRPr sz="1615" b="1" i="0" u="none" strike="noStrike" baseline="0">
          <a:solidFill>
            <a:srgbClr val="000000"/>
          </a:solidFill>
          <a:latin typeface="Calibri"/>
          <a:ea typeface="Calibri"/>
          <a:cs typeface="Calibri"/>
        </a:defRPr>
      </a:pPr>
      <a:endParaRPr lang="bg-BG"/>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31190926275993"/>
          <c:y val="5.4945054945054944E-2"/>
          <c:w val="0.44801512287334594"/>
          <c:h val="0.86813186813186816"/>
        </c:manualLayout>
      </c:layout>
      <c:pieChart>
        <c:varyColors val="1"/>
        <c:ser>
          <c:idx val="0"/>
          <c:order val="0"/>
          <c:tx>
            <c:strRef>
              <c:f>Sheet1!$A$2</c:f>
              <c:strCache>
                <c:ptCount val="1"/>
                <c:pt idx="0">
                  <c:v>Престъпления, свързани с Еврофондове-общо 85бр.</c:v>
                </c:pt>
              </c:strCache>
            </c:strRef>
          </c:tx>
          <c:spPr>
            <a:solidFill>
              <a:srgbClr val="FF0000"/>
            </a:solidFill>
            <a:ln w="9504">
              <a:solidFill>
                <a:srgbClr val="000000"/>
              </a:solidFill>
              <a:prstDash val="solid"/>
            </a:ln>
          </c:spPr>
          <c:dPt>
            <c:idx val="0"/>
            <c:bubble3D val="0"/>
            <c:extLst>
              <c:ext xmlns:c16="http://schemas.microsoft.com/office/drawing/2014/chart" uri="{C3380CC4-5D6E-409C-BE32-E72D297353CC}">
                <c16:uniqueId val="{00000000-4E3E-4F0E-86BF-2BBF4E0765A2}"/>
              </c:ext>
            </c:extLst>
          </c:dPt>
          <c:dPt>
            <c:idx val="1"/>
            <c:bubble3D val="0"/>
            <c:spPr>
              <a:solidFill>
                <a:srgbClr val="FFFF00"/>
              </a:solidFill>
              <a:ln w="9504">
                <a:solidFill>
                  <a:srgbClr val="000000"/>
                </a:solidFill>
                <a:prstDash val="solid"/>
              </a:ln>
            </c:spPr>
            <c:extLst>
              <c:ext xmlns:c16="http://schemas.microsoft.com/office/drawing/2014/chart" uri="{C3380CC4-5D6E-409C-BE32-E72D297353CC}">
                <c16:uniqueId val="{00000001-4E3E-4F0E-86BF-2BBF4E0765A2}"/>
              </c:ext>
            </c:extLst>
          </c:dPt>
          <c:dPt>
            <c:idx val="2"/>
            <c:bubble3D val="0"/>
            <c:spPr>
              <a:solidFill>
                <a:srgbClr val="92D050"/>
              </a:solidFill>
              <a:ln w="9504">
                <a:solidFill>
                  <a:srgbClr val="000000"/>
                </a:solidFill>
                <a:prstDash val="solid"/>
              </a:ln>
            </c:spPr>
            <c:extLst>
              <c:ext xmlns:c16="http://schemas.microsoft.com/office/drawing/2014/chart" uri="{C3380CC4-5D6E-409C-BE32-E72D297353CC}">
                <c16:uniqueId val="{00000002-4E3E-4F0E-86BF-2BBF4E0765A2}"/>
              </c:ext>
            </c:extLst>
          </c:dPt>
          <c:dPt>
            <c:idx val="3"/>
            <c:bubble3D val="0"/>
            <c:extLst>
              <c:ext xmlns:c16="http://schemas.microsoft.com/office/drawing/2014/chart" uri="{C3380CC4-5D6E-409C-BE32-E72D297353CC}">
                <c16:uniqueId val="{00000003-4E3E-4F0E-86BF-2BBF4E0765A2}"/>
              </c:ext>
            </c:extLst>
          </c:dPt>
          <c:dLbls>
            <c:dLbl>
              <c:idx val="0"/>
              <c:layout>
                <c:manualLayout>
                  <c:x val="-6.1827741011370495E-3"/>
                  <c:y val="6.6977891651810451E-2"/>
                </c:manualLayout>
              </c:layout>
              <c:tx>
                <c:rich>
                  <a:bodyPr/>
                  <a:lstStyle/>
                  <a:p>
                    <a:pPr>
                      <a:defRPr/>
                    </a:pPr>
                    <a:r>
                      <a:rPr lang="en-US"/>
                      <a:t>93,75%</a:t>
                    </a:r>
                  </a:p>
                </c:rich>
              </c:tx>
              <c:spPr>
                <a:noFill/>
                <a:ln w="1900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3E-4F0E-86BF-2BBF4E0765A2}"/>
                </c:ext>
              </c:extLst>
            </c:dLbl>
            <c:dLbl>
              <c:idx val="1"/>
              <c:layout>
                <c:manualLayout>
                  <c:x val="4.9797388213516265E-3"/>
                  <c:y val="1.1732314044670001E-3"/>
                </c:manualLayout>
              </c:layout>
              <c:tx>
                <c:rich>
                  <a:bodyPr/>
                  <a:lstStyle/>
                  <a:p>
                    <a:pPr>
                      <a:defRPr/>
                    </a:pPr>
                    <a:r>
                      <a:rPr lang="en-US"/>
                      <a:t>3,12%</a:t>
                    </a:r>
                  </a:p>
                </c:rich>
              </c:tx>
              <c:spPr>
                <a:noFill/>
                <a:ln w="1900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3E-4F0E-86BF-2BBF4E0765A2}"/>
                </c:ext>
              </c:extLst>
            </c:dLbl>
            <c:dLbl>
              <c:idx val="2"/>
              <c:layout>
                <c:manualLayout>
                  <c:x val="3.1291396836801023E-2"/>
                  <c:y val="1.1759172154280338E-3"/>
                </c:manualLayout>
              </c:layout>
              <c:tx>
                <c:rich>
                  <a:bodyPr/>
                  <a:lstStyle/>
                  <a:p>
                    <a:pPr>
                      <a:defRPr/>
                    </a:pPr>
                    <a:r>
                      <a:rPr lang="en-US"/>
                      <a:t>3,13%</a:t>
                    </a:r>
                  </a:p>
                </c:rich>
              </c:tx>
              <c:spPr>
                <a:noFill/>
                <a:ln w="1900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3E-4F0E-86BF-2BBF4E0765A2}"/>
                </c:ext>
              </c:extLst>
            </c:dLbl>
            <c:dLbl>
              <c:idx val="3"/>
              <c:delete val="1"/>
              <c:extLst>
                <c:ext xmlns:c15="http://schemas.microsoft.com/office/drawing/2012/chart" uri="{CE6537A1-D6FC-4f65-9D91-7224C49458BB}"/>
                <c:ext xmlns:c16="http://schemas.microsoft.com/office/drawing/2014/chart" uri="{C3380CC4-5D6E-409C-BE32-E72D297353CC}">
                  <c16:uniqueId val="{00000003-4E3E-4F0E-86BF-2BBF4E0765A2}"/>
                </c:ext>
              </c:extLst>
            </c:dLbl>
            <c:spPr>
              <a:noFill/>
              <a:ln w="19007">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Гл.6 от НК</c:v>
                </c:pt>
                <c:pt idx="1">
                  <c:v>Гл.7 от НК</c:v>
                </c:pt>
                <c:pt idx="2">
                  <c:v>По други текстове от НК извън посочените</c:v>
                </c:pt>
              </c:strCache>
            </c:strRef>
          </c:cat>
          <c:val>
            <c:numRef>
              <c:f>Sheet1!$B$2:$E$2</c:f>
              <c:numCache>
                <c:formatCode>#,000%</c:formatCode>
                <c:ptCount val="4"/>
                <c:pt idx="0">
                  <c:v>0.9375</c:v>
                </c:pt>
                <c:pt idx="1">
                  <c:v>3.125E-2</c:v>
                </c:pt>
                <c:pt idx="2">
                  <c:v>3.125E-2</c:v>
                </c:pt>
              </c:numCache>
            </c:numRef>
          </c:val>
          <c:extLst>
            <c:ext xmlns:c16="http://schemas.microsoft.com/office/drawing/2014/chart" uri="{C3380CC4-5D6E-409C-BE32-E72D297353CC}">
              <c16:uniqueId val="{00000004-4E3E-4F0E-86BF-2BBF4E0765A2}"/>
            </c:ext>
          </c:extLst>
        </c:ser>
        <c:ser>
          <c:idx val="1"/>
          <c:order val="1"/>
          <c:spPr>
            <a:solidFill>
              <a:srgbClr val="993366"/>
            </a:solidFill>
            <a:ln w="9504">
              <a:solidFill>
                <a:srgbClr val="000000"/>
              </a:solidFill>
              <a:prstDash val="solid"/>
            </a:ln>
          </c:spPr>
          <c:dPt>
            <c:idx val="0"/>
            <c:bubble3D val="0"/>
            <c:spPr>
              <a:solidFill>
                <a:srgbClr val="9999FF"/>
              </a:solidFill>
              <a:ln w="9504">
                <a:solidFill>
                  <a:srgbClr val="000000"/>
                </a:solidFill>
                <a:prstDash val="solid"/>
              </a:ln>
            </c:spPr>
            <c:extLst>
              <c:ext xmlns:c16="http://schemas.microsoft.com/office/drawing/2014/chart" uri="{C3380CC4-5D6E-409C-BE32-E72D297353CC}">
                <c16:uniqueId val="{00000005-4E3E-4F0E-86BF-2BBF4E0765A2}"/>
              </c:ext>
            </c:extLst>
          </c:dPt>
          <c:dPt>
            <c:idx val="1"/>
            <c:bubble3D val="0"/>
            <c:extLst>
              <c:ext xmlns:c16="http://schemas.microsoft.com/office/drawing/2014/chart" uri="{C3380CC4-5D6E-409C-BE32-E72D297353CC}">
                <c16:uniqueId val="{00000006-4E3E-4F0E-86BF-2BBF4E0765A2}"/>
              </c:ext>
            </c:extLst>
          </c:dPt>
          <c:dPt>
            <c:idx val="2"/>
            <c:bubble3D val="0"/>
            <c:spPr>
              <a:solidFill>
                <a:srgbClr val="FFFFCC"/>
              </a:solidFill>
              <a:ln w="9504">
                <a:solidFill>
                  <a:srgbClr val="000000"/>
                </a:solidFill>
                <a:prstDash val="solid"/>
              </a:ln>
            </c:spPr>
            <c:extLst>
              <c:ext xmlns:c16="http://schemas.microsoft.com/office/drawing/2014/chart" uri="{C3380CC4-5D6E-409C-BE32-E72D297353CC}">
                <c16:uniqueId val="{00000007-4E3E-4F0E-86BF-2BBF4E0765A2}"/>
              </c:ext>
            </c:extLst>
          </c:dPt>
          <c:dPt>
            <c:idx val="3"/>
            <c:bubble3D val="0"/>
            <c:spPr>
              <a:solidFill>
                <a:srgbClr val="CCFFFF"/>
              </a:solidFill>
              <a:ln w="9504">
                <a:solidFill>
                  <a:srgbClr val="000000"/>
                </a:solidFill>
                <a:prstDash val="solid"/>
              </a:ln>
            </c:spPr>
            <c:extLst>
              <c:ext xmlns:c16="http://schemas.microsoft.com/office/drawing/2014/chart" uri="{C3380CC4-5D6E-409C-BE32-E72D297353CC}">
                <c16:uniqueId val="{00000008-4E3E-4F0E-86BF-2BBF4E0765A2}"/>
              </c:ext>
            </c:extLst>
          </c:dPt>
          <c:cat>
            <c:strRef>
              <c:f>Sheet1!$B$1:$D$1</c:f>
              <c:strCache>
                <c:ptCount val="3"/>
                <c:pt idx="0">
                  <c:v>Гл.6 от НК</c:v>
                </c:pt>
                <c:pt idx="1">
                  <c:v>Гл.7 от НК</c:v>
                </c:pt>
                <c:pt idx="2">
                  <c:v>По други текстове от НК извън посочените</c:v>
                </c:pt>
              </c:strCache>
            </c:strRef>
          </c:cat>
          <c:val>
            <c:numLit>
              <c:formatCode>General</c:formatCode>
              <c:ptCount val="1"/>
              <c:pt idx="0">
                <c:v>0</c:v>
              </c:pt>
            </c:numLit>
          </c:val>
          <c:extLst>
            <c:ext xmlns:c16="http://schemas.microsoft.com/office/drawing/2014/chart" uri="{C3380CC4-5D6E-409C-BE32-E72D297353CC}">
              <c16:uniqueId val="{00000009-4E3E-4F0E-86BF-2BBF4E0765A2}"/>
            </c:ext>
          </c:extLst>
        </c:ser>
        <c:ser>
          <c:idx val="2"/>
          <c:order val="2"/>
          <c:tx>
            <c:strRef>
              <c:f>Sheet1!$A$3</c:f>
              <c:strCache>
                <c:ptCount val="1"/>
              </c:strCache>
            </c:strRef>
          </c:tx>
          <c:spPr>
            <a:solidFill>
              <a:srgbClr val="FFFFCC"/>
            </a:solidFill>
            <a:ln w="9504">
              <a:solidFill>
                <a:srgbClr val="000000"/>
              </a:solidFill>
              <a:prstDash val="solid"/>
            </a:ln>
          </c:spPr>
          <c:dPt>
            <c:idx val="0"/>
            <c:bubble3D val="0"/>
            <c:spPr>
              <a:solidFill>
                <a:srgbClr val="9999FF"/>
              </a:solidFill>
              <a:ln w="9504">
                <a:solidFill>
                  <a:srgbClr val="000000"/>
                </a:solidFill>
                <a:prstDash val="solid"/>
              </a:ln>
            </c:spPr>
            <c:extLst>
              <c:ext xmlns:c16="http://schemas.microsoft.com/office/drawing/2014/chart" uri="{C3380CC4-5D6E-409C-BE32-E72D297353CC}">
                <c16:uniqueId val="{0000000A-4E3E-4F0E-86BF-2BBF4E0765A2}"/>
              </c:ext>
            </c:extLst>
          </c:dPt>
          <c:dPt>
            <c:idx val="1"/>
            <c:bubble3D val="0"/>
            <c:spPr>
              <a:solidFill>
                <a:srgbClr val="993366"/>
              </a:solidFill>
              <a:ln w="9504">
                <a:solidFill>
                  <a:srgbClr val="000000"/>
                </a:solidFill>
                <a:prstDash val="solid"/>
              </a:ln>
            </c:spPr>
            <c:extLst>
              <c:ext xmlns:c16="http://schemas.microsoft.com/office/drawing/2014/chart" uri="{C3380CC4-5D6E-409C-BE32-E72D297353CC}">
                <c16:uniqueId val="{0000000B-4E3E-4F0E-86BF-2BBF4E0765A2}"/>
              </c:ext>
            </c:extLst>
          </c:dPt>
          <c:dPt>
            <c:idx val="2"/>
            <c:bubble3D val="0"/>
            <c:extLst>
              <c:ext xmlns:c16="http://schemas.microsoft.com/office/drawing/2014/chart" uri="{C3380CC4-5D6E-409C-BE32-E72D297353CC}">
                <c16:uniqueId val="{0000000C-4E3E-4F0E-86BF-2BBF4E0765A2}"/>
              </c:ext>
            </c:extLst>
          </c:dPt>
          <c:dPt>
            <c:idx val="3"/>
            <c:bubble3D val="0"/>
            <c:spPr>
              <a:solidFill>
                <a:srgbClr val="CCFFFF"/>
              </a:solidFill>
              <a:ln w="9504">
                <a:solidFill>
                  <a:srgbClr val="000000"/>
                </a:solidFill>
                <a:prstDash val="solid"/>
              </a:ln>
            </c:spPr>
            <c:extLst>
              <c:ext xmlns:c16="http://schemas.microsoft.com/office/drawing/2014/chart" uri="{C3380CC4-5D6E-409C-BE32-E72D297353CC}">
                <c16:uniqueId val="{0000000D-4E3E-4F0E-86BF-2BBF4E0765A2}"/>
              </c:ext>
            </c:extLst>
          </c:dPt>
          <c:cat>
            <c:strRef>
              <c:f>Sheet1!$B$1:$D$1</c:f>
              <c:strCache>
                <c:ptCount val="3"/>
                <c:pt idx="0">
                  <c:v>Гл.6 от НК</c:v>
                </c:pt>
                <c:pt idx="1">
                  <c:v>Гл.7 от НК</c:v>
                </c:pt>
                <c:pt idx="2">
                  <c:v>По други текстове от НК извън посочените</c:v>
                </c:pt>
              </c:strCache>
            </c:strRef>
          </c:cat>
          <c:val>
            <c:numRef>
              <c:f>Sheet1!$B$3:$E$3</c:f>
              <c:numCache>
                <c:formatCode>General</c:formatCode>
                <c:ptCount val="4"/>
                <c:pt idx="0">
                  <c:v>90</c:v>
                </c:pt>
                <c:pt idx="1">
                  <c:v>3</c:v>
                </c:pt>
                <c:pt idx="2">
                  <c:v>3</c:v>
                </c:pt>
              </c:numCache>
            </c:numRef>
          </c:val>
          <c:extLst>
            <c:ext xmlns:c16="http://schemas.microsoft.com/office/drawing/2014/chart" uri="{C3380CC4-5D6E-409C-BE32-E72D297353CC}">
              <c16:uniqueId val="{0000000E-4E3E-4F0E-86BF-2BBF4E0765A2}"/>
            </c:ext>
          </c:extLst>
        </c:ser>
        <c:dLbls>
          <c:showLegendKey val="0"/>
          <c:showVal val="0"/>
          <c:showCatName val="0"/>
          <c:showSerName val="0"/>
          <c:showPercent val="0"/>
          <c:showBubbleSize val="0"/>
          <c:showLeaderLines val="1"/>
        </c:dLbls>
        <c:firstSliceAng val="0"/>
      </c:pieChart>
      <c:spPr>
        <a:solidFill>
          <a:srgbClr val="C0C0C0"/>
        </a:solidFill>
        <a:ln w="9504">
          <a:solidFill>
            <a:srgbClr val="808080"/>
          </a:solidFill>
          <a:prstDash val="solid"/>
        </a:ln>
      </c:spPr>
    </c:plotArea>
    <c:legend>
      <c:legendPos val="r"/>
      <c:legendEntry>
        <c:idx val="3"/>
        <c:delete val="1"/>
      </c:legendEntry>
      <c:layout>
        <c:manualLayout>
          <c:xMode val="edge"/>
          <c:yMode val="edge"/>
          <c:x val="0.68809071182486381"/>
          <c:y val="0.32059160488150656"/>
          <c:w val="0.30245750354652001"/>
          <c:h val="0.41194551411000629"/>
        </c:manualLayout>
      </c:layout>
      <c:overlay val="0"/>
      <c:spPr>
        <a:noFill/>
        <a:ln w="2377">
          <a:solidFill>
            <a:srgbClr val="000000"/>
          </a:solidFill>
          <a:prstDash val="solid"/>
        </a:ln>
      </c:spPr>
    </c:legend>
    <c:plotVisOnly val="1"/>
    <c:dispBlanksAs val="zero"/>
    <c:showDLblsOverMax val="0"/>
  </c:chart>
  <c:spPr>
    <a:noFill/>
    <a:ln>
      <a:noFill/>
    </a:ln>
  </c:spPr>
  <c:txPr>
    <a:bodyPr/>
    <a:lstStyle/>
    <a:p>
      <a:pPr>
        <a:defRPr sz="900" b="1" i="0" u="none" strike="noStrike" baseline="0">
          <a:solidFill>
            <a:sysClr val="windowText" lastClr="000000"/>
          </a:solidFill>
          <a:latin typeface="Calibri"/>
          <a:ea typeface="Calibri"/>
          <a:cs typeface="Calibri"/>
        </a:defRPr>
      </a:pPr>
      <a:endParaRPr lang="bg-BG"/>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4">
                <a:highlight>
                  <a:srgbClr val="FFFF00"/>
                </a:highlight>
              </a:defRPr>
            </a:pPr>
            <a:r>
              <a:rPr lang="bg-BG" sz="984" b="1" i="1" u="none" strike="noStrike" baseline="0">
                <a:solidFill>
                  <a:schemeClr val="tx1"/>
                </a:solidFill>
                <a:effectLst/>
              </a:rPr>
              <a:t>Относителен дял на новообразуваните производства, спрямо общо наблюдаваните досъдебни производства по Глава ХІ, Раздел ІІІ от НК</a:t>
            </a:r>
            <a:endParaRPr lang="bg-BG" sz="1050">
              <a:solidFill>
                <a:schemeClr val="tx1"/>
              </a:solidFill>
            </a:endParaRPr>
          </a:p>
        </c:rich>
      </c:tx>
      <c:overlay val="1"/>
    </c:title>
    <c:autoTitleDeleted val="0"/>
    <c:plotArea>
      <c:layout>
        <c:manualLayout>
          <c:layoutTarget val="inner"/>
          <c:xMode val="edge"/>
          <c:yMode val="edge"/>
          <c:x val="5.1981425563780388E-2"/>
          <c:y val="0.30609587920746528"/>
          <c:w val="0.92393117671258296"/>
          <c:h val="0.60782501581312143"/>
        </c:manualLayout>
      </c:layout>
      <c:barChart>
        <c:barDir val="col"/>
        <c:grouping val="clustered"/>
        <c:varyColors val="0"/>
        <c:ser>
          <c:idx val="0"/>
          <c:order val="0"/>
          <c:tx>
            <c:strRef>
              <c:f>Лист1!$C$3</c:f>
              <c:strCache>
                <c:ptCount val="1"/>
                <c:pt idx="0">
                  <c:v>2019 г.</c:v>
                </c:pt>
              </c:strCache>
            </c:strRef>
          </c:tx>
          <c:spPr>
            <a:scene3d>
              <a:camera prst="orthographicFront"/>
              <a:lightRig rig="threePt" dir="t"/>
            </a:scene3d>
            <a:sp3d/>
          </c:spPr>
          <c:invertIfNegative val="0"/>
          <c:dLbls>
            <c:spPr>
              <a:noFill/>
              <a:ln w="25356">
                <a:noFill/>
              </a:ln>
            </c:spPr>
            <c:txPr>
              <a:bodyPr rot="-2700000"/>
              <a:lstStyle/>
              <a:p>
                <a:pPr>
                  <a:defRPr sz="750"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2"/>
                <c:pt idx="0">
                  <c:v>СГП</c:v>
                </c:pt>
                <c:pt idx="1">
                  <c:v>СРП</c:v>
                </c:pt>
              </c:strCache>
            </c:strRef>
          </c:cat>
          <c:val>
            <c:numRef>
              <c:f>Лист1!$C$4:$C$6</c:f>
              <c:numCache>
                <c:formatCode>#,000</c:formatCode>
                <c:ptCount val="2"/>
                <c:pt idx="0">
                  <c:v>45.61</c:v>
                </c:pt>
                <c:pt idx="1">
                  <c:v>83.74</c:v>
                </c:pt>
              </c:numCache>
            </c:numRef>
          </c:val>
          <c:extLst>
            <c:ext xmlns:c16="http://schemas.microsoft.com/office/drawing/2014/chart" uri="{C3380CC4-5D6E-409C-BE32-E72D297353CC}">
              <c16:uniqueId val="{00000000-CFE1-4C32-8ACE-62B3E9E23345}"/>
            </c:ext>
          </c:extLst>
        </c:ser>
        <c:ser>
          <c:idx val="1"/>
          <c:order val="1"/>
          <c:tx>
            <c:strRef>
              <c:f>Лист1!$D$3</c:f>
              <c:strCache>
                <c:ptCount val="1"/>
                <c:pt idx="0">
                  <c:v>2020 г.</c:v>
                </c:pt>
              </c:strCache>
            </c:strRef>
          </c:tx>
          <c:invertIfNegative val="0"/>
          <c:dLbls>
            <c:spPr>
              <a:noFill/>
              <a:ln w="25356">
                <a:noFill/>
              </a:ln>
            </c:spPr>
            <c:txPr>
              <a:bodyPr rot="-2700000"/>
              <a:lstStyle/>
              <a:p>
                <a:pPr>
                  <a:defRPr sz="844"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2"/>
                <c:pt idx="0">
                  <c:v>СГП</c:v>
                </c:pt>
                <c:pt idx="1">
                  <c:v>СРП</c:v>
                </c:pt>
              </c:strCache>
            </c:strRef>
          </c:cat>
          <c:val>
            <c:numRef>
              <c:f>Лист1!$D$4:$D$6</c:f>
              <c:numCache>
                <c:formatCode>#,000</c:formatCode>
                <c:ptCount val="2"/>
                <c:pt idx="0">
                  <c:v>52.8</c:v>
                </c:pt>
                <c:pt idx="1">
                  <c:v>80.81</c:v>
                </c:pt>
              </c:numCache>
            </c:numRef>
          </c:val>
          <c:extLst>
            <c:ext xmlns:c16="http://schemas.microsoft.com/office/drawing/2014/chart" uri="{C3380CC4-5D6E-409C-BE32-E72D297353CC}">
              <c16:uniqueId val="{00000001-CFE1-4C32-8ACE-62B3E9E23345}"/>
            </c:ext>
          </c:extLst>
        </c:ser>
        <c:ser>
          <c:idx val="2"/>
          <c:order val="2"/>
          <c:tx>
            <c:strRef>
              <c:f>Лист1!$E$3</c:f>
              <c:strCache>
                <c:ptCount val="1"/>
                <c:pt idx="0">
                  <c:v>2021 г.</c:v>
                </c:pt>
              </c:strCache>
            </c:strRef>
          </c:tx>
          <c:invertIfNegative val="0"/>
          <c:dLbls>
            <c:spPr>
              <a:noFill/>
              <a:ln w="25356">
                <a:noFill/>
              </a:ln>
            </c:spPr>
            <c:txPr>
              <a:bodyPr rot="-2700000"/>
              <a:lstStyle/>
              <a:p>
                <a:pPr>
                  <a:defRPr sz="844"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2"/>
                <c:pt idx="0">
                  <c:v>СГП</c:v>
                </c:pt>
                <c:pt idx="1">
                  <c:v>СРП</c:v>
                </c:pt>
              </c:strCache>
            </c:strRef>
          </c:cat>
          <c:val>
            <c:numRef>
              <c:f>Лист1!$E$4:$E$6</c:f>
              <c:numCache>
                <c:formatCode>#,000</c:formatCode>
                <c:ptCount val="2"/>
                <c:pt idx="0">
                  <c:v>37.549999999999997</c:v>
                </c:pt>
                <c:pt idx="1">
                  <c:v>76.260000000000005</c:v>
                </c:pt>
              </c:numCache>
            </c:numRef>
          </c:val>
          <c:extLst>
            <c:ext xmlns:c16="http://schemas.microsoft.com/office/drawing/2014/chart" uri="{C3380CC4-5D6E-409C-BE32-E72D297353CC}">
              <c16:uniqueId val="{00000002-CFE1-4C32-8ACE-62B3E9E23345}"/>
            </c:ext>
          </c:extLst>
        </c:ser>
        <c:dLbls>
          <c:showLegendKey val="0"/>
          <c:showVal val="0"/>
          <c:showCatName val="0"/>
          <c:showSerName val="0"/>
          <c:showPercent val="0"/>
          <c:showBubbleSize val="0"/>
        </c:dLbls>
        <c:gapWidth val="150"/>
        <c:overlap val="-10"/>
        <c:axId val="1243058255"/>
        <c:axId val="1"/>
      </c:barChart>
      <c:catAx>
        <c:axId val="1243058255"/>
        <c:scaling>
          <c:orientation val="minMax"/>
        </c:scaling>
        <c:delete val="0"/>
        <c:axPos val="b"/>
        <c:numFmt formatCode="General" sourceLinked="0"/>
        <c:majorTickMark val="out"/>
        <c:minorTickMark val="none"/>
        <c:tickLblPos val="nextTo"/>
        <c:spPr>
          <a:noFill/>
        </c:spPr>
        <c:txPr>
          <a:bodyPr rot="0" vert="horz"/>
          <a:lstStyle/>
          <a:p>
            <a:pPr>
              <a:defRPr sz="844" b="1"/>
            </a:pPr>
            <a:endParaRPr lang="bg-BG"/>
          </a:p>
        </c:txPr>
        <c:crossAx val="1"/>
        <c:crosses val="autoZero"/>
        <c:auto val="1"/>
        <c:lblAlgn val="ctr"/>
        <c:lblOffset val="100"/>
        <c:tickMarkSkip val="1"/>
        <c:noMultiLvlLbl val="0"/>
      </c:catAx>
      <c:valAx>
        <c:axId val="1"/>
        <c:scaling>
          <c:orientation val="minMax"/>
        </c:scaling>
        <c:delete val="0"/>
        <c:axPos val="l"/>
        <c:numFmt formatCode="#,000" sourceLinked="1"/>
        <c:majorTickMark val="out"/>
        <c:minorTickMark val="none"/>
        <c:tickLblPos val="nextTo"/>
        <c:crossAx val="1243058255"/>
        <c:crosses val="autoZero"/>
        <c:crossBetween val="between"/>
      </c:valAx>
    </c:plotArea>
    <c:legend>
      <c:legendPos val="t"/>
      <c:layout>
        <c:manualLayout>
          <c:xMode val="edge"/>
          <c:yMode val="edge"/>
          <c:x val="0.33593888124579224"/>
          <c:y val="0.17834995625546807"/>
          <c:w val="0.3241996702085102"/>
          <c:h val="4.2773840769903759E-2"/>
        </c:manualLayout>
      </c:layout>
      <c:overlay val="0"/>
    </c:legend>
    <c:plotVisOnly val="1"/>
    <c:dispBlanksAs val="gap"/>
    <c:showDLblsOverMax val="0"/>
  </c:chart>
  <c:spPr>
    <a:no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519"/>
            </a:pPr>
            <a:r>
              <a:rPr lang="bg-BG" sz="900" b="1" i="1" u="none" strike="noStrike" baseline="0">
                <a:effectLst/>
              </a:rPr>
              <a:t>Относителен дял на решените от прокурор  досъдебни  производства, спрямо наблюдаваните досъдебни производства, водени срещу непълнолетни лица</a:t>
            </a:r>
          </a:p>
          <a:p>
            <a:pPr>
              <a:defRPr sz="519"/>
            </a:pPr>
            <a:endParaRPr lang="bg-BG" sz="1050"/>
          </a:p>
        </c:rich>
      </c:tx>
      <c:overlay val="1"/>
    </c:title>
    <c:autoTitleDeleted val="0"/>
    <c:plotArea>
      <c:layout>
        <c:manualLayout>
          <c:layoutTarget val="inner"/>
          <c:xMode val="edge"/>
          <c:yMode val="edge"/>
          <c:x val="5.1981425563780388E-2"/>
          <c:y val="0.30609587920746528"/>
          <c:w val="0.92393117671258296"/>
          <c:h val="0.60782501581312143"/>
        </c:manualLayout>
      </c:layout>
      <c:barChart>
        <c:barDir val="col"/>
        <c:grouping val="clustered"/>
        <c:varyColors val="0"/>
        <c:ser>
          <c:idx val="0"/>
          <c:order val="0"/>
          <c:tx>
            <c:strRef>
              <c:f>Лист1!$C$3</c:f>
              <c:strCache>
                <c:ptCount val="1"/>
                <c:pt idx="0">
                  <c:v>2019 г.</c:v>
                </c:pt>
              </c:strCache>
            </c:strRef>
          </c:tx>
          <c:spPr>
            <a:scene3d>
              <a:camera prst="orthographicFront"/>
              <a:lightRig rig="threePt" dir="t"/>
            </a:scene3d>
            <a:sp3d/>
          </c:spPr>
          <c:invertIfNegative val="0"/>
          <c:dLbls>
            <c:spPr>
              <a:noFill/>
              <a:ln w="25391">
                <a:noFill/>
              </a:ln>
            </c:spPr>
            <c:txPr>
              <a:bodyPr wrap="square" lIns="38100" tIns="19050" rIns="38100" bIns="19050" anchor="ctr">
                <a:spAutoFit/>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1"/>
                <c:pt idx="0">
                  <c:v>СГП и СРП </c:v>
                </c:pt>
              </c:strCache>
            </c:strRef>
          </c:cat>
          <c:val>
            <c:numRef>
              <c:f>Лист1!$C$4:$C$5</c:f>
              <c:numCache>
                <c:formatCode>#,000</c:formatCode>
                <c:ptCount val="1"/>
                <c:pt idx="0">
                  <c:v>64.38</c:v>
                </c:pt>
              </c:numCache>
            </c:numRef>
          </c:val>
          <c:extLst>
            <c:ext xmlns:c16="http://schemas.microsoft.com/office/drawing/2014/chart" uri="{C3380CC4-5D6E-409C-BE32-E72D297353CC}">
              <c16:uniqueId val="{00000000-A4D3-46D2-8272-0FAD7E8C7A43}"/>
            </c:ext>
          </c:extLst>
        </c:ser>
        <c:ser>
          <c:idx val="1"/>
          <c:order val="1"/>
          <c:tx>
            <c:strRef>
              <c:f>Лист1!$D$3</c:f>
              <c:strCache>
                <c:ptCount val="1"/>
                <c:pt idx="0">
                  <c:v>2020 г.</c:v>
                </c:pt>
              </c:strCache>
            </c:strRef>
          </c:tx>
          <c:invertIfNegative val="0"/>
          <c:dLbls>
            <c:spPr>
              <a:noFill/>
              <a:ln w="25391">
                <a:noFill/>
              </a:ln>
            </c:spPr>
            <c:txPr>
              <a:bodyPr wrap="square" lIns="38100" tIns="19050" rIns="38100" bIns="19050" anchor="ctr">
                <a:spAutoFit/>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1"/>
                <c:pt idx="0">
                  <c:v>СГП и СРП </c:v>
                </c:pt>
              </c:strCache>
            </c:strRef>
          </c:cat>
          <c:val>
            <c:numRef>
              <c:f>Лист1!$D$4:$D$5</c:f>
              <c:numCache>
                <c:formatCode>#,000</c:formatCode>
                <c:ptCount val="1"/>
                <c:pt idx="0">
                  <c:v>62.11</c:v>
                </c:pt>
              </c:numCache>
            </c:numRef>
          </c:val>
          <c:extLst>
            <c:ext xmlns:c16="http://schemas.microsoft.com/office/drawing/2014/chart" uri="{C3380CC4-5D6E-409C-BE32-E72D297353CC}">
              <c16:uniqueId val="{00000001-A4D3-46D2-8272-0FAD7E8C7A43}"/>
            </c:ext>
          </c:extLst>
        </c:ser>
        <c:ser>
          <c:idx val="2"/>
          <c:order val="2"/>
          <c:tx>
            <c:strRef>
              <c:f>Лист1!$E$3</c:f>
              <c:strCache>
                <c:ptCount val="1"/>
                <c:pt idx="0">
                  <c:v>2021 г.</c:v>
                </c:pt>
              </c:strCache>
            </c:strRef>
          </c:tx>
          <c:invertIfNegative val="0"/>
          <c:dLbls>
            <c:spPr>
              <a:noFill/>
              <a:ln w="25391">
                <a:noFill/>
              </a:ln>
            </c:spPr>
            <c:txPr>
              <a:bodyPr wrap="square" lIns="38100" tIns="19050" rIns="38100" bIns="19050" anchor="ctr">
                <a:spAutoFit/>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Лист1!$B$4:$B$5</c:f>
              <c:strCache>
                <c:ptCount val="1"/>
                <c:pt idx="0">
                  <c:v>СГП и СРП </c:v>
                </c:pt>
              </c:strCache>
            </c:strRef>
          </c:cat>
          <c:val>
            <c:numRef>
              <c:f>Лист1!$E$4:$E$5</c:f>
              <c:numCache>
                <c:formatCode>#,000</c:formatCode>
                <c:ptCount val="1"/>
                <c:pt idx="0">
                  <c:v>67.72</c:v>
                </c:pt>
              </c:numCache>
            </c:numRef>
          </c:val>
          <c:extLst>
            <c:ext xmlns:c16="http://schemas.microsoft.com/office/drawing/2014/chart" uri="{C3380CC4-5D6E-409C-BE32-E72D297353CC}">
              <c16:uniqueId val="{00000002-A4D3-46D2-8272-0FAD7E8C7A43}"/>
            </c:ext>
          </c:extLst>
        </c:ser>
        <c:dLbls>
          <c:showLegendKey val="0"/>
          <c:showVal val="0"/>
          <c:showCatName val="0"/>
          <c:showSerName val="0"/>
          <c:showPercent val="0"/>
          <c:showBubbleSize val="0"/>
        </c:dLbls>
        <c:gapWidth val="150"/>
        <c:overlap val="-10"/>
        <c:axId val="1328658607"/>
        <c:axId val="1"/>
      </c:barChart>
      <c:catAx>
        <c:axId val="1328658607"/>
        <c:scaling>
          <c:orientation val="minMax"/>
        </c:scaling>
        <c:delete val="0"/>
        <c:axPos val="b"/>
        <c:numFmt formatCode="General" sourceLinked="0"/>
        <c:majorTickMark val="out"/>
        <c:minorTickMark val="none"/>
        <c:tickLblPos val="nextTo"/>
        <c:spPr>
          <a:noFill/>
        </c:spPr>
        <c:txPr>
          <a:bodyPr rot="0" vert="horz"/>
          <a:lstStyle/>
          <a:p>
            <a:pPr>
              <a:defRPr sz="633" b="1"/>
            </a:pPr>
            <a:endParaRPr lang="bg-BG"/>
          </a:p>
        </c:txPr>
        <c:crossAx val="1"/>
        <c:crosses val="autoZero"/>
        <c:auto val="1"/>
        <c:lblAlgn val="ctr"/>
        <c:lblOffset val="100"/>
        <c:tickMarkSkip val="1"/>
        <c:noMultiLvlLbl val="0"/>
      </c:catAx>
      <c:valAx>
        <c:axId val="1"/>
        <c:scaling>
          <c:orientation val="minMax"/>
        </c:scaling>
        <c:delete val="0"/>
        <c:axPos val="l"/>
        <c:numFmt formatCode="#,000" sourceLinked="1"/>
        <c:majorTickMark val="out"/>
        <c:minorTickMark val="none"/>
        <c:tickLblPos val="nextTo"/>
        <c:crossAx val="1328658607"/>
        <c:crosses val="autoZero"/>
        <c:crossBetween val="between"/>
      </c:valAx>
    </c:plotArea>
    <c:legend>
      <c:legendPos val="t"/>
      <c:layout>
        <c:manualLayout>
          <c:xMode val="edge"/>
          <c:yMode val="edge"/>
          <c:x val="0.37033459978341865"/>
          <c:y val="0.24186078550135984"/>
          <c:w val="0.32419965860910738"/>
          <c:h val="4.2773838790513191E-2"/>
        </c:manualLayout>
      </c:layout>
      <c:overlay val="0"/>
      <c:txPr>
        <a:bodyPr/>
        <a:lstStyle/>
        <a:p>
          <a:pPr>
            <a:defRPr sz="900" b="1"/>
          </a:pPr>
          <a:endParaRPr lang="bg-BG"/>
        </a:p>
      </c:txPr>
    </c:legend>
    <c:plotVisOnly val="1"/>
    <c:dispBlanksAs val="gap"/>
    <c:showDLblsOverMax val="0"/>
  </c:chart>
  <c:spPr>
    <a:no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593436582016647E-2"/>
          <c:y val="3.9885749575420716E-2"/>
          <c:w val="0.79083815681980152"/>
          <c:h val="0.80291390046832378"/>
        </c:manualLayout>
      </c:layout>
      <c:barChart>
        <c:barDir val="col"/>
        <c:grouping val="clustered"/>
        <c:varyColors val="0"/>
        <c:ser>
          <c:idx val="0"/>
          <c:order val="0"/>
          <c:tx>
            <c:strRef>
              <c:f>Лист1!$B$1</c:f>
              <c:strCache>
                <c:ptCount val="1"/>
                <c:pt idx="0">
                  <c:v>Общо</c:v>
                </c:pt>
              </c:strCache>
            </c:strRef>
          </c:tx>
          <c:spPr>
            <a:solidFill>
              <a:srgbClr val="92D050"/>
            </a:solidFill>
            <a:ln>
              <a:gradFill flip="none" rotWithShape="1">
                <a:gsLst>
                  <a:gs pos="0">
                    <a:schemeClr val="accent1">
                      <a:tint val="66000"/>
                      <a:satMod val="160000"/>
                    </a:schemeClr>
                  </a:gs>
                  <a:gs pos="31000">
                    <a:schemeClr val="accent1">
                      <a:tint val="44500"/>
                      <a:satMod val="160000"/>
                    </a:schemeClr>
                  </a:gs>
                  <a:gs pos="100000">
                    <a:schemeClr val="accent1">
                      <a:tint val="23500"/>
                      <a:satMod val="160000"/>
                    </a:schemeClr>
                  </a:gs>
                </a:gsLst>
                <a:path path="rect">
                  <a:fillToRect l="50000" t="50000" r="50000" b="50000"/>
                </a:path>
                <a:tileRect/>
              </a:gradFill>
            </a:ln>
            <a:effectLst>
              <a:outerShdw blurRad="63500" sx="102000" sy="102000" algn="ctr" rotWithShape="0">
                <a:prstClr val="black">
                  <a:alpha val="40000"/>
                </a:prstClr>
              </a:outerShdw>
            </a:effectLst>
            <a:scene3d>
              <a:camera prst="orthographicFront"/>
              <a:lightRig rig="freezing" dir="t"/>
            </a:scene3d>
            <a:sp3d prstMaterial="metal">
              <a:bevelT w="50800" h="50800" prst="convex"/>
              <a:bevelB w="50800" h="50800"/>
            </a:sp3d>
          </c:spPr>
          <c:invertIfNegative val="0"/>
          <c:dLbls>
            <c:dLbl>
              <c:idx val="0"/>
              <c:layout>
                <c:manualLayout>
                  <c:x val="-2.207461281322611E-3"/>
                  <c:y val="3.0935655744833243E-2"/>
                </c:manualLayout>
              </c:layout>
              <c:tx>
                <c:rich>
                  <a:bodyPr/>
                  <a:lstStyle/>
                  <a:p>
                    <a:pPr>
                      <a:defRPr/>
                    </a:pPr>
                    <a:r>
                      <a:rPr lang="en-US"/>
                      <a:t>1429</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29-4B82-8E9D-A20B4FDA5C4B}"/>
                </c:ext>
              </c:extLst>
            </c:dLbl>
            <c:dLbl>
              <c:idx val="1"/>
              <c:tx>
                <c:rich>
                  <a:bodyPr/>
                  <a:lstStyle/>
                  <a:p>
                    <a:pPr>
                      <a:defRPr/>
                    </a:pPr>
                    <a:r>
                      <a:rPr lang="en-US"/>
                      <a:t>974</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9-4B82-8E9D-A20B4FDA5C4B}"/>
                </c:ext>
              </c:extLst>
            </c:dLbl>
            <c:dLbl>
              <c:idx val="2"/>
              <c:tx>
                <c:rich>
                  <a:bodyPr/>
                  <a:lstStyle/>
                  <a:p>
                    <a:pPr>
                      <a:defRPr/>
                    </a:pPr>
                    <a:r>
                      <a:rPr lang="en-US"/>
                      <a:t>1107</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29-4B82-8E9D-A20B4FDA5C4B}"/>
                </c:ext>
              </c:extLst>
            </c:dLbl>
            <c:spPr>
              <a:noFill/>
              <a:ln w="2531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Лист1!$B$2:$B$4</c:f>
              <c:numCache>
                <c:formatCode>General</c:formatCode>
                <c:ptCount val="3"/>
                <c:pt idx="0">
                  <c:v>1429</c:v>
                </c:pt>
                <c:pt idx="1">
                  <c:v>974</c:v>
                </c:pt>
                <c:pt idx="2">
                  <c:v>1107</c:v>
                </c:pt>
              </c:numCache>
            </c:numRef>
          </c:val>
          <c:extLst>
            <c:ext xmlns:c16="http://schemas.microsoft.com/office/drawing/2014/chart" uri="{C3380CC4-5D6E-409C-BE32-E72D297353CC}">
              <c16:uniqueId val="{00000003-B529-4B82-8E9D-A20B4FDA5C4B}"/>
            </c:ext>
          </c:extLst>
        </c:ser>
        <c:ser>
          <c:idx val="1"/>
          <c:order val="1"/>
          <c:tx>
            <c:strRef>
              <c:f>Лист1!$C$1</c:f>
              <c:strCache>
                <c:ptCount val="1"/>
                <c:pt idx="0">
                  <c:v>СГП</c:v>
                </c:pt>
              </c:strCache>
            </c:strRef>
          </c:tx>
          <c:spPr>
            <a:solidFill>
              <a:srgbClr val="FFFF00"/>
            </a:solidFill>
            <a:scene3d>
              <a:camera prst="orthographicFront"/>
              <a:lightRig rig="threePt" dir="t"/>
            </a:scene3d>
            <a:sp3d prstMaterial="softEdge">
              <a:bevelT w="50800" prst="relaxedInset"/>
            </a:sp3d>
          </c:spPr>
          <c:invertIfNegative val="0"/>
          <c:dLbls>
            <c:dLbl>
              <c:idx val="0"/>
              <c:tx>
                <c:rich>
                  <a:bodyPr/>
                  <a:lstStyle/>
                  <a:p>
                    <a:pPr>
                      <a:defRPr/>
                    </a:pPr>
                    <a:r>
                      <a:rPr lang="en-US"/>
                      <a:t>946</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29-4B82-8E9D-A20B4FDA5C4B}"/>
                </c:ext>
              </c:extLst>
            </c:dLbl>
            <c:dLbl>
              <c:idx val="1"/>
              <c:tx>
                <c:rich>
                  <a:bodyPr/>
                  <a:lstStyle/>
                  <a:p>
                    <a:pPr>
                      <a:defRPr/>
                    </a:pPr>
                    <a:r>
                      <a:rPr lang="en-US"/>
                      <a:t>700</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29-4B82-8E9D-A20B4FDA5C4B}"/>
                </c:ext>
              </c:extLst>
            </c:dLbl>
            <c:dLbl>
              <c:idx val="2"/>
              <c:tx>
                <c:rich>
                  <a:bodyPr/>
                  <a:lstStyle/>
                  <a:p>
                    <a:pPr>
                      <a:defRPr/>
                    </a:pPr>
                    <a:r>
                      <a:rPr lang="en-US"/>
                      <a:t>880</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29-4B82-8E9D-A20B4FDA5C4B}"/>
                </c:ext>
              </c:extLst>
            </c:dLbl>
            <c:spPr>
              <a:noFill/>
              <a:ln w="2531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Лист1!$C$2:$C$4</c:f>
              <c:numCache>
                <c:formatCode>General</c:formatCode>
                <c:ptCount val="3"/>
                <c:pt idx="0">
                  <c:v>946</c:v>
                </c:pt>
                <c:pt idx="1">
                  <c:v>700</c:v>
                </c:pt>
                <c:pt idx="2">
                  <c:v>880</c:v>
                </c:pt>
              </c:numCache>
            </c:numRef>
          </c:val>
          <c:extLst>
            <c:ext xmlns:c16="http://schemas.microsoft.com/office/drawing/2014/chart" uri="{C3380CC4-5D6E-409C-BE32-E72D297353CC}">
              <c16:uniqueId val="{00000007-B529-4B82-8E9D-A20B4FDA5C4B}"/>
            </c:ext>
          </c:extLst>
        </c:ser>
        <c:ser>
          <c:idx val="2"/>
          <c:order val="2"/>
          <c:tx>
            <c:strRef>
              <c:f>Лист1!$D$1</c:f>
              <c:strCache>
                <c:ptCount val="1"/>
                <c:pt idx="0">
                  <c:v>СРП</c:v>
                </c:pt>
              </c:strCache>
            </c:strRef>
          </c:tx>
          <c:spPr>
            <a:solidFill>
              <a:srgbClr val="1F497D">
                <a:lumMod val="60000"/>
                <a:lumOff val="40000"/>
              </a:srgbClr>
            </a:solidFill>
            <a:scene3d>
              <a:camera prst="orthographicFront"/>
              <a:lightRig rig="threePt" dir="t"/>
            </a:scene3d>
            <a:sp3d prstMaterial="softEdge">
              <a:bevelT prst="relaxedInset"/>
            </a:sp3d>
          </c:spPr>
          <c:invertIfNegative val="0"/>
          <c:dLbls>
            <c:dLbl>
              <c:idx val="0"/>
              <c:tx>
                <c:rich>
                  <a:bodyPr/>
                  <a:lstStyle/>
                  <a:p>
                    <a:pPr>
                      <a:defRPr/>
                    </a:pPr>
                    <a:r>
                      <a:rPr lang="en-US"/>
                      <a:t>483</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29-4B82-8E9D-A20B4FDA5C4B}"/>
                </c:ext>
              </c:extLst>
            </c:dLbl>
            <c:dLbl>
              <c:idx val="1"/>
              <c:tx>
                <c:rich>
                  <a:bodyPr/>
                  <a:lstStyle/>
                  <a:p>
                    <a:pPr>
                      <a:defRPr/>
                    </a:pPr>
                    <a:r>
                      <a:rPr lang="en-US"/>
                      <a:t>274</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29-4B82-8E9D-A20B4FDA5C4B}"/>
                </c:ext>
              </c:extLst>
            </c:dLbl>
            <c:dLbl>
              <c:idx val="2"/>
              <c:tx>
                <c:rich>
                  <a:bodyPr/>
                  <a:lstStyle/>
                  <a:p>
                    <a:pPr>
                      <a:defRPr/>
                    </a:pPr>
                    <a:r>
                      <a:rPr lang="en-US"/>
                      <a:t>227</a:t>
                    </a:r>
                  </a:p>
                </c:rich>
              </c:tx>
              <c:spPr>
                <a:noFill/>
                <a:ln w="25311">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29-4B82-8E9D-A20B4FDA5C4B}"/>
                </c:ext>
              </c:extLst>
            </c:dLbl>
            <c:spPr>
              <a:noFill/>
              <a:ln w="2531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2020 г.</c:v>
                </c:pt>
                <c:pt idx="2">
                  <c:v>2019 г.</c:v>
                </c:pt>
              </c:strCache>
            </c:strRef>
          </c:cat>
          <c:val>
            <c:numRef>
              <c:f>Лист1!$D$2:$D$4</c:f>
              <c:numCache>
                <c:formatCode>General</c:formatCode>
                <c:ptCount val="3"/>
                <c:pt idx="0">
                  <c:v>483</c:v>
                </c:pt>
                <c:pt idx="1">
                  <c:v>274</c:v>
                </c:pt>
                <c:pt idx="2">
                  <c:v>227</c:v>
                </c:pt>
              </c:numCache>
            </c:numRef>
          </c:val>
          <c:extLst>
            <c:ext xmlns:c16="http://schemas.microsoft.com/office/drawing/2014/chart" uri="{C3380CC4-5D6E-409C-BE32-E72D297353CC}">
              <c16:uniqueId val="{0000000B-B529-4B82-8E9D-A20B4FDA5C4B}"/>
            </c:ext>
          </c:extLst>
        </c:ser>
        <c:dLbls>
          <c:showLegendKey val="0"/>
          <c:showVal val="0"/>
          <c:showCatName val="0"/>
          <c:showSerName val="0"/>
          <c:showPercent val="0"/>
          <c:showBubbleSize val="0"/>
        </c:dLbls>
        <c:gapWidth val="150"/>
        <c:axId val="1332929007"/>
        <c:axId val="1"/>
      </c:barChart>
      <c:catAx>
        <c:axId val="133292900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929007"/>
        <c:crosses val="autoZero"/>
        <c:crossBetween val="between"/>
      </c:valAx>
      <c:spPr>
        <a:noFill/>
        <a:ln w="25311">
          <a:noFill/>
        </a:ln>
      </c:spPr>
    </c:plotArea>
    <c:legend>
      <c:legendPos val="r"/>
      <c:layout>
        <c:manualLayout>
          <c:xMode val="edge"/>
          <c:yMode val="edge"/>
          <c:x val="0.89134438305709029"/>
          <c:y val="0.29707112970711297"/>
          <c:w val="8.8397790055248615E-2"/>
          <c:h val="0.3682008368200837"/>
        </c:manualLayout>
      </c:layout>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6114843424382174E-2"/>
          <c:y val="7.2607260726072612E-2"/>
          <c:w val="0.83126452015280272"/>
          <c:h val="0.61353845324129008"/>
        </c:manualLayout>
      </c:layout>
      <c:bar3DChart>
        <c:barDir val="bar"/>
        <c:grouping val="stacked"/>
        <c:varyColors val="0"/>
        <c:ser>
          <c:idx val="0"/>
          <c:order val="0"/>
          <c:tx>
            <c:strRef>
              <c:f>Лист1!$B$1</c:f>
              <c:strCache>
                <c:ptCount val="1"/>
                <c:pt idx="0">
                  <c:v>Входящи молби за правна помощ</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Лист1!$B$2:$B$4</c:f>
              <c:numCache>
                <c:formatCode>General</c:formatCode>
                <c:ptCount val="3"/>
                <c:pt idx="0">
                  <c:v>252</c:v>
                </c:pt>
                <c:pt idx="1">
                  <c:v>173</c:v>
                </c:pt>
                <c:pt idx="2">
                  <c:v>142</c:v>
                </c:pt>
              </c:numCache>
            </c:numRef>
          </c:val>
          <c:extLst>
            <c:ext xmlns:c16="http://schemas.microsoft.com/office/drawing/2014/chart" uri="{C3380CC4-5D6E-409C-BE32-E72D297353CC}">
              <c16:uniqueId val="{00000000-4EDA-42E6-83A6-F1E27E9F258E}"/>
            </c:ext>
          </c:extLst>
        </c:ser>
        <c:ser>
          <c:idx val="1"/>
          <c:order val="1"/>
          <c:tx>
            <c:strRef>
              <c:f>Лист1!$C$1</c:f>
              <c:strCache>
                <c:ptCount val="1"/>
                <c:pt idx="0">
                  <c:v>Изходящи молби за правна помощ</c:v>
                </c:pt>
              </c:strCache>
            </c:strRef>
          </c:tx>
          <c:spPr>
            <a:solidFill>
              <a:srgbClr val="FF0000"/>
            </a:solidFill>
          </c:spPr>
          <c:invertIfNegative val="0"/>
          <c:dLbls>
            <c:dLbl>
              <c:idx val="2"/>
              <c:layout>
                <c:manualLayout>
                  <c:x val="0"/>
                  <c:y val="9.6678434297844888E-6"/>
                </c:manualLayout>
              </c:layout>
              <c:spPr/>
              <c:txPr>
                <a:bodyPr/>
                <a:lstStyle/>
                <a:p>
                  <a:pPr>
                    <a:defRPr/>
                  </a:pPr>
                  <a:endParaRPr lang="bg-BG"/>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DA-42E6-83A6-F1E27E9F25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2019г.</c:v>
                </c:pt>
                <c:pt idx="1">
                  <c:v>2020г.</c:v>
                </c:pt>
                <c:pt idx="2">
                  <c:v>2021г.</c:v>
                </c:pt>
              </c:strCache>
            </c:strRef>
          </c:cat>
          <c:val>
            <c:numRef>
              <c:f>Лист1!$C$2:$C$4</c:f>
              <c:numCache>
                <c:formatCode>General</c:formatCode>
                <c:ptCount val="3"/>
                <c:pt idx="0">
                  <c:v>83</c:v>
                </c:pt>
                <c:pt idx="1">
                  <c:v>37</c:v>
                </c:pt>
                <c:pt idx="2">
                  <c:v>45</c:v>
                </c:pt>
              </c:numCache>
            </c:numRef>
          </c:val>
          <c:extLst>
            <c:ext xmlns:c16="http://schemas.microsoft.com/office/drawing/2014/chart" uri="{C3380CC4-5D6E-409C-BE32-E72D297353CC}">
              <c16:uniqueId val="{00000002-4EDA-42E6-83A6-F1E27E9F258E}"/>
            </c:ext>
          </c:extLst>
        </c:ser>
        <c:dLbls>
          <c:showLegendKey val="0"/>
          <c:showVal val="0"/>
          <c:showCatName val="0"/>
          <c:showSerName val="0"/>
          <c:showPercent val="0"/>
          <c:showBubbleSize val="0"/>
        </c:dLbls>
        <c:gapWidth val="75"/>
        <c:shape val="box"/>
        <c:axId val="1243054095"/>
        <c:axId val="1"/>
        <c:axId val="0"/>
      </c:bar3DChart>
      <c:catAx>
        <c:axId val="1243054095"/>
        <c:scaling>
          <c:orientation val="minMax"/>
        </c:scaling>
        <c:delete val="0"/>
        <c:axPos val="l"/>
        <c:majorGridlines/>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b"/>
        <c:numFmt formatCode="General" sourceLinked="1"/>
        <c:majorTickMark val="none"/>
        <c:minorTickMark val="none"/>
        <c:tickLblPos val="nextTo"/>
        <c:crossAx val="1243054095"/>
        <c:crosses val="autoZero"/>
        <c:crossBetween val="between"/>
      </c:valAx>
      <c:spPr>
        <a:noFill/>
        <a:ln w="25322">
          <a:noFill/>
        </a:ln>
      </c:spPr>
    </c:plotArea>
    <c:legend>
      <c:legendPos val="r"/>
      <c:layout>
        <c:manualLayout>
          <c:xMode val="edge"/>
          <c:yMode val="edge"/>
          <c:x val="6.2937062937062943E-2"/>
          <c:y val="0.83333333333333337"/>
          <c:w val="0.89685314685314688"/>
          <c:h val="0.11764705882352941"/>
        </c:manualLayout>
      </c:layout>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ЕЗР за 2021 г. общо - 814 броя</a:t>
            </a:r>
          </a:p>
        </c:rich>
      </c:tx>
      <c:layout>
        <c:manualLayout>
          <c:xMode val="edge"/>
          <c:yMode val="edge"/>
          <c:x val="0.27202130859697488"/>
          <c:y val="2.8985385542179325E-2"/>
        </c:manualLayout>
      </c:layout>
      <c:overlay val="0"/>
    </c:title>
    <c:autoTitleDeleted val="0"/>
    <c:plotArea>
      <c:layout>
        <c:manualLayout>
          <c:layoutTarget val="inner"/>
          <c:xMode val="edge"/>
          <c:yMode val="edge"/>
          <c:x val="0.2370761509541037"/>
          <c:y val="0.26075620982159836"/>
          <c:w val="0.29734677590976805"/>
          <c:h val="0.63778728745863289"/>
        </c:manualLayout>
      </c:layout>
      <c:pieChart>
        <c:varyColors val="1"/>
        <c:ser>
          <c:idx val="0"/>
          <c:order val="0"/>
          <c:tx>
            <c:strRef>
              <c:f>Лист1!$B$1</c:f>
              <c:strCache>
                <c:ptCount val="1"/>
                <c:pt idx="0">
                  <c:v>2021г.</c:v>
                </c:pt>
              </c:strCache>
            </c:strRef>
          </c:tx>
          <c:dPt>
            <c:idx val="0"/>
            <c:bubble3D val="0"/>
            <c:extLst>
              <c:ext xmlns:c16="http://schemas.microsoft.com/office/drawing/2014/chart" uri="{C3380CC4-5D6E-409C-BE32-E72D297353CC}">
                <c16:uniqueId val="{00000000-17A6-4F7D-A928-3A8F83866438}"/>
              </c:ext>
            </c:extLst>
          </c:dPt>
          <c:dPt>
            <c:idx val="1"/>
            <c:bubble3D val="0"/>
            <c:extLst>
              <c:ext xmlns:c16="http://schemas.microsoft.com/office/drawing/2014/chart" uri="{C3380CC4-5D6E-409C-BE32-E72D297353CC}">
                <c16:uniqueId val="{00000001-17A6-4F7D-A928-3A8F83866438}"/>
              </c:ext>
            </c:extLst>
          </c:dPt>
          <c:dPt>
            <c:idx val="2"/>
            <c:bubble3D val="0"/>
            <c:extLst>
              <c:ext xmlns:c16="http://schemas.microsoft.com/office/drawing/2014/chart" uri="{C3380CC4-5D6E-409C-BE32-E72D297353CC}">
                <c16:uniqueId val="{00000002-17A6-4F7D-A928-3A8F83866438}"/>
              </c:ext>
            </c:extLst>
          </c:dPt>
          <c:dPt>
            <c:idx val="3"/>
            <c:bubble3D val="0"/>
            <c:extLst>
              <c:ext xmlns:c16="http://schemas.microsoft.com/office/drawing/2014/chart" uri="{C3380CC4-5D6E-409C-BE32-E72D297353CC}">
                <c16:uniqueId val="{00000003-17A6-4F7D-A928-3A8F83866438}"/>
              </c:ext>
            </c:extLst>
          </c:dPt>
          <c:dLbls>
            <c:dLbl>
              <c:idx val="0"/>
              <c:layout>
                <c:manualLayout>
                  <c:x val="2.5265482017450522E-2"/>
                  <c:y val="-5.2153372132831131E-2"/>
                </c:manualLayout>
              </c:layout>
              <c:tx>
                <c:rich>
                  <a:bodyPr/>
                  <a:lstStyle/>
                  <a:p>
                    <a:r>
                      <a:rPr lang="bg-BG" sz="1393"/>
                      <a:t>384 бр.</a:t>
                    </a:r>
                    <a:endParaRPr lang="bg-BG" sz="1200"/>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A6-4F7D-A928-3A8F83866438}"/>
                </c:ext>
              </c:extLst>
            </c:dLbl>
            <c:dLbl>
              <c:idx val="1"/>
              <c:layout>
                <c:manualLayout>
                  <c:x val="1.9239801979323533E-2"/>
                  <c:y val="-1.3331067429522708E-3"/>
                </c:manualLayout>
              </c:layout>
              <c:tx>
                <c:rich>
                  <a:bodyPr/>
                  <a:lstStyle/>
                  <a:p>
                    <a:r>
                      <a:rPr lang="bg-BG"/>
                      <a:t>137 бр.</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A6-4F7D-A928-3A8F83866438}"/>
                </c:ext>
              </c:extLst>
            </c:dLbl>
            <c:dLbl>
              <c:idx val="2"/>
              <c:layout>
                <c:manualLayout>
                  <c:x val="2.0077636117134057E-3"/>
                  <c:y val="-4.7276572442833134E-2"/>
                </c:manualLayout>
              </c:layout>
              <c:tx>
                <c:rich>
                  <a:bodyPr/>
                  <a:lstStyle/>
                  <a:p>
                    <a:r>
                      <a:rPr lang="bg-BG"/>
                      <a:t>7 бр. </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A6-4F7D-A928-3A8F83866438}"/>
                </c:ext>
              </c:extLst>
            </c:dLbl>
            <c:dLbl>
              <c:idx val="3"/>
              <c:layout>
                <c:manualLayout>
                  <c:x val="-1.0130762538586231E-2"/>
                  <c:y val="-7.1412602201703201E-2"/>
                </c:manualLayout>
              </c:layout>
              <c:tx>
                <c:rich>
                  <a:bodyPr/>
                  <a:lstStyle/>
                  <a:p>
                    <a:r>
                      <a:rPr lang="bg-BG"/>
                      <a:t>286 бр.</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A6-4F7D-A928-3A8F83866438}"/>
                </c:ext>
              </c:extLst>
            </c:dLbl>
            <c:numFmt formatCode="0" sourceLinked="0"/>
            <c:spPr>
              <a:noFill/>
            </c:spPr>
            <c:txPr>
              <a:bodyPr/>
              <a:lstStyle/>
              <a:p>
                <a:pPr>
                  <a:defRPr sz="1393"/>
                </a:pPr>
                <a:endParaRPr lang="bg-BG"/>
              </a:p>
            </c:tx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СГП входящи ЕЗР</c:v>
                </c:pt>
                <c:pt idx="1">
                  <c:v>СГП изходящи ЕЗР</c:v>
                </c:pt>
                <c:pt idx="2">
                  <c:v>СРП входящи ЕЗР</c:v>
                </c:pt>
                <c:pt idx="3">
                  <c:v>СРП изходящи ЕЗР</c:v>
                </c:pt>
              </c:strCache>
            </c:strRef>
          </c:cat>
          <c:val>
            <c:numRef>
              <c:f>Лист1!$B$2:$B$5</c:f>
              <c:numCache>
                <c:formatCode>General</c:formatCode>
                <c:ptCount val="4"/>
                <c:pt idx="0">
                  <c:v>384</c:v>
                </c:pt>
                <c:pt idx="1">
                  <c:v>137</c:v>
                </c:pt>
                <c:pt idx="2">
                  <c:v>7</c:v>
                </c:pt>
                <c:pt idx="3">
                  <c:v>286</c:v>
                </c:pt>
              </c:numCache>
            </c:numRef>
          </c:val>
          <c:extLst>
            <c:ext xmlns:c16="http://schemas.microsoft.com/office/drawing/2014/chart" uri="{C3380CC4-5D6E-409C-BE32-E72D297353CC}">
              <c16:uniqueId val="{00000004-17A6-4F7D-A928-3A8F83866438}"/>
            </c:ext>
          </c:extLst>
        </c:ser>
        <c:dLbls>
          <c:showLegendKey val="0"/>
          <c:showVal val="0"/>
          <c:showCatName val="0"/>
          <c:showSerName val="0"/>
          <c:showPercent val="0"/>
          <c:showBubbleSize val="0"/>
          <c:showLeaderLines val="0"/>
        </c:dLbls>
        <c:firstSliceAng val="0"/>
      </c:pieChart>
      <c:spPr>
        <a:noFill/>
        <a:ln w="25311">
          <a:noFill/>
        </a:ln>
      </c:spPr>
    </c:plotArea>
    <c:legend>
      <c:legendPos val="r"/>
      <c:layout>
        <c:manualLayout>
          <c:xMode val="edge"/>
          <c:yMode val="edge"/>
          <c:x val="0.69776119402985071"/>
          <c:y val="0.1799163179916318"/>
          <c:w val="0.20335820895522388"/>
          <c:h val="0.71966527196652719"/>
        </c:manualLayout>
      </c:layout>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998"/>
              <a:t>За 2019 г. -</a:t>
            </a:r>
            <a:r>
              <a:rPr lang="bg-BG" sz="998" baseline="0"/>
              <a:t> 40 бр.</a:t>
            </a:r>
            <a:endParaRPr lang="bg-BG" sz="1000"/>
          </a:p>
        </c:rich>
      </c:tx>
      <c:layout>
        <c:manualLayout>
          <c:xMode val="edge"/>
          <c:yMode val="edge"/>
          <c:x val="9.3367772670034752E-2"/>
          <c:y val="0.81396539718249505"/>
        </c:manualLayout>
      </c:layout>
      <c:overlay val="1"/>
    </c:title>
    <c:autoTitleDeleted val="0"/>
    <c:plotArea>
      <c:layout/>
      <c:pieChart>
        <c:varyColors val="1"/>
        <c:ser>
          <c:idx val="0"/>
          <c:order val="0"/>
          <c:tx>
            <c:strRef>
              <c:f>Лист1!$B$1</c:f>
              <c:strCache>
                <c:ptCount val="1"/>
                <c:pt idx="0">
                  <c:v>Продажби</c:v>
                </c:pt>
              </c:strCache>
            </c:strRef>
          </c:tx>
          <c:dPt>
            <c:idx val="0"/>
            <c:bubble3D val="0"/>
            <c:extLst>
              <c:ext xmlns:c16="http://schemas.microsoft.com/office/drawing/2014/chart" uri="{C3380CC4-5D6E-409C-BE32-E72D297353CC}">
                <c16:uniqueId val="{00000000-5D44-43F6-902C-97A4DE7BFD54}"/>
              </c:ext>
            </c:extLst>
          </c:dPt>
          <c:dPt>
            <c:idx val="1"/>
            <c:bubble3D val="0"/>
            <c:extLst>
              <c:ext xmlns:c16="http://schemas.microsoft.com/office/drawing/2014/chart" uri="{C3380CC4-5D6E-409C-BE32-E72D297353CC}">
                <c16:uniqueId val="{00000001-5D44-43F6-902C-97A4DE7BFD54}"/>
              </c:ext>
            </c:extLst>
          </c:dPt>
          <c:dPt>
            <c:idx val="2"/>
            <c:bubble3D val="0"/>
            <c:extLst>
              <c:ext xmlns:c16="http://schemas.microsoft.com/office/drawing/2014/chart" uri="{C3380CC4-5D6E-409C-BE32-E72D297353CC}">
                <c16:uniqueId val="{00000002-5D44-43F6-902C-97A4DE7BFD54}"/>
              </c:ext>
            </c:extLst>
          </c:dPt>
          <c:dPt>
            <c:idx val="3"/>
            <c:bubble3D val="0"/>
            <c:extLst>
              <c:ext xmlns:c16="http://schemas.microsoft.com/office/drawing/2014/chart" uri="{C3380CC4-5D6E-409C-BE32-E72D297353CC}">
                <c16:uniqueId val="{00000003-5D44-43F6-902C-97A4DE7BFD54}"/>
              </c:ext>
            </c:extLst>
          </c:dPt>
          <c:dPt>
            <c:idx val="4"/>
            <c:bubble3D val="0"/>
            <c:extLst>
              <c:ext xmlns:c16="http://schemas.microsoft.com/office/drawing/2014/chart" uri="{C3380CC4-5D6E-409C-BE32-E72D297353CC}">
                <c16:uniqueId val="{00000004-5D44-43F6-902C-97A4DE7BFD54}"/>
              </c:ext>
            </c:extLst>
          </c:dPt>
          <c:dPt>
            <c:idx val="5"/>
            <c:bubble3D val="0"/>
            <c:extLst>
              <c:ext xmlns:c16="http://schemas.microsoft.com/office/drawing/2014/chart" uri="{C3380CC4-5D6E-409C-BE32-E72D297353CC}">
                <c16:uniqueId val="{00000005-5D44-43F6-902C-97A4DE7BFD54}"/>
              </c:ext>
            </c:extLst>
          </c:dPt>
          <c:dPt>
            <c:idx val="6"/>
            <c:bubble3D val="0"/>
            <c:extLst>
              <c:ext xmlns:c16="http://schemas.microsoft.com/office/drawing/2014/chart" uri="{C3380CC4-5D6E-409C-BE32-E72D297353CC}">
                <c16:uniqueId val="{00000006-5D44-43F6-902C-97A4DE7BFD54}"/>
              </c:ext>
            </c:extLst>
          </c:dPt>
          <c:dPt>
            <c:idx val="7"/>
            <c:bubble3D val="0"/>
            <c:extLst>
              <c:ext xmlns:c16="http://schemas.microsoft.com/office/drawing/2014/chart" uri="{C3380CC4-5D6E-409C-BE32-E72D297353CC}">
                <c16:uniqueId val="{00000007-5D44-43F6-902C-97A4DE7BFD54}"/>
              </c:ext>
            </c:extLst>
          </c:dPt>
          <c:dPt>
            <c:idx val="8"/>
            <c:bubble3D val="0"/>
            <c:extLst>
              <c:ext xmlns:c16="http://schemas.microsoft.com/office/drawing/2014/chart" uri="{C3380CC4-5D6E-409C-BE32-E72D297353CC}">
                <c16:uniqueId val="{00000008-5D44-43F6-902C-97A4DE7BFD54}"/>
              </c:ext>
            </c:extLst>
          </c:dPt>
          <c:dLbls>
            <c:dLbl>
              <c:idx val="5"/>
              <c:delete val="1"/>
              <c:extLst>
                <c:ext xmlns:c15="http://schemas.microsoft.com/office/drawing/2012/chart" uri="{CE6537A1-D6FC-4f65-9D91-7224C49458BB}"/>
                <c:ext xmlns:c16="http://schemas.microsoft.com/office/drawing/2014/chart" uri="{C3380CC4-5D6E-409C-BE32-E72D297353CC}">
                  <c16:uniqueId val="{00000005-5D44-43F6-902C-97A4DE7BFD54}"/>
                </c:ext>
              </c:extLst>
            </c:dLbl>
            <c:dLbl>
              <c:idx val="6"/>
              <c:layout>
                <c:manualLayout>
                  <c:x val="3.549245785270632E-2"/>
                  <c:y val="-1.288244766505636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44-43F6-902C-97A4DE7BFD54}"/>
                </c:ext>
              </c:extLst>
            </c:dLbl>
            <c:dLbl>
              <c:idx val="8"/>
              <c:delete val="1"/>
              <c:extLst>
                <c:ext xmlns:c15="http://schemas.microsoft.com/office/drawing/2012/chart" uri="{CE6537A1-D6FC-4f65-9D91-7224C49458BB}"/>
                <c:ext xmlns:c16="http://schemas.microsoft.com/office/drawing/2014/chart" uri="{C3380CC4-5D6E-409C-BE32-E72D297353CC}">
                  <c16:uniqueId val="{00000008-5D44-43F6-902C-97A4DE7BFD54}"/>
                </c:ext>
              </c:extLst>
            </c:dLbl>
            <c:spPr>
              <a:noFill/>
              <a:ln w="25374">
                <a:noFill/>
              </a:ln>
            </c:spPr>
            <c:txPr>
              <a:bodyPr/>
              <a:lstStyle/>
              <a:p>
                <a:pPr>
                  <a:defRPr sz="1198"/>
                </a:pPr>
                <a:endParaRPr lang="bg-BG"/>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Допуснато предаване</c:v>
                </c:pt>
                <c:pt idx="1">
                  <c:v>Отложено предаване</c:v>
                </c:pt>
                <c:pt idx="2">
                  <c:v>Изпратени по компетентност</c:v>
                </c:pt>
                <c:pt idx="3">
                  <c:v>Съдебна фаза</c:v>
                </c:pt>
                <c:pt idx="4">
                  <c:v>Отказано предаване</c:v>
                </c:pt>
                <c:pt idx="5">
                  <c:v>Флагирани сигнали</c:v>
                </c:pt>
                <c:pt idx="6">
                  <c:v>Чакащи издирване</c:v>
                </c:pt>
                <c:pt idx="7">
                  <c:v>Оттеглени</c:v>
                </c:pt>
                <c:pt idx="8">
                  <c:v>Освободени</c:v>
                </c:pt>
              </c:strCache>
            </c:strRef>
          </c:cat>
          <c:val>
            <c:numRef>
              <c:f>Лист1!$B$2:$B$10</c:f>
              <c:numCache>
                <c:formatCode>General</c:formatCode>
                <c:ptCount val="9"/>
                <c:pt idx="0">
                  <c:v>22</c:v>
                </c:pt>
                <c:pt idx="1">
                  <c:v>1</c:v>
                </c:pt>
                <c:pt idx="2">
                  <c:v>2</c:v>
                </c:pt>
                <c:pt idx="3">
                  <c:v>2</c:v>
                </c:pt>
                <c:pt idx="4">
                  <c:v>7</c:v>
                </c:pt>
                <c:pt idx="5">
                  <c:v>0</c:v>
                </c:pt>
                <c:pt idx="6">
                  <c:v>2</c:v>
                </c:pt>
                <c:pt idx="7">
                  <c:v>4</c:v>
                </c:pt>
                <c:pt idx="8">
                  <c:v>0</c:v>
                </c:pt>
              </c:numCache>
            </c:numRef>
          </c:val>
          <c:extLst>
            <c:ext xmlns:c16="http://schemas.microsoft.com/office/drawing/2014/chart" uri="{C3380CC4-5D6E-409C-BE32-E72D297353CC}">
              <c16:uniqueId val="{00000009-5D44-43F6-902C-97A4DE7BFD54}"/>
            </c:ext>
          </c:extLst>
        </c:ser>
        <c:dLbls>
          <c:showLegendKey val="0"/>
          <c:showVal val="0"/>
          <c:showCatName val="0"/>
          <c:showSerName val="0"/>
          <c:showPercent val="0"/>
          <c:showBubbleSize val="0"/>
          <c:showLeaderLines val="1"/>
        </c:dLbls>
        <c:firstSliceAng val="0"/>
      </c:pieChart>
      <c:spPr>
        <a:noFill/>
        <a:ln w="25374">
          <a:noFill/>
        </a:ln>
      </c:spPr>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999"/>
              <a:t>За 2020 г. -</a:t>
            </a:r>
            <a:r>
              <a:rPr lang="bg-BG" sz="999" baseline="0"/>
              <a:t> 46 бр.</a:t>
            </a:r>
            <a:endParaRPr lang="bg-BG" sz="1000"/>
          </a:p>
        </c:rich>
      </c:tx>
      <c:layout>
        <c:manualLayout>
          <c:xMode val="edge"/>
          <c:yMode val="edge"/>
          <c:x val="7.4542182227221587E-2"/>
          <c:y val="0.81461942257217845"/>
        </c:manualLayout>
      </c:layout>
      <c:overlay val="1"/>
    </c:title>
    <c:autoTitleDeleted val="0"/>
    <c:plotArea>
      <c:layout/>
      <c:pieChart>
        <c:varyColors val="1"/>
        <c:ser>
          <c:idx val="0"/>
          <c:order val="0"/>
          <c:tx>
            <c:strRef>
              <c:f>Лист1!$B$1</c:f>
              <c:strCache>
                <c:ptCount val="1"/>
                <c:pt idx="0">
                  <c:v>Продажби</c:v>
                </c:pt>
              </c:strCache>
            </c:strRef>
          </c:tx>
          <c:dPt>
            <c:idx val="0"/>
            <c:bubble3D val="0"/>
            <c:extLst>
              <c:ext xmlns:c16="http://schemas.microsoft.com/office/drawing/2014/chart" uri="{C3380CC4-5D6E-409C-BE32-E72D297353CC}">
                <c16:uniqueId val="{00000000-2B14-4115-B595-D83E0F58E6DE}"/>
              </c:ext>
            </c:extLst>
          </c:dPt>
          <c:dPt>
            <c:idx val="1"/>
            <c:bubble3D val="0"/>
            <c:extLst>
              <c:ext xmlns:c16="http://schemas.microsoft.com/office/drawing/2014/chart" uri="{C3380CC4-5D6E-409C-BE32-E72D297353CC}">
                <c16:uniqueId val="{00000001-2B14-4115-B595-D83E0F58E6DE}"/>
              </c:ext>
            </c:extLst>
          </c:dPt>
          <c:dPt>
            <c:idx val="2"/>
            <c:bubble3D val="0"/>
            <c:extLst>
              <c:ext xmlns:c16="http://schemas.microsoft.com/office/drawing/2014/chart" uri="{C3380CC4-5D6E-409C-BE32-E72D297353CC}">
                <c16:uniqueId val="{00000002-2B14-4115-B595-D83E0F58E6DE}"/>
              </c:ext>
            </c:extLst>
          </c:dPt>
          <c:dPt>
            <c:idx val="3"/>
            <c:bubble3D val="0"/>
            <c:extLst>
              <c:ext xmlns:c16="http://schemas.microsoft.com/office/drawing/2014/chart" uri="{C3380CC4-5D6E-409C-BE32-E72D297353CC}">
                <c16:uniqueId val="{00000003-2B14-4115-B595-D83E0F58E6DE}"/>
              </c:ext>
            </c:extLst>
          </c:dPt>
          <c:dPt>
            <c:idx val="4"/>
            <c:bubble3D val="0"/>
            <c:extLst>
              <c:ext xmlns:c16="http://schemas.microsoft.com/office/drawing/2014/chart" uri="{C3380CC4-5D6E-409C-BE32-E72D297353CC}">
                <c16:uniqueId val="{00000004-2B14-4115-B595-D83E0F58E6DE}"/>
              </c:ext>
            </c:extLst>
          </c:dPt>
          <c:dPt>
            <c:idx val="5"/>
            <c:bubble3D val="0"/>
            <c:extLst>
              <c:ext xmlns:c16="http://schemas.microsoft.com/office/drawing/2014/chart" uri="{C3380CC4-5D6E-409C-BE32-E72D297353CC}">
                <c16:uniqueId val="{00000005-2B14-4115-B595-D83E0F58E6DE}"/>
              </c:ext>
            </c:extLst>
          </c:dPt>
          <c:dPt>
            <c:idx val="6"/>
            <c:bubble3D val="0"/>
            <c:extLst>
              <c:ext xmlns:c16="http://schemas.microsoft.com/office/drawing/2014/chart" uri="{C3380CC4-5D6E-409C-BE32-E72D297353CC}">
                <c16:uniqueId val="{00000006-2B14-4115-B595-D83E0F58E6DE}"/>
              </c:ext>
            </c:extLst>
          </c:dPt>
          <c:dPt>
            <c:idx val="7"/>
            <c:bubble3D val="0"/>
            <c:extLst>
              <c:ext xmlns:c16="http://schemas.microsoft.com/office/drawing/2014/chart" uri="{C3380CC4-5D6E-409C-BE32-E72D297353CC}">
                <c16:uniqueId val="{00000007-2B14-4115-B595-D83E0F58E6DE}"/>
              </c:ext>
            </c:extLst>
          </c:dPt>
          <c:dPt>
            <c:idx val="8"/>
            <c:bubble3D val="0"/>
            <c:extLst>
              <c:ext xmlns:c16="http://schemas.microsoft.com/office/drawing/2014/chart" uri="{C3380CC4-5D6E-409C-BE32-E72D297353CC}">
                <c16:uniqueId val="{00000008-2B14-4115-B595-D83E0F58E6DE}"/>
              </c:ext>
            </c:extLst>
          </c:dPt>
          <c:dPt>
            <c:idx val="9"/>
            <c:bubble3D val="0"/>
            <c:extLst>
              <c:ext xmlns:c16="http://schemas.microsoft.com/office/drawing/2014/chart" uri="{C3380CC4-5D6E-409C-BE32-E72D297353CC}">
                <c16:uniqueId val="{00000009-2B14-4115-B595-D83E0F58E6DE}"/>
              </c:ext>
            </c:extLst>
          </c:dPt>
          <c:dPt>
            <c:idx val="10"/>
            <c:bubble3D val="0"/>
            <c:extLst>
              <c:ext xmlns:c16="http://schemas.microsoft.com/office/drawing/2014/chart" uri="{C3380CC4-5D6E-409C-BE32-E72D297353CC}">
                <c16:uniqueId val="{0000000A-2B14-4115-B595-D83E0F58E6DE}"/>
              </c:ext>
            </c:extLst>
          </c:dPt>
          <c:dLbls>
            <c:dLbl>
              <c:idx val="2"/>
              <c:layout>
                <c:manualLayout>
                  <c:x val="-9.5238095238095247E-3"/>
                  <c:y val="-1.33333333333333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14-4115-B595-D83E0F58E6DE}"/>
                </c:ext>
              </c:extLst>
            </c:dLbl>
            <c:dLbl>
              <c:idx val="5"/>
              <c:delete val="1"/>
              <c:extLst>
                <c:ext xmlns:c15="http://schemas.microsoft.com/office/drawing/2012/chart" uri="{CE6537A1-D6FC-4f65-9D91-7224C49458BB}"/>
                <c:ext xmlns:c16="http://schemas.microsoft.com/office/drawing/2014/chart" uri="{C3380CC4-5D6E-409C-BE32-E72D297353CC}">
                  <c16:uniqueId val="{00000005-2B14-4115-B595-D83E0F58E6DE}"/>
                </c:ext>
              </c:extLst>
            </c:dLbl>
            <c:dLbl>
              <c:idx val="6"/>
              <c:layout>
                <c:manualLayout>
                  <c:x val="-1.3322084739407575E-2"/>
                  <c:y val="-5.76430446194225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14-4115-B595-D83E0F58E6DE}"/>
                </c:ext>
              </c:extLst>
            </c:dLbl>
            <c:spPr>
              <a:noFill/>
              <a:ln w="25398">
                <a:noFill/>
              </a:ln>
            </c:spPr>
            <c:txPr>
              <a:bodyPr/>
              <a:lstStyle/>
              <a:p>
                <a:pPr>
                  <a:defRPr sz="1199"/>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Лист1!$A$2:$A$12</c:f>
              <c:strCache>
                <c:ptCount val="9"/>
                <c:pt idx="0">
                  <c:v>Допуснато предаване</c:v>
                </c:pt>
                <c:pt idx="1">
                  <c:v>Отложено предаване</c:v>
                </c:pt>
                <c:pt idx="2">
                  <c:v>Изпратени по компетентност</c:v>
                </c:pt>
                <c:pt idx="3">
                  <c:v>Съдебна фаза</c:v>
                </c:pt>
                <c:pt idx="4">
                  <c:v>Отказано предаване</c:v>
                </c:pt>
                <c:pt idx="5">
                  <c:v>Флагирани сигнали</c:v>
                </c:pt>
                <c:pt idx="6">
                  <c:v>Чакащи издирване</c:v>
                </c:pt>
                <c:pt idx="7">
                  <c:v>Оттеглени</c:v>
                </c:pt>
                <c:pt idx="8">
                  <c:v>Освободени</c:v>
                </c:pt>
              </c:strCache>
            </c:strRef>
          </c:cat>
          <c:val>
            <c:numRef>
              <c:f>Лист1!$B$2:$B$12</c:f>
              <c:numCache>
                <c:formatCode>General</c:formatCode>
                <c:ptCount val="11"/>
                <c:pt idx="0">
                  <c:v>19</c:v>
                </c:pt>
                <c:pt idx="1">
                  <c:v>1</c:v>
                </c:pt>
                <c:pt idx="2">
                  <c:v>4</c:v>
                </c:pt>
                <c:pt idx="3">
                  <c:v>9</c:v>
                </c:pt>
                <c:pt idx="4">
                  <c:v>5</c:v>
                </c:pt>
                <c:pt idx="5">
                  <c:v>0</c:v>
                </c:pt>
                <c:pt idx="6">
                  <c:v>1</c:v>
                </c:pt>
                <c:pt idx="7">
                  <c:v>4</c:v>
                </c:pt>
                <c:pt idx="8">
                  <c:v>3</c:v>
                </c:pt>
              </c:numCache>
            </c:numRef>
          </c:val>
          <c:extLst>
            <c:ext xmlns:c16="http://schemas.microsoft.com/office/drawing/2014/chart" uri="{C3380CC4-5D6E-409C-BE32-E72D297353CC}">
              <c16:uniqueId val="{0000000B-2B14-4115-B595-D83E0F58E6DE}"/>
            </c:ext>
          </c:extLst>
        </c:ser>
        <c:dLbls>
          <c:showLegendKey val="0"/>
          <c:showVal val="0"/>
          <c:showCatName val="0"/>
          <c:showSerName val="0"/>
          <c:showPercent val="0"/>
          <c:showBubbleSize val="0"/>
          <c:showLeaderLines val="0"/>
        </c:dLbls>
        <c:firstSliceAng val="0"/>
      </c:pieChart>
      <c:spPr>
        <a:noFill/>
        <a:ln w="25398">
          <a:noFill/>
        </a:ln>
      </c:spPr>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000"/>
              <a:t>За 2021 г. - 53 бр.</a:t>
            </a:r>
          </a:p>
        </c:rich>
      </c:tx>
      <c:layout>
        <c:manualLayout>
          <c:xMode val="edge"/>
          <c:yMode val="edge"/>
          <c:x val="0.23774982037859793"/>
          <c:y val="0.88556904784492296"/>
        </c:manualLayout>
      </c:layout>
      <c:overlay val="1"/>
    </c:title>
    <c:autoTitleDeleted val="0"/>
    <c:plotArea>
      <c:layout/>
      <c:pieChart>
        <c:varyColors val="1"/>
        <c:ser>
          <c:idx val="0"/>
          <c:order val="0"/>
          <c:tx>
            <c:strRef>
              <c:f>Лист1!$B$1</c:f>
              <c:strCache>
                <c:ptCount val="1"/>
                <c:pt idx="0">
                  <c:v>Продажби</c:v>
                </c:pt>
              </c:strCache>
            </c:strRef>
          </c:tx>
          <c:dPt>
            <c:idx val="0"/>
            <c:bubble3D val="0"/>
            <c:extLst>
              <c:ext xmlns:c16="http://schemas.microsoft.com/office/drawing/2014/chart" uri="{C3380CC4-5D6E-409C-BE32-E72D297353CC}">
                <c16:uniqueId val="{00000000-5666-47FC-8083-2DEE370A77F2}"/>
              </c:ext>
            </c:extLst>
          </c:dPt>
          <c:dPt>
            <c:idx val="1"/>
            <c:bubble3D val="0"/>
            <c:extLst>
              <c:ext xmlns:c16="http://schemas.microsoft.com/office/drawing/2014/chart" uri="{C3380CC4-5D6E-409C-BE32-E72D297353CC}">
                <c16:uniqueId val="{00000001-5666-47FC-8083-2DEE370A77F2}"/>
              </c:ext>
            </c:extLst>
          </c:dPt>
          <c:dPt>
            <c:idx val="2"/>
            <c:bubble3D val="0"/>
            <c:extLst>
              <c:ext xmlns:c16="http://schemas.microsoft.com/office/drawing/2014/chart" uri="{C3380CC4-5D6E-409C-BE32-E72D297353CC}">
                <c16:uniqueId val="{00000002-5666-47FC-8083-2DEE370A77F2}"/>
              </c:ext>
            </c:extLst>
          </c:dPt>
          <c:dPt>
            <c:idx val="3"/>
            <c:bubble3D val="0"/>
            <c:extLst>
              <c:ext xmlns:c16="http://schemas.microsoft.com/office/drawing/2014/chart" uri="{C3380CC4-5D6E-409C-BE32-E72D297353CC}">
                <c16:uniqueId val="{00000003-5666-47FC-8083-2DEE370A77F2}"/>
              </c:ext>
            </c:extLst>
          </c:dPt>
          <c:dPt>
            <c:idx val="4"/>
            <c:bubble3D val="0"/>
            <c:extLst>
              <c:ext xmlns:c16="http://schemas.microsoft.com/office/drawing/2014/chart" uri="{C3380CC4-5D6E-409C-BE32-E72D297353CC}">
                <c16:uniqueId val="{00000004-5666-47FC-8083-2DEE370A77F2}"/>
              </c:ext>
            </c:extLst>
          </c:dPt>
          <c:dPt>
            <c:idx val="5"/>
            <c:bubble3D val="0"/>
            <c:extLst>
              <c:ext xmlns:c16="http://schemas.microsoft.com/office/drawing/2014/chart" uri="{C3380CC4-5D6E-409C-BE32-E72D297353CC}">
                <c16:uniqueId val="{00000005-5666-47FC-8083-2DEE370A77F2}"/>
              </c:ext>
            </c:extLst>
          </c:dPt>
          <c:dPt>
            <c:idx val="6"/>
            <c:bubble3D val="0"/>
            <c:extLst>
              <c:ext xmlns:c16="http://schemas.microsoft.com/office/drawing/2014/chart" uri="{C3380CC4-5D6E-409C-BE32-E72D297353CC}">
                <c16:uniqueId val="{00000006-5666-47FC-8083-2DEE370A77F2}"/>
              </c:ext>
            </c:extLst>
          </c:dPt>
          <c:dPt>
            <c:idx val="7"/>
            <c:bubble3D val="0"/>
            <c:extLst>
              <c:ext xmlns:c16="http://schemas.microsoft.com/office/drawing/2014/chart" uri="{C3380CC4-5D6E-409C-BE32-E72D297353CC}">
                <c16:uniqueId val="{00000007-5666-47FC-8083-2DEE370A77F2}"/>
              </c:ext>
            </c:extLst>
          </c:dPt>
          <c:dPt>
            <c:idx val="8"/>
            <c:bubble3D val="0"/>
            <c:extLst>
              <c:ext xmlns:c16="http://schemas.microsoft.com/office/drawing/2014/chart" uri="{C3380CC4-5D6E-409C-BE32-E72D297353CC}">
                <c16:uniqueId val="{00000008-5666-47FC-8083-2DEE370A77F2}"/>
              </c:ext>
            </c:extLst>
          </c:dPt>
          <c:dPt>
            <c:idx val="9"/>
            <c:bubble3D val="0"/>
            <c:extLst>
              <c:ext xmlns:c16="http://schemas.microsoft.com/office/drawing/2014/chart" uri="{C3380CC4-5D6E-409C-BE32-E72D297353CC}">
                <c16:uniqueId val="{00000009-5666-47FC-8083-2DEE370A77F2}"/>
              </c:ext>
            </c:extLst>
          </c:dPt>
          <c:dLbls>
            <c:dLbl>
              <c:idx val="0"/>
              <c:layout>
                <c:manualLayout>
                  <c:x val="-0.11770622188429503"/>
                  <c:y val="-0.3746397411150891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66-47FC-8083-2DEE370A77F2}"/>
                </c:ext>
              </c:extLst>
            </c:dLbl>
            <c:dLbl>
              <c:idx val="1"/>
              <c:delete val="1"/>
              <c:extLst>
                <c:ext xmlns:c15="http://schemas.microsoft.com/office/drawing/2012/chart" uri="{CE6537A1-D6FC-4f65-9D91-7224C49458BB}"/>
                <c:ext xmlns:c16="http://schemas.microsoft.com/office/drawing/2014/chart" uri="{C3380CC4-5D6E-409C-BE32-E72D297353CC}">
                  <c16:uniqueId val="{00000001-5666-47FC-8083-2DEE370A77F2}"/>
                </c:ext>
              </c:extLst>
            </c:dLbl>
            <c:dLbl>
              <c:idx val="2"/>
              <c:layout>
                <c:manualLayout>
                  <c:x val="-2.7086540858370357E-2"/>
                  <c:y val="-3.43779316742033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66-47FC-8083-2DEE370A77F2}"/>
                </c:ext>
              </c:extLst>
            </c:dLbl>
            <c:dLbl>
              <c:idx val="5"/>
              <c:delete val="1"/>
              <c:extLst>
                <c:ext xmlns:c15="http://schemas.microsoft.com/office/drawing/2012/chart" uri="{CE6537A1-D6FC-4f65-9D91-7224C49458BB}"/>
                <c:ext xmlns:c16="http://schemas.microsoft.com/office/drawing/2014/chart" uri="{C3380CC4-5D6E-409C-BE32-E72D297353CC}">
                  <c16:uniqueId val="{00000005-5666-47FC-8083-2DEE370A77F2}"/>
                </c:ext>
              </c:extLst>
            </c:dLbl>
            <c:dLbl>
              <c:idx val="6"/>
              <c:delete val="1"/>
              <c:extLst>
                <c:ext xmlns:c15="http://schemas.microsoft.com/office/drawing/2012/chart" uri="{CE6537A1-D6FC-4f65-9D91-7224C49458BB}"/>
                <c:ext xmlns:c16="http://schemas.microsoft.com/office/drawing/2014/chart" uri="{C3380CC4-5D6E-409C-BE32-E72D297353CC}">
                  <c16:uniqueId val="{00000006-5666-47FC-8083-2DEE370A77F2}"/>
                </c:ext>
              </c:extLst>
            </c:dLbl>
            <c:spPr>
              <a:noFill/>
              <a:ln w="25392">
                <a:noFill/>
              </a:ln>
            </c:spPr>
            <c:txPr>
              <a:bodyPr/>
              <a:lstStyle/>
              <a:p>
                <a:pPr>
                  <a:defRPr sz="1200"/>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Лист1!$A$2:$A$11</c:f>
              <c:strCache>
                <c:ptCount val="10"/>
                <c:pt idx="0">
                  <c:v>Допуснато предаване</c:v>
                </c:pt>
                <c:pt idx="1">
                  <c:v>Отложено предаване</c:v>
                </c:pt>
                <c:pt idx="2">
                  <c:v>Изпратени по компетентност</c:v>
                </c:pt>
                <c:pt idx="3">
                  <c:v>Съдебна фаза</c:v>
                </c:pt>
                <c:pt idx="4">
                  <c:v>Отказано предаване</c:v>
                </c:pt>
                <c:pt idx="5">
                  <c:v>Флагирани сигнали</c:v>
                </c:pt>
                <c:pt idx="6">
                  <c:v>Чакащи издирване</c:v>
                </c:pt>
                <c:pt idx="7">
                  <c:v>Оттеглени</c:v>
                </c:pt>
                <c:pt idx="8">
                  <c:v>Освободени</c:v>
                </c:pt>
                <c:pt idx="9">
                  <c:v>прекратени</c:v>
                </c:pt>
              </c:strCache>
            </c:strRef>
          </c:cat>
          <c:val>
            <c:numRef>
              <c:f>Лист1!$B$2:$B$11</c:f>
              <c:numCache>
                <c:formatCode>General</c:formatCode>
                <c:ptCount val="10"/>
                <c:pt idx="0">
                  <c:v>27</c:v>
                </c:pt>
                <c:pt idx="1">
                  <c:v>0</c:v>
                </c:pt>
                <c:pt idx="2">
                  <c:v>2</c:v>
                </c:pt>
                <c:pt idx="3">
                  <c:v>9</c:v>
                </c:pt>
                <c:pt idx="4">
                  <c:v>5</c:v>
                </c:pt>
                <c:pt idx="5">
                  <c:v>0</c:v>
                </c:pt>
                <c:pt idx="6">
                  <c:v>0</c:v>
                </c:pt>
                <c:pt idx="7">
                  <c:v>6</c:v>
                </c:pt>
                <c:pt idx="8">
                  <c:v>1</c:v>
                </c:pt>
                <c:pt idx="9">
                  <c:v>4</c:v>
                </c:pt>
              </c:numCache>
            </c:numRef>
          </c:val>
          <c:extLst>
            <c:ext xmlns:c16="http://schemas.microsoft.com/office/drawing/2014/chart" uri="{C3380CC4-5D6E-409C-BE32-E72D297353CC}">
              <c16:uniqueId val="{0000000A-5666-47FC-8083-2DEE370A77F2}"/>
            </c:ext>
          </c:extLst>
        </c:ser>
        <c:dLbls>
          <c:showLegendKey val="0"/>
          <c:showVal val="0"/>
          <c:showCatName val="0"/>
          <c:showSerName val="0"/>
          <c:showPercent val="0"/>
          <c:showBubbleSize val="0"/>
          <c:showLeaderLines val="0"/>
        </c:dLbls>
        <c:firstSliceAng val="0"/>
      </c:pieChart>
      <c:spPr>
        <a:noFill/>
        <a:ln w="25392">
          <a:noFill/>
        </a:ln>
      </c:spPr>
    </c:plotArea>
    <c:legend>
      <c:legendPos val="r"/>
      <c:layout>
        <c:manualLayout>
          <c:xMode val="edge"/>
          <c:yMode val="edge"/>
          <c:x val="0.59722222222222221"/>
          <c:y val="0.01"/>
          <c:w val="0.36458333333333331"/>
          <c:h val="0.98"/>
        </c:manualLayout>
      </c:layout>
      <c:overlay val="0"/>
      <c:spPr>
        <a:ln w="3174"/>
      </c:spPr>
      <c:txPr>
        <a:bodyPr/>
        <a:lstStyle/>
        <a:p>
          <a:pPr>
            <a:defRPr sz="700" kern="800" baseline="0">
              <a:latin typeface="+mn-lt"/>
              <a:cs typeface="Arial" panose="020B0604020202020204" pitchFamily="34" charset="0"/>
            </a:defRPr>
          </a:pPr>
          <a:endParaRPr lang="bg-BG"/>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1"/>
            </a:pPr>
            <a:r>
              <a:rPr lang="bg-BG" sz="1101"/>
              <a:t>2019 г. - 9 броя</a:t>
            </a:r>
          </a:p>
        </c:rich>
      </c:tx>
      <c:layout>
        <c:manualLayout>
          <c:xMode val="edge"/>
          <c:yMode val="edge"/>
          <c:x val="0.27680118110236224"/>
          <c:y val="6.2221975774154996E-3"/>
        </c:manualLayout>
      </c:layout>
      <c:overlay val="1"/>
    </c:title>
    <c:autoTitleDeleted val="0"/>
    <c:plotArea>
      <c:layout>
        <c:manualLayout>
          <c:layoutTarget val="inner"/>
          <c:xMode val="edge"/>
          <c:yMode val="edge"/>
          <c:x val="0.15379536134412602"/>
          <c:y val="0.250453693288339"/>
          <c:w val="0.70017995109534903"/>
          <c:h val="0.64557882154213952"/>
        </c:manualLayout>
      </c:layout>
      <c:pieChart>
        <c:varyColors val="1"/>
        <c:ser>
          <c:idx val="0"/>
          <c:order val="0"/>
          <c:tx>
            <c:strRef>
              <c:f>Лист1!$B$1</c:f>
              <c:strCache>
                <c:ptCount val="1"/>
                <c:pt idx="0">
                  <c:v>Продажби</c:v>
                </c:pt>
              </c:strCache>
            </c:strRef>
          </c:tx>
          <c:dPt>
            <c:idx val="0"/>
            <c:bubble3D val="0"/>
            <c:extLst>
              <c:ext xmlns:c16="http://schemas.microsoft.com/office/drawing/2014/chart" uri="{C3380CC4-5D6E-409C-BE32-E72D297353CC}">
                <c16:uniqueId val="{00000000-1610-4123-876F-0B8506419783}"/>
              </c:ext>
            </c:extLst>
          </c:dPt>
          <c:dPt>
            <c:idx val="1"/>
            <c:bubble3D val="0"/>
            <c:extLst>
              <c:ext xmlns:c16="http://schemas.microsoft.com/office/drawing/2014/chart" uri="{C3380CC4-5D6E-409C-BE32-E72D297353CC}">
                <c16:uniqueId val="{00000001-1610-4123-876F-0B8506419783}"/>
              </c:ext>
            </c:extLst>
          </c:dPt>
          <c:dPt>
            <c:idx val="2"/>
            <c:bubble3D val="0"/>
            <c:extLst>
              <c:ext xmlns:c16="http://schemas.microsoft.com/office/drawing/2014/chart" uri="{C3380CC4-5D6E-409C-BE32-E72D297353CC}">
                <c16:uniqueId val="{00000002-1610-4123-876F-0B8506419783}"/>
              </c:ext>
            </c:extLst>
          </c:dPt>
          <c:dPt>
            <c:idx val="3"/>
            <c:bubble3D val="0"/>
            <c:extLst>
              <c:ext xmlns:c16="http://schemas.microsoft.com/office/drawing/2014/chart" uri="{C3380CC4-5D6E-409C-BE32-E72D297353CC}">
                <c16:uniqueId val="{00000003-1610-4123-876F-0B8506419783}"/>
              </c:ext>
            </c:extLst>
          </c:dPt>
          <c:dPt>
            <c:idx val="4"/>
            <c:bubble3D val="0"/>
            <c:extLst>
              <c:ext xmlns:c16="http://schemas.microsoft.com/office/drawing/2014/chart" uri="{C3380CC4-5D6E-409C-BE32-E72D297353CC}">
                <c16:uniqueId val="{00000004-1610-4123-876F-0B8506419783}"/>
              </c:ext>
            </c:extLst>
          </c:dPt>
          <c:dPt>
            <c:idx val="5"/>
            <c:bubble3D val="0"/>
            <c:extLst>
              <c:ext xmlns:c16="http://schemas.microsoft.com/office/drawing/2014/chart" uri="{C3380CC4-5D6E-409C-BE32-E72D297353CC}">
                <c16:uniqueId val="{00000005-1610-4123-876F-0B8506419783}"/>
              </c:ext>
            </c:extLst>
          </c:dPt>
          <c:dPt>
            <c:idx val="6"/>
            <c:bubble3D val="0"/>
            <c:extLst>
              <c:ext xmlns:c16="http://schemas.microsoft.com/office/drawing/2014/chart" uri="{C3380CC4-5D6E-409C-BE32-E72D297353CC}">
                <c16:uniqueId val="{00000006-1610-4123-876F-0B8506419783}"/>
              </c:ext>
            </c:extLst>
          </c:dPt>
          <c:dPt>
            <c:idx val="7"/>
            <c:bubble3D val="0"/>
            <c:extLst>
              <c:ext xmlns:c16="http://schemas.microsoft.com/office/drawing/2014/chart" uri="{C3380CC4-5D6E-409C-BE32-E72D297353CC}">
                <c16:uniqueId val="{00000007-1610-4123-876F-0B8506419783}"/>
              </c:ext>
            </c:extLst>
          </c:dPt>
          <c:dLbls>
            <c:dLbl>
              <c:idx val="1"/>
              <c:delete val="1"/>
              <c:extLst>
                <c:ext xmlns:c15="http://schemas.microsoft.com/office/drawing/2012/chart" uri="{CE6537A1-D6FC-4f65-9D91-7224C49458BB}"/>
                <c:ext xmlns:c16="http://schemas.microsoft.com/office/drawing/2014/chart" uri="{C3380CC4-5D6E-409C-BE32-E72D297353CC}">
                  <c16:uniqueId val="{00000001-1610-4123-876F-0B8506419783}"/>
                </c:ext>
              </c:extLst>
            </c:dLbl>
            <c:dLbl>
              <c:idx val="2"/>
              <c:delete val="1"/>
              <c:extLst>
                <c:ext xmlns:c15="http://schemas.microsoft.com/office/drawing/2012/chart" uri="{CE6537A1-D6FC-4f65-9D91-7224C49458BB}"/>
                <c:ext xmlns:c16="http://schemas.microsoft.com/office/drawing/2014/chart" uri="{C3380CC4-5D6E-409C-BE32-E72D297353CC}">
                  <c16:uniqueId val="{00000002-1610-4123-876F-0B8506419783}"/>
                </c:ext>
              </c:extLst>
            </c:dLbl>
            <c:dLbl>
              <c:idx val="3"/>
              <c:delete val="1"/>
              <c:extLst>
                <c:ext xmlns:c15="http://schemas.microsoft.com/office/drawing/2012/chart" uri="{CE6537A1-D6FC-4f65-9D91-7224C49458BB}"/>
                <c:ext xmlns:c16="http://schemas.microsoft.com/office/drawing/2014/chart" uri="{C3380CC4-5D6E-409C-BE32-E72D297353CC}">
                  <c16:uniqueId val="{00000003-1610-4123-876F-0B8506419783}"/>
                </c:ext>
              </c:extLst>
            </c:dLbl>
            <c:dLbl>
              <c:idx val="6"/>
              <c:delete val="1"/>
              <c:extLst>
                <c:ext xmlns:c15="http://schemas.microsoft.com/office/drawing/2012/chart" uri="{CE6537A1-D6FC-4f65-9D91-7224C49458BB}"/>
                <c:ext xmlns:c16="http://schemas.microsoft.com/office/drawing/2014/chart" uri="{C3380CC4-5D6E-409C-BE32-E72D297353CC}">
                  <c16:uniqueId val="{00000006-1610-4123-876F-0B8506419783}"/>
                </c:ext>
              </c:extLst>
            </c:dLbl>
            <c:spPr>
              <a:noFill/>
              <a:ln w="25389">
                <a:noFill/>
              </a:ln>
            </c:spPr>
            <c:txPr>
              <a:bodyPr/>
              <a:lstStyle/>
              <a:p>
                <a:pPr>
                  <a:defRPr sz="1198"/>
                </a:pPr>
                <a:endParaRPr lang="bg-BG"/>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Допуснато предаване</c:v>
                </c:pt>
                <c:pt idx="1">
                  <c:v>Отказано предаване</c:v>
                </c:pt>
                <c:pt idx="2">
                  <c:v>Прекратени преписки</c:v>
                </c:pt>
                <c:pt idx="3">
                  <c:v>Освободени</c:v>
                </c:pt>
                <c:pt idx="4">
                  <c:v>Чакащи издирване</c:v>
                </c:pt>
                <c:pt idx="5">
                  <c:v>Съдебна фаза</c:v>
                </c:pt>
                <c:pt idx="6">
                  <c:v>Отложено предаване</c:v>
                </c:pt>
                <c:pt idx="7">
                  <c:v>Оттеглени</c:v>
                </c:pt>
              </c:strCache>
            </c:strRef>
          </c:cat>
          <c:val>
            <c:numRef>
              <c:f>Лист1!$B$2:$B$9</c:f>
              <c:numCache>
                <c:formatCode>General</c:formatCode>
                <c:ptCount val="8"/>
                <c:pt idx="0">
                  <c:v>5</c:v>
                </c:pt>
                <c:pt idx="1">
                  <c:v>0</c:v>
                </c:pt>
                <c:pt idx="2">
                  <c:v>0</c:v>
                </c:pt>
                <c:pt idx="3">
                  <c:v>0</c:v>
                </c:pt>
                <c:pt idx="4">
                  <c:v>2</c:v>
                </c:pt>
                <c:pt idx="5">
                  <c:v>1</c:v>
                </c:pt>
                <c:pt idx="6">
                  <c:v>0</c:v>
                </c:pt>
                <c:pt idx="7">
                  <c:v>1</c:v>
                </c:pt>
              </c:numCache>
            </c:numRef>
          </c:val>
          <c:extLst>
            <c:ext xmlns:c16="http://schemas.microsoft.com/office/drawing/2014/chart" uri="{C3380CC4-5D6E-409C-BE32-E72D297353CC}">
              <c16:uniqueId val="{00000008-1610-4123-876F-0B8506419783}"/>
            </c:ext>
          </c:extLst>
        </c:ser>
        <c:dLbls>
          <c:showLegendKey val="0"/>
          <c:showVal val="0"/>
          <c:showCatName val="0"/>
          <c:showSerName val="0"/>
          <c:showPercent val="0"/>
          <c:showBubbleSize val="0"/>
          <c:showLeaderLines val="1"/>
        </c:dLbls>
        <c:firstSliceAng val="0"/>
      </c:pieChart>
      <c:spPr>
        <a:noFill/>
        <a:ln w="25389">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latin typeface="Times New Roman" panose="02020603050405020304" pitchFamily="18" charset="0"/>
                <a:cs typeface="Times New Roman" panose="02020603050405020304" pitchFamily="18" charset="0"/>
              </a:defRPr>
            </a:pPr>
            <a:r>
              <a:rPr lang="bg-BG"/>
              <a:t>Показатели за Софийска градска прокуратура – преписки 2021 г., към края на отчетния период</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Показатели за Софийска градска прокуратура – преписки 2018 г., към края на отчетния период</c:v>
                </c:pt>
              </c:strCache>
            </c:strRef>
          </c:tx>
          <c:explosion val="25"/>
          <c:dPt>
            <c:idx val="0"/>
            <c:bubble3D val="0"/>
            <c:extLst>
              <c:ext xmlns:c16="http://schemas.microsoft.com/office/drawing/2014/chart" uri="{C3380CC4-5D6E-409C-BE32-E72D297353CC}">
                <c16:uniqueId val="{00000000-A79E-4333-8E4C-B6A94439C5CC}"/>
              </c:ext>
            </c:extLst>
          </c:dPt>
          <c:dPt>
            <c:idx val="1"/>
            <c:bubble3D val="0"/>
            <c:extLst>
              <c:ext xmlns:c16="http://schemas.microsoft.com/office/drawing/2014/chart" uri="{C3380CC4-5D6E-409C-BE32-E72D297353CC}">
                <c16:uniqueId val="{00000001-A79E-4333-8E4C-B6A94439C5CC}"/>
              </c:ext>
            </c:extLst>
          </c:dPt>
          <c:dLbls>
            <c:spPr>
              <a:noFill/>
              <a:ln w="25368">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Наблюдавани преписки</c:v>
                </c:pt>
                <c:pt idx="1">
                  <c:v>Нерешени преписки</c:v>
                </c:pt>
              </c:strCache>
            </c:strRef>
          </c:cat>
          <c:val>
            <c:numRef>
              <c:f>Лист1!$B$2:$B$3</c:f>
              <c:numCache>
                <c:formatCode>General</c:formatCode>
                <c:ptCount val="2"/>
                <c:pt idx="0">
                  <c:v>5145</c:v>
                </c:pt>
                <c:pt idx="1">
                  <c:v>575</c:v>
                </c:pt>
              </c:numCache>
            </c:numRef>
          </c:val>
          <c:extLst>
            <c:ext xmlns:c16="http://schemas.microsoft.com/office/drawing/2014/chart" uri="{C3380CC4-5D6E-409C-BE32-E72D297353CC}">
              <c16:uniqueId val="{00000002-A79E-4333-8E4C-B6A94439C5CC}"/>
            </c:ext>
          </c:extLst>
        </c:ser>
        <c:dLbls>
          <c:showLegendKey val="0"/>
          <c:showVal val="0"/>
          <c:showCatName val="0"/>
          <c:showSerName val="0"/>
          <c:showPercent val="0"/>
          <c:showBubbleSize val="0"/>
          <c:showLeaderLines val="1"/>
        </c:dLbls>
      </c:pie3DChart>
      <c:spPr>
        <a:noFill/>
        <a:ln w="25371">
          <a:noFill/>
        </a:ln>
      </c:spPr>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4"/>
            </a:pPr>
            <a:r>
              <a:rPr lang="bg-BG" sz="1094"/>
              <a:t>2020 г. - 6 броя</a:t>
            </a:r>
          </a:p>
        </c:rich>
      </c:tx>
      <c:layout>
        <c:manualLayout>
          <c:xMode val="edge"/>
          <c:yMode val="edge"/>
          <c:x val="0.20463813632310429"/>
          <c:y val="1.3097979234925419E-2"/>
        </c:manualLayout>
      </c:layout>
      <c:overlay val="1"/>
    </c:title>
    <c:autoTitleDeleted val="0"/>
    <c:plotArea>
      <c:layout/>
      <c:pieChart>
        <c:varyColors val="1"/>
        <c:ser>
          <c:idx val="0"/>
          <c:order val="0"/>
          <c:tx>
            <c:strRef>
              <c:f>Лист1!$B$1</c:f>
              <c:strCache>
                <c:ptCount val="1"/>
                <c:pt idx="0">
                  <c:v>Продажби</c:v>
                </c:pt>
              </c:strCache>
            </c:strRef>
          </c:tx>
          <c:dPt>
            <c:idx val="0"/>
            <c:bubble3D val="0"/>
            <c:extLst>
              <c:ext xmlns:c16="http://schemas.microsoft.com/office/drawing/2014/chart" uri="{C3380CC4-5D6E-409C-BE32-E72D297353CC}">
                <c16:uniqueId val="{00000000-08F5-4553-A2F5-BAF95F1E6296}"/>
              </c:ext>
            </c:extLst>
          </c:dPt>
          <c:dPt>
            <c:idx val="1"/>
            <c:bubble3D val="0"/>
            <c:extLst>
              <c:ext xmlns:c16="http://schemas.microsoft.com/office/drawing/2014/chart" uri="{C3380CC4-5D6E-409C-BE32-E72D297353CC}">
                <c16:uniqueId val="{00000001-08F5-4553-A2F5-BAF95F1E6296}"/>
              </c:ext>
            </c:extLst>
          </c:dPt>
          <c:dPt>
            <c:idx val="2"/>
            <c:bubble3D val="0"/>
            <c:extLst>
              <c:ext xmlns:c16="http://schemas.microsoft.com/office/drawing/2014/chart" uri="{C3380CC4-5D6E-409C-BE32-E72D297353CC}">
                <c16:uniqueId val="{00000002-08F5-4553-A2F5-BAF95F1E6296}"/>
              </c:ext>
            </c:extLst>
          </c:dPt>
          <c:dPt>
            <c:idx val="3"/>
            <c:bubble3D val="0"/>
            <c:extLst>
              <c:ext xmlns:c16="http://schemas.microsoft.com/office/drawing/2014/chart" uri="{C3380CC4-5D6E-409C-BE32-E72D297353CC}">
                <c16:uniqueId val="{00000003-08F5-4553-A2F5-BAF95F1E6296}"/>
              </c:ext>
            </c:extLst>
          </c:dPt>
          <c:dPt>
            <c:idx val="4"/>
            <c:bubble3D val="0"/>
            <c:extLst>
              <c:ext xmlns:c16="http://schemas.microsoft.com/office/drawing/2014/chart" uri="{C3380CC4-5D6E-409C-BE32-E72D297353CC}">
                <c16:uniqueId val="{00000004-08F5-4553-A2F5-BAF95F1E6296}"/>
              </c:ext>
            </c:extLst>
          </c:dPt>
          <c:dPt>
            <c:idx val="5"/>
            <c:bubble3D val="0"/>
            <c:extLst>
              <c:ext xmlns:c16="http://schemas.microsoft.com/office/drawing/2014/chart" uri="{C3380CC4-5D6E-409C-BE32-E72D297353CC}">
                <c16:uniqueId val="{00000005-08F5-4553-A2F5-BAF95F1E6296}"/>
              </c:ext>
            </c:extLst>
          </c:dPt>
          <c:dPt>
            <c:idx val="6"/>
            <c:bubble3D val="0"/>
            <c:extLst>
              <c:ext xmlns:c16="http://schemas.microsoft.com/office/drawing/2014/chart" uri="{C3380CC4-5D6E-409C-BE32-E72D297353CC}">
                <c16:uniqueId val="{00000006-08F5-4553-A2F5-BAF95F1E6296}"/>
              </c:ext>
            </c:extLst>
          </c:dPt>
          <c:dPt>
            <c:idx val="7"/>
            <c:bubble3D val="0"/>
            <c:extLst>
              <c:ext xmlns:c16="http://schemas.microsoft.com/office/drawing/2014/chart" uri="{C3380CC4-5D6E-409C-BE32-E72D297353CC}">
                <c16:uniqueId val="{00000007-08F5-4553-A2F5-BAF95F1E6296}"/>
              </c:ext>
            </c:extLst>
          </c:dPt>
          <c:dLbls>
            <c:dLbl>
              <c:idx val="0"/>
              <c:layout>
                <c:manualLayout>
                  <c:x val="3.3802816901408551E-2"/>
                  <c:y val="0.1343283582089552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F5-4553-A2F5-BAF95F1E6296}"/>
                </c:ext>
              </c:extLst>
            </c:dLbl>
            <c:dLbl>
              <c:idx val="1"/>
              <c:delete val="1"/>
              <c:extLst>
                <c:ext xmlns:c15="http://schemas.microsoft.com/office/drawing/2012/chart" uri="{CE6537A1-D6FC-4f65-9D91-7224C49458BB}"/>
                <c:ext xmlns:c16="http://schemas.microsoft.com/office/drawing/2014/chart" uri="{C3380CC4-5D6E-409C-BE32-E72D297353CC}">
                  <c16:uniqueId val="{00000001-08F5-4553-A2F5-BAF95F1E6296}"/>
                </c:ext>
              </c:extLst>
            </c:dLbl>
            <c:dLbl>
              <c:idx val="2"/>
              <c:delete val="1"/>
              <c:extLst>
                <c:ext xmlns:c15="http://schemas.microsoft.com/office/drawing/2012/chart" uri="{CE6537A1-D6FC-4f65-9D91-7224C49458BB}"/>
                <c:ext xmlns:c16="http://schemas.microsoft.com/office/drawing/2014/chart" uri="{C3380CC4-5D6E-409C-BE32-E72D297353CC}">
                  <c16:uniqueId val="{00000002-08F5-4553-A2F5-BAF95F1E6296}"/>
                </c:ext>
              </c:extLst>
            </c:dLbl>
            <c:dLbl>
              <c:idx val="4"/>
              <c:layout>
                <c:manualLayout>
                  <c:x val="-0.12081783207780036"/>
                  <c:y val="7.52314849095711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F5-4553-A2F5-BAF95F1E6296}"/>
                </c:ext>
              </c:extLst>
            </c:dLbl>
            <c:spPr>
              <a:noFill/>
              <a:ln w="25372">
                <a:noFill/>
              </a:ln>
            </c:spPr>
            <c:txPr>
              <a:bodyPr/>
              <a:lstStyle/>
              <a:p>
                <a:pPr>
                  <a:defRPr sz="1190"/>
                </a:pPr>
                <a:endParaRPr lang="bg-BG"/>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Допуснато предаване</c:v>
                </c:pt>
                <c:pt idx="1">
                  <c:v>Отказано предаване</c:v>
                </c:pt>
                <c:pt idx="2">
                  <c:v>Прекратени преписки</c:v>
                </c:pt>
                <c:pt idx="3">
                  <c:v>Освободени</c:v>
                </c:pt>
                <c:pt idx="4">
                  <c:v>Чакащи издирване</c:v>
                </c:pt>
                <c:pt idx="5">
                  <c:v>Съдебна фаза</c:v>
                </c:pt>
                <c:pt idx="6">
                  <c:v>Отложено предаване</c:v>
                </c:pt>
                <c:pt idx="7">
                  <c:v>Оттеглени</c:v>
                </c:pt>
              </c:strCache>
            </c:strRef>
          </c:cat>
          <c:val>
            <c:numRef>
              <c:f>Лист1!$B$2:$B$9</c:f>
              <c:numCache>
                <c:formatCode>General</c:formatCode>
                <c:ptCount val="8"/>
                <c:pt idx="0">
                  <c:v>5</c:v>
                </c:pt>
                <c:pt idx="4">
                  <c:v>1</c:v>
                </c:pt>
              </c:numCache>
            </c:numRef>
          </c:val>
          <c:extLst>
            <c:ext xmlns:c16="http://schemas.microsoft.com/office/drawing/2014/chart" uri="{C3380CC4-5D6E-409C-BE32-E72D297353CC}">
              <c16:uniqueId val="{00000008-08F5-4553-A2F5-BAF95F1E6296}"/>
            </c:ext>
          </c:extLst>
        </c:ser>
        <c:dLbls>
          <c:showLegendKey val="0"/>
          <c:showVal val="0"/>
          <c:showCatName val="0"/>
          <c:showSerName val="0"/>
          <c:showPercent val="0"/>
          <c:showBubbleSize val="0"/>
          <c:showLeaderLines val="1"/>
        </c:dLbls>
        <c:firstSliceAng val="0"/>
      </c:pieChart>
      <c:spPr>
        <a:noFill/>
        <a:ln w="25372">
          <a:noFill/>
        </a:ln>
      </c:spPr>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a:pPr>
            <a:r>
              <a:rPr lang="bg-BG" sz="1099"/>
              <a:t>2021 г. - 7 броя</a:t>
            </a:r>
          </a:p>
        </c:rich>
      </c:tx>
      <c:layout>
        <c:manualLayout>
          <c:xMode val="edge"/>
          <c:yMode val="edge"/>
          <c:x val="7.2166351427844486E-2"/>
          <c:y val="2.2721545487044217E-2"/>
        </c:manualLayout>
      </c:layout>
      <c:overlay val="1"/>
    </c:title>
    <c:autoTitleDeleted val="0"/>
    <c:plotArea>
      <c:layout>
        <c:manualLayout>
          <c:layoutTarget val="inner"/>
          <c:xMode val="edge"/>
          <c:yMode val="edge"/>
          <c:x val="5.9040591874461486E-2"/>
          <c:y val="0.25260938536529082"/>
          <c:w val="0.48287913972845886"/>
          <c:h val="0.69990943439762332"/>
        </c:manualLayout>
      </c:layout>
      <c:pieChart>
        <c:varyColors val="1"/>
        <c:ser>
          <c:idx val="0"/>
          <c:order val="0"/>
          <c:tx>
            <c:strRef>
              <c:f>Лист1!$B$1</c:f>
              <c:strCache>
                <c:ptCount val="1"/>
                <c:pt idx="0">
                  <c:v>Продажби</c:v>
                </c:pt>
              </c:strCache>
            </c:strRef>
          </c:tx>
          <c:dPt>
            <c:idx val="0"/>
            <c:bubble3D val="0"/>
            <c:extLst>
              <c:ext xmlns:c16="http://schemas.microsoft.com/office/drawing/2014/chart" uri="{C3380CC4-5D6E-409C-BE32-E72D297353CC}">
                <c16:uniqueId val="{00000000-DA92-40BC-A0F9-E85D251232D0}"/>
              </c:ext>
            </c:extLst>
          </c:dPt>
          <c:dPt>
            <c:idx val="1"/>
            <c:bubble3D val="0"/>
            <c:extLst>
              <c:ext xmlns:c16="http://schemas.microsoft.com/office/drawing/2014/chart" uri="{C3380CC4-5D6E-409C-BE32-E72D297353CC}">
                <c16:uniqueId val="{00000001-DA92-40BC-A0F9-E85D251232D0}"/>
              </c:ext>
            </c:extLst>
          </c:dPt>
          <c:dPt>
            <c:idx val="2"/>
            <c:bubble3D val="0"/>
            <c:extLst>
              <c:ext xmlns:c16="http://schemas.microsoft.com/office/drawing/2014/chart" uri="{C3380CC4-5D6E-409C-BE32-E72D297353CC}">
                <c16:uniqueId val="{00000002-DA92-40BC-A0F9-E85D251232D0}"/>
              </c:ext>
            </c:extLst>
          </c:dPt>
          <c:dPt>
            <c:idx val="3"/>
            <c:bubble3D val="0"/>
            <c:extLst>
              <c:ext xmlns:c16="http://schemas.microsoft.com/office/drawing/2014/chart" uri="{C3380CC4-5D6E-409C-BE32-E72D297353CC}">
                <c16:uniqueId val="{00000003-DA92-40BC-A0F9-E85D251232D0}"/>
              </c:ext>
            </c:extLst>
          </c:dPt>
          <c:dPt>
            <c:idx val="4"/>
            <c:bubble3D val="0"/>
            <c:extLst>
              <c:ext xmlns:c16="http://schemas.microsoft.com/office/drawing/2014/chart" uri="{C3380CC4-5D6E-409C-BE32-E72D297353CC}">
                <c16:uniqueId val="{00000004-DA92-40BC-A0F9-E85D251232D0}"/>
              </c:ext>
            </c:extLst>
          </c:dPt>
          <c:dPt>
            <c:idx val="5"/>
            <c:bubble3D val="0"/>
            <c:extLst>
              <c:ext xmlns:c16="http://schemas.microsoft.com/office/drawing/2014/chart" uri="{C3380CC4-5D6E-409C-BE32-E72D297353CC}">
                <c16:uniqueId val="{00000005-DA92-40BC-A0F9-E85D251232D0}"/>
              </c:ext>
            </c:extLst>
          </c:dPt>
          <c:dPt>
            <c:idx val="6"/>
            <c:bubble3D val="0"/>
            <c:extLst>
              <c:ext xmlns:c16="http://schemas.microsoft.com/office/drawing/2014/chart" uri="{C3380CC4-5D6E-409C-BE32-E72D297353CC}">
                <c16:uniqueId val="{00000006-DA92-40BC-A0F9-E85D251232D0}"/>
              </c:ext>
            </c:extLst>
          </c:dPt>
          <c:dPt>
            <c:idx val="7"/>
            <c:bubble3D val="0"/>
            <c:extLst>
              <c:ext xmlns:c16="http://schemas.microsoft.com/office/drawing/2014/chart" uri="{C3380CC4-5D6E-409C-BE32-E72D297353CC}">
                <c16:uniqueId val="{00000007-DA92-40BC-A0F9-E85D251232D0}"/>
              </c:ext>
            </c:extLst>
          </c:dPt>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Допуснато предаване</c:v>
                </c:pt>
                <c:pt idx="1">
                  <c:v>Отказано предаване</c:v>
                </c:pt>
                <c:pt idx="2">
                  <c:v>Прекратени преписки</c:v>
                </c:pt>
                <c:pt idx="3">
                  <c:v>Освободени</c:v>
                </c:pt>
                <c:pt idx="4">
                  <c:v>Чакащи издирване</c:v>
                </c:pt>
                <c:pt idx="5">
                  <c:v>Съдебна фаза</c:v>
                </c:pt>
                <c:pt idx="6">
                  <c:v>Отложено предаване</c:v>
                </c:pt>
                <c:pt idx="7">
                  <c:v>чакат предаване</c:v>
                </c:pt>
              </c:strCache>
            </c:strRef>
          </c:cat>
          <c:val>
            <c:numRef>
              <c:f>Лист1!$B$2:$B$9</c:f>
              <c:numCache>
                <c:formatCode>General</c:formatCode>
                <c:ptCount val="8"/>
                <c:pt idx="0">
                  <c:v>1</c:v>
                </c:pt>
                <c:pt idx="4">
                  <c:v>2</c:v>
                </c:pt>
                <c:pt idx="5">
                  <c:v>2</c:v>
                </c:pt>
                <c:pt idx="6">
                  <c:v>1</c:v>
                </c:pt>
                <c:pt idx="7">
                  <c:v>1</c:v>
                </c:pt>
              </c:numCache>
            </c:numRef>
          </c:val>
          <c:extLst>
            <c:ext xmlns:c16="http://schemas.microsoft.com/office/drawing/2014/chart" uri="{C3380CC4-5D6E-409C-BE32-E72D297353CC}">
              <c16:uniqueId val="{00000008-DA92-40BC-A0F9-E85D251232D0}"/>
            </c:ext>
          </c:extLst>
        </c:ser>
        <c:dLbls>
          <c:showLegendKey val="0"/>
          <c:showVal val="0"/>
          <c:showCatName val="0"/>
          <c:showSerName val="0"/>
          <c:showPercent val="0"/>
          <c:showBubbleSize val="0"/>
          <c:showLeaderLines val="1"/>
        </c:dLbls>
        <c:firstSliceAng val="0"/>
      </c:pieChart>
      <c:spPr>
        <a:noFill/>
        <a:ln w="25388">
          <a:noFill/>
        </a:ln>
      </c:spPr>
    </c:plotArea>
    <c:legend>
      <c:legendPos val="r"/>
      <c:layout>
        <c:manualLayout>
          <c:xMode val="edge"/>
          <c:yMode val="edge"/>
          <c:x val="0.61214953271028039"/>
          <c:y val="6.1728395061728392E-3"/>
          <c:w val="0.35046728971962615"/>
          <c:h val="0.93827160493827155"/>
        </c:manualLayout>
      </c:layout>
      <c:overlay val="0"/>
      <c:txPr>
        <a:bodyPr/>
        <a:lstStyle/>
        <a:p>
          <a:pPr>
            <a:defRPr sz="700" baseline="0"/>
          </a:pPr>
          <a:endParaRPr lang="bg-BG"/>
        </a:p>
      </c:txPr>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bg-BG" sz="1199"/>
              <a:t>Учястия</a:t>
            </a:r>
            <a:r>
              <a:rPr lang="bg-BG" sz="1199" baseline="0"/>
              <a:t> на прокурори по признаване и изпълнение на присъди на чужд съд</a:t>
            </a:r>
            <a:endParaRPr lang="bg-BG" sz="1200"/>
          </a:p>
        </c:rich>
      </c:tx>
      <c:overlay val="0"/>
    </c:title>
    <c:autoTitleDeleted val="0"/>
    <c:plotArea>
      <c:layout/>
      <c:barChart>
        <c:barDir val="bar"/>
        <c:grouping val="clustered"/>
        <c:varyColors val="0"/>
        <c:ser>
          <c:idx val="0"/>
          <c:order val="0"/>
          <c:tx>
            <c:strRef>
              <c:f>Лист1!$B$1</c:f>
              <c:strCache>
                <c:ptCount val="1"/>
                <c:pt idx="0">
                  <c:v>Съдебни производства</c:v>
                </c:pt>
              </c:strCache>
            </c:strRef>
          </c:tx>
          <c:spPr>
            <a:solidFill>
              <a:srgbClr val="0070C0"/>
            </a:solidFill>
            <a:ln w="25369" cap="flat" cmpd="sng" algn="ctr">
              <a:solidFill>
                <a:schemeClr val="accent1"/>
              </a:solidFill>
              <a:prstDash val="solid"/>
            </a:ln>
            <a:effectLst/>
          </c:spPr>
          <c:invertIfNegative val="0"/>
          <c:dLbls>
            <c:dLbl>
              <c:idx val="0"/>
              <c:tx>
                <c:rich>
                  <a:bodyPr/>
                  <a:lstStyle/>
                  <a:p>
                    <a:pPr>
                      <a:defRPr/>
                    </a:pPr>
                    <a:r>
                      <a:rPr lang="en-US"/>
                      <a:t>171</a:t>
                    </a:r>
                  </a:p>
                </c:rich>
              </c:tx>
              <c:spPr>
                <a:noFill/>
                <a:ln w="253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F3-45DD-9826-AA079840A8D2}"/>
                </c:ext>
              </c:extLst>
            </c:dLbl>
            <c:dLbl>
              <c:idx val="1"/>
              <c:tx>
                <c:rich>
                  <a:bodyPr/>
                  <a:lstStyle/>
                  <a:p>
                    <a:pPr>
                      <a:defRPr/>
                    </a:pPr>
                    <a:r>
                      <a:rPr lang="en-US"/>
                      <a:t>73</a:t>
                    </a:r>
                  </a:p>
                </c:rich>
              </c:tx>
              <c:spPr>
                <a:noFill/>
                <a:ln w="253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F3-45DD-9826-AA079840A8D2}"/>
                </c:ext>
              </c:extLst>
            </c:dLbl>
            <c:dLbl>
              <c:idx val="2"/>
              <c:tx>
                <c:rich>
                  <a:bodyPr/>
                  <a:lstStyle/>
                  <a:p>
                    <a:pPr>
                      <a:defRPr/>
                    </a:pPr>
                    <a:r>
                      <a:rPr lang="en-US"/>
                      <a:t>206</a:t>
                    </a:r>
                  </a:p>
                </c:rich>
              </c:tx>
              <c:spPr>
                <a:noFill/>
                <a:ln w="253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F3-45DD-9826-AA079840A8D2}"/>
                </c:ext>
              </c:extLst>
            </c:dLbl>
            <c:spPr>
              <a:noFill/>
              <a:ln w="2535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c:v>
                </c:pt>
                <c:pt idx="1">
                  <c:v>2020 г.</c:v>
                </c:pt>
                <c:pt idx="2">
                  <c:v>2021 г.</c:v>
                </c:pt>
              </c:strCache>
            </c:strRef>
          </c:cat>
          <c:val>
            <c:numRef>
              <c:f>Лист1!$B$2:$B$4</c:f>
              <c:numCache>
                <c:formatCode>General</c:formatCode>
                <c:ptCount val="3"/>
                <c:pt idx="0">
                  <c:v>171</c:v>
                </c:pt>
                <c:pt idx="1">
                  <c:v>73</c:v>
                </c:pt>
                <c:pt idx="2">
                  <c:v>206</c:v>
                </c:pt>
              </c:numCache>
            </c:numRef>
          </c:val>
          <c:extLst>
            <c:ext xmlns:c16="http://schemas.microsoft.com/office/drawing/2014/chart" uri="{C3380CC4-5D6E-409C-BE32-E72D297353CC}">
              <c16:uniqueId val="{00000003-CCF3-45DD-9826-AA079840A8D2}"/>
            </c:ext>
          </c:extLst>
        </c:ser>
        <c:ser>
          <c:idx val="1"/>
          <c:order val="1"/>
          <c:tx>
            <c:strRef>
              <c:f>Лист1!$C$1</c:f>
              <c:strCache>
                <c:ptCount val="1"/>
                <c:pt idx="0">
                  <c:v>Признати чуждестранни присъди</c:v>
                </c:pt>
              </c:strCache>
            </c:strRef>
          </c:tx>
          <c:spPr>
            <a:solidFill>
              <a:srgbClr val="FF0000"/>
            </a:solidFill>
            <a:ln w="25369" cap="flat" cmpd="sng" algn="ctr">
              <a:solidFill>
                <a:schemeClr val="accent2"/>
              </a:solidFill>
              <a:prstDash val="solid"/>
            </a:ln>
            <a:effectLst/>
          </c:spPr>
          <c:invertIfNegative val="0"/>
          <c:dLbls>
            <c:dLbl>
              <c:idx val="0"/>
              <c:tx>
                <c:rich>
                  <a:bodyPr/>
                  <a:lstStyle/>
                  <a:p>
                    <a:pPr>
                      <a:defRPr/>
                    </a:pPr>
                    <a:r>
                      <a:rPr lang="en-US"/>
                      <a:t>56</a:t>
                    </a:r>
                  </a:p>
                </c:rich>
              </c:tx>
              <c:spPr>
                <a:noFill/>
                <a:ln w="253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F3-45DD-9826-AA079840A8D2}"/>
                </c:ext>
              </c:extLst>
            </c:dLbl>
            <c:dLbl>
              <c:idx val="1"/>
              <c:tx>
                <c:rich>
                  <a:bodyPr/>
                  <a:lstStyle/>
                  <a:p>
                    <a:pPr>
                      <a:defRPr/>
                    </a:pPr>
                    <a:r>
                      <a:rPr lang="en-US"/>
                      <a:t>44</a:t>
                    </a:r>
                  </a:p>
                </c:rich>
              </c:tx>
              <c:spPr>
                <a:noFill/>
                <a:ln w="253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F3-45DD-9826-AA079840A8D2}"/>
                </c:ext>
              </c:extLst>
            </c:dLbl>
            <c:dLbl>
              <c:idx val="2"/>
              <c:tx>
                <c:rich>
                  <a:bodyPr/>
                  <a:lstStyle/>
                  <a:p>
                    <a:pPr>
                      <a:defRPr/>
                    </a:pPr>
                    <a:r>
                      <a:rPr lang="en-US"/>
                      <a:t>33</a:t>
                    </a:r>
                  </a:p>
                </c:rich>
              </c:tx>
              <c:spPr>
                <a:noFill/>
                <a:ln w="25355">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F3-45DD-9826-AA079840A8D2}"/>
                </c:ext>
              </c:extLst>
            </c:dLbl>
            <c:spPr>
              <a:noFill/>
              <a:ln w="2535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2019 г.</c:v>
                </c:pt>
                <c:pt idx="1">
                  <c:v>2020 г.</c:v>
                </c:pt>
                <c:pt idx="2">
                  <c:v>2021 г.</c:v>
                </c:pt>
              </c:strCache>
            </c:strRef>
          </c:cat>
          <c:val>
            <c:numRef>
              <c:f>Лист1!$C$2:$C$4</c:f>
              <c:numCache>
                <c:formatCode>General</c:formatCode>
                <c:ptCount val="3"/>
                <c:pt idx="0">
                  <c:v>56</c:v>
                </c:pt>
                <c:pt idx="1">
                  <c:v>44</c:v>
                </c:pt>
                <c:pt idx="2">
                  <c:v>33</c:v>
                </c:pt>
              </c:numCache>
            </c:numRef>
          </c:val>
          <c:extLst>
            <c:ext xmlns:c16="http://schemas.microsoft.com/office/drawing/2014/chart" uri="{C3380CC4-5D6E-409C-BE32-E72D297353CC}">
              <c16:uniqueId val="{00000007-CCF3-45DD-9826-AA079840A8D2}"/>
            </c:ext>
          </c:extLst>
        </c:ser>
        <c:dLbls>
          <c:showLegendKey val="0"/>
          <c:showVal val="0"/>
          <c:showCatName val="0"/>
          <c:showSerName val="0"/>
          <c:showPercent val="0"/>
          <c:showBubbleSize val="0"/>
        </c:dLbls>
        <c:gapWidth val="150"/>
        <c:overlap val="-25"/>
        <c:axId val="1332931919"/>
        <c:axId val="1"/>
      </c:barChart>
      <c:catAx>
        <c:axId val="1332931919"/>
        <c:scaling>
          <c:orientation val="minMax"/>
        </c:scaling>
        <c:delete val="0"/>
        <c:axPos val="l"/>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b"/>
        <c:numFmt formatCode="General" sourceLinked="1"/>
        <c:majorTickMark val="out"/>
        <c:minorTickMark val="none"/>
        <c:tickLblPos val="nextTo"/>
        <c:crossAx val="1332931919"/>
        <c:crosses val="autoZero"/>
        <c:crossBetween val="between"/>
      </c:valAx>
    </c:plotArea>
    <c:legend>
      <c:legendPos val="r"/>
      <c:layout>
        <c:manualLayout>
          <c:xMode val="edge"/>
          <c:yMode val="edge"/>
          <c:x val="0.60750853242320824"/>
          <c:y val="0.14691943127962084"/>
          <c:w val="0.34982935153583616"/>
          <c:h val="0.6635071090047393"/>
        </c:manualLayout>
      </c:layout>
      <c:overlay val="0"/>
    </c:legend>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2" b="1" i="0" u="none" strike="noStrike" kern="1200" spc="0" baseline="0">
                <a:solidFill>
                  <a:sysClr val="windowText" lastClr="000000"/>
                </a:solidFill>
                <a:latin typeface="+mn-lt"/>
                <a:ea typeface="+mn-ea"/>
                <a:cs typeface="+mn-cs"/>
              </a:defRPr>
            </a:pPr>
            <a:r>
              <a:rPr lang="bg-BG" sz="1197">
                <a:solidFill>
                  <a:sysClr val="windowText" lastClr="000000"/>
                </a:solidFill>
              </a:rPr>
              <a:t>Обем прокурорска дейност, разпределена по прокуратури и по години-</a:t>
            </a:r>
            <a:r>
              <a:rPr lang="bg-BG" sz="1197" baseline="0">
                <a:solidFill>
                  <a:sysClr val="windowText" lastClr="000000"/>
                </a:solidFill>
              </a:rPr>
              <a:t> 2019, 2020 и 2021</a:t>
            </a:r>
            <a:endParaRPr lang="bg-BG" sz="1197">
              <a:solidFill>
                <a:sysClr val="windowText" lastClr="000000"/>
              </a:solidFill>
            </a:endParaRPr>
          </a:p>
          <a:p>
            <a:pPr>
              <a:defRPr sz="1392" b="1" i="0" u="none" strike="noStrike" kern="1200" spc="0" baseline="0">
                <a:solidFill>
                  <a:sysClr val="windowText" lastClr="000000"/>
                </a:solidFill>
                <a:latin typeface="+mn-lt"/>
                <a:ea typeface="+mn-ea"/>
                <a:cs typeface="+mn-cs"/>
              </a:defRPr>
            </a:pPr>
            <a:endParaRPr lang="en-US">
              <a:solidFill>
                <a:srgbClr val="FFFF00"/>
              </a:solidFill>
            </a:endParaRPr>
          </a:p>
        </c:rich>
      </c:tx>
      <c:overlay val="0"/>
      <c:spPr>
        <a:noFill/>
        <a:ln w="25334">
          <a:noFill/>
        </a:ln>
      </c:spPr>
    </c:title>
    <c:autoTitleDeleted val="0"/>
    <c:plotArea>
      <c:layout>
        <c:manualLayout>
          <c:layoutTarget val="inner"/>
          <c:xMode val="edge"/>
          <c:yMode val="edge"/>
          <c:x val="2.7777777777777776E-2"/>
          <c:y val="0.21296296296296297"/>
          <c:w val="0.93888888888888888"/>
          <c:h val="0.64054597216723896"/>
        </c:manualLayout>
      </c:layout>
      <c:barChart>
        <c:barDir val="col"/>
        <c:grouping val="clustered"/>
        <c:varyColors val="0"/>
        <c:ser>
          <c:idx val="0"/>
          <c:order val="0"/>
          <c:tx>
            <c:strRef>
              <c:f>Sheet4!$C$1</c:f>
              <c:strCache>
                <c:ptCount val="1"/>
                <c:pt idx="0">
                  <c:v>2019</c:v>
                </c:pt>
              </c:strCache>
            </c:strRef>
          </c:tx>
          <c:spPr>
            <a:solidFill>
              <a:srgbClr val="4472C4"/>
            </a:solidFill>
            <a:ln w="25334">
              <a:noFill/>
            </a:ln>
          </c:spPr>
          <c:invertIfNegative val="0"/>
          <c:dLbls>
            <c:spPr>
              <a:noFill/>
              <a:ln w="25334">
                <a:noFill/>
              </a:ln>
            </c:spPr>
            <c:txPr>
              <a:bodyPr rot="0" spcFirstLastPara="1" vertOverflow="ellipsis" vert="horz" wrap="square" anchor="ctr" anchorCtr="1"/>
              <a:lstStyle/>
              <a:p>
                <a:pPr>
                  <a:defRPr sz="898"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111070</c:v>
                </c:pt>
                <c:pt idx="1">
                  <c:v>308749</c:v>
                </c:pt>
              </c:numCache>
            </c:numRef>
          </c:val>
          <c:extLst>
            <c:ext xmlns:c16="http://schemas.microsoft.com/office/drawing/2014/chart" uri="{C3380CC4-5D6E-409C-BE32-E72D297353CC}">
              <c16:uniqueId val="{00000000-EC08-4441-9F91-D4FEED4FCE3E}"/>
            </c:ext>
          </c:extLst>
        </c:ser>
        <c:ser>
          <c:idx val="1"/>
          <c:order val="1"/>
          <c:tx>
            <c:strRef>
              <c:f>Sheet4!$D$1</c:f>
              <c:strCache>
                <c:ptCount val="1"/>
                <c:pt idx="0">
                  <c:v>2020</c:v>
                </c:pt>
              </c:strCache>
            </c:strRef>
          </c:tx>
          <c:spPr>
            <a:solidFill>
              <a:srgbClr val="ED7D31"/>
            </a:solidFill>
            <a:ln w="25334">
              <a:noFill/>
            </a:ln>
          </c:spPr>
          <c:invertIfNegative val="0"/>
          <c:dLbls>
            <c:spPr>
              <a:noFill/>
              <a:ln w="25334">
                <a:noFill/>
              </a:ln>
            </c:spPr>
            <c:txPr>
              <a:bodyPr rot="0" spcFirstLastPara="1" vertOverflow="ellipsis" vert="horz" wrap="square" anchor="ctr" anchorCtr="1"/>
              <a:lstStyle/>
              <a:p>
                <a:pPr>
                  <a:defRPr sz="898"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120713</c:v>
                </c:pt>
                <c:pt idx="1">
                  <c:v>273365</c:v>
                </c:pt>
              </c:numCache>
            </c:numRef>
          </c:val>
          <c:extLst>
            <c:ext xmlns:c16="http://schemas.microsoft.com/office/drawing/2014/chart" uri="{C3380CC4-5D6E-409C-BE32-E72D297353CC}">
              <c16:uniqueId val="{00000001-EC08-4441-9F91-D4FEED4FCE3E}"/>
            </c:ext>
          </c:extLst>
        </c:ser>
        <c:ser>
          <c:idx val="2"/>
          <c:order val="2"/>
          <c:tx>
            <c:strRef>
              <c:f>Sheet4!$E$1</c:f>
              <c:strCache>
                <c:ptCount val="1"/>
                <c:pt idx="0">
                  <c:v>2021</c:v>
                </c:pt>
              </c:strCache>
            </c:strRef>
          </c:tx>
          <c:spPr>
            <a:solidFill>
              <a:srgbClr val="70AD47"/>
            </a:solidFill>
            <a:ln w="25334">
              <a:noFill/>
            </a:ln>
          </c:spPr>
          <c:invertIfNegative val="0"/>
          <c:dLbls>
            <c:spPr>
              <a:noFill/>
              <a:ln w="25334">
                <a:noFill/>
              </a:ln>
            </c:spPr>
            <c:txPr>
              <a:bodyPr rot="0" spcFirstLastPara="1" vertOverflow="ellipsis" vert="horz" wrap="square" anchor="ctr" anchorCtr="1"/>
              <a:lstStyle/>
              <a:p>
                <a:pPr>
                  <a:defRPr sz="898"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153698</c:v>
                </c:pt>
                <c:pt idx="1">
                  <c:v>313506</c:v>
                </c:pt>
              </c:numCache>
            </c:numRef>
          </c:val>
          <c:extLst>
            <c:ext xmlns:c16="http://schemas.microsoft.com/office/drawing/2014/chart" uri="{C3380CC4-5D6E-409C-BE32-E72D297353CC}">
              <c16:uniqueId val="{00000002-EC08-4441-9F91-D4FEED4FCE3E}"/>
            </c:ext>
          </c:extLst>
        </c:ser>
        <c:dLbls>
          <c:showLegendKey val="0"/>
          <c:showVal val="0"/>
          <c:showCatName val="0"/>
          <c:showSerName val="0"/>
          <c:showPercent val="0"/>
          <c:showBubbleSize val="0"/>
        </c:dLbls>
        <c:gapWidth val="219"/>
        <c:overlap val="-27"/>
        <c:axId val="1329257983"/>
        <c:axId val="1"/>
      </c:barChart>
      <c:catAx>
        <c:axId val="1329257983"/>
        <c:scaling>
          <c:orientation val="minMax"/>
        </c:scaling>
        <c:delete val="0"/>
        <c:axPos val="b"/>
        <c:numFmt formatCode="General" sourceLinked="1"/>
        <c:majorTickMark val="none"/>
        <c:min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logBase val="10"/>
          <c:orientation val="minMax"/>
          <c:min val="1000"/>
        </c:scaling>
        <c:delete val="1"/>
        <c:axPos val="l"/>
        <c:majorGridlines>
          <c:spPr>
            <a:ln w="9501" cap="flat" cmpd="sng" algn="ctr">
              <a:solidFill>
                <a:schemeClr val="tx1">
                  <a:lumMod val="15000"/>
                  <a:lumOff val="85000"/>
                </a:schemeClr>
              </a:solidFill>
              <a:round/>
            </a:ln>
            <a:effectLst/>
          </c:spPr>
        </c:majorGridlines>
        <c:numFmt formatCode="General" sourceLinked="1"/>
        <c:majorTickMark val="out"/>
        <c:minorTickMark val="none"/>
        <c:tickLblPos val="nextTo"/>
        <c:crossAx val="1329257983"/>
        <c:crosses val="autoZero"/>
        <c:crossBetween val="between"/>
      </c:valAx>
      <c:spPr>
        <a:noFill/>
        <a:ln w="25335">
          <a:noFill/>
        </a:ln>
      </c:spPr>
    </c:plotArea>
    <c:legend>
      <c:legendPos val="b"/>
      <c:overlay val="0"/>
      <c:spPr>
        <a:noFill/>
        <a:ln w="25334">
          <a:noFill/>
        </a:ln>
      </c:spPr>
      <c:txPr>
        <a:bodyPr rot="0" spcFirstLastPara="1" vertOverflow="ellipsis" vert="horz" wrap="square" anchor="ctr" anchorCtr="1"/>
        <a:lstStyle/>
        <a:p>
          <a:pPr>
            <a:defRPr sz="898"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6" baseline="0">
                <a:latin typeface="Times New Roman" panose="02020603050405020304" pitchFamily="18" charset="0"/>
                <a:cs typeface="Times New Roman" panose="02020603050405020304" pitchFamily="18" charset="0"/>
              </a:defRPr>
            </a:pPr>
            <a:r>
              <a:rPr lang="bg-BG" sz="1096" baseline="0">
                <a:latin typeface="Times New Roman" panose="02020603050405020304" pitchFamily="18" charset="0"/>
                <a:cs typeface="Times New Roman" panose="02020603050405020304" pitchFamily="18" charset="0"/>
              </a:rPr>
              <a:t>Общо участие в съдебни заседания за района на СГП за 2021 г. </a:t>
            </a:r>
          </a:p>
        </c:rich>
      </c:tx>
      <c:overlay val="0"/>
    </c:title>
    <c:autoTitleDeleted val="0"/>
    <c:plotArea>
      <c:layout/>
      <c:barChart>
        <c:barDir val="col"/>
        <c:grouping val="stacked"/>
        <c:varyColors val="0"/>
        <c:ser>
          <c:idx val="0"/>
          <c:order val="0"/>
          <c:tx>
            <c:strRef>
              <c:f>Лист1!$B$1</c:f>
              <c:strCache>
                <c:ptCount val="1"/>
                <c:pt idx="0">
                  <c:v>Серия 1</c:v>
                </c:pt>
              </c:strCache>
            </c:strRef>
          </c:tx>
          <c:spPr>
            <a:solidFill>
              <a:srgbClr val="FF0000"/>
            </a:solidFill>
          </c:spPr>
          <c:invertIfNegative val="0"/>
          <c:dPt>
            <c:idx val="1"/>
            <c:invertIfNegative val="0"/>
            <c:bubble3D val="0"/>
            <c:spPr>
              <a:solidFill>
                <a:srgbClr val="00B0F0"/>
              </a:solidFill>
            </c:spPr>
            <c:extLst>
              <c:ext xmlns:c16="http://schemas.microsoft.com/office/drawing/2014/chart" uri="{C3380CC4-5D6E-409C-BE32-E72D297353CC}">
                <c16:uniqueId val="{00000000-D9E3-4005-A05B-526313B9176F}"/>
              </c:ext>
            </c:extLst>
          </c:dPt>
          <c:cat>
            <c:strRef>
              <c:f>Лист1!$A$2:$A$3</c:f>
              <c:strCache>
                <c:ptCount val="2"/>
                <c:pt idx="0">
                  <c:v>СРП</c:v>
                </c:pt>
                <c:pt idx="1">
                  <c:v>СГП</c:v>
                </c:pt>
              </c:strCache>
            </c:strRef>
          </c:cat>
          <c:val>
            <c:numRef>
              <c:f>Лист1!$B$2:$B$3</c:f>
              <c:numCache>
                <c:formatCode>General</c:formatCode>
                <c:ptCount val="2"/>
                <c:pt idx="0">
                  <c:v>4</c:v>
                </c:pt>
                <c:pt idx="1">
                  <c:v>3</c:v>
                </c:pt>
              </c:numCache>
            </c:numRef>
          </c:val>
          <c:extLst>
            <c:ext xmlns:c16="http://schemas.microsoft.com/office/drawing/2014/chart" uri="{C3380CC4-5D6E-409C-BE32-E72D297353CC}">
              <c16:uniqueId val="{00000001-D9E3-4005-A05B-526313B9176F}"/>
            </c:ext>
          </c:extLst>
        </c:ser>
        <c:ser>
          <c:idx val="1"/>
          <c:order val="1"/>
          <c:tx>
            <c:strRef>
              <c:f>Лист1!$C$1</c:f>
              <c:strCache>
                <c:ptCount val="1"/>
                <c:pt idx="0">
                  <c:v>Серия 2</c:v>
                </c:pt>
              </c:strCache>
            </c:strRef>
          </c:tx>
          <c:spPr>
            <a:solidFill>
              <a:srgbClr val="FF0000"/>
            </a:solidFill>
          </c:spPr>
          <c:invertIfNegative val="0"/>
          <c:dPt>
            <c:idx val="0"/>
            <c:invertIfNegative val="0"/>
            <c:bubble3D val="0"/>
            <c:extLst>
              <c:ext xmlns:c16="http://schemas.microsoft.com/office/drawing/2014/chart" uri="{C3380CC4-5D6E-409C-BE32-E72D297353CC}">
                <c16:uniqueId val="{00000002-D9E3-4005-A05B-526313B9176F}"/>
              </c:ext>
            </c:extLst>
          </c:dPt>
          <c:dPt>
            <c:idx val="1"/>
            <c:invertIfNegative val="0"/>
            <c:bubble3D val="0"/>
            <c:spPr>
              <a:solidFill>
                <a:srgbClr val="00B0F0"/>
              </a:solidFill>
            </c:spPr>
            <c:extLst>
              <c:ext xmlns:c16="http://schemas.microsoft.com/office/drawing/2014/chart" uri="{C3380CC4-5D6E-409C-BE32-E72D297353CC}">
                <c16:uniqueId val="{00000003-D9E3-4005-A05B-526313B9176F}"/>
              </c:ext>
            </c:extLst>
          </c:dPt>
          <c:dLbls>
            <c:dLbl>
              <c:idx val="0"/>
              <c:tx>
                <c:rich>
                  <a:bodyPr/>
                  <a:lstStyle/>
                  <a:p>
                    <a:r>
                      <a:rPr lang="en-US"/>
                      <a:t>16655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E3-4005-A05B-526313B9176F}"/>
                </c:ext>
              </c:extLst>
            </c:dLbl>
            <c:dLbl>
              <c:idx val="1"/>
              <c:layout>
                <c:manualLayout>
                  <c:x val="-2.3148148148148997E-3"/>
                  <c:y val="3.9633301460253101E-3"/>
                </c:manualLayout>
              </c:layout>
              <c:tx>
                <c:rich>
                  <a:bodyPr/>
                  <a:lstStyle/>
                  <a:p>
                    <a:r>
                      <a:rPr lang="en-US"/>
                      <a:t>13093</a:t>
                    </a:r>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E3-4005-A05B-526313B9176F}"/>
                </c:ext>
              </c:extLst>
            </c:dLbl>
            <c:spPr>
              <a:noFill/>
              <a:ln w="25347">
                <a:noFill/>
              </a:ln>
            </c:spPr>
            <c:txPr>
              <a:bodyPr/>
              <a:lstStyle/>
              <a:p>
                <a:pPr>
                  <a:defRPr sz="1396" baseline="0"/>
                </a:pPr>
                <a:endParaRPr lang="bg-BG"/>
              </a:p>
            </c:txPr>
            <c:showLegendKey val="0"/>
            <c:showVal val="1"/>
            <c:showCatName val="1"/>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СРП</c:v>
                </c:pt>
                <c:pt idx="1">
                  <c:v>СГП</c:v>
                </c:pt>
              </c:strCache>
            </c:strRef>
          </c:cat>
          <c:val>
            <c:numRef>
              <c:f>Лист1!$C$2:$C$3</c:f>
              <c:numCache>
                <c:formatCode>General</c:formatCode>
                <c:ptCount val="2"/>
                <c:pt idx="0">
                  <c:v>2</c:v>
                </c:pt>
                <c:pt idx="1">
                  <c:v>1.1000000000000001</c:v>
                </c:pt>
              </c:numCache>
            </c:numRef>
          </c:val>
          <c:extLst>
            <c:ext xmlns:c16="http://schemas.microsoft.com/office/drawing/2014/chart" uri="{C3380CC4-5D6E-409C-BE32-E72D297353CC}">
              <c16:uniqueId val="{00000004-D9E3-4005-A05B-526313B9176F}"/>
            </c:ext>
          </c:extLst>
        </c:ser>
        <c:dLbls>
          <c:showLegendKey val="0"/>
          <c:showVal val="0"/>
          <c:showCatName val="0"/>
          <c:showSerName val="0"/>
          <c:showPercent val="0"/>
          <c:showBubbleSize val="0"/>
        </c:dLbls>
        <c:gapWidth val="95"/>
        <c:overlap val="100"/>
        <c:axId val="1334949007"/>
        <c:axId val="1"/>
      </c:barChart>
      <c:catAx>
        <c:axId val="133494900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334949007"/>
        <c:crosses val="autoZero"/>
        <c:crossBetween val="between"/>
      </c:valAx>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1" i="0" u="none" strike="noStrike" kern="1200" spc="0" baseline="0">
                <a:solidFill>
                  <a:sysClr val="windowText" lastClr="000000"/>
                </a:solidFill>
                <a:latin typeface="+mn-lt"/>
                <a:ea typeface="+mn-ea"/>
                <a:cs typeface="+mn-cs"/>
              </a:defRPr>
            </a:pPr>
            <a:r>
              <a:rPr lang="bg-BG" sz="1201">
                <a:solidFill>
                  <a:sysClr val="windowText" lastClr="000000"/>
                </a:solidFill>
              </a:rPr>
              <a:t>Обем прокурорска дейност, разпределена по прокуратури и по години-</a:t>
            </a:r>
            <a:r>
              <a:rPr lang="bg-BG" sz="1201" baseline="0">
                <a:solidFill>
                  <a:sysClr val="windowText" lastClr="000000"/>
                </a:solidFill>
              </a:rPr>
              <a:t> 2019, 2020 и 2021</a:t>
            </a:r>
            <a:endParaRPr lang="bg-BG" sz="1201">
              <a:solidFill>
                <a:sysClr val="windowText" lastClr="000000"/>
              </a:solidFill>
            </a:endParaRPr>
          </a:p>
          <a:p>
            <a:pPr>
              <a:defRPr sz="1402" b="1" i="0" u="none" strike="noStrike" kern="1200" spc="0" baseline="0">
                <a:solidFill>
                  <a:sysClr val="windowText" lastClr="000000"/>
                </a:solidFill>
                <a:latin typeface="+mn-lt"/>
                <a:ea typeface="+mn-ea"/>
                <a:cs typeface="+mn-cs"/>
              </a:defRPr>
            </a:pPr>
            <a:endParaRPr lang="en-US">
              <a:solidFill>
                <a:srgbClr val="FFFF00"/>
              </a:solidFill>
            </a:endParaRPr>
          </a:p>
        </c:rich>
      </c:tx>
      <c:overlay val="0"/>
      <c:spPr>
        <a:noFill/>
        <a:ln w="25410">
          <a:noFill/>
        </a:ln>
      </c:spPr>
    </c:title>
    <c:autoTitleDeleted val="0"/>
    <c:plotArea>
      <c:layout>
        <c:manualLayout>
          <c:layoutTarget val="inner"/>
          <c:xMode val="edge"/>
          <c:yMode val="edge"/>
          <c:x val="2.7777777777777776E-2"/>
          <c:y val="0.21296296296296297"/>
          <c:w val="0.93888888888888888"/>
          <c:h val="0.58762321376494608"/>
        </c:manualLayout>
      </c:layout>
      <c:barChart>
        <c:barDir val="col"/>
        <c:grouping val="clustered"/>
        <c:varyColors val="0"/>
        <c:ser>
          <c:idx val="0"/>
          <c:order val="0"/>
          <c:tx>
            <c:strRef>
              <c:f>Sheet4!$C$1</c:f>
              <c:strCache>
                <c:ptCount val="1"/>
                <c:pt idx="0">
                  <c:v>2019</c:v>
                </c:pt>
              </c:strCache>
            </c:strRef>
          </c:tx>
          <c:spPr>
            <a:solidFill>
              <a:srgbClr val="4472C4"/>
            </a:solidFill>
            <a:ln w="25410">
              <a:noFill/>
            </a:ln>
          </c:spPr>
          <c:invertIfNegative val="0"/>
          <c:dLbls>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96312</c:v>
                </c:pt>
                <c:pt idx="1">
                  <c:v>287550</c:v>
                </c:pt>
              </c:numCache>
            </c:numRef>
          </c:val>
          <c:extLst>
            <c:ext xmlns:c16="http://schemas.microsoft.com/office/drawing/2014/chart" uri="{C3380CC4-5D6E-409C-BE32-E72D297353CC}">
              <c16:uniqueId val="{00000000-7930-4605-BD0C-C77B7E479D8A}"/>
            </c:ext>
          </c:extLst>
        </c:ser>
        <c:ser>
          <c:idx val="1"/>
          <c:order val="1"/>
          <c:tx>
            <c:strRef>
              <c:f>Sheet4!$D$1</c:f>
              <c:strCache>
                <c:ptCount val="1"/>
                <c:pt idx="0">
                  <c:v>2020</c:v>
                </c:pt>
              </c:strCache>
            </c:strRef>
          </c:tx>
          <c:spPr>
            <a:solidFill>
              <a:srgbClr val="ED7D31"/>
            </a:solidFill>
            <a:ln w="25410">
              <a:noFill/>
            </a:ln>
          </c:spPr>
          <c:invertIfNegative val="0"/>
          <c:dLbls>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109570</c:v>
                </c:pt>
                <c:pt idx="1">
                  <c:v>256680</c:v>
                </c:pt>
              </c:numCache>
            </c:numRef>
          </c:val>
          <c:extLst>
            <c:ext xmlns:c16="http://schemas.microsoft.com/office/drawing/2014/chart" uri="{C3380CC4-5D6E-409C-BE32-E72D297353CC}">
              <c16:uniqueId val="{00000001-7930-4605-BD0C-C77B7E479D8A}"/>
            </c:ext>
          </c:extLst>
        </c:ser>
        <c:ser>
          <c:idx val="2"/>
          <c:order val="2"/>
          <c:tx>
            <c:strRef>
              <c:f>Sheet4!$E$1</c:f>
              <c:strCache>
                <c:ptCount val="1"/>
                <c:pt idx="0">
                  <c:v>2021</c:v>
                </c:pt>
              </c:strCache>
            </c:strRef>
          </c:tx>
          <c:spPr>
            <a:solidFill>
              <a:srgbClr val="70AD47"/>
            </a:solidFill>
            <a:ln w="25410">
              <a:noFill/>
            </a:ln>
          </c:spPr>
          <c:invertIfNegative val="0"/>
          <c:dLbls>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140119</c:v>
                </c:pt>
                <c:pt idx="1">
                  <c:v>294191</c:v>
                </c:pt>
              </c:numCache>
            </c:numRef>
          </c:val>
          <c:extLst>
            <c:ext xmlns:c16="http://schemas.microsoft.com/office/drawing/2014/chart" uri="{C3380CC4-5D6E-409C-BE32-E72D297353CC}">
              <c16:uniqueId val="{00000002-7930-4605-BD0C-C77B7E479D8A}"/>
            </c:ext>
          </c:extLst>
        </c:ser>
        <c:dLbls>
          <c:showLegendKey val="0"/>
          <c:showVal val="0"/>
          <c:showCatName val="0"/>
          <c:showSerName val="0"/>
          <c:showPercent val="0"/>
          <c:showBubbleSize val="0"/>
        </c:dLbls>
        <c:gapWidth val="219"/>
        <c:overlap val="-27"/>
        <c:axId val="1328659439"/>
        <c:axId val="1"/>
      </c:barChart>
      <c:catAx>
        <c:axId val="1328659439"/>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logBase val="10"/>
          <c:orientation val="minMax"/>
          <c:min val="1000"/>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328659439"/>
        <c:crosses val="autoZero"/>
        <c:crossBetween val="between"/>
      </c:valAx>
      <c:spPr>
        <a:noFill/>
        <a:ln w="25413">
          <a:noFill/>
        </a:ln>
      </c:spPr>
    </c:plotArea>
    <c:legend>
      <c:legendPos val="b"/>
      <c:overlay val="0"/>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1" i="0" u="none" strike="noStrike" kern="1200" spc="0" baseline="0">
                <a:solidFill>
                  <a:sysClr val="windowText" lastClr="000000"/>
                </a:solidFill>
                <a:latin typeface="+mn-lt"/>
                <a:ea typeface="+mn-ea"/>
                <a:cs typeface="+mn-cs"/>
              </a:defRPr>
            </a:pPr>
            <a:r>
              <a:rPr lang="bg-BG" sz="1201">
                <a:solidFill>
                  <a:schemeClr val="tx1"/>
                </a:solidFill>
              </a:rPr>
              <a:t>Актуализирана</a:t>
            </a:r>
            <a:r>
              <a:rPr lang="bg-BG" sz="1201" baseline="0">
                <a:solidFill>
                  <a:schemeClr val="tx1"/>
                </a:solidFill>
              </a:rPr>
              <a:t> средна натовареност на 1 прокурор за 2021 г. </a:t>
            </a:r>
            <a:endParaRPr lang="bg-BG" sz="1201">
              <a:solidFill>
                <a:schemeClr val="tx1"/>
              </a:solidFill>
            </a:endParaRPr>
          </a:p>
          <a:p>
            <a:pPr>
              <a:defRPr sz="1402" b="1" i="0" u="none" strike="noStrike" kern="1200" spc="0" baseline="0">
                <a:solidFill>
                  <a:sysClr val="windowText" lastClr="000000"/>
                </a:solidFill>
                <a:latin typeface="+mn-lt"/>
                <a:ea typeface="+mn-ea"/>
                <a:cs typeface="+mn-cs"/>
              </a:defRPr>
            </a:pPr>
            <a:endParaRPr lang="en-US"/>
          </a:p>
        </c:rich>
      </c:tx>
      <c:layout>
        <c:manualLayout>
          <c:xMode val="edge"/>
          <c:yMode val="edge"/>
          <c:x val="0.13824957283024186"/>
          <c:y val="1.9356119810866337E-2"/>
        </c:manualLayout>
      </c:layout>
      <c:overlay val="0"/>
      <c:spPr>
        <a:noFill/>
        <a:ln w="25410">
          <a:noFill/>
        </a:ln>
      </c:spPr>
    </c:title>
    <c:autoTitleDeleted val="0"/>
    <c:plotArea>
      <c:layout>
        <c:manualLayout>
          <c:layoutTarget val="inner"/>
          <c:xMode val="edge"/>
          <c:yMode val="edge"/>
          <c:x val="2.7777777777777776E-2"/>
          <c:y val="0.21296296296296297"/>
          <c:w val="0.93888888888888888"/>
          <c:h val="0.58762321376494608"/>
        </c:manualLayout>
      </c:layout>
      <c:barChart>
        <c:barDir val="col"/>
        <c:grouping val="clustered"/>
        <c:varyColors val="0"/>
        <c:ser>
          <c:idx val="0"/>
          <c:order val="0"/>
          <c:tx>
            <c:strRef>
              <c:f>Sheet4!$C$1</c:f>
              <c:strCache>
                <c:ptCount val="1"/>
                <c:pt idx="0">
                  <c:v>2019</c:v>
                </c:pt>
              </c:strCache>
            </c:strRef>
          </c:tx>
          <c:spPr>
            <a:solidFill>
              <a:srgbClr val="4472C4"/>
            </a:solidFill>
            <a:ln w="25410">
              <a:noFill/>
            </a:ln>
          </c:spPr>
          <c:invertIfNegative val="0"/>
          <c:dLbls>
            <c:numFmt formatCode="General" sourceLinked="0"/>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1181.5999999999999</c:v>
                </c:pt>
                <c:pt idx="1">
                  <c:v>1891.2</c:v>
                </c:pt>
              </c:numCache>
            </c:numRef>
          </c:val>
          <c:extLst>
            <c:ext xmlns:c16="http://schemas.microsoft.com/office/drawing/2014/chart" uri="{C3380CC4-5D6E-409C-BE32-E72D297353CC}">
              <c16:uniqueId val="{00000000-8EDE-4523-95C0-52148C282EFA}"/>
            </c:ext>
          </c:extLst>
        </c:ser>
        <c:ser>
          <c:idx val="1"/>
          <c:order val="1"/>
          <c:tx>
            <c:strRef>
              <c:f>Sheet4!$D$1</c:f>
              <c:strCache>
                <c:ptCount val="1"/>
                <c:pt idx="0">
                  <c:v>2020</c:v>
                </c:pt>
              </c:strCache>
            </c:strRef>
          </c:tx>
          <c:spPr>
            <a:solidFill>
              <a:srgbClr val="ED7D31"/>
            </a:solidFill>
            <a:ln w="25410">
              <a:noFill/>
            </a:ln>
          </c:spPr>
          <c:invertIfNegative val="0"/>
          <c:dLbls>
            <c:numFmt formatCode="General" sourceLinked="0"/>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1356.3</c:v>
                </c:pt>
                <c:pt idx="1">
                  <c:v>1719.3</c:v>
                </c:pt>
              </c:numCache>
            </c:numRef>
          </c:val>
          <c:extLst>
            <c:ext xmlns:c16="http://schemas.microsoft.com/office/drawing/2014/chart" uri="{C3380CC4-5D6E-409C-BE32-E72D297353CC}">
              <c16:uniqueId val="{00000001-8EDE-4523-95C0-52148C282EFA}"/>
            </c:ext>
          </c:extLst>
        </c:ser>
        <c:ser>
          <c:idx val="2"/>
          <c:order val="2"/>
          <c:tx>
            <c:strRef>
              <c:f>Sheet4!$E$1</c:f>
              <c:strCache>
                <c:ptCount val="1"/>
                <c:pt idx="0">
                  <c:v>2021</c:v>
                </c:pt>
              </c:strCache>
            </c:strRef>
          </c:tx>
          <c:spPr>
            <a:solidFill>
              <a:srgbClr val="70AD47"/>
            </a:solidFill>
            <a:ln w="25410">
              <a:noFill/>
            </a:ln>
          </c:spPr>
          <c:invertIfNegative val="0"/>
          <c:dLbls>
            <c:numFmt formatCode="General" sourceLinked="0"/>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1726.9</c:v>
                </c:pt>
                <c:pt idx="1">
                  <c:v>2104.1</c:v>
                </c:pt>
              </c:numCache>
            </c:numRef>
          </c:val>
          <c:extLst>
            <c:ext xmlns:c16="http://schemas.microsoft.com/office/drawing/2014/chart" uri="{C3380CC4-5D6E-409C-BE32-E72D297353CC}">
              <c16:uniqueId val="{00000002-8EDE-4523-95C0-52148C282EFA}"/>
            </c:ext>
          </c:extLst>
        </c:ser>
        <c:dLbls>
          <c:showLegendKey val="0"/>
          <c:showVal val="0"/>
          <c:showCatName val="0"/>
          <c:showSerName val="0"/>
          <c:showPercent val="0"/>
          <c:showBubbleSize val="0"/>
        </c:dLbls>
        <c:gapWidth val="219"/>
        <c:overlap val="-27"/>
        <c:axId val="1328658191"/>
        <c:axId val="1"/>
      </c:barChart>
      <c:catAx>
        <c:axId val="1328658191"/>
        <c:scaling>
          <c:orientation val="minMax"/>
        </c:scaling>
        <c:delete val="0"/>
        <c:axPos val="b"/>
        <c:numFmt formatCode="General" sourceLinked="1"/>
        <c:majorTickMark val="out"/>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328658191"/>
        <c:crosses val="autoZero"/>
        <c:crossBetween val="between"/>
      </c:valAx>
      <c:spPr>
        <a:noFill/>
        <a:ln w="25413">
          <a:noFill/>
        </a:ln>
      </c:spPr>
    </c:plotArea>
    <c:legend>
      <c:legendPos val="b"/>
      <c:overlay val="0"/>
      <c:spPr>
        <a:noFill/>
        <a:ln w="2541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bg-BG" sz="1200"/>
              <a:t>Обща</a:t>
            </a:r>
            <a:r>
              <a:rPr lang="bg-BG" sz="1200" baseline="0"/>
              <a:t> натовареност на прокурорите от района на СГП за 2021 г. съгласно приетите от ВСС правила, изведени от УИС на ПРБ</a:t>
            </a:r>
            <a:endParaRPr lang="bg-BG" sz="1200"/>
          </a:p>
        </c:rich>
      </c:tx>
      <c:overlay val="0"/>
      <c:spPr>
        <a:noFill/>
        <a:ln w="25402">
          <a:noFill/>
        </a:ln>
      </c:spPr>
    </c:title>
    <c:autoTitleDeleted val="0"/>
    <c:plotArea>
      <c:layout>
        <c:manualLayout>
          <c:layoutTarget val="inner"/>
          <c:xMode val="edge"/>
          <c:yMode val="edge"/>
          <c:x val="2.7777777777777776E-2"/>
          <c:y val="0.25167587175242095"/>
          <c:w val="0.93888888888888888"/>
          <c:h val="0.54891053571122395"/>
        </c:manualLayout>
      </c:layout>
      <c:barChart>
        <c:barDir val="col"/>
        <c:grouping val="clustered"/>
        <c:varyColors val="0"/>
        <c:ser>
          <c:idx val="0"/>
          <c:order val="0"/>
          <c:tx>
            <c:strRef>
              <c:f>Sheet4!$C$1</c:f>
              <c:strCache>
                <c:ptCount val="1"/>
                <c:pt idx="0">
                  <c:v>2019</c:v>
                </c:pt>
              </c:strCache>
            </c:strRef>
          </c:tx>
          <c:spPr>
            <a:solidFill>
              <a:srgbClr val="4472C4"/>
            </a:solidFill>
            <a:ln w="25402">
              <a:noFill/>
            </a:ln>
          </c:spPr>
          <c:invertIfNegative val="0"/>
          <c:dLbls>
            <c:numFmt formatCode="#,##0" sourceLinked="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50900</c:v>
                </c:pt>
                <c:pt idx="1">
                  <c:v>204690</c:v>
                </c:pt>
              </c:numCache>
            </c:numRef>
          </c:val>
          <c:extLst>
            <c:ext xmlns:c16="http://schemas.microsoft.com/office/drawing/2014/chart" uri="{C3380CC4-5D6E-409C-BE32-E72D297353CC}">
              <c16:uniqueId val="{00000000-D76C-4A2B-9B6F-53D986F2010B}"/>
            </c:ext>
          </c:extLst>
        </c:ser>
        <c:ser>
          <c:idx val="1"/>
          <c:order val="1"/>
          <c:tx>
            <c:strRef>
              <c:f>Sheet4!$D$1</c:f>
              <c:strCache>
                <c:ptCount val="1"/>
                <c:pt idx="0">
                  <c:v>2020</c:v>
                </c:pt>
              </c:strCache>
            </c:strRef>
          </c:tx>
          <c:spPr>
            <a:solidFill>
              <a:srgbClr val="ED7D31"/>
            </a:solidFill>
            <a:ln w="25402">
              <a:noFill/>
            </a:ln>
          </c:spPr>
          <c:invertIfNegative val="0"/>
          <c:dLbls>
            <c:numFmt formatCode="#,##0" sourceLinked="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50605</c:v>
                </c:pt>
                <c:pt idx="1">
                  <c:v>205084</c:v>
                </c:pt>
              </c:numCache>
            </c:numRef>
          </c:val>
          <c:extLst>
            <c:ext xmlns:c16="http://schemas.microsoft.com/office/drawing/2014/chart" uri="{C3380CC4-5D6E-409C-BE32-E72D297353CC}">
              <c16:uniqueId val="{00000001-D76C-4A2B-9B6F-53D986F2010B}"/>
            </c:ext>
          </c:extLst>
        </c:ser>
        <c:ser>
          <c:idx val="2"/>
          <c:order val="2"/>
          <c:tx>
            <c:strRef>
              <c:f>Sheet4!$E$1</c:f>
              <c:strCache>
                <c:ptCount val="1"/>
                <c:pt idx="0">
                  <c:v>2021</c:v>
                </c:pt>
              </c:strCache>
            </c:strRef>
          </c:tx>
          <c:spPr>
            <a:solidFill>
              <a:srgbClr val="70AD47"/>
            </a:solidFill>
            <a:ln w="25402">
              <a:noFill/>
            </a:ln>
          </c:spPr>
          <c:invertIfNegative val="0"/>
          <c:dLbls>
            <c:numFmt formatCode="#,##0" sourceLinked="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56696</c:v>
                </c:pt>
                <c:pt idx="1">
                  <c:v>234590</c:v>
                </c:pt>
              </c:numCache>
            </c:numRef>
          </c:val>
          <c:extLst>
            <c:ext xmlns:c16="http://schemas.microsoft.com/office/drawing/2014/chart" uri="{C3380CC4-5D6E-409C-BE32-E72D297353CC}">
              <c16:uniqueId val="{00000002-D76C-4A2B-9B6F-53D986F2010B}"/>
            </c:ext>
          </c:extLst>
        </c:ser>
        <c:dLbls>
          <c:showLegendKey val="0"/>
          <c:showVal val="0"/>
          <c:showCatName val="0"/>
          <c:showSerName val="0"/>
          <c:showPercent val="0"/>
          <c:showBubbleSize val="0"/>
        </c:dLbls>
        <c:gapWidth val="219"/>
        <c:overlap val="-27"/>
        <c:axId val="1329258399"/>
        <c:axId val="1"/>
      </c:barChart>
      <c:catAx>
        <c:axId val="1329258399"/>
        <c:scaling>
          <c:orientation val="minMax"/>
        </c:scaling>
        <c:delete val="0"/>
        <c:axPos val="b"/>
        <c:numFmt formatCode="General" sourceLinked="1"/>
        <c:majorTickMark val="out"/>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logBase val="10"/>
          <c:orientation val="minMax"/>
          <c:min val="1000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329258399"/>
        <c:crosses val="autoZero"/>
        <c:crossBetween val="between"/>
      </c:valAx>
      <c:spPr>
        <a:noFill/>
        <a:ln w="25403">
          <a:noFill/>
        </a:ln>
      </c:spPr>
    </c:plotArea>
    <c:legend>
      <c:legendPos val="b"/>
      <c:overlay val="0"/>
      <c:spPr>
        <a:noFill/>
        <a:ln w="25402">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bg-BG" sz="1200"/>
              <a:t>Обща</a:t>
            </a:r>
            <a:r>
              <a:rPr lang="bg-BG" sz="1200" baseline="0"/>
              <a:t> натовареност на прокурорите от района на СГП за 2021 г. съгласно приетите от ВСС, изведени от УИС на ПРБ</a:t>
            </a:r>
            <a:endParaRPr lang="bg-BG" sz="1200"/>
          </a:p>
        </c:rich>
      </c:tx>
      <c:overlay val="0"/>
      <c:spPr>
        <a:noFill/>
        <a:ln w="25402">
          <a:noFill/>
        </a:ln>
      </c:spPr>
    </c:title>
    <c:autoTitleDeleted val="0"/>
    <c:plotArea>
      <c:layout>
        <c:manualLayout>
          <c:layoutTarget val="inner"/>
          <c:xMode val="edge"/>
          <c:yMode val="edge"/>
          <c:x val="2.7777712584734656E-2"/>
          <c:y val="0.24349719643823153"/>
          <c:w val="0.93888888888888888"/>
          <c:h val="0.58762321376494608"/>
        </c:manualLayout>
      </c:layout>
      <c:barChart>
        <c:barDir val="col"/>
        <c:grouping val="clustered"/>
        <c:varyColors val="0"/>
        <c:ser>
          <c:idx val="0"/>
          <c:order val="0"/>
          <c:tx>
            <c:strRef>
              <c:f>Sheet4!$C$1</c:f>
              <c:strCache>
                <c:ptCount val="1"/>
                <c:pt idx="0">
                  <c:v>2019</c:v>
                </c:pt>
              </c:strCache>
            </c:strRef>
          </c:tx>
          <c:spPr>
            <a:solidFill>
              <a:srgbClr val="4472C4"/>
            </a:solidFill>
            <a:ln w="25402">
              <a:noFill/>
            </a:ln>
          </c:spPr>
          <c:invertIfNegative val="0"/>
          <c:dLbls>
            <c:numFmt formatCode="General" sourceLinked="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24969</c:v>
                </c:pt>
                <c:pt idx="1">
                  <c:v>113127</c:v>
                </c:pt>
              </c:numCache>
            </c:numRef>
          </c:val>
          <c:extLst>
            <c:ext xmlns:c16="http://schemas.microsoft.com/office/drawing/2014/chart" uri="{C3380CC4-5D6E-409C-BE32-E72D297353CC}">
              <c16:uniqueId val="{00000000-88BF-4143-9409-B2E6A27FB455}"/>
            </c:ext>
          </c:extLst>
        </c:ser>
        <c:ser>
          <c:idx val="1"/>
          <c:order val="1"/>
          <c:tx>
            <c:strRef>
              <c:f>Sheet4!$D$1</c:f>
              <c:strCache>
                <c:ptCount val="1"/>
                <c:pt idx="0">
                  <c:v>2020</c:v>
                </c:pt>
              </c:strCache>
            </c:strRef>
          </c:tx>
          <c:spPr>
            <a:solidFill>
              <a:srgbClr val="ED7D31"/>
            </a:solidFill>
            <a:ln w="25402">
              <a:noFill/>
            </a:ln>
          </c:spPr>
          <c:invertIfNegative val="0"/>
          <c:dLbls>
            <c:numFmt formatCode="General" sourceLinked="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22497.200000000001</c:v>
                </c:pt>
                <c:pt idx="1">
                  <c:v>104840.9</c:v>
                </c:pt>
              </c:numCache>
            </c:numRef>
          </c:val>
          <c:extLst>
            <c:ext xmlns:c16="http://schemas.microsoft.com/office/drawing/2014/chart" uri="{C3380CC4-5D6E-409C-BE32-E72D297353CC}">
              <c16:uniqueId val="{00000001-88BF-4143-9409-B2E6A27FB455}"/>
            </c:ext>
          </c:extLst>
        </c:ser>
        <c:ser>
          <c:idx val="2"/>
          <c:order val="2"/>
          <c:tx>
            <c:strRef>
              <c:f>Sheet4!$E$1</c:f>
              <c:strCache>
                <c:ptCount val="1"/>
                <c:pt idx="0">
                  <c:v>2021</c:v>
                </c:pt>
              </c:strCache>
            </c:strRef>
          </c:tx>
          <c:spPr>
            <a:solidFill>
              <a:srgbClr val="70AD47"/>
            </a:solidFill>
            <a:ln w="25402">
              <a:noFill/>
            </a:ln>
          </c:spPr>
          <c:invertIfNegative val="0"/>
          <c:dLbls>
            <c:numFmt formatCode="General" sourceLinked="0"/>
            <c:spPr>
              <a:noFill/>
              <a:ln w="25402">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26020.6</c:v>
                </c:pt>
                <c:pt idx="1">
                  <c:v>116560.5</c:v>
                </c:pt>
              </c:numCache>
            </c:numRef>
          </c:val>
          <c:extLst>
            <c:ext xmlns:c16="http://schemas.microsoft.com/office/drawing/2014/chart" uri="{C3380CC4-5D6E-409C-BE32-E72D297353CC}">
              <c16:uniqueId val="{00000002-88BF-4143-9409-B2E6A27FB455}"/>
            </c:ext>
          </c:extLst>
        </c:ser>
        <c:dLbls>
          <c:showLegendKey val="0"/>
          <c:showVal val="0"/>
          <c:showCatName val="0"/>
          <c:showSerName val="0"/>
          <c:showPercent val="0"/>
          <c:showBubbleSize val="0"/>
        </c:dLbls>
        <c:gapWidth val="219"/>
        <c:overlap val="-27"/>
        <c:axId val="1329257983"/>
        <c:axId val="1"/>
      </c:barChart>
      <c:catAx>
        <c:axId val="1329257983"/>
        <c:scaling>
          <c:orientation val="minMax"/>
        </c:scaling>
        <c:delete val="0"/>
        <c:axPos val="b"/>
        <c:numFmt formatCode="General" sourceLinked="1"/>
        <c:majorTickMark val="out"/>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logBase val="10"/>
          <c:orientation val="minMax"/>
          <c:min val="100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329257983"/>
        <c:crosses val="autoZero"/>
        <c:crossBetween val="between"/>
      </c:valAx>
      <c:spPr>
        <a:noFill/>
        <a:ln w="25403">
          <a:noFill/>
        </a:ln>
      </c:spPr>
    </c:plotArea>
    <c:legend>
      <c:legendPos val="b"/>
      <c:overlay val="0"/>
      <c:spPr>
        <a:noFill/>
        <a:ln w="25402">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1" i="0" u="none" strike="noStrike" kern="1200" spc="0" baseline="0">
                <a:solidFill>
                  <a:sysClr val="windowText" lastClr="000000"/>
                </a:solidFill>
                <a:latin typeface="+mn-lt"/>
                <a:ea typeface="+mn-ea"/>
                <a:cs typeface="+mn-cs"/>
              </a:defRPr>
            </a:pPr>
            <a:r>
              <a:rPr lang="bg-BG" sz="1199" baseline="0"/>
              <a:t>Средна натовареност на прокурорите от района на СГП за 2021 г. съгласно приетите от ВСС правила, изведени от УИС на ПРБ</a:t>
            </a:r>
            <a:endParaRPr lang="bg-BG" sz="1200"/>
          </a:p>
        </c:rich>
      </c:tx>
      <c:overlay val="0"/>
      <c:spPr>
        <a:noFill/>
        <a:ln w="25390">
          <a:noFill/>
        </a:ln>
      </c:spPr>
    </c:title>
    <c:autoTitleDeleted val="0"/>
    <c:plotArea>
      <c:layout>
        <c:manualLayout>
          <c:layoutTarget val="inner"/>
          <c:xMode val="edge"/>
          <c:yMode val="edge"/>
          <c:x val="2.7777712584734656E-2"/>
          <c:y val="0.24349719643823153"/>
          <c:w val="0.93888888888888888"/>
          <c:h val="0.58762321376494608"/>
        </c:manualLayout>
      </c:layout>
      <c:barChart>
        <c:barDir val="col"/>
        <c:grouping val="clustered"/>
        <c:varyColors val="0"/>
        <c:ser>
          <c:idx val="0"/>
          <c:order val="0"/>
          <c:tx>
            <c:strRef>
              <c:f>Sheet4!$C$1</c:f>
              <c:strCache>
                <c:ptCount val="1"/>
                <c:pt idx="0">
                  <c:v>2019</c:v>
                </c:pt>
              </c:strCache>
            </c:strRef>
          </c:tx>
          <c:spPr>
            <a:solidFill>
              <a:srgbClr val="4472C4"/>
            </a:solidFill>
            <a:ln w="25390">
              <a:noFill/>
            </a:ln>
          </c:spPr>
          <c:invertIfNegative val="0"/>
          <c:dLbls>
            <c:numFmt formatCode="General" sourceLinked="0"/>
            <c:spPr>
              <a:noFill/>
              <a:ln w="2539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3</c:v>
                </c:pt>
                <c:pt idx="1">
                  <c:v>6</c:v>
                </c:pt>
              </c:numCache>
            </c:numRef>
          </c:val>
          <c:extLst>
            <c:ext xmlns:c16="http://schemas.microsoft.com/office/drawing/2014/chart" uri="{C3380CC4-5D6E-409C-BE32-E72D297353CC}">
              <c16:uniqueId val="{00000000-789A-4CC9-B379-8B23771C77DE}"/>
            </c:ext>
          </c:extLst>
        </c:ser>
        <c:ser>
          <c:idx val="1"/>
          <c:order val="1"/>
          <c:tx>
            <c:strRef>
              <c:f>Sheet4!$D$1</c:f>
              <c:strCache>
                <c:ptCount val="1"/>
                <c:pt idx="0">
                  <c:v>2020</c:v>
                </c:pt>
              </c:strCache>
            </c:strRef>
          </c:tx>
          <c:spPr>
            <a:solidFill>
              <a:srgbClr val="ED7D31"/>
            </a:solidFill>
            <a:ln w="25390">
              <a:noFill/>
            </a:ln>
          </c:spPr>
          <c:invertIfNegative val="0"/>
          <c:dLbls>
            <c:numFmt formatCode="General" sourceLinked="0"/>
            <c:spPr>
              <a:noFill/>
              <a:ln w="2539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2.62</c:v>
                </c:pt>
                <c:pt idx="1">
                  <c:v>6.85</c:v>
                </c:pt>
              </c:numCache>
            </c:numRef>
          </c:val>
          <c:extLst>
            <c:ext xmlns:c16="http://schemas.microsoft.com/office/drawing/2014/chart" uri="{C3380CC4-5D6E-409C-BE32-E72D297353CC}">
              <c16:uniqueId val="{00000001-789A-4CC9-B379-8B23771C77DE}"/>
            </c:ext>
          </c:extLst>
        </c:ser>
        <c:ser>
          <c:idx val="2"/>
          <c:order val="2"/>
          <c:tx>
            <c:strRef>
              <c:f>Sheet4!$E$1</c:f>
              <c:strCache>
                <c:ptCount val="1"/>
                <c:pt idx="0">
                  <c:v>2021</c:v>
                </c:pt>
              </c:strCache>
            </c:strRef>
          </c:tx>
          <c:spPr>
            <a:solidFill>
              <a:srgbClr val="70AD47"/>
            </a:solidFill>
            <a:ln w="25390">
              <a:noFill/>
            </a:ln>
          </c:spPr>
          <c:invertIfNegative val="0"/>
          <c:dLbls>
            <c:numFmt formatCode="General" sourceLinked="0"/>
            <c:spPr>
              <a:noFill/>
              <a:ln w="25390">
                <a:noFill/>
              </a:ln>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2.57</c:v>
                </c:pt>
                <c:pt idx="1">
                  <c:v>5.7</c:v>
                </c:pt>
              </c:numCache>
            </c:numRef>
          </c:val>
          <c:extLst>
            <c:ext xmlns:c16="http://schemas.microsoft.com/office/drawing/2014/chart" uri="{C3380CC4-5D6E-409C-BE32-E72D297353CC}">
              <c16:uniqueId val="{00000002-789A-4CC9-B379-8B23771C77DE}"/>
            </c:ext>
          </c:extLst>
        </c:ser>
        <c:dLbls>
          <c:showLegendKey val="0"/>
          <c:showVal val="0"/>
          <c:showCatName val="0"/>
          <c:showSerName val="0"/>
          <c:showPercent val="0"/>
          <c:showBubbleSize val="0"/>
        </c:dLbls>
        <c:gapWidth val="219"/>
        <c:overlap val="-27"/>
        <c:axId val="1329260895"/>
        <c:axId val="1"/>
      </c:barChart>
      <c:catAx>
        <c:axId val="1329260895"/>
        <c:scaling>
          <c:orientation val="minMax"/>
        </c:scaling>
        <c:delete val="0"/>
        <c:axPos val="b"/>
        <c:numFmt formatCode="General" sourceLinked="1"/>
        <c:majorTickMark val="out"/>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orientation val="minMax"/>
        </c:scaling>
        <c:delete val="1"/>
        <c:axPos val="l"/>
        <c:majorGridlines>
          <c:spPr>
            <a:ln w="9521" cap="flat" cmpd="sng" algn="ctr">
              <a:solidFill>
                <a:schemeClr val="tx1">
                  <a:lumMod val="15000"/>
                  <a:lumOff val="85000"/>
                </a:schemeClr>
              </a:solidFill>
              <a:round/>
            </a:ln>
            <a:effectLst/>
          </c:spPr>
        </c:majorGridlines>
        <c:numFmt formatCode="General" sourceLinked="1"/>
        <c:majorTickMark val="out"/>
        <c:minorTickMark val="none"/>
        <c:tickLblPos val="nextTo"/>
        <c:crossAx val="1329260895"/>
        <c:crosses val="autoZero"/>
        <c:crossBetween val="between"/>
        <c:majorUnit val="8"/>
      </c:valAx>
      <c:spPr>
        <a:noFill/>
        <a:ln w="25403">
          <a:noFill/>
        </a:ln>
      </c:spPr>
    </c:plotArea>
    <c:legend>
      <c:legendPos val="b"/>
      <c:overlay val="0"/>
      <c:spPr>
        <a:noFill/>
        <a:ln w="25390">
          <a:noFill/>
        </a:ln>
      </c:spPr>
      <c:txPr>
        <a:bodyPr rot="0" spcFirstLastPara="1" vertOverflow="ellipsis" vert="horz" wrap="square" anchor="ctr" anchorCtr="1"/>
        <a:lstStyle/>
        <a:p>
          <a:pPr>
            <a:defRPr sz="999"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a:latin typeface="Times New Roman" panose="02020603050405020304" pitchFamily="18" charset="0"/>
                <a:cs typeface="Times New Roman" panose="02020603050405020304" pitchFamily="18" charset="0"/>
              </a:defRPr>
            </a:pPr>
            <a:r>
              <a:rPr lang="bg-BG"/>
              <a:t>Показатели за Софийска районна прокуратура – преписки 2021 г., към края на отчетния период</a:t>
            </a:r>
          </a:p>
        </c:rich>
      </c:tx>
      <c:overlay val="0"/>
    </c:title>
    <c:autoTitleDeleted val="0"/>
    <c:view3D>
      <c:rotX val="30"/>
      <c:rotY val="30"/>
      <c:rAngAx val="0"/>
      <c:perspective val="70"/>
    </c:view3D>
    <c:floor>
      <c:thickness val="0"/>
    </c:floor>
    <c:sideWall>
      <c:thickness val="0"/>
    </c:sideWall>
    <c:backWall>
      <c:thickness val="0"/>
    </c:backWall>
    <c:plotArea>
      <c:layout/>
      <c:pie3DChart>
        <c:varyColors val="1"/>
        <c:ser>
          <c:idx val="0"/>
          <c:order val="0"/>
          <c:tx>
            <c:strRef>
              <c:f>Лист1!$B$1</c:f>
              <c:strCache>
                <c:ptCount val="1"/>
                <c:pt idx="0">
                  <c:v>Показатели за Софийска районна прокуратура – преписки 2018 г., към края на отчетния период</c:v>
                </c:pt>
              </c:strCache>
            </c:strRef>
          </c:tx>
          <c:explosion val="25"/>
          <c:dPt>
            <c:idx val="0"/>
            <c:bubble3D val="0"/>
            <c:spPr>
              <a:solidFill>
                <a:schemeClr val="accent3">
                  <a:lumMod val="60000"/>
                  <a:lumOff val="40000"/>
                </a:schemeClr>
              </a:solidFill>
            </c:spPr>
            <c:extLst>
              <c:ext xmlns:c16="http://schemas.microsoft.com/office/drawing/2014/chart" uri="{C3380CC4-5D6E-409C-BE32-E72D297353CC}">
                <c16:uniqueId val="{00000000-F9EA-49AF-9715-E757AEDDCAF6}"/>
              </c:ext>
            </c:extLst>
          </c:dPt>
          <c:dPt>
            <c:idx val="1"/>
            <c:bubble3D val="0"/>
            <c:spPr>
              <a:solidFill>
                <a:srgbClr val="7030A0"/>
              </a:solidFill>
            </c:spPr>
            <c:extLst>
              <c:ext xmlns:c16="http://schemas.microsoft.com/office/drawing/2014/chart" uri="{C3380CC4-5D6E-409C-BE32-E72D297353CC}">
                <c16:uniqueId val="{00000001-F9EA-49AF-9715-E757AEDDCAF6}"/>
              </c:ext>
            </c:extLst>
          </c:dPt>
          <c:dLbls>
            <c:spPr>
              <a:noFill/>
              <a:ln w="25353">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Наблюдавани преписки</c:v>
                </c:pt>
                <c:pt idx="1">
                  <c:v>Нерешени преписки</c:v>
                </c:pt>
              </c:strCache>
            </c:strRef>
          </c:cat>
          <c:val>
            <c:numRef>
              <c:f>Лист1!$B$2:$B$3</c:f>
              <c:numCache>
                <c:formatCode>General</c:formatCode>
                <c:ptCount val="2"/>
                <c:pt idx="0">
                  <c:v>38485</c:v>
                </c:pt>
                <c:pt idx="1">
                  <c:v>1904</c:v>
                </c:pt>
              </c:numCache>
            </c:numRef>
          </c:val>
          <c:extLst>
            <c:ext xmlns:c16="http://schemas.microsoft.com/office/drawing/2014/chart" uri="{C3380CC4-5D6E-409C-BE32-E72D297353CC}">
              <c16:uniqueId val="{00000002-F9EA-49AF-9715-E757AEDDCAF6}"/>
            </c:ext>
          </c:extLst>
        </c:ser>
        <c:dLbls>
          <c:showLegendKey val="0"/>
          <c:showVal val="0"/>
          <c:showCatName val="0"/>
          <c:showSerName val="0"/>
          <c:showPercent val="0"/>
          <c:showBubbleSize val="0"/>
          <c:showLeaderLines val="1"/>
        </c:dLbls>
      </c:pie3DChart>
      <c:spPr>
        <a:noFill/>
        <a:ln w="25371">
          <a:noFill/>
        </a:ln>
      </c:spPr>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1" i="0" u="none" strike="noStrike" kern="1200" spc="0" baseline="0">
                <a:solidFill>
                  <a:sysClr val="windowText" lastClr="000000"/>
                </a:solidFill>
                <a:latin typeface="+mn-lt"/>
                <a:ea typeface="+mn-ea"/>
                <a:cs typeface="+mn-cs"/>
              </a:defRPr>
            </a:pPr>
            <a:r>
              <a:rPr lang="bg-BG" sz="1201" baseline="0"/>
              <a:t>Средна натовареност на прокурорите от района на СГП за 2021 г. съгласно приетите от ВСС правила, изведени от УИС на ПРБ</a:t>
            </a:r>
            <a:endParaRPr lang="bg-BG" sz="1200"/>
          </a:p>
        </c:rich>
      </c:tx>
      <c:overlay val="0"/>
      <c:spPr>
        <a:noFill/>
        <a:ln w="25413">
          <a:noFill/>
        </a:ln>
      </c:spPr>
    </c:title>
    <c:autoTitleDeleted val="0"/>
    <c:plotArea>
      <c:layout>
        <c:manualLayout>
          <c:layoutTarget val="inner"/>
          <c:xMode val="edge"/>
          <c:yMode val="edge"/>
          <c:x val="2.7777712584734656E-2"/>
          <c:y val="0.24349719643823153"/>
          <c:w val="0.93888888888888888"/>
          <c:h val="0.58762321376494608"/>
        </c:manualLayout>
      </c:layout>
      <c:barChart>
        <c:barDir val="col"/>
        <c:grouping val="clustered"/>
        <c:varyColors val="0"/>
        <c:ser>
          <c:idx val="0"/>
          <c:order val="0"/>
          <c:tx>
            <c:strRef>
              <c:f>Sheet4!$C$1</c:f>
              <c:strCache>
                <c:ptCount val="1"/>
                <c:pt idx="0">
                  <c:v>2019</c:v>
                </c:pt>
              </c:strCache>
            </c:strRef>
          </c:tx>
          <c:spPr>
            <a:solidFill>
              <a:srgbClr val="4472C4"/>
            </a:solidFill>
            <a:ln w="25413">
              <a:noFill/>
            </a:ln>
          </c:spPr>
          <c:invertIfNegative val="0"/>
          <c:dLbls>
            <c:numFmt formatCode="General" sourceLinked="0"/>
            <c:spPr>
              <a:noFill/>
              <a:ln w="25413">
                <a:noFill/>
              </a:ln>
            </c:spPr>
            <c:txPr>
              <a:bodyPr rot="0" spcFirstLastPara="1" vertOverflow="ellipsis" vert="horz" wrap="square" anchor="ctr" anchorCtr="1"/>
              <a:lstStyle/>
              <a:p>
                <a:pPr>
                  <a:defRPr sz="901"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Sheet4!$C$2:$C$3</c:f>
              <c:numCache>
                <c:formatCode>General</c:formatCode>
                <c:ptCount val="2"/>
                <c:pt idx="0">
                  <c:v>1</c:v>
                </c:pt>
                <c:pt idx="1">
                  <c:v>3</c:v>
                </c:pt>
              </c:numCache>
            </c:numRef>
          </c:val>
          <c:extLst>
            <c:ext xmlns:c16="http://schemas.microsoft.com/office/drawing/2014/chart" uri="{C3380CC4-5D6E-409C-BE32-E72D297353CC}">
              <c16:uniqueId val="{00000000-86F3-4E36-9F82-CFC6BC61BC91}"/>
            </c:ext>
          </c:extLst>
        </c:ser>
        <c:ser>
          <c:idx val="1"/>
          <c:order val="1"/>
          <c:tx>
            <c:strRef>
              <c:f>Sheet4!$D$1</c:f>
              <c:strCache>
                <c:ptCount val="1"/>
                <c:pt idx="0">
                  <c:v>2020</c:v>
                </c:pt>
              </c:strCache>
            </c:strRef>
          </c:tx>
          <c:spPr>
            <a:solidFill>
              <a:srgbClr val="ED7D31"/>
            </a:solidFill>
            <a:ln w="25413">
              <a:noFill/>
            </a:ln>
          </c:spPr>
          <c:invertIfNegative val="0"/>
          <c:dLbls>
            <c:numFmt formatCode="General" sourceLinked="0"/>
            <c:spPr>
              <a:noFill/>
              <a:ln w="25413">
                <a:noFill/>
              </a:ln>
            </c:spPr>
            <c:txPr>
              <a:bodyPr rot="0" spcFirstLastPara="1" vertOverflow="ellipsis" vert="horz" wrap="square" anchor="ctr" anchorCtr="1"/>
              <a:lstStyle/>
              <a:p>
                <a:pPr>
                  <a:defRPr sz="901"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Sheet4!$D$2:$D$3</c:f>
              <c:numCache>
                <c:formatCode>General</c:formatCode>
                <c:ptCount val="2"/>
                <c:pt idx="0">
                  <c:v>1.17</c:v>
                </c:pt>
                <c:pt idx="1">
                  <c:v>3.5</c:v>
                </c:pt>
              </c:numCache>
            </c:numRef>
          </c:val>
          <c:extLst>
            <c:ext xmlns:c16="http://schemas.microsoft.com/office/drawing/2014/chart" uri="{C3380CC4-5D6E-409C-BE32-E72D297353CC}">
              <c16:uniqueId val="{00000001-86F3-4E36-9F82-CFC6BC61BC91}"/>
            </c:ext>
          </c:extLst>
        </c:ser>
        <c:ser>
          <c:idx val="2"/>
          <c:order val="2"/>
          <c:tx>
            <c:strRef>
              <c:f>Sheet4!$E$1</c:f>
              <c:strCache>
                <c:ptCount val="1"/>
                <c:pt idx="0">
                  <c:v>2021</c:v>
                </c:pt>
              </c:strCache>
            </c:strRef>
          </c:tx>
          <c:spPr>
            <a:solidFill>
              <a:srgbClr val="70AD47"/>
            </a:solidFill>
            <a:ln w="25413">
              <a:noFill/>
            </a:ln>
          </c:spPr>
          <c:invertIfNegative val="0"/>
          <c:dLbls>
            <c:numFmt formatCode="General" sourceLinked="0"/>
            <c:spPr>
              <a:noFill/>
              <a:ln w="25413">
                <a:noFill/>
              </a:ln>
            </c:spPr>
            <c:txPr>
              <a:bodyPr rot="0" spcFirstLastPara="1" vertOverflow="ellipsis" vert="horz" wrap="square" anchor="ctr" anchorCtr="1"/>
              <a:lstStyle/>
              <a:p>
                <a:pPr>
                  <a:defRPr sz="901" b="1"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Sheet4!$B$2:$B$3</c:f>
              <c:strCache>
                <c:ptCount val="2"/>
                <c:pt idx="0">
                  <c:v>СГП</c:v>
                </c:pt>
                <c:pt idx="1">
                  <c:v>СРП</c:v>
                </c:pt>
              </c:strCache>
            </c:strRef>
          </c:cat>
          <c:val>
            <c:numRef>
              <c:f>Sheet4!$E$2:$E$3</c:f>
              <c:numCache>
                <c:formatCode>General</c:formatCode>
                <c:ptCount val="2"/>
                <c:pt idx="0">
                  <c:v>1.21</c:v>
                </c:pt>
                <c:pt idx="1">
                  <c:v>2.9</c:v>
                </c:pt>
              </c:numCache>
            </c:numRef>
          </c:val>
          <c:extLst>
            <c:ext xmlns:c16="http://schemas.microsoft.com/office/drawing/2014/chart" uri="{C3380CC4-5D6E-409C-BE32-E72D297353CC}">
              <c16:uniqueId val="{00000002-86F3-4E36-9F82-CFC6BC61BC91}"/>
            </c:ext>
          </c:extLst>
        </c:ser>
        <c:dLbls>
          <c:showLegendKey val="0"/>
          <c:showVal val="0"/>
          <c:showCatName val="0"/>
          <c:showSerName val="0"/>
          <c:showPercent val="0"/>
          <c:showBubbleSize val="0"/>
        </c:dLbls>
        <c:gapWidth val="219"/>
        <c:overlap val="-27"/>
        <c:axId val="1334949423"/>
        <c:axId val="1"/>
      </c:barChart>
      <c:catAx>
        <c:axId val="1334949423"/>
        <c:scaling>
          <c:orientation val="minMax"/>
        </c:scaling>
        <c:delete val="0"/>
        <c:axPos val="b"/>
        <c:numFmt formatCode="General" sourceLinked="1"/>
        <c:majorTickMark val="out"/>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1" b="1" i="0" u="none" strike="noStrike" kern="1200" baseline="0">
                <a:solidFill>
                  <a:sysClr val="windowText" lastClr="000000"/>
                </a:solidFill>
                <a:latin typeface="+mn-lt"/>
                <a:ea typeface="+mn-ea"/>
                <a:cs typeface="+mn-cs"/>
              </a:defRPr>
            </a:pPr>
            <a:endParaRPr lang="bg-BG"/>
          </a:p>
        </c:txPr>
        <c:crossAx val="1"/>
        <c:crosses val="autoZero"/>
        <c:auto val="1"/>
        <c:lblAlgn val="ctr"/>
        <c:lblOffset val="100"/>
        <c:noMultiLvlLbl val="0"/>
      </c:catAx>
      <c:valAx>
        <c:axId val="1"/>
        <c:scaling>
          <c:orientation val="minMax"/>
        </c:scaling>
        <c:delete val="1"/>
        <c:axPos val="l"/>
        <c:majorGridlines>
          <c:spPr>
            <a:ln w="9529" cap="flat" cmpd="sng" algn="ctr">
              <a:solidFill>
                <a:schemeClr val="tx1">
                  <a:lumMod val="15000"/>
                  <a:lumOff val="85000"/>
                </a:schemeClr>
              </a:solidFill>
              <a:round/>
            </a:ln>
            <a:effectLst/>
          </c:spPr>
        </c:majorGridlines>
        <c:numFmt formatCode="General" sourceLinked="1"/>
        <c:majorTickMark val="out"/>
        <c:minorTickMark val="none"/>
        <c:tickLblPos val="nextTo"/>
        <c:crossAx val="1334949423"/>
        <c:crosses val="autoZero"/>
        <c:crossBetween val="between"/>
        <c:majorUnit val="4"/>
      </c:valAx>
      <c:spPr>
        <a:noFill/>
        <a:ln w="25415">
          <a:noFill/>
        </a:ln>
      </c:spPr>
    </c:plotArea>
    <c:legend>
      <c:legendPos val="b"/>
      <c:overlay val="0"/>
      <c:spPr>
        <a:noFill/>
        <a:ln w="25413">
          <a:noFill/>
        </a:ln>
      </c:spPr>
      <c:txPr>
        <a:bodyPr rot="0" spcFirstLastPara="1" vertOverflow="ellipsis" vert="horz" wrap="square" anchor="ctr" anchorCtr="1"/>
        <a:lstStyle/>
        <a:p>
          <a:pPr>
            <a:defRPr sz="1001"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b="1">
          <a:solidFill>
            <a:sysClr val="windowText" lastClr="000000"/>
          </a:solidFill>
        </a:defRPr>
      </a:pPr>
      <a:endParaRPr lang="bg-BG"/>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37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 брой дела</c:v>
                </c:pt>
                <c:pt idx="1">
                  <c:v>Дела на първа инстанция</c:v>
                </c:pt>
                <c:pt idx="2">
                  <c:v>Касационни дела</c:v>
                </c:pt>
              </c:strCache>
            </c:strRef>
          </c:cat>
          <c:val>
            <c:numRef>
              <c:f>Лист1!$B$2:$B$4</c:f>
              <c:numCache>
                <c:formatCode>General</c:formatCode>
                <c:ptCount val="3"/>
                <c:pt idx="0">
                  <c:v>7933</c:v>
                </c:pt>
                <c:pt idx="1">
                  <c:v>5311</c:v>
                </c:pt>
                <c:pt idx="2">
                  <c:v>2622</c:v>
                </c:pt>
              </c:numCache>
            </c:numRef>
          </c:val>
          <c:extLst>
            <c:ext xmlns:c16="http://schemas.microsoft.com/office/drawing/2014/chart" uri="{C3380CC4-5D6E-409C-BE32-E72D297353CC}">
              <c16:uniqueId val="{00000000-8864-40D2-9DF5-56D8B304CB2F}"/>
            </c:ext>
          </c:extLst>
        </c:ser>
        <c:ser>
          <c:idx val="1"/>
          <c:order val="1"/>
          <c:tx>
            <c:strRef>
              <c:f>Лист1!$C$1</c:f>
              <c:strCache>
                <c:ptCount val="1"/>
                <c:pt idx="0">
                  <c:v>2020г.</c:v>
                </c:pt>
              </c:strCache>
            </c:strRef>
          </c:tx>
          <c:invertIfNegative val="0"/>
          <c:dLbls>
            <c:spPr>
              <a:noFill/>
              <a:ln w="2537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 брой дела</c:v>
                </c:pt>
                <c:pt idx="1">
                  <c:v>Дела на първа инстанция</c:v>
                </c:pt>
                <c:pt idx="2">
                  <c:v>Касационни дела</c:v>
                </c:pt>
              </c:strCache>
            </c:strRef>
          </c:cat>
          <c:val>
            <c:numRef>
              <c:f>Лист1!$C$2:$C$4</c:f>
              <c:numCache>
                <c:formatCode>General</c:formatCode>
                <c:ptCount val="3"/>
                <c:pt idx="0">
                  <c:v>4445</c:v>
                </c:pt>
                <c:pt idx="1">
                  <c:v>2156</c:v>
                </c:pt>
                <c:pt idx="2">
                  <c:v>2288</c:v>
                </c:pt>
              </c:numCache>
            </c:numRef>
          </c:val>
          <c:extLst>
            <c:ext xmlns:c16="http://schemas.microsoft.com/office/drawing/2014/chart" uri="{C3380CC4-5D6E-409C-BE32-E72D297353CC}">
              <c16:uniqueId val="{00000001-8864-40D2-9DF5-56D8B304CB2F}"/>
            </c:ext>
          </c:extLst>
        </c:ser>
        <c:ser>
          <c:idx val="2"/>
          <c:order val="2"/>
          <c:tx>
            <c:strRef>
              <c:f>Лист1!$D$1</c:f>
              <c:strCache>
                <c:ptCount val="1"/>
                <c:pt idx="0">
                  <c:v>2019г.</c:v>
                </c:pt>
              </c:strCache>
            </c:strRef>
          </c:tx>
          <c:invertIfNegative val="0"/>
          <c:dLbls>
            <c:spPr>
              <a:noFill/>
              <a:ln w="2537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 брой дела</c:v>
                </c:pt>
                <c:pt idx="1">
                  <c:v>Дела на първа инстанция</c:v>
                </c:pt>
                <c:pt idx="2">
                  <c:v>Касационни дела</c:v>
                </c:pt>
              </c:strCache>
            </c:strRef>
          </c:cat>
          <c:val>
            <c:numRef>
              <c:f>Лист1!$D$2:$D$4</c:f>
              <c:numCache>
                <c:formatCode>General</c:formatCode>
                <c:ptCount val="3"/>
                <c:pt idx="0">
                  <c:v>4909</c:v>
                </c:pt>
                <c:pt idx="1">
                  <c:v>1959</c:v>
                </c:pt>
                <c:pt idx="2">
                  <c:v>2946</c:v>
                </c:pt>
              </c:numCache>
            </c:numRef>
          </c:val>
          <c:extLst>
            <c:ext xmlns:c16="http://schemas.microsoft.com/office/drawing/2014/chart" uri="{C3380CC4-5D6E-409C-BE32-E72D297353CC}">
              <c16:uniqueId val="{00000002-8864-40D2-9DF5-56D8B304CB2F}"/>
            </c:ext>
          </c:extLst>
        </c:ser>
        <c:dLbls>
          <c:showLegendKey val="0"/>
          <c:showVal val="0"/>
          <c:showCatName val="0"/>
          <c:showSerName val="0"/>
          <c:showPercent val="0"/>
          <c:showBubbleSize val="0"/>
        </c:dLbls>
        <c:gapWidth val="150"/>
        <c:axId val="1332924431"/>
        <c:axId val="1"/>
      </c:barChart>
      <c:catAx>
        <c:axId val="133292443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924431"/>
        <c:crosses val="autoZero"/>
        <c:crossBetween val="between"/>
      </c:valAx>
    </c:plotArea>
    <c:legend>
      <c:legendPos val="r"/>
      <c:layout>
        <c:manualLayout>
          <c:xMode val="edge"/>
          <c:yMode val="edge"/>
          <c:x val="0.89078943414901424"/>
          <c:y val="0.23888871033977896"/>
          <c:w val="9.4736870012460561E-2"/>
          <c:h val="0.49444462299355441"/>
        </c:manualLayout>
      </c:layout>
      <c:overlay val="0"/>
    </c:legend>
    <c:plotVisOnly val="1"/>
    <c:dispBlanksAs val="gap"/>
    <c:showDLblsOverMax val="0"/>
  </c:chart>
  <c:txPr>
    <a:bodyPr/>
    <a:lstStyle/>
    <a:p>
      <a:pPr>
        <a:defRPr>
          <a:solidFill>
            <a:sysClr val="windowText" lastClr="000000"/>
          </a:solidFill>
        </a:defRPr>
      </a:pPr>
      <a:endParaRPr lang="bg-BG"/>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 </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Средна натовареност АСН </c:v>
                </c:pt>
              </c:strCache>
            </c:strRef>
          </c:cat>
          <c:val>
            <c:numRef>
              <c:f>Лист1!$B$2</c:f>
              <c:numCache>
                <c:formatCode>General</c:formatCode>
                <c:ptCount val="1"/>
                <c:pt idx="0">
                  <c:v>737.5</c:v>
                </c:pt>
              </c:numCache>
            </c:numRef>
          </c:val>
          <c:extLst>
            <c:ext xmlns:c16="http://schemas.microsoft.com/office/drawing/2014/chart" uri="{C3380CC4-5D6E-409C-BE32-E72D297353CC}">
              <c16:uniqueId val="{00000000-9DB2-43C5-A2EE-BE252E5CC1B7}"/>
            </c:ext>
          </c:extLst>
        </c:ser>
        <c:ser>
          <c:idx val="1"/>
          <c:order val="1"/>
          <c:tx>
            <c:strRef>
              <c:f>Лист1!$C$1</c:f>
              <c:strCache>
                <c:ptCount val="1"/>
                <c:pt idx="0">
                  <c:v>2020г.</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Средна натовареност АСН </c:v>
                </c:pt>
              </c:strCache>
            </c:strRef>
          </c:cat>
          <c:val>
            <c:numRef>
              <c:f>Лист1!$C$2</c:f>
              <c:numCache>
                <c:formatCode>General</c:formatCode>
                <c:ptCount val="1"/>
                <c:pt idx="0">
                  <c:v>317.5</c:v>
                </c:pt>
              </c:numCache>
            </c:numRef>
          </c:val>
          <c:extLst>
            <c:ext xmlns:c16="http://schemas.microsoft.com/office/drawing/2014/chart" uri="{C3380CC4-5D6E-409C-BE32-E72D297353CC}">
              <c16:uniqueId val="{00000001-9DB2-43C5-A2EE-BE252E5CC1B7}"/>
            </c:ext>
          </c:extLst>
        </c:ser>
        <c:ser>
          <c:idx val="2"/>
          <c:order val="2"/>
          <c:tx>
            <c:strRef>
              <c:f>Лист1!$D$1</c:f>
              <c:strCache>
                <c:ptCount val="1"/>
                <c:pt idx="0">
                  <c:v>2019г.</c:v>
                </c:pt>
              </c:strCache>
            </c:strRef>
          </c:tx>
          <c:invertIfNegative val="0"/>
          <c:dLbls>
            <c:spPr>
              <a:noFill/>
              <a:ln w="2536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Средна натовареност АСН </c:v>
                </c:pt>
              </c:strCache>
            </c:strRef>
          </c:cat>
          <c:val>
            <c:numRef>
              <c:f>Лист1!$D$2</c:f>
              <c:numCache>
                <c:formatCode>General</c:formatCode>
                <c:ptCount val="1"/>
                <c:pt idx="0">
                  <c:v>377.6</c:v>
                </c:pt>
              </c:numCache>
            </c:numRef>
          </c:val>
          <c:extLst>
            <c:ext xmlns:c16="http://schemas.microsoft.com/office/drawing/2014/chart" uri="{C3380CC4-5D6E-409C-BE32-E72D297353CC}">
              <c16:uniqueId val="{00000002-9DB2-43C5-A2EE-BE252E5CC1B7}"/>
            </c:ext>
          </c:extLst>
        </c:ser>
        <c:dLbls>
          <c:showLegendKey val="0"/>
          <c:showVal val="0"/>
          <c:showCatName val="0"/>
          <c:showSerName val="0"/>
          <c:showPercent val="0"/>
          <c:showBubbleSize val="0"/>
        </c:dLbls>
        <c:gapWidth val="150"/>
        <c:axId val="1333669903"/>
        <c:axId val="1"/>
      </c:barChart>
      <c:catAx>
        <c:axId val="133366990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3669903"/>
        <c:crosses val="autoZero"/>
        <c:crossBetween val="between"/>
      </c:valAx>
    </c:plotArea>
    <c:legend>
      <c:legendPos val="r"/>
      <c:layout>
        <c:manualLayout>
          <c:xMode val="edge"/>
          <c:yMode val="edge"/>
          <c:x val="0.88023086399914297"/>
          <c:y val="0.31300797796315066"/>
          <c:w val="0.10389612012784122"/>
          <c:h val="0.36178841506197862"/>
        </c:manualLayout>
      </c:layout>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40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Общ брой преписки СГП</c:v>
                </c:pt>
                <c:pt idx="1">
                  <c:v>Общ брой преписки СРП</c:v>
                </c:pt>
                <c:pt idx="2">
                  <c:v>Брой проверки СГП</c:v>
                </c:pt>
                <c:pt idx="3">
                  <c:v>Брой проверки СРП</c:v>
                </c:pt>
              </c:strCache>
            </c:strRef>
          </c:cat>
          <c:val>
            <c:numRef>
              <c:f>Лист1!$B$2:$B$5</c:f>
              <c:numCache>
                <c:formatCode>General</c:formatCode>
                <c:ptCount val="4"/>
                <c:pt idx="0">
                  <c:v>286</c:v>
                </c:pt>
                <c:pt idx="1">
                  <c:v>202</c:v>
                </c:pt>
                <c:pt idx="2">
                  <c:v>169</c:v>
                </c:pt>
                <c:pt idx="3">
                  <c:v>143</c:v>
                </c:pt>
              </c:numCache>
            </c:numRef>
          </c:val>
          <c:extLst>
            <c:ext xmlns:c16="http://schemas.microsoft.com/office/drawing/2014/chart" uri="{C3380CC4-5D6E-409C-BE32-E72D297353CC}">
              <c16:uniqueId val="{00000000-24F1-4B83-89D7-05BC556DED71}"/>
            </c:ext>
          </c:extLst>
        </c:ser>
        <c:ser>
          <c:idx val="1"/>
          <c:order val="1"/>
          <c:tx>
            <c:strRef>
              <c:f>Лист1!$C$1</c:f>
              <c:strCache>
                <c:ptCount val="1"/>
                <c:pt idx="0">
                  <c:v>2020г.</c:v>
                </c:pt>
              </c:strCache>
            </c:strRef>
          </c:tx>
          <c:invertIfNegative val="0"/>
          <c:dLbls>
            <c:spPr>
              <a:noFill/>
              <a:ln w="2540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Общ брой преписки СГП</c:v>
                </c:pt>
                <c:pt idx="1">
                  <c:v>Общ брой преписки СРП</c:v>
                </c:pt>
                <c:pt idx="2">
                  <c:v>Брой проверки СГП</c:v>
                </c:pt>
                <c:pt idx="3">
                  <c:v>Брой проверки СРП</c:v>
                </c:pt>
              </c:strCache>
            </c:strRef>
          </c:cat>
          <c:val>
            <c:numRef>
              <c:f>Лист1!$C$2:$C$5</c:f>
              <c:numCache>
                <c:formatCode>General</c:formatCode>
                <c:ptCount val="4"/>
                <c:pt idx="0">
                  <c:v>186</c:v>
                </c:pt>
                <c:pt idx="1">
                  <c:v>257</c:v>
                </c:pt>
                <c:pt idx="2">
                  <c:v>198</c:v>
                </c:pt>
                <c:pt idx="3">
                  <c:v>91</c:v>
                </c:pt>
              </c:numCache>
            </c:numRef>
          </c:val>
          <c:extLst>
            <c:ext xmlns:c16="http://schemas.microsoft.com/office/drawing/2014/chart" uri="{C3380CC4-5D6E-409C-BE32-E72D297353CC}">
              <c16:uniqueId val="{00000001-24F1-4B83-89D7-05BC556DED71}"/>
            </c:ext>
          </c:extLst>
        </c:ser>
        <c:ser>
          <c:idx val="2"/>
          <c:order val="2"/>
          <c:tx>
            <c:strRef>
              <c:f>Лист1!$D$1</c:f>
              <c:strCache>
                <c:ptCount val="1"/>
                <c:pt idx="0">
                  <c:v>2019г.</c:v>
                </c:pt>
              </c:strCache>
            </c:strRef>
          </c:tx>
          <c:invertIfNegative val="0"/>
          <c:dLbls>
            <c:spPr>
              <a:noFill/>
              <a:ln w="2540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Общ брой преписки СГП</c:v>
                </c:pt>
                <c:pt idx="1">
                  <c:v>Общ брой преписки СРП</c:v>
                </c:pt>
                <c:pt idx="2">
                  <c:v>Брой проверки СГП</c:v>
                </c:pt>
                <c:pt idx="3">
                  <c:v>Брой проверки СРП</c:v>
                </c:pt>
              </c:strCache>
            </c:strRef>
          </c:cat>
          <c:val>
            <c:numRef>
              <c:f>Лист1!$D$2:$D$5</c:f>
              <c:numCache>
                <c:formatCode>General</c:formatCode>
                <c:ptCount val="4"/>
                <c:pt idx="0">
                  <c:v>139</c:v>
                </c:pt>
                <c:pt idx="1">
                  <c:v>173</c:v>
                </c:pt>
                <c:pt idx="2">
                  <c:v>91</c:v>
                </c:pt>
                <c:pt idx="3">
                  <c:v>139</c:v>
                </c:pt>
              </c:numCache>
            </c:numRef>
          </c:val>
          <c:extLst>
            <c:ext xmlns:c16="http://schemas.microsoft.com/office/drawing/2014/chart" uri="{C3380CC4-5D6E-409C-BE32-E72D297353CC}">
              <c16:uniqueId val="{00000002-24F1-4B83-89D7-05BC556DED71}"/>
            </c:ext>
          </c:extLst>
        </c:ser>
        <c:dLbls>
          <c:showLegendKey val="0"/>
          <c:showVal val="0"/>
          <c:showCatName val="0"/>
          <c:showSerName val="0"/>
          <c:showPercent val="0"/>
          <c:showBubbleSize val="0"/>
        </c:dLbls>
        <c:gapWidth val="150"/>
        <c:axId val="1243366063"/>
        <c:axId val="1"/>
      </c:barChart>
      <c:catAx>
        <c:axId val="124336606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243366063"/>
        <c:crosses val="autoZero"/>
        <c:crossBetween val="between"/>
      </c:valAx>
    </c:plotArea>
    <c:legend>
      <c:legendPos val="r"/>
      <c:layout>
        <c:manualLayout>
          <c:xMode val="edge"/>
          <c:yMode val="edge"/>
          <c:x val="0.87518783502316022"/>
          <c:y val="0.30487806211723534"/>
          <c:w val="0.10827078087320308"/>
          <c:h val="0.3617886045494314"/>
        </c:manualLayout>
      </c:layout>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37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Средна натовареност по НЗ СГП</c:v>
                </c:pt>
                <c:pt idx="1">
                  <c:v>Средна натовареност по НЗ СРП</c:v>
                </c:pt>
                <c:pt idx="2">
                  <c:v>Обща средна натовареност</c:v>
                </c:pt>
              </c:strCache>
            </c:strRef>
          </c:cat>
          <c:val>
            <c:numRef>
              <c:f>Лист1!$B$2:$B$4</c:f>
              <c:numCache>
                <c:formatCode>General</c:formatCode>
                <c:ptCount val="3"/>
                <c:pt idx="0">
                  <c:v>23.8</c:v>
                </c:pt>
                <c:pt idx="1">
                  <c:v>50.5</c:v>
                </c:pt>
                <c:pt idx="2">
                  <c:v>30.5</c:v>
                </c:pt>
              </c:numCache>
            </c:numRef>
          </c:val>
          <c:extLst>
            <c:ext xmlns:c16="http://schemas.microsoft.com/office/drawing/2014/chart" uri="{C3380CC4-5D6E-409C-BE32-E72D297353CC}">
              <c16:uniqueId val="{00000000-907E-4B8A-92ED-37AA892C4B94}"/>
            </c:ext>
          </c:extLst>
        </c:ser>
        <c:ser>
          <c:idx val="1"/>
          <c:order val="1"/>
          <c:tx>
            <c:strRef>
              <c:f>Лист1!$C$1</c:f>
              <c:strCache>
                <c:ptCount val="1"/>
                <c:pt idx="0">
                  <c:v>2020г.</c:v>
                </c:pt>
              </c:strCache>
            </c:strRef>
          </c:tx>
          <c:invertIfNegative val="0"/>
          <c:dLbls>
            <c:spPr>
              <a:noFill/>
              <a:ln w="2537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Средна натовареност по НЗ СГП</c:v>
                </c:pt>
                <c:pt idx="1">
                  <c:v>Средна натовареност по НЗ СРП</c:v>
                </c:pt>
                <c:pt idx="2">
                  <c:v>Обща средна натовареност</c:v>
                </c:pt>
              </c:strCache>
            </c:strRef>
          </c:cat>
          <c:val>
            <c:numRef>
              <c:f>Лист1!$C$2:$C$4</c:f>
              <c:numCache>
                <c:formatCode>General</c:formatCode>
                <c:ptCount val="3"/>
                <c:pt idx="0">
                  <c:v>13.3</c:v>
                </c:pt>
                <c:pt idx="1">
                  <c:v>51.4</c:v>
                </c:pt>
                <c:pt idx="2">
                  <c:v>23.3</c:v>
                </c:pt>
              </c:numCache>
            </c:numRef>
          </c:val>
          <c:extLst>
            <c:ext xmlns:c16="http://schemas.microsoft.com/office/drawing/2014/chart" uri="{C3380CC4-5D6E-409C-BE32-E72D297353CC}">
              <c16:uniqueId val="{00000001-907E-4B8A-92ED-37AA892C4B94}"/>
            </c:ext>
          </c:extLst>
        </c:ser>
        <c:ser>
          <c:idx val="2"/>
          <c:order val="2"/>
          <c:tx>
            <c:strRef>
              <c:f>Лист1!$D$1</c:f>
              <c:strCache>
                <c:ptCount val="1"/>
                <c:pt idx="0">
                  <c:v>2019г.</c:v>
                </c:pt>
              </c:strCache>
            </c:strRef>
          </c:tx>
          <c:invertIfNegative val="0"/>
          <c:dLbls>
            <c:spPr>
              <a:noFill/>
              <a:ln w="25378">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Средна натовареност по НЗ СГП</c:v>
                </c:pt>
                <c:pt idx="1">
                  <c:v>Средна натовареност по НЗ СРП</c:v>
                </c:pt>
                <c:pt idx="2">
                  <c:v>Обща средна натовареност</c:v>
                </c:pt>
              </c:strCache>
            </c:strRef>
          </c:cat>
          <c:val>
            <c:numRef>
              <c:f>Лист1!$D$2:$D$4</c:f>
              <c:numCache>
                <c:formatCode>General</c:formatCode>
                <c:ptCount val="3"/>
                <c:pt idx="0">
                  <c:v>10.7</c:v>
                </c:pt>
                <c:pt idx="1">
                  <c:v>34.6</c:v>
                </c:pt>
                <c:pt idx="2">
                  <c:v>17.3</c:v>
                </c:pt>
              </c:numCache>
            </c:numRef>
          </c:val>
          <c:extLst>
            <c:ext xmlns:c16="http://schemas.microsoft.com/office/drawing/2014/chart" uri="{C3380CC4-5D6E-409C-BE32-E72D297353CC}">
              <c16:uniqueId val="{00000002-907E-4B8A-92ED-37AA892C4B94}"/>
            </c:ext>
          </c:extLst>
        </c:ser>
        <c:dLbls>
          <c:showLegendKey val="0"/>
          <c:showVal val="0"/>
          <c:showCatName val="0"/>
          <c:showSerName val="0"/>
          <c:showPercent val="0"/>
          <c:showBubbleSize val="0"/>
        </c:dLbls>
        <c:gapWidth val="150"/>
        <c:axId val="1243354943"/>
        <c:axId val="1"/>
      </c:barChart>
      <c:catAx>
        <c:axId val="124335494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243354943"/>
        <c:crosses val="autoZero"/>
        <c:crossBetween val="between"/>
      </c:valAx>
    </c:plotArea>
    <c:legend>
      <c:legendPos val="r"/>
      <c:layout>
        <c:manualLayout>
          <c:xMode val="edge"/>
          <c:yMode val="edge"/>
          <c:x val="0.88859061221998414"/>
          <c:y val="0.25130886941019165"/>
          <c:w val="9.6644256677217655E-2"/>
          <c:h val="0.46596873504019537"/>
        </c:manualLayout>
      </c:layout>
      <c:overlay val="0"/>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098734635195989E-2"/>
          <c:y val="9.6660755243432414E-2"/>
          <c:w val="0.77955361044999127"/>
          <c:h val="0.78290884316045928"/>
        </c:manualLayout>
      </c:layout>
      <c:barChart>
        <c:barDir val="col"/>
        <c:grouping val="clustered"/>
        <c:varyColors val="0"/>
        <c:ser>
          <c:idx val="0"/>
          <c:order val="0"/>
          <c:tx>
            <c:strRef>
              <c:f>Sheet1!$B$1</c:f>
              <c:strCache>
                <c:ptCount val="1"/>
                <c:pt idx="0">
                  <c:v>2021г.</c:v>
                </c:pt>
              </c:strCache>
            </c:strRef>
          </c:tx>
          <c:invertIfNegative val="0"/>
          <c:dLbls>
            <c:dLbl>
              <c:idx val="2"/>
              <c:layout>
                <c:manualLayout>
                  <c:x val="-4.83675937122137E-3"/>
                  <c:y val="-4.8048048048048048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78-4450-BB19-A64C2A1F1CFF}"/>
                </c:ext>
              </c:extLst>
            </c:dLbl>
            <c:spPr>
              <a:noFill/>
              <a:ln w="2538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Общ брой преписки</c:v>
                </c:pt>
                <c:pt idx="1">
                  <c:v>Решени преписки</c:v>
                </c:pt>
              </c:strCache>
            </c:strRef>
          </c:cat>
          <c:val>
            <c:numRef>
              <c:f>Sheet1!$B$2:$B$3</c:f>
              <c:numCache>
                <c:formatCode>General</c:formatCode>
                <c:ptCount val="2"/>
                <c:pt idx="0">
                  <c:v>917</c:v>
                </c:pt>
                <c:pt idx="1">
                  <c:v>895</c:v>
                </c:pt>
              </c:numCache>
            </c:numRef>
          </c:val>
          <c:extLst>
            <c:ext xmlns:c16="http://schemas.microsoft.com/office/drawing/2014/chart" uri="{C3380CC4-5D6E-409C-BE32-E72D297353CC}">
              <c16:uniqueId val="{00000001-7C78-4450-BB19-A64C2A1F1CFF}"/>
            </c:ext>
          </c:extLst>
        </c:ser>
        <c:ser>
          <c:idx val="1"/>
          <c:order val="1"/>
          <c:tx>
            <c:strRef>
              <c:f>Sheet1!$C$1</c:f>
              <c:strCache>
                <c:ptCount val="1"/>
                <c:pt idx="0">
                  <c:v>2020г.</c:v>
                </c:pt>
              </c:strCache>
            </c:strRef>
          </c:tx>
          <c:invertIfNegative val="0"/>
          <c:dLbls>
            <c:spPr>
              <a:noFill/>
              <a:ln w="2538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Общ брой преписки</c:v>
                </c:pt>
                <c:pt idx="1">
                  <c:v>Решени преписки</c:v>
                </c:pt>
              </c:strCache>
            </c:strRef>
          </c:cat>
          <c:val>
            <c:numRef>
              <c:f>Sheet1!$C$2:$C$3</c:f>
              <c:numCache>
                <c:formatCode>General</c:formatCode>
                <c:ptCount val="2"/>
                <c:pt idx="0">
                  <c:v>875</c:v>
                </c:pt>
                <c:pt idx="1">
                  <c:v>850</c:v>
                </c:pt>
              </c:numCache>
            </c:numRef>
          </c:val>
          <c:extLst>
            <c:ext xmlns:c16="http://schemas.microsoft.com/office/drawing/2014/chart" uri="{C3380CC4-5D6E-409C-BE32-E72D297353CC}">
              <c16:uniqueId val="{00000002-7C78-4450-BB19-A64C2A1F1CFF}"/>
            </c:ext>
          </c:extLst>
        </c:ser>
        <c:ser>
          <c:idx val="2"/>
          <c:order val="2"/>
          <c:tx>
            <c:strRef>
              <c:f>Sheet1!$D$1</c:f>
              <c:strCache>
                <c:ptCount val="1"/>
                <c:pt idx="0">
                  <c:v>2019г.</c:v>
                </c:pt>
              </c:strCache>
            </c:strRef>
          </c:tx>
          <c:invertIfNegative val="0"/>
          <c:dLbls>
            <c:dLbl>
              <c:idx val="2"/>
              <c:layout>
                <c:manualLayout>
                  <c:x val="8.8672897448845417E-17"/>
                  <c:y val="-1.8018018018018018E-2"/>
                </c:manualLayout>
              </c:layout>
              <c:spPr/>
              <c:txPr>
                <a:bodyPr/>
                <a:lstStyle/>
                <a:p>
                  <a:pPr>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78-4450-BB19-A64C2A1F1CFF}"/>
                </c:ext>
              </c:extLst>
            </c:dLbl>
            <c:spPr>
              <a:noFill/>
              <a:ln w="25386">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Общ брой преписки</c:v>
                </c:pt>
                <c:pt idx="1">
                  <c:v>Решени преписки</c:v>
                </c:pt>
              </c:strCache>
            </c:strRef>
          </c:cat>
          <c:val>
            <c:numRef>
              <c:f>Sheet1!$D$2:$D$3</c:f>
              <c:numCache>
                <c:formatCode>General</c:formatCode>
                <c:ptCount val="2"/>
                <c:pt idx="0">
                  <c:v>875</c:v>
                </c:pt>
                <c:pt idx="1">
                  <c:v>867</c:v>
                </c:pt>
              </c:numCache>
            </c:numRef>
          </c:val>
          <c:extLst>
            <c:ext xmlns:c16="http://schemas.microsoft.com/office/drawing/2014/chart" uri="{C3380CC4-5D6E-409C-BE32-E72D297353CC}">
              <c16:uniqueId val="{00000004-7C78-4450-BB19-A64C2A1F1CFF}"/>
            </c:ext>
          </c:extLst>
        </c:ser>
        <c:dLbls>
          <c:showLegendKey val="0"/>
          <c:showVal val="0"/>
          <c:showCatName val="0"/>
          <c:showSerName val="0"/>
          <c:showPercent val="0"/>
          <c:showBubbleSize val="0"/>
        </c:dLbls>
        <c:gapWidth val="150"/>
        <c:axId val="1332463071"/>
        <c:axId val="1"/>
      </c:barChart>
      <c:catAx>
        <c:axId val="133246307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463071"/>
        <c:crosses val="autoZero"/>
        <c:crossBetween val="between"/>
      </c:valAx>
    </c:plotArea>
    <c:legend>
      <c:legendPos val="r"/>
      <c:layout>
        <c:manualLayout>
          <c:xMode val="edge"/>
          <c:yMode val="edge"/>
          <c:x val="0.87518578034888506"/>
          <c:y val="0.32442760075551302"/>
          <c:w val="0.10698359133679725"/>
          <c:h val="0.33969485122770871"/>
        </c:manualLayout>
      </c:layout>
      <c:overlay val="0"/>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Видове дела по реда на АСН за 202</a:t>
            </a:r>
            <a:r>
              <a:rPr lang="en-US"/>
              <a:t>1</a:t>
            </a:r>
            <a:r>
              <a:rPr lang="bg-BG"/>
              <a:t> 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Видове дела по реда на АСН за 2021г.</c:v>
                </c:pt>
              </c:strCache>
            </c:strRef>
          </c:tx>
          <c:dPt>
            <c:idx val="0"/>
            <c:bubble3D val="0"/>
            <c:extLst>
              <c:ext xmlns:c16="http://schemas.microsoft.com/office/drawing/2014/chart" uri="{C3380CC4-5D6E-409C-BE32-E72D297353CC}">
                <c16:uniqueId val="{00000000-2EF1-48BD-8F85-E717CF062A95}"/>
              </c:ext>
            </c:extLst>
          </c:dPt>
          <c:dPt>
            <c:idx val="1"/>
            <c:bubble3D val="0"/>
            <c:spPr>
              <a:solidFill>
                <a:srgbClr val="7030A0"/>
              </a:solidFill>
            </c:spPr>
            <c:extLst>
              <c:ext xmlns:c16="http://schemas.microsoft.com/office/drawing/2014/chart" uri="{C3380CC4-5D6E-409C-BE32-E72D297353CC}">
                <c16:uniqueId val="{00000001-2EF1-48BD-8F85-E717CF062A95}"/>
              </c:ext>
            </c:extLst>
          </c:dPt>
          <c:dPt>
            <c:idx val="2"/>
            <c:bubble3D val="0"/>
            <c:extLst>
              <c:ext xmlns:c16="http://schemas.microsoft.com/office/drawing/2014/chart" uri="{C3380CC4-5D6E-409C-BE32-E72D297353CC}">
                <c16:uniqueId val="{00000002-2EF1-48BD-8F85-E717CF062A95}"/>
              </c:ext>
            </c:extLst>
          </c:dPt>
          <c:dPt>
            <c:idx val="3"/>
            <c:bubble3D val="0"/>
            <c:spPr>
              <a:solidFill>
                <a:srgbClr val="C00000"/>
              </a:solidFill>
            </c:spPr>
            <c:extLst>
              <c:ext xmlns:c16="http://schemas.microsoft.com/office/drawing/2014/chart" uri="{C3380CC4-5D6E-409C-BE32-E72D297353CC}">
                <c16:uniqueId val="{00000003-2EF1-48BD-8F85-E717CF062A95}"/>
              </c:ext>
            </c:extLst>
          </c:dPt>
          <c:dLbls>
            <c:spPr>
              <a:noFill/>
              <a:ln w="25361">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Обжалване на ПНА</c:v>
                </c:pt>
                <c:pt idx="1">
                  <c:v>Други</c:v>
                </c:pt>
                <c:pt idx="2">
                  <c:v>По заповед № ЛС - 4496/13.10.2014г. На ГП</c:v>
                </c:pt>
                <c:pt idx="3">
                  <c:v>По лична преценка</c:v>
                </c:pt>
              </c:strCache>
            </c:strRef>
          </c:cat>
          <c:val>
            <c:numRef>
              <c:f>Лист1!$B$2:$B$5</c:f>
              <c:numCache>
                <c:formatCode>General</c:formatCode>
                <c:ptCount val="4"/>
                <c:pt idx="0">
                  <c:v>64</c:v>
                </c:pt>
                <c:pt idx="1">
                  <c:v>4208</c:v>
                </c:pt>
                <c:pt idx="2">
                  <c:v>883</c:v>
                </c:pt>
                <c:pt idx="3">
                  <c:v>156</c:v>
                </c:pt>
              </c:numCache>
            </c:numRef>
          </c:val>
          <c:extLst>
            <c:ext xmlns:c16="http://schemas.microsoft.com/office/drawing/2014/chart" uri="{C3380CC4-5D6E-409C-BE32-E72D297353CC}">
              <c16:uniqueId val="{00000004-2EF1-48BD-8F85-E717CF062A95}"/>
            </c:ext>
          </c:extLst>
        </c:ser>
        <c:dLbls>
          <c:showLegendKey val="0"/>
          <c:showVal val="0"/>
          <c:showCatName val="0"/>
          <c:showSerName val="0"/>
          <c:showPercent val="0"/>
          <c:showBubbleSize val="0"/>
          <c:showLeaderLines val="1"/>
        </c:dLbls>
      </c:pie3DChart>
      <c:spPr>
        <a:noFill/>
        <a:ln w="25361">
          <a:noFill/>
        </a:ln>
      </c:spPr>
    </c:plotArea>
    <c:legend>
      <c:legendPos val="r"/>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38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 брой дела ЗАНН</c:v>
                </c:pt>
                <c:pt idx="1">
                  <c:v>От тях разгледани</c:v>
                </c:pt>
                <c:pt idx="2">
                  <c:v>Уважени предложения</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F51F-4093-8AE1-9E9A5E015098}"/>
            </c:ext>
          </c:extLst>
        </c:ser>
        <c:ser>
          <c:idx val="1"/>
          <c:order val="1"/>
          <c:tx>
            <c:strRef>
              <c:f>Лист1!$C$1</c:f>
              <c:strCache>
                <c:ptCount val="1"/>
                <c:pt idx="0">
                  <c:v>2020г.</c:v>
                </c:pt>
              </c:strCache>
            </c:strRef>
          </c:tx>
          <c:invertIfNegative val="0"/>
          <c:dLbls>
            <c:spPr>
              <a:noFill/>
              <a:ln w="2538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 брой дела ЗАНН</c:v>
                </c:pt>
                <c:pt idx="1">
                  <c:v>От тях разгледани</c:v>
                </c:pt>
                <c:pt idx="2">
                  <c:v>Уважени предложения</c:v>
                </c:pt>
              </c:strCache>
            </c:strRef>
          </c:cat>
          <c:val>
            <c:numRef>
              <c:f>Лист1!$C$2:$C$4</c:f>
              <c:numCache>
                <c:formatCode>General</c:formatCode>
                <c:ptCount val="3"/>
                <c:pt idx="0">
                  <c:v>1</c:v>
                </c:pt>
                <c:pt idx="1">
                  <c:v>1</c:v>
                </c:pt>
                <c:pt idx="2">
                  <c:v>0</c:v>
                </c:pt>
              </c:numCache>
            </c:numRef>
          </c:val>
          <c:extLst>
            <c:ext xmlns:c16="http://schemas.microsoft.com/office/drawing/2014/chart" uri="{C3380CC4-5D6E-409C-BE32-E72D297353CC}">
              <c16:uniqueId val="{00000001-F51F-4093-8AE1-9E9A5E015098}"/>
            </c:ext>
          </c:extLst>
        </c:ser>
        <c:ser>
          <c:idx val="2"/>
          <c:order val="2"/>
          <c:tx>
            <c:strRef>
              <c:f>Лист1!$D$1</c:f>
              <c:strCache>
                <c:ptCount val="1"/>
                <c:pt idx="0">
                  <c:v>2019г.</c:v>
                </c:pt>
              </c:strCache>
            </c:strRef>
          </c:tx>
          <c:invertIfNegative val="0"/>
          <c:dLbls>
            <c:spPr>
              <a:noFill/>
              <a:ln w="2538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Общ брой дела ЗАНН</c:v>
                </c:pt>
                <c:pt idx="1">
                  <c:v>От тях разгледани</c:v>
                </c:pt>
                <c:pt idx="2">
                  <c:v>Уважени предложения</c:v>
                </c:pt>
              </c:strCache>
            </c:strRef>
          </c:cat>
          <c:val>
            <c:numRef>
              <c:f>Лист1!$D$2:$D$4</c:f>
              <c:numCache>
                <c:formatCode>General</c:formatCode>
                <c:ptCount val="3"/>
                <c:pt idx="0">
                  <c:v>4</c:v>
                </c:pt>
                <c:pt idx="1">
                  <c:v>2</c:v>
                </c:pt>
                <c:pt idx="2">
                  <c:v>0</c:v>
                </c:pt>
              </c:numCache>
            </c:numRef>
          </c:val>
          <c:extLst>
            <c:ext xmlns:c16="http://schemas.microsoft.com/office/drawing/2014/chart" uri="{C3380CC4-5D6E-409C-BE32-E72D297353CC}">
              <c16:uniqueId val="{00000002-F51F-4093-8AE1-9E9A5E015098}"/>
            </c:ext>
          </c:extLst>
        </c:ser>
        <c:dLbls>
          <c:showLegendKey val="0"/>
          <c:showVal val="0"/>
          <c:showCatName val="0"/>
          <c:showSerName val="0"/>
          <c:showPercent val="0"/>
          <c:showBubbleSize val="0"/>
        </c:dLbls>
        <c:gapWidth val="150"/>
        <c:axId val="1328634111"/>
        <c:axId val="1"/>
      </c:barChart>
      <c:catAx>
        <c:axId val="132863411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28634111"/>
        <c:crosses val="autoZero"/>
        <c:crossBetween val="between"/>
      </c:valAx>
    </c:plotArea>
    <c:legend>
      <c:legendPos val="r"/>
      <c:layout>
        <c:manualLayout>
          <c:xMode val="edge"/>
          <c:yMode val="edge"/>
          <c:x val="0.89386183263594587"/>
          <c:y val="0.38167928038121451"/>
          <c:w val="9.2071530107972532E-2"/>
          <c:h val="0.2264631484171275"/>
        </c:manualLayout>
      </c:layout>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39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 брой преписки СГП</c:v>
                </c:pt>
                <c:pt idx="1">
                  <c:v>Брой възложени проверки</c:v>
                </c:pt>
                <c:pt idx="2">
                  <c:v>Решени преписки</c:v>
                </c:pt>
                <c:pt idx="3">
                  <c:v>От тях решени по същество</c:v>
                </c:pt>
                <c:pt idx="4">
                  <c:v>Изпратени по компетентност</c:v>
                </c:pt>
              </c:strCache>
            </c:strRef>
          </c:cat>
          <c:val>
            <c:numRef>
              <c:f>Лист1!$B$2:$B$6</c:f>
              <c:numCache>
                <c:formatCode>General</c:formatCode>
                <c:ptCount val="5"/>
                <c:pt idx="0">
                  <c:v>286</c:v>
                </c:pt>
                <c:pt idx="1">
                  <c:v>169</c:v>
                </c:pt>
                <c:pt idx="2">
                  <c:v>264</c:v>
                </c:pt>
                <c:pt idx="3">
                  <c:v>225</c:v>
                </c:pt>
                <c:pt idx="4">
                  <c:v>39</c:v>
                </c:pt>
              </c:numCache>
            </c:numRef>
          </c:val>
          <c:extLst>
            <c:ext xmlns:c16="http://schemas.microsoft.com/office/drawing/2014/chart" uri="{C3380CC4-5D6E-409C-BE32-E72D297353CC}">
              <c16:uniqueId val="{00000000-AF2E-4733-9353-1941CE2E56C4}"/>
            </c:ext>
          </c:extLst>
        </c:ser>
        <c:ser>
          <c:idx val="1"/>
          <c:order val="1"/>
          <c:tx>
            <c:strRef>
              <c:f>Лист1!$C$1</c:f>
              <c:strCache>
                <c:ptCount val="1"/>
                <c:pt idx="0">
                  <c:v>2020г.</c:v>
                </c:pt>
              </c:strCache>
            </c:strRef>
          </c:tx>
          <c:invertIfNegative val="0"/>
          <c:dLbls>
            <c:spPr>
              <a:noFill/>
              <a:ln w="2539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 брой преписки СГП</c:v>
                </c:pt>
                <c:pt idx="1">
                  <c:v>Брой възложени проверки</c:v>
                </c:pt>
                <c:pt idx="2">
                  <c:v>Решени преписки</c:v>
                </c:pt>
                <c:pt idx="3">
                  <c:v>От тях решени по същество</c:v>
                </c:pt>
                <c:pt idx="4">
                  <c:v>Изпратени по компетентност</c:v>
                </c:pt>
              </c:strCache>
            </c:strRef>
          </c:cat>
          <c:val>
            <c:numRef>
              <c:f>Лист1!$C$2:$C$6</c:f>
              <c:numCache>
                <c:formatCode>General</c:formatCode>
                <c:ptCount val="5"/>
                <c:pt idx="0">
                  <c:v>186</c:v>
                </c:pt>
                <c:pt idx="1">
                  <c:v>198</c:v>
                </c:pt>
                <c:pt idx="2">
                  <c:v>179</c:v>
                </c:pt>
                <c:pt idx="3">
                  <c:v>131</c:v>
                </c:pt>
                <c:pt idx="4">
                  <c:v>48</c:v>
                </c:pt>
              </c:numCache>
            </c:numRef>
          </c:val>
          <c:extLst>
            <c:ext xmlns:c16="http://schemas.microsoft.com/office/drawing/2014/chart" uri="{C3380CC4-5D6E-409C-BE32-E72D297353CC}">
              <c16:uniqueId val="{00000001-AF2E-4733-9353-1941CE2E56C4}"/>
            </c:ext>
          </c:extLst>
        </c:ser>
        <c:ser>
          <c:idx val="2"/>
          <c:order val="2"/>
          <c:tx>
            <c:strRef>
              <c:f>Лист1!$D$1</c:f>
              <c:strCache>
                <c:ptCount val="1"/>
                <c:pt idx="0">
                  <c:v>2019г.</c:v>
                </c:pt>
              </c:strCache>
            </c:strRef>
          </c:tx>
          <c:invertIfNegative val="0"/>
          <c:dLbls>
            <c:spPr>
              <a:noFill/>
              <a:ln w="25391">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 брой преписки СГП</c:v>
                </c:pt>
                <c:pt idx="1">
                  <c:v>Брой възложени проверки</c:v>
                </c:pt>
                <c:pt idx="2">
                  <c:v>Решени преписки</c:v>
                </c:pt>
                <c:pt idx="3">
                  <c:v>От тях решени по същество</c:v>
                </c:pt>
                <c:pt idx="4">
                  <c:v>Изпратени по компетентност</c:v>
                </c:pt>
              </c:strCache>
            </c:strRef>
          </c:cat>
          <c:val>
            <c:numRef>
              <c:f>Лист1!$D$2:$D$6</c:f>
              <c:numCache>
                <c:formatCode>General</c:formatCode>
                <c:ptCount val="5"/>
                <c:pt idx="0">
                  <c:v>139</c:v>
                </c:pt>
                <c:pt idx="1">
                  <c:v>91</c:v>
                </c:pt>
                <c:pt idx="2">
                  <c:v>127</c:v>
                </c:pt>
                <c:pt idx="3">
                  <c:v>83</c:v>
                </c:pt>
                <c:pt idx="4">
                  <c:v>44</c:v>
                </c:pt>
              </c:numCache>
            </c:numRef>
          </c:val>
          <c:extLst>
            <c:ext xmlns:c16="http://schemas.microsoft.com/office/drawing/2014/chart" uri="{C3380CC4-5D6E-409C-BE32-E72D297353CC}">
              <c16:uniqueId val="{00000002-AF2E-4733-9353-1941CE2E56C4}"/>
            </c:ext>
          </c:extLst>
        </c:ser>
        <c:dLbls>
          <c:showLegendKey val="0"/>
          <c:showVal val="0"/>
          <c:showCatName val="0"/>
          <c:showSerName val="0"/>
          <c:showPercent val="0"/>
          <c:showBubbleSize val="0"/>
        </c:dLbls>
        <c:gapWidth val="150"/>
        <c:axId val="1328633695"/>
        <c:axId val="1"/>
      </c:barChart>
      <c:catAx>
        <c:axId val="1328633695"/>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28633695"/>
        <c:crosses val="autoZero"/>
        <c:crossBetween val="between"/>
      </c:valAx>
    </c:plotArea>
    <c:legend>
      <c:legendPos val="r"/>
      <c:layout>
        <c:manualLayout>
          <c:xMode val="edge"/>
          <c:yMode val="edge"/>
          <c:x val="0.88276831888160578"/>
          <c:y val="0.38083546785567468"/>
          <c:w val="0.10169490593780495"/>
          <c:h val="0.21867343389305249"/>
        </c:manualLayout>
      </c:layout>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Възложени проверки от СГП за 2021 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Възложени проверки от СГП за 2021г.</c:v>
                </c:pt>
              </c:strCache>
            </c:strRef>
          </c:tx>
          <c:dPt>
            <c:idx val="0"/>
            <c:bubble3D val="0"/>
            <c:extLst>
              <c:ext xmlns:c16="http://schemas.microsoft.com/office/drawing/2014/chart" uri="{C3380CC4-5D6E-409C-BE32-E72D297353CC}">
                <c16:uniqueId val="{00000000-A612-40A8-A375-AB3F8FD2F45C}"/>
              </c:ext>
            </c:extLst>
          </c:dPt>
          <c:dPt>
            <c:idx val="1"/>
            <c:bubble3D val="0"/>
            <c:extLst>
              <c:ext xmlns:c16="http://schemas.microsoft.com/office/drawing/2014/chart" uri="{C3380CC4-5D6E-409C-BE32-E72D297353CC}">
                <c16:uniqueId val="{00000001-A612-40A8-A375-AB3F8FD2F45C}"/>
              </c:ext>
            </c:extLst>
          </c:dPt>
          <c:dPt>
            <c:idx val="2"/>
            <c:bubble3D val="0"/>
            <c:extLst>
              <c:ext xmlns:c16="http://schemas.microsoft.com/office/drawing/2014/chart" uri="{C3380CC4-5D6E-409C-BE32-E72D297353CC}">
                <c16:uniqueId val="{00000002-A612-40A8-A375-AB3F8FD2F45C}"/>
              </c:ext>
            </c:extLst>
          </c:dPt>
          <c:dLbls>
            <c:spPr>
              <a:noFill/>
              <a:ln w="25399">
                <a:noFill/>
              </a:ln>
            </c:spPr>
            <c:txPr>
              <a:bodyPr/>
              <a:lstStyle/>
              <a:p>
                <a:pPr>
                  <a:defRPr sz="1400"/>
                </a:pPr>
                <a:endParaRPr lang="bg-BG"/>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Изискване на документи - чл. 145, ал.1, т.1 от ЗСВ</c:v>
                </c:pt>
                <c:pt idx="1">
                  <c:v>Лични проверки</c:v>
                </c:pt>
                <c:pt idx="2">
                  <c:v>Възлагателни проверки - чл. 145, ал.1, т.3 от ЗСВ</c:v>
                </c:pt>
              </c:strCache>
            </c:strRef>
          </c:cat>
          <c:val>
            <c:numRef>
              <c:f>Лист1!$B$2:$B$4</c:f>
              <c:numCache>
                <c:formatCode>General</c:formatCode>
                <c:ptCount val="3"/>
                <c:pt idx="0">
                  <c:v>66</c:v>
                </c:pt>
                <c:pt idx="1">
                  <c:v>1</c:v>
                </c:pt>
                <c:pt idx="2">
                  <c:v>102</c:v>
                </c:pt>
              </c:numCache>
            </c:numRef>
          </c:val>
          <c:extLst>
            <c:ext xmlns:c16="http://schemas.microsoft.com/office/drawing/2014/chart" uri="{C3380CC4-5D6E-409C-BE32-E72D297353CC}">
              <c16:uniqueId val="{00000003-A612-40A8-A375-AB3F8FD2F45C}"/>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6844914200227501"/>
          <c:y val="0.44135199481482906"/>
          <c:w val="0.31818193889338875"/>
          <c:h val="0.3830147148476856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0"/>
            </a:pPr>
            <a:r>
              <a:rPr lang="bg-BG" sz="1411">
                <a:latin typeface="Times New Roman" panose="02020603050405020304" pitchFamily="18" charset="0"/>
                <a:cs typeface="Times New Roman" panose="02020603050405020304" pitchFamily="18" charset="0"/>
              </a:rPr>
              <a:t>Срочност на произнасяне по решените преписки</a:t>
            </a:r>
          </a:p>
        </c:rich>
      </c:tx>
      <c:layout>
        <c:manualLayout>
          <c:xMode val="edge"/>
          <c:yMode val="edge"/>
          <c:x val="0.22223927313604463"/>
          <c:y val="2.7536867169954269E-2"/>
        </c:manualLayout>
      </c:layout>
      <c:overlay val="0"/>
    </c:title>
    <c:autoTitleDeleted val="0"/>
    <c:plotArea>
      <c:layout>
        <c:manualLayout>
          <c:layoutTarget val="inner"/>
          <c:xMode val="edge"/>
          <c:yMode val="edge"/>
          <c:x val="5.7911065149948336E-2"/>
          <c:y val="0.32372881355932226"/>
          <c:w val="0.84799262034848188"/>
          <c:h val="0.55200977690821318"/>
        </c:manualLayout>
      </c:layout>
      <c:pieChart>
        <c:varyColors val="1"/>
        <c:ser>
          <c:idx val="1"/>
          <c:order val="0"/>
          <c:tx>
            <c:strRef>
              <c:f>Лист1!$B$5</c:f>
              <c:strCache>
                <c:ptCount val="1"/>
                <c:pt idx="0">
                  <c:v>2020 г.</c:v>
                </c:pt>
              </c:strCache>
            </c:strRef>
          </c:tx>
          <c:explosion val="25"/>
          <c:dPt>
            <c:idx val="0"/>
            <c:bubble3D val="0"/>
            <c:spPr>
              <a:solidFill>
                <a:srgbClr val="F79646">
                  <a:lumMod val="75000"/>
                </a:srgbClr>
              </a:solidFill>
              <a:ln>
                <a:noFill/>
              </a:ln>
            </c:spPr>
            <c:extLst>
              <c:ext xmlns:c16="http://schemas.microsoft.com/office/drawing/2014/chart" uri="{C3380CC4-5D6E-409C-BE32-E72D297353CC}">
                <c16:uniqueId val="{00000000-7DB3-43E5-9884-8716DEC6C224}"/>
              </c:ext>
            </c:extLst>
          </c:dPt>
          <c:dPt>
            <c:idx val="1"/>
            <c:bubble3D val="0"/>
            <c:explosion val="49"/>
            <c:spPr>
              <a:solidFill>
                <a:srgbClr val="7030A0"/>
              </a:solidFill>
            </c:spPr>
            <c:extLst>
              <c:ext xmlns:c16="http://schemas.microsoft.com/office/drawing/2014/chart" uri="{C3380CC4-5D6E-409C-BE32-E72D297353CC}">
                <c16:uniqueId val="{00000001-7DB3-43E5-9884-8716DEC6C224}"/>
              </c:ext>
            </c:extLst>
          </c:dPt>
          <c:dLbls>
            <c:dLbl>
              <c:idx val="0"/>
              <c:layout>
                <c:manualLayout>
                  <c:x val="-9.8027164080218124E-2"/>
                  <c:y val="3.4243042851966735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DB3-43E5-9884-8716DEC6C224}"/>
                </c:ext>
              </c:extLst>
            </c:dLbl>
            <c:dLbl>
              <c:idx val="1"/>
              <c:layout>
                <c:manualLayout>
                  <c:x val="0.12846994635089792"/>
                  <c:y val="-4.564170580952270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DB3-43E5-9884-8716DEC6C224}"/>
                </c:ext>
              </c:extLst>
            </c:dLbl>
            <c:dLbl>
              <c:idx val="2"/>
              <c:layout>
                <c:manualLayout>
                  <c:x val="4.3499764422914235E-2"/>
                  <c:y val="0.13359614864266911"/>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DB3-43E5-9884-8716DEC6C224}"/>
                </c:ext>
              </c:extLst>
            </c:dLbl>
            <c:dLbl>
              <c:idx val="3"/>
              <c:layout>
                <c:manualLayout>
                  <c:x val="5.0328082042842621E-2"/>
                  <c:y val="-1.156873084378410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DB3-43E5-9884-8716DEC6C224}"/>
                </c:ext>
              </c:extLst>
            </c:dLbl>
            <c:dLbl>
              <c:idx val="4"/>
              <c:layout>
                <c:manualLayout>
                  <c:x val="5.2403147579378181E-2"/>
                  <c:y val="0.10113634919760955"/>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DB3-43E5-9884-8716DEC6C224}"/>
                </c:ext>
              </c:extLst>
            </c:dLbl>
            <c:dLbl>
              <c:idx val="5"/>
              <c:layout>
                <c:manualLayout>
                  <c:x val="5.5321171134604975E-2"/>
                  <c:y val="0.2266444168674937"/>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DB3-43E5-9884-8716DEC6C224}"/>
                </c:ext>
              </c:extLst>
            </c:dLbl>
            <c:spPr>
              <a:noFill/>
              <a:ln w="25518">
                <a:noFill/>
              </a:ln>
            </c:spPr>
            <c:txPr>
              <a:bodyPr/>
              <a:lstStyle/>
              <a:p>
                <a:pPr>
                  <a:defRPr sz="1058" b="1">
                    <a:latin typeface="Times New Roman" panose="02020603050405020304" pitchFamily="18" charset="0"/>
                    <a:cs typeface="Times New Roman" panose="02020603050405020304" pitchFamily="18" charset="0"/>
                  </a:defRPr>
                </a:pPr>
                <a:endParaRPr lang="bg-BG"/>
              </a:p>
            </c:txPr>
            <c:dLblPos val="bestFit"/>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Лист1!$A$6:$A$8</c:f>
              <c:strCache>
                <c:ptCount val="2"/>
                <c:pt idx="0">
                  <c:v>решени от прокурор до 1месец</c:v>
                </c:pt>
                <c:pt idx="1">
                  <c:v>решени от прокурор над 1месец</c:v>
                </c:pt>
              </c:strCache>
            </c:strRef>
          </c:cat>
          <c:val>
            <c:numRef>
              <c:f>Лист1!$B$6:$B$8</c:f>
              <c:numCache>
                <c:formatCode>0.00%</c:formatCode>
                <c:ptCount val="2"/>
                <c:pt idx="0">
                  <c:v>0.99239999999999995</c:v>
                </c:pt>
                <c:pt idx="1">
                  <c:v>7.6E-3</c:v>
                </c:pt>
              </c:numCache>
            </c:numRef>
          </c:val>
          <c:extLst>
            <c:ext xmlns:c16="http://schemas.microsoft.com/office/drawing/2014/chart" uri="{C3380CC4-5D6E-409C-BE32-E72D297353CC}">
              <c16:uniqueId val="{00000006-7DB3-43E5-9884-8716DEC6C224}"/>
            </c:ext>
          </c:extLst>
        </c:ser>
        <c:dLbls>
          <c:showLegendKey val="0"/>
          <c:showVal val="0"/>
          <c:showCatName val="0"/>
          <c:showSerName val="0"/>
          <c:showPercent val="0"/>
          <c:showBubbleSize val="0"/>
          <c:showLeaderLines val="1"/>
        </c:dLbls>
        <c:firstSliceAng val="82"/>
      </c:pieChart>
      <c:spPr>
        <a:noFill/>
        <a:ln w="25466">
          <a:noFill/>
        </a:ln>
      </c:spPr>
    </c:plotArea>
    <c:plotVisOnly val="1"/>
    <c:dispBlanksAs val="zero"/>
    <c:showDLblsOverMax val="0"/>
  </c:chart>
  <c:spPr>
    <a:noFill/>
    <a:ln w="9597">
      <a:solidFill>
        <a:sysClr val="windowText" lastClr="000000"/>
      </a:solid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40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4"/>
                <c:pt idx="1">
                  <c:v>Брой внесени предложения СГП</c:v>
                </c:pt>
                <c:pt idx="2">
                  <c:v>От тях уважени</c:v>
                </c:pt>
                <c:pt idx="3">
                  <c:v>От тях висящи</c:v>
                </c:pt>
              </c:strCache>
            </c:strRef>
          </c:cat>
          <c:val>
            <c:numRef>
              <c:f>Лист1!$B$2:$B$7</c:f>
              <c:numCache>
                <c:formatCode>General</c:formatCode>
                <c:ptCount val="4"/>
                <c:pt idx="1">
                  <c:v>10</c:v>
                </c:pt>
                <c:pt idx="2">
                  <c:v>3</c:v>
                </c:pt>
                <c:pt idx="3">
                  <c:v>7</c:v>
                </c:pt>
              </c:numCache>
            </c:numRef>
          </c:val>
          <c:extLst>
            <c:ext xmlns:c16="http://schemas.microsoft.com/office/drawing/2014/chart" uri="{C3380CC4-5D6E-409C-BE32-E72D297353CC}">
              <c16:uniqueId val="{00000000-3EA1-4C5C-82CD-71C116071B52}"/>
            </c:ext>
          </c:extLst>
        </c:ser>
        <c:ser>
          <c:idx val="1"/>
          <c:order val="1"/>
          <c:tx>
            <c:strRef>
              <c:f>Лист1!$C$1</c:f>
              <c:strCache>
                <c:ptCount val="1"/>
                <c:pt idx="0">
                  <c:v>2020г.</c:v>
                </c:pt>
              </c:strCache>
            </c:strRef>
          </c:tx>
          <c:invertIfNegative val="0"/>
          <c:dLbls>
            <c:spPr>
              <a:noFill/>
              <a:ln w="2540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4"/>
                <c:pt idx="1">
                  <c:v>Брой внесени предложения СГП</c:v>
                </c:pt>
                <c:pt idx="2">
                  <c:v>От тях уважени</c:v>
                </c:pt>
                <c:pt idx="3">
                  <c:v>От тях висящи</c:v>
                </c:pt>
              </c:strCache>
            </c:strRef>
          </c:cat>
          <c:val>
            <c:numRef>
              <c:f>Лист1!$C$2:$C$7</c:f>
              <c:numCache>
                <c:formatCode>General</c:formatCode>
                <c:ptCount val="4"/>
                <c:pt idx="1">
                  <c:v>5</c:v>
                </c:pt>
                <c:pt idx="2">
                  <c:v>5</c:v>
                </c:pt>
                <c:pt idx="3">
                  <c:v>0</c:v>
                </c:pt>
              </c:numCache>
            </c:numRef>
          </c:val>
          <c:extLst>
            <c:ext xmlns:c16="http://schemas.microsoft.com/office/drawing/2014/chart" uri="{C3380CC4-5D6E-409C-BE32-E72D297353CC}">
              <c16:uniqueId val="{00000001-3EA1-4C5C-82CD-71C116071B52}"/>
            </c:ext>
          </c:extLst>
        </c:ser>
        <c:ser>
          <c:idx val="2"/>
          <c:order val="2"/>
          <c:tx>
            <c:strRef>
              <c:f>Лист1!$D$1</c:f>
              <c:strCache>
                <c:ptCount val="1"/>
                <c:pt idx="0">
                  <c:v>2019г.</c:v>
                </c:pt>
              </c:strCache>
            </c:strRef>
          </c:tx>
          <c:invertIfNegative val="0"/>
          <c:dLbls>
            <c:spPr>
              <a:noFill/>
              <a:ln w="25409">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4"/>
                <c:pt idx="1">
                  <c:v>Брой внесени предложения СГП</c:v>
                </c:pt>
                <c:pt idx="2">
                  <c:v>От тях уважени</c:v>
                </c:pt>
                <c:pt idx="3">
                  <c:v>От тях висящи</c:v>
                </c:pt>
              </c:strCache>
            </c:strRef>
          </c:cat>
          <c:val>
            <c:numRef>
              <c:f>Лист1!$D$2:$D$7</c:f>
              <c:numCache>
                <c:formatCode>General</c:formatCode>
                <c:ptCount val="4"/>
                <c:pt idx="1">
                  <c:v>5</c:v>
                </c:pt>
                <c:pt idx="2">
                  <c:v>4</c:v>
                </c:pt>
                <c:pt idx="3">
                  <c:v>1</c:v>
                </c:pt>
              </c:numCache>
            </c:numRef>
          </c:val>
          <c:extLst>
            <c:ext xmlns:c16="http://schemas.microsoft.com/office/drawing/2014/chart" uri="{C3380CC4-5D6E-409C-BE32-E72D297353CC}">
              <c16:uniqueId val="{00000002-3EA1-4C5C-82CD-71C116071B52}"/>
            </c:ext>
          </c:extLst>
        </c:ser>
        <c:dLbls>
          <c:showLegendKey val="0"/>
          <c:showVal val="0"/>
          <c:showCatName val="0"/>
          <c:showSerName val="0"/>
          <c:showPercent val="0"/>
          <c:showBubbleSize val="0"/>
        </c:dLbls>
        <c:gapWidth val="150"/>
        <c:axId val="1329259231"/>
        <c:axId val="1"/>
      </c:barChart>
      <c:catAx>
        <c:axId val="132925923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29259231"/>
        <c:crosses val="autoZero"/>
        <c:crossBetween val="between"/>
      </c:valAx>
    </c:plotArea>
    <c:legend>
      <c:legendPos val="r"/>
      <c:layout>
        <c:manualLayout>
          <c:xMode val="edge"/>
          <c:yMode val="edge"/>
          <c:x val="0.89637953282595528"/>
          <c:y val="0.37684713323877994"/>
          <c:w val="8.9887727244796767E-2"/>
          <c:h val="0.21921194633279528"/>
        </c:manualLayout>
      </c:layout>
      <c:overlay val="0"/>
    </c:legend>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w="2539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 брой преписки СРП</c:v>
                </c:pt>
                <c:pt idx="1">
                  <c:v>Брой възложени проверки</c:v>
                </c:pt>
                <c:pt idx="2">
                  <c:v>Брой решени преписки</c:v>
                </c:pt>
                <c:pt idx="3">
                  <c:v>От тях решени по същество</c:v>
                </c:pt>
                <c:pt idx="4">
                  <c:v>Изпратени по компетентност</c:v>
                </c:pt>
              </c:strCache>
            </c:strRef>
          </c:cat>
          <c:val>
            <c:numRef>
              <c:f>Лист1!$B$2:$B$6</c:f>
              <c:numCache>
                <c:formatCode>General</c:formatCode>
                <c:ptCount val="5"/>
                <c:pt idx="0">
                  <c:v>202</c:v>
                </c:pt>
                <c:pt idx="1">
                  <c:v>143</c:v>
                </c:pt>
                <c:pt idx="2">
                  <c:v>176</c:v>
                </c:pt>
                <c:pt idx="3">
                  <c:v>166</c:v>
                </c:pt>
                <c:pt idx="4">
                  <c:v>10</c:v>
                </c:pt>
              </c:numCache>
            </c:numRef>
          </c:val>
          <c:extLst>
            <c:ext xmlns:c16="http://schemas.microsoft.com/office/drawing/2014/chart" uri="{C3380CC4-5D6E-409C-BE32-E72D297353CC}">
              <c16:uniqueId val="{00000000-BADC-4B6C-9515-361A00AE760A}"/>
            </c:ext>
          </c:extLst>
        </c:ser>
        <c:ser>
          <c:idx val="1"/>
          <c:order val="1"/>
          <c:tx>
            <c:strRef>
              <c:f>Лист1!$C$1</c:f>
              <c:strCache>
                <c:ptCount val="1"/>
                <c:pt idx="0">
                  <c:v>2020г.</c:v>
                </c:pt>
              </c:strCache>
            </c:strRef>
          </c:tx>
          <c:invertIfNegative val="0"/>
          <c:dLbls>
            <c:spPr>
              <a:noFill/>
              <a:ln w="2539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 брой преписки СРП</c:v>
                </c:pt>
                <c:pt idx="1">
                  <c:v>Брой възложени проверки</c:v>
                </c:pt>
                <c:pt idx="2">
                  <c:v>Брой решени преписки</c:v>
                </c:pt>
                <c:pt idx="3">
                  <c:v>От тях решени по същество</c:v>
                </c:pt>
                <c:pt idx="4">
                  <c:v>Изпратени по компетентност</c:v>
                </c:pt>
              </c:strCache>
            </c:strRef>
          </c:cat>
          <c:val>
            <c:numRef>
              <c:f>Лист1!$C$2:$C$6</c:f>
              <c:numCache>
                <c:formatCode>General</c:formatCode>
                <c:ptCount val="5"/>
                <c:pt idx="0">
                  <c:v>257</c:v>
                </c:pt>
                <c:pt idx="1">
                  <c:v>91</c:v>
                </c:pt>
                <c:pt idx="2">
                  <c:v>254</c:v>
                </c:pt>
                <c:pt idx="3">
                  <c:v>250</c:v>
                </c:pt>
                <c:pt idx="4">
                  <c:v>4</c:v>
                </c:pt>
              </c:numCache>
            </c:numRef>
          </c:val>
          <c:extLst>
            <c:ext xmlns:c16="http://schemas.microsoft.com/office/drawing/2014/chart" uri="{C3380CC4-5D6E-409C-BE32-E72D297353CC}">
              <c16:uniqueId val="{00000001-BADC-4B6C-9515-361A00AE760A}"/>
            </c:ext>
          </c:extLst>
        </c:ser>
        <c:ser>
          <c:idx val="2"/>
          <c:order val="2"/>
          <c:tx>
            <c:strRef>
              <c:f>Лист1!$D$1</c:f>
              <c:strCache>
                <c:ptCount val="1"/>
                <c:pt idx="0">
                  <c:v>2019г.</c:v>
                </c:pt>
              </c:strCache>
            </c:strRef>
          </c:tx>
          <c:invertIfNegative val="0"/>
          <c:dLbls>
            <c:spPr>
              <a:noFill/>
              <a:ln w="2539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Общ брой преписки СРП</c:v>
                </c:pt>
                <c:pt idx="1">
                  <c:v>Брой възложени проверки</c:v>
                </c:pt>
                <c:pt idx="2">
                  <c:v>Брой решени преписки</c:v>
                </c:pt>
                <c:pt idx="3">
                  <c:v>От тях решени по същество</c:v>
                </c:pt>
                <c:pt idx="4">
                  <c:v>Изпратени по компетентност</c:v>
                </c:pt>
              </c:strCache>
            </c:strRef>
          </c:cat>
          <c:val>
            <c:numRef>
              <c:f>Лист1!$D$2:$D$6</c:f>
              <c:numCache>
                <c:formatCode>General</c:formatCode>
                <c:ptCount val="5"/>
                <c:pt idx="0">
                  <c:v>173</c:v>
                </c:pt>
                <c:pt idx="1">
                  <c:v>139</c:v>
                </c:pt>
                <c:pt idx="2">
                  <c:v>148</c:v>
                </c:pt>
                <c:pt idx="3">
                  <c:v>139</c:v>
                </c:pt>
                <c:pt idx="4">
                  <c:v>9</c:v>
                </c:pt>
              </c:numCache>
            </c:numRef>
          </c:val>
          <c:extLst>
            <c:ext xmlns:c16="http://schemas.microsoft.com/office/drawing/2014/chart" uri="{C3380CC4-5D6E-409C-BE32-E72D297353CC}">
              <c16:uniqueId val="{00000002-BADC-4B6C-9515-361A00AE760A}"/>
            </c:ext>
          </c:extLst>
        </c:ser>
        <c:dLbls>
          <c:showLegendKey val="0"/>
          <c:showVal val="0"/>
          <c:showCatName val="0"/>
          <c:showSerName val="0"/>
          <c:showPercent val="0"/>
          <c:showBubbleSize val="0"/>
        </c:dLbls>
        <c:gapWidth val="150"/>
        <c:axId val="1332145087"/>
        <c:axId val="1"/>
      </c:barChart>
      <c:catAx>
        <c:axId val="133214508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332145087"/>
        <c:crosses val="autoZero"/>
        <c:crossBetween val="between"/>
      </c:valAx>
    </c:plotArea>
    <c:legend>
      <c:legendPos val="r"/>
      <c:layout>
        <c:manualLayout>
          <c:xMode val="edge"/>
          <c:yMode val="edge"/>
          <c:x val="0.88676668794779034"/>
          <c:y val="0.32624078511925142"/>
          <c:w val="9.8226395687025625E-2"/>
          <c:h val="0.31560287572749052"/>
        </c:manualLayout>
      </c:layout>
      <c:overlay val="0"/>
    </c:legend>
    <c:plotVisOnly val="1"/>
    <c:dispBlanksAs val="gap"/>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latin typeface="Times New Roman" panose="02020603050405020304" pitchFamily="18" charset="0"/>
                <a:cs typeface="Times New Roman" panose="02020603050405020304" pitchFamily="18" charset="0"/>
              </a:defRPr>
            </a:pPr>
            <a:r>
              <a:rPr lang="bg-BG" sz="1199">
                <a:latin typeface="Times New Roman" panose="02020603050405020304" pitchFamily="18" charset="0"/>
                <a:cs typeface="Times New Roman" panose="02020603050405020304" pitchFamily="18" charset="0"/>
              </a:rPr>
              <a:t>Възложени проверки от СРП за 20</a:t>
            </a:r>
            <a:r>
              <a:rPr lang="en-US" sz="1199">
                <a:latin typeface="Times New Roman" panose="02020603050405020304" pitchFamily="18" charset="0"/>
                <a:cs typeface="Times New Roman" panose="02020603050405020304" pitchFamily="18" charset="0"/>
              </a:rPr>
              <a:t>21</a:t>
            </a:r>
            <a:r>
              <a:rPr lang="bg-BG" sz="1199">
                <a:latin typeface="Times New Roman" panose="02020603050405020304" pitchFamily="18" charset="0"/>
                <a:cs typeface="Times New Roman" panose="02020603050405020304" pitchFamily="18" charset="0"/>
              </a:rPr>
              <a:t>г.</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7972633659490181E-2"/>
          <c:y val="0.15773336445268832"/>
          <c:w val="0.60721714042702091"/>
          <c:h val="0.79057294125285826"/>
        </c:manualLayout>
      </c:layout>
      <c:pie3DChart>
        <c:varyColors val="1"/>
        <c:ser>
          <c:idx val="0"/>
          <c:order val="0"/>
          <c:tx>
            <c:strRef>
              <c:f>Лист1!$B$1</c:f>
              <c:strCache>
                <c:ptCount val="1"/>
                <c:pt idx="0">
                  <c:v>Възложени проверки от СРП за 2020г.</c:v>
                </c:pt>
              </c:strCache>
            </c:strRef>
          </c:tx>
          <c:dPt>
            <c:idx val="0"/>
            <c:bubble3D val="0"/>
            <c:spPr>
              <a:solidFill>
                <a:srgbClr val="FF0000"/>
              </a:solidFill>
            </c:spPr>
            <c:extLst>
              <c:ext xmlns:c16="http://schemas.microsoft.com/office/drawing/2014/chart" uri="{C3380CC4-5D6E-409C-BE32-E72D297353CC}">
                <c16:uniqueId val="{00000000-9579-4510-A29D-FF0BBD5E9E03}"/>
              </c:ext>
            </c:extLst>
          </c:dPt>
          <c:dPt>
            <c:idx val="1"/>
            <c:bubble3D val="0"/>
            <c:spPr>
              <a:solidFill>
                <a:sysClr val="windowText" lastClr="000000"/>
              </a:solidFill>
            </c:spPr>
            <c:extLst>
              <c:ext xmlns:c16="http://schemas.microsoft.com/office/drawing/2014/chart" uri="{C3380CC4-5D6E-409C-BE32-E72D297353CC}">
                <c16:uniqueId val="{00000001-9579-4510-A29D-FF0BBD5E9E03}"/>
              </c:ext>
            </c:extLst>
          </c:dPt>
          <c:dPt>
            <c:idx val="2"/>
            <c:bubble3D val="0"/>
            <c:spPr>
              <a:solidFill>
                <a:srgbClr val="1F497D">
                  <a:lumMod val="60000"/>
                  <a:lumOff val="40000"/>
                </a:srgbClr>
              </a:solidFill>
            </c:spPr>
            <c:extLst>
              <c:ext xmlns:c16="http://schemas.microsoft.com/office/drawing/2014/chart" uri="{C3380CC4-5D6E-409C-BE32-E72D297353CC}">
                <c16:uniqueId val="{00000002-9579-4510-A29D-FF0BBD5E9E03}"/>
              </c:ext>
            </c:extLst>
          </c:dPt>
          <c:dLbls>
            <c:spPr>
              <a:noFill/>
              <a:ln w="25397">
                <a:noFill/>
              </a:ln>
            </c:spPr>
            <c:txPr>
              <a:bodyPr wrap="square" lIns="38100" tIns="19050" rIns="38100" bIns="19050" anchor="ctr">
                <a:spAutoFit/>
              </a:bodyPr>
              <a:lstStyle/>
              <a:p>
                <a:pPr>
                  <a:defRPr sz="1400"/>
                </a:pPr>
                <a:endParaRPr lang="bg-BG"/>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Изискване на документи - чл. 145, ал.1, т.1 от ЗСВ</c:v>
                </c:pt>
                <c:pt idx="1">
                  <c:v>Лични проверки - чл. 145, ал.1, т.2 от ЗСВ</c:v>
                </c:pt>
                <c:pt idx="2">
                  <c:v>Възлагателни проверки - чл. 145, ал.1, т.3 от ЗСВ</c:v>
                </c:pt>
              </c:strCache>
            </c:strRef>
          </c:cat>
          <c:val>
            <c:numRef>
              <c:f>Лист1!$B$2:$B$4</c:f>
              <c:numCache>
                <c:formatCode>General</c:formatCode>
                <c:ptCount val="3"/>
                <c:pt idx="0">
                  <c:v>28</c:v>
                </c:pt>
                <c:pt idx="1">
                  <c:v>0</c:v>
                </c:pt>
                <c:pt idx="2">
                  <c:v>63</c:v>
                </c:pt>
              </c:numCache>
            </c:numRef>
          </c:val>
          <c:extLst>
            <c:ext xmlns:c16="http://schemas.microsoft.com/office/drawing/2014/chart" uri="{C3380CC4-5D6E-409C-BE32-E72D297353CC}">
              <c16:uniqueId val="{00000003-9579-4510-A29D-FF0BBD5E9E03}"/>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65070425020401856"/>
          <c:y val="0.3685503115791508"/>
          <c:w val="0.33521127506120552"/>
          <c:h val="0.36609342543838458"/>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latin typeface="Times New Roman" panose="02020603050405020304" pitchFamily="18" charset="0"/>
                <a:cs typeface="Times New Roman" panose="02020603050405020304" pitchFamily="18" charset="0"/>
              </a:defRPr>
            </a:pPr>
            <a:r>
              <a:rPr lang="bg-BG"/>
              <a:t>Решени инстанционни преписки за 2021 г. </a:t>
            </a:r>
          </a:p>
        </c:rich>
      </c:tx>
      <c:overlay val="0"/>
    </c:title>
    <c:autoTitleDeleted val="0"/>
    <c:view3D>
      <c:rotX val="30"/>
      <c:rotY val="168"/>
      <c:rAngAx val="0"/>
    </c:view3D>
    <c:floor>
      <c:thickness val="0"/>
    </c:floor>
    <c:sideWall>
      <c:thickness val="0"/>
    </c:sideWall>
    <c:backWall>
      <c:thickness val="0"/>
    </c:backWall>
    <c:plotArea>
      <c:layout/>
      <c:pie3DChart>
        <c:varyColors val="1"/>
        <c:ser>
          <c:idx val="0"/>
          <c:order val="0"/>
          <c:tx>
            <c:strRef>
              <c:f>Лист1!$B$1</c:f>
              <c:strCache>
                <c:ptCount val="1"/>
                <c:pt idx="0">
                  <c:v>Решени инстанционни преписки за 2018г. </c:v>
                </c:pt>
              </c:strCache>
            </c:strRef>
          </c:tx>
          <c:explosion val="25"/>
          <c:dPt>
            <c:idx val="0"/>
            <c:bubble3D val="0"/>
            <c:spPr>
              <a:solidFill>
                <a:srgbClr val="FF0000"/>
              </a:solidFill>
            </c:spPr>
            <c:extLst>
              <c:ext xmlns:c16="http://schemas.microsoft.com/office/drawing/2014/chart" uri="{C3380CC4-5D6E-409C-BE32-E72D297353CC}">
                <c16:uniqueId val="{00000000-CE6E-43C6-98E0-625B408D5570}"/>
              </c:ext>
            </c:extLst>
          </c:dPt>
          <c:dPt>
            <c:idx val="1"/>
            <c:bubble3D val="0"/>
            <c:spPr>
              <a:solidFill>
                <a:srgbClr val="92D050"/>
              </a:solidFill>
            </c:spPr>
            <c:extLst>
              <c:ext xmlns:c16="http://schemas.microsoft.com/office/drawing/2014/chart" uri="{C3380CC4-5D6E-409C-BE32-E72D297353CC}">
                <c16:uniqueId val="{00000001-CE6E-43C6-98E0-625B408D5570}"/>
              </c:ext>
            </c:extLst>
          </c:dPt>
          <c:dLbls>
            <c:spPr>
              <a:noFill/>
              <a:ln>
                <a:noFill/>
              </a:ln>
              <a:effectLst/>
            </c:spPr>
            <c:txPr>
              <a:bodyPr wrap="square" lIns="38100" tIns="19050" rIns="38100" bIns="19050" anchor="ctr">
                <a:spAutoFit/>
              </a:bodyPr>
              <a:lstStyle/>
              <a:p>
                <a:pPr>
                  <a:defRPr sz="1200" b="1"/>
                </a:pPr>
                <a:endParaRPr lang="bg-BG"/>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Потвърдени актове</c:v>
                </c:pt>
                <c:pt idx="1">
                  <c:v>Отменени актове</c:v>
                </c:pt>
              </c:strCache>
            </c:strRef>
          </c:cat>
          <c:val>
            <c:numRef>
              <c:f>Лист1!$B$2:$B$3</c:f>
              <c:numCache>
                <c:formatCode>0.00%</c:formatCode>
                <c:ptCount val="2"/>
                <c:pt idx="0">
                  <c:v>0.75209999999999999</c:v>
                </c:pt>
                <c:pt idx="1">
                  <c:v>0.24790000000000001</c:v>
                </c:pt>
              </c:numCache>
            </c:numRef>
          </c:val>
          <c:extLst>
            <c:ext xmlns:c16="http://schemas.microsoft.com/office/drawing/2014/chart" uri="{C3380CC4-5D6E-409C-BE32-E72D297353CC}">
              <c16:uniqueId val="{00000002-CE6E-43C6-98E0-625B408D5570}"/>
            </c:ext>
          </c:extLst>
        </c:ser>
        <c:dLbls>
          <c:showLegendKey val="0"/>
          <c:showVal val="0"/>
          <c:showCatName val="0"/>
          <c:showSerName val="0"/>
          <c:showPercent val="0"/>
          <c:showBubbleSize val="0"/>
          <c:showLeaderLines val="1"/>
        </c:dLbls>
      </c:pie3DChart>
      <c:spPr>
        <a:noFill/>
        <a:ln w="25371">
          <a:noFill/>
        </a:ln>
      </c:spPr>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8"/>
            </a:pPr>
            <a:r>
              <a:rPr lang="bg-BG" sz="1129" b="1" i="1" u="none" strike="noStrike" baseline="0">
                <a:effectLst/>
                <a:latin typeface="Times New Roman" panose="02020603050405020304" pitchFamily="18" charset="0"/>
                <a:cs typeface="Times New Roman" panose="02020603050405020304" pitchFamily="18" charset="0"/>
              </a:rPr>
              <a:t>Относителен дял на новообразуваните производства, спрямо общо наблюдаваните досъдебни производства</a:t>
            </a:r>
            <a:endParaRPr lang="bg-BG" sz="1200">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5.1981425563780388E-2"/>
          <c:y val="0.30609587920746528"/>
          <c:w val="0.92393117671258296"/>
          <c:h val="0.60782501581312143"/>
        </c:manualLayout>
      </c:layout>
      <c:barChart>
        <c:barDir val="col"/>
        <c:grouping val="clustered"/>
        <c:varyColors val="0"/>
        <c:ser>
          <c:idx val="0"/>
          <c:order val="0"/>
          <c:tx>
            <c:strRef>
              <c:f>Лист1!$C$3</c:f>
              <c:strCache>
                <c:ptCount val="1"/>
                <c:pt idx="0">
                  <c:v>2019 г.</c:v>
                </c:pt>
              </c:strCache>
            </c:strRef>
          </c:tx>
          <c:spPr>
            <a:scene3d>
              <a:camera prst="orthographicFront"/>
              <a:lightRig rig="threePt" dir="t"/>
            </a:scene3d>
            <a:sp3d/>
          </c:spPr>
          <c:invertIfNegative val="0"/>
          <c:dLbls>
            <c:spPr>
              <a:noFill/>
              <a:ln w="25380">
                <a:noFill/>
              </a:ln>
            </c:spPr>
            <c:txPr>
              <a:bodyPr rot="-2700000"/>
              <a:lstStyle/>
              <a:p>
                <a:pPr>
                  <a:defRPr sz="754"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2"/>
                <c:pt idx="0">
                  <c:v>СГП</c:v>
                </c:pt>
                <c:pt idx="1">
                  <c:v>СРП</c:v>
                </c:pt>
              </c:strCache>
            </c:strRef>
          </c:cat>
          <c:val>
            <c:numRef>
              <c:f>Лист1!$C$4:$C$6</c:f>
              <c:numCache>
                <c:formatCode>0.00%</c:formatCode>
                <c:ptCount val="2"/>
                <c:pt idx="0">
                  <c:v>0.26979999999999998</c:v>
                </c:pt>
                <c:pt idx="1">
                  <c:v>0.53890000000000005</c:v>
                </c:pt>
              </c:numCache>
            </c:numRef>
          </c:val>
          <c:extLst>
            <c:ext xmlns:c16="http://schemas.microsoft.com/office/drawing/2014/chart" uri="{C3380CC4-5D6E-409C-BE32-E72D297353CC}">
              <c16:uniqueId val="{00000000-9A88-4D29-84F2-F1F13A9236A2}"/>
            </c:ext>
          </c:extLst>
        </c:ser>
        <c:ser>
          <c:idx val="1"/>
          <c:order val="1"/>
          <c:tx>
            <c:strRef>
              <c:f>Лист1!$D$3</c:f>
              <c:strCache>
                <c:ptCount val="1"/>
                <c:pt idx="0">
                  <c:v>2020г.</c:v>
                </c:pt>
              </c:strCache>
            </c:strRef>
          </c:tx>
          <c:invertIfNegative val="0"/>
          <c:dLbls>
            <c:spPr>
              <a:noFill/>
              <a:ln w="25380">
                <a:noFill/>
              </a:ln>
            </c:spPr>
            <c:txPr>
              <a:bodyPr rot="-2700000"/>
              <a:lstStyle/>
              <a:p>
                <a:pPr>
                  <a:defRPr sz="847"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2"/>
                <c:pt idx="0">
                  <c:v>СГП</c:v>
                </c:pt>
                <c:pt idx="1">
                  <c:v>СРП</c:v>
                </c:pt>
              </c:strCache>
            </c:strRef>
          </c:cat>
          <c:val>
            <c:numRef>
              <c:f>Лист1!$D$4:$D$6</c:f>
              <c:numCache>
                <c:formatCode>0.00%</c:formatCode>
                <c:ptCount val="2"/>
                <c:pt idx="0">
                  <c:v>0.27550000000000002</c:v>
                </c:pt>
                <c:pt idx="1">
                  <c:v>0.44669999999999999</c:v>
                </c:pt>
              </c:numCache>
            </c:numRef>
          </c:val>
          <c:extLst>
            <c:ext xmlns:c16="http://schemas.microsoft.com/office/drawing/2014/chart" uri="{C3380CC4-5D6E-409C-BE32-E72D297353CC}">
              <c16:uniqueId val="{00000001-9A88-4D29-84F2-F1F13A9236A2}"/>
            </c:ext>
          </c:extLst>
        </c:ser>
        <c:ser>
          <c:idx val="2"/>
          <c:order val="2"/>
          <c:tx>
            <c:strRef>
              <c:f>Лист1!$E$3</c:f>
              <c:strCache>
                <c:ptCount val="1"/>
                <c:pt idx="0">
                  <c:v>2021 г.</c:v>
                </c:pt>
              </c:strCache>
            </c:strRef>
          </c:tx>
          <c:invertIfNegative val="0"/>
          <c:dLbls>
            <c:spPr>
              <a:noFill/>
              <a:ln w="25380">
                <a:noFill/>
              </a:ln>
            </c:spPr>
            <c:txPr>
              <a:bodyPr rot="-2700000"/>
              <a:lstStyle/>
              <a:p>
                <a:pPr>
                  <a:defRPr sz="847"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Лист1!$B$4:$B$6</c:f>
              <c:strCache>
                <c:ptCount val="2"/>
                <c:pt idx="0">
                  <c:v>СГП</c:v>
                </c:pt>
                <c:pt idx="1">
                  <c:v>СРП</c:v>
                </c:pt>
              </c:strCache>
            </c:strRef>
          </c:cat>
          <c:val>
            <c:numRef>
              <c:f>Лист1!$E$4:$E$6</c:f>
              <c:numCache>
                <c:formatCode>0.00%</c:formatCode>
                <c:ptCount val="2"/>
                <c:pt idx="0">
                  <c:v>0.2792</c:v>
                </c:pt>
                <c:pt idx="1">
                  <c:v>0.29570000000000002</c:v>
                </c:pt>
              </c:numCache>
            </c:numRef>
          </c:val>
          <c:extLst>
            <c:ext xmlns:c16="http://schemas.microsoft.com/office/drawing/2014/chart" uri="{C3380CC4-5D6E-409C-BE32-E72D297353CC}">
              <c16:uniqueId val="{00000002-9A88-4D29-84F2-F1F13A9236A2}"/>
            </c:ext>
          </c:extLst>
        </c:ser>
        <c:dLbls>
          <c:showLegendKey val="0"/>
          <c:showVal val="0"/>
          <c:showCatName val="0"/>
          <c:showSerName val="0"/>
          <c:showPercent val="0"/>
          <c:showBubbleSize val="0"/>
        </c:dLbls>
        <c:gapWidth val="150"/>
        <c:overlap val="-10"/>
        <c:axId val="1243061167"/>
        <c:axId val="1"/>
      </c:barChart>
      <c:catAx>
        <c:axId val="1243061167"/>
        <c:scaling>
          <c:orientation val="minMax"/>
        </c:scaling>
        <c:delete val="0"/>
        <c:axPos val="b"/>
        <c:numFmt formatCode="General" sourceLinked="0"/>
        <c:majorTickMark val="out"/>
        <c:minorTickMark val="none"/>
        <c:tickLblPos val="nextTo"/>
        <c:spPr>
          <a:noFill/>
        </c:spPr>
        <c:txPr>
          <a:bodyPr rot="0" vert="horz"/>
          <a:lstStyle/>
          <a:p>
            <a:pPr>
              <a:defRPr sz="847" b="1"/>
            </a:pPr>
            <a:endParaRPr lang="bg-BG"/>
          </a:p>
        </c:txPr>
        <c:crossAx val="1"/>
        <c:crosses val="autoZero"/>
        <c:auto val="1"/>
        <c:lblAlgn val="ctr"/>
        <c:lblOffset val="100"/>
        <c:tickMarkSkip val="1"/>
        <c:noMultiLvlLbl val="0"/>
      </c:catAx>
      <c:valAx>
        <c:axId val="1"/>
        <c:scaling>
          <c:orientation val="minMax"/>
        </c:scaling>
        <c:delete val="0"/>
        <c:axPos val="l"/>
        <c:numFmt formatCode="0.00%" sourceLinked="1"/>
        <c:majorTickMark val="out"/>
        <c:minorTickMark val="none"/>
        <c:tickLblPos val="nextTo"/>
        <c:crossAx val="1243061167"/>
        <c:crosses val="autoZero"/>
        <c:crossBetween val="between"/>
      </c:valAx>
    </c:plotArea>
    <c:legend>
      <c:legendPos val="t"/>
      <c:layout>
        <c:manualLayout>
          <c:xMode val="edge"/>
          <c:yMode val="edge"/>
          <c:x val="0.33593903393654745"/>
          <c:y val="0.17834996257236799"/>
          <c:w val="0.32419965925311967"/>
          <c:h val="4.2773624416081568E-2"/>
        </c:manualLayout>
      </c:layout>
      <c:overlay val="0"/>
      <c:txPr>
        <a:bodyPr/>
        <a:lstStyle/>
        <a:p>
          <a:pPr>
            <a:defRPr sz="988" b="1"/>
          </a:pPr>
          <a:endParaRPr lang="bg-BG"/>
        </a:p>
      </c:txPr>
    </c:legend>
    <c:plotVisOnly val="1"/>
    <c:dispBlanksAs val="gap"/>
    <c:showDLblsOverMax val="0"/>
  </c:chart>
  <c:spPr>
    <a:no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0.00069</cdr:x>
      <cdr:y>0.88579</cdr:y>
    </cdr:from>
    <cdr:to>
      <cdr:x>0.90625</cdr:x>
      <cdr:y>1</cdr:y>
    </cdr:to>
    <cdr:sp macro="" textlink="">
      <cdr:nvSpPr>
        <cdr:cNvPr id="2" name="TextBox 1"/>
        <cdr:cNvSpPr txBox="1"/>
      </cdr:nvSpPr>
      <cdr:spPr>
        <a:xfrm xmlns:a="http://schemas.openxmlformats.org/drawingml/2006/main">
          <a:off x="3175" y="2019299"/>
          <a:ext cx="4140200" cy="2603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bg-BG" sz="1100" b="1"/>
            <a:t>Общ</a:t>
          </a:r>
          <a:r>
            <a:rPr lang="bg-BG" sz="1100" b="1" baseline="0"/>
            <a:t> брой ДП за корупционни престъпления - 609</a:t>
          </a:r>
          <a:endParaRPr lang="en-US" sz="1100" b="1"/>
        </a:p>
      </cdr:txBody>
    </cdr:sp>
  </cdr:relSizeAnchor>
</c:userShape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5F1B1-84A8-4947-B830-5413AE888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1433</TotalTime>
  <Pages>194</Pages>
  <Words>53606</Words>
  <Characters>305558</Characters>
  <Application>Microsoft Office Word</Application>
  <DocSecurity>0</DocSecurity>
  <Lines>2546</Lines>
  <Paragraphs>716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358448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Иванов</dc:creator>
  <cp:keywords/>
  <cp:lastModifiedBy>Пламен Ганчев</cp:lastModifiedBy>
  <cp:revision>41</cp:revision>
  <cp:lastPrinted>2022-02-17T12:09:00Z</cp:lastPrinted>
  <dcterms:created xsi:type="dcterms:W3CDTF">2022-02-08T13:47:00Z</dcterms:created>
  <dcterms:modified xsi:type="dcterms:W3CDTF">2022-02-18T09:09:00Z</dcterms:modified>
</cp:coreProperties>
</file>