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5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97"/>
        <w:gridCol w:w="8738"/>
      </w:tblGrid>
      <w:tr>
        <w:tblPrEx>
          <w:shd w:val="clear" w:color="auto" w:fill="ced7e7"/>
        </w:tblPrEx>
        <w:trPr>
          <w:trHeight w:val="1773" w:hRule="atLeast"/>
        </w:trPr>
        <w:tc>
          <w:tcPr>
            <w:tcW w:type="dxa" w:w="17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880254" cy="1046524"/>
                  <wp:effectExtent l="0" t="0" r="0" b="0"/>
                  <wp:docPr id="1073741825" name="officeArt object" descr="Logo_P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_PRB" descr="Logo_PRB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254" cy="104652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before="240" w:after="120"/>
              <w:ind w:firstLine="0"/>
              <w:jc w:val="center"/>
              <w:outlineLvl w:val="2"/>
              <w:rPr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ПРОКУРАТУРА НА РЕПУБЛИКА БЪЛГАРИЯ</w:t>
            </w:r>
          </w:p>
          <w:p>
            <w:pPr>
              <w:pStyle w:val="Normal.0"/>
              <w:tabs>
                <w:tab w:val="left" w:pos="3080"/>
              </w:tabs>
              <w:bidi w:val="0"/>
              <w:ind w:left="0" w:right="0" w:firstLine="1180"/>
              <w:jc w:val="left"/>
              <w:rPr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 xml:space="preserve">                   ПРЕСЦЕНТЪР</w:t>
            </w:r>
          </w:p>
        </w:tc>
      </w:tr>
    </w:tbl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ПРЕССЪОБЩЕНИЕ</w:t>
      </w:r>
    </w:p>
    <w:p>
      <w:pPr>
        <w:pStyle w:val="Normal.0"/>
      </w:pPr>
    </w:p>
    <w:p>
      <w:pPr>
        <w:pStyle w:val="Normal.0"/>
      </w:pPr>
    </w:p>
    <w:p>
      <w:pPr>
        <w:pStyle w:val="Normal.0"/>
        <w:ind w:firstLine="0"/>
      </w:pPr>
      <w:r>
        <w:rPr>
          <w:rtl w:val="0"/>
        </w:rPr>
        <w:t xml:space="preserve">Прокуратурата на Република България </w:t>
      </w:r>
      <w:r>
        <w:rPr>
          <w:rtl w:val="0"/>
        </w:rPr>
        <w:t>(</w:t>
      </w:r>
      <w:r>
        <w:rPr>
          <w:rtl w:val="0"/>
        </w:rPr>
        <w:t>ПРБ</w:t>
      </w:r>
      <w:r>
        <w:rPr>
          <w:rtl w:val="0"/>
        </w:rPr>
        <w:t xml:space="preserve">) </w:t>
      </w:r>
      <w:r>
        <w:rPr>
          <w:rtl w:val="0"/>
        </w:rPr>
        <w:t xml:space="preserve">изготви становище по  проект на Закон за изменение и допълнение на Закона за съдебната власт </w:t>
      </w:r>
      <w:r>
        <w:rPr>
          <w:rtl w:val="0"/>
        </w:rPr>
        <w:t>(</w:t>
      </w:r>
      <w:r>
        <w:rPr>
          <w:rtl w:val="0"/>
        </w:rPr>
        <w:t>ЗВС</w:t>
      </w:r>
      <w:r>
        <w:rPr>
          <w:rtl w:val="0"/>
        </w:rPr>
        <w:t xml:space="preserve">), </w:t>
      </w:r>
      <w:r>
        <w:rPr>
          <w:rtl w:val="0"/>
        </w:rPr>
        <w:t xml:space="preserve">изпратен за съгласуване от Министерство на правосъдието в рамките на съкратен </w:t>
      </w:r>
      <w:r>
        <w:rPr>
          <w:rtl w:val="0"/>
        </w:rPr>
        <w:t>14-</w:t>
      </w:r>
      <w:r>
        <w:rPr>
          <w:rtl w:val="0"/>
        </w:rPr>
        <w:t>дневен срок за обществено обсъждане</w:t>
      </w:r>
      <w:r>
        <w:rPr>
          <w:rtl w:val="0"/>
        </w:rPr>
        <w:t xml:space="preserve">. </w:t>
      </w:r>
    </w:p>
    <w:p>
      <w:pPr>
        <w:pStyle w:val="Normal.0"/>
        <w:ind w:firstLine="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Normal.0"/>
        <w:ind w:firstLine="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В становището се посочва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че приемането на предложенията за закриване на специализираните структури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(</w:t>
      </w:r>
      <w:r>
        <w:rPr>
          <w:rtl w:val="0"/>
        </w:rPr>
        <w:t>съд</w:t>
      </w:r>
      <w:r>
        <w:rPr>
          <w:rtl w:val="0"/>
        </w:rPr>
        <w:t xml:space="preserve">, </w:t>
      </w:r>
      <w:r>
        <w:rPr>
          <w:rtl w:val="0"/>
        </w:rPr>
        <w:t>прокуратура и следствени органи</w:t>
      </w:r>
      <w:r>
        <w:rPr>
          <w:rtl w:val="0"/>
        </w:rPr>
        <w:t>)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би накърнило сериозно интересите на българската държава и е съществено отстъпление от постигнатото в резултат на дългогодишните усилия по Механизма за сътрудничество и проверка и по новия Механизъм за върховенството на правото в държавите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-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членки на ЕС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. </w:t>
      </w:r>
    </w:p>
    <w:p>
      <w:pPr>
        <w:pStyle w:val="Normal.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 </w:t>
      </w:r>
    </w:p>
    <w:p>
      <w:pPr>
        <w:pStyle w:val="Normal.0"/>
        <w:tabs>
          <w:tab w:val="left" w:pos="8566"/>
        </w:tabs>
        <w:ind w:firstLine="0"/>
      </w:pP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Мотивите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:lang w:val="ru-RU"/>
          <w14:textFill>
            <w14:solidFill>
              <w14:srgbClr w14:val="0D0D0D"/>
            </w14:solidFill>
          </w14:textFill>
        </w:rPr>
        <w:t>изложени в законопроекта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rtl w:val="0"/>
        </w:rPr>
        <w:t>са несъстоятелни</w:t>
      </w:r>
      <w:r>
        <w:rPr>
          <w:rtl w:val="0"/>
        </w:rPr>
        <w:t xml:space="preserve">, </w:t>
      </w:r>
      <w:r>
        <w:rPr>
          <w:rtl w:val="0"/>
        </w:rPr>
        <w:t>в някои отношения нелогични</w:t>
      </w:r>
      <w:r>
        <w:rPr>
          <w:rtl w:val="0"/>
        </w:rPr>
        <w:t xml:space="preserve">, </w:t>
      </w:r>
      <w:r>
        <w:rPr>
          <w:rtl w:val="0"/>
        </w:rPr>
        <w:t>а във връзка с работата на Специализираната прокуратура по делата за организирана престъпност</w:t>
      </w:r>
      <w:r>
        <w:rPr>
          <w:rtl w:val="0"/>
        </w:rPr>
        <w:t xml:space="preserve">, </w:t>
      </w:r>
      <w:r>
        <w:rPr>
          <w:rtl w:val="0"/>
        </w:rPr>
        <w:t>мотиви дори липсват</w:t>
      </w:r>
      <w:r>
        <w:rPr>
          <w:rtl w:val="0"/>
        </w:rPr>
        <w:t xml:space="preserve">. </w:t>
      </w:r>
    </w:p>
    <w:p>
      <w:pPr>
        <w:pStyle w:val="Normal.0"/>
        <w:tabs>
          <w:tab w:val="left" w:pos="8566"/>
        </w:tabs>
      </w:pPr>
    </w:p>
    <w:p>
      <w:pPr>
        <w:pStyle w:val="Normal.0"/>
        <w:ind w:firstLine="0"/>
      </w:pP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Специализираната прокуратура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(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СП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)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заема ключово място в </w:t>
      </w:r>
      <w:r>
        <w:rPr>
          <w:rtl w:val="0"/>
        </w:rPr>
        <w:t>борбата с организираната престъпност</w:t>
      </w:r>
      <w:r>
        <w:rPr>
          <w:rtl w:val="0"/>
        </w:rPr>
        <w:t xml:space="preserve">, </w:t>
      </w:r>
      <w:r>
        <w:rPr>
          <w:rtl w:val="0"/>
        </w:rPr>
        <w:t>корупцията и тероризма</w:t>
      </w:r>
      <w:r>
        <w:rPr>
          <w:rtl w:val="0"/>
        </w:rPr>
        <w:t xml:space="preserve">, </w:t>
      </w:r>
      <w:r>
        <w:rPr>
          <w:rtl w:val="0"/>
        </w:rPr>
        <w:t>и се определя като ефективна структура за наказателно преследване срещу корупцията по високите етажи на властта</w:t>
      </w:r>
      <w:r>
        <w:rPr>
          <w:rtl w:val="0"/>
        </w:rPr>
        <w:t xml:space="preserve">, </w:t>
      </w:r>
      <w:r>
        <w:rPr>
          <w:rtl w:val="0"/>
        </w:rPr>
        <w:t>както и по досъдебните производства за тероризъм и за шпионаж</w:t>
      </w:r>
      <w:r>
        <w:rPr>
          <w:rtl w:val="0"/>
        </w:rPr>
        <w:t xml:space="preserve">. </w:t>
      </w:r>
    </w:p>
    <w:p>
      <w:pPr>
        <w:pStyle w:val="Normal.0"/>
      </w:pPr>
    </w:p>
    <w:p>
      <w:pPr>
        <w:pStyle w:val="Normal.0"/>
        <w:ind w:firstLine="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rtl w:val="0"/>
        </w:rPr>
        <w:t>П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регледът на ежегодните доклади на ПРБ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достъпни за всеки гражданин в интернет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както и на докладите на Специализираната прокуратура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показва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че с всяка следваща година нейните резултати се подобряват и като статистика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и като качество на работа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Normal.0"/>
        <w:ind w:firstLine="0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По редица дела за корупционни престъпления обвиняеми са народни представители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длъжностни лица на високи позиции в системата на изпълнителната власт и редица други лица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заемащи висши публични длъжности по смисъла на чл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.6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от Закона да противодействие на корупцията и за отнемане на незаконно придобитото имущество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.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За пръв път в най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-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новата история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:lang w:val="ru-RU"/>
          <w14:textFill>
            <w14:solidFill>
              <w14:srgbClr w14:val="0D0D0D"/>
            </w14:solidFill>
          </w14:textFill>
        </w:rPr>
        <w:t>отново по досъдебни производства на Специализираната прокуратура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, 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като обвиняеми са привлечени действащи министри и заместник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-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министри за престъпления по служба</w:t>
      </w:r>
      <w:r>
        <w:rPr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 xml:space="preserve">. </w:t>
      </w:r>
    </w:p>
    <w:p>
      <w:pPr>
        <w:pStyle w:val="Normal.0"/>
        <w:ind w:firstLine="0"/>
      </w:pPr>
      <w:r>
        <w:rPr>
          <w:rtl w:val="0"/>
        </w:rPr>
        <w:t>Противодействието на корупцията далеч не е свързано само с дейността на органите на съдебната власт</w:t>
      </w:r>
      <w:r>
        <w:rPr>
          <w:rtl w:val="0"/>
        </w:rPr>
        <w:t xml:space="preserve">, </w:t>
      </w:r>
      <w:r>
        <w:rPr>
          <w:rtl w:val="0"/>
        </w:rPr>
        <w:t>а е много по</w:t>
      </w:r>
      <w:r>
        <w:rPr>
          <w:rtl w:val="0"/>
        </w:rPr>
        <w:t>-</w:t>
      </w:r>
      <w:r>
        <w:rPr>
          <w:rtl w:val="0"/>
        </w:rPr>
        <w:t>сложен процес</w:t>
      </w:r>
      <w:r>
        <w:rPr>
          <w:rtl w:val="0"/>
        </w:rPr>
        <w:t xml:space="preserve">, </w:t>
      </w:r>
      <w:r>
        <w:rPr>
          <w:rtl w:val="0"/>
        </w:rPr>
        <w:t>изискващ ефективност и професионализъм в други звена от изпълнителната власт</w:t>
      </w:r>
      <w:r>
        <w:rPr>
          <w:rtl w:val="0"/>
        </w:rPr>
        <w:t xml:space="preserve">, </w:t>
      </w:r>
      <w:r>
        <w:rPr>
          <w:rtl w:val="0"/>
        </w:rPr>
        <w:t>в които се осъществява първичната дейност по разкриването на престъпленията</w:t>
      </w:r>
      <w:r>
        <w:rPr>
          <w:rtl w:val="0"/>
        </w:rPr>
        <w:t xml:space="preserve">, </w:t>
      </w:r>
      <w:r>
        <w:rPr>
          <w:rtl w:val="0"/>
          <w:lang w:val="ru-RU"/>
        </w:rPr>
        <w:t>пише в становището</w:t>
      </w:r>
      <w:r>
        <w:rPr>
          <w:rtl w:val="0"/>
        </w:rPr>
        <w:t xml:space="preserve">. </w:t>
      </w:r>
    </w:p>
    <w:p>
      <w:pPr>
        <w:pStyle w:val="Normal.0"/>
      </w:pPr>
    </w:p>
    <w:p>
      <w:pPr>
        <w:pStyle w:val="Normal.0"/>
        <w:ind w:firstLine="0"/>
      </w:pPr>
      <w:r>
        <w:rPr>
          <w:rtl w:val="0"/>
        </w:rPr>
        <w:t>Посочва се още</w:t>
      </w:r>
      <w:r>
        <w:rPr>
          <w:rtl w:val="0"/>
        </w:rPr>
        <w:t xml:space="preserve">, </w:t>
      </w:r>
      <w:r>
        <w:rPr>
          <w:rtl w:val="0"/>
        </w:rPr>
        <w:t>че ако неприключените досъдебни производства</w:t>
      </w:r>
      <w:r>
        <w:rPr>
          <w:rtl w:val="0"/>
        </w:rPr>
        <w:t xml:space="preserve">, </w:t>
      </w:r>
      <w:r>
        <w:rPr>
          <w:rtl w:val="0"/>
        </w:rPr>
        <w:t>най</w:t>
      </w:r>
      <w:r>
        <w:rPr>
          <w:rtl w:val="0"/>
        </w:rPr>
        <w:t>-</w:t>
      </w:r>
      <w:r>
        <w:rPr>
          <w:rtl w:val="0"/>
        </w:rPr>
        <w:t>вече тези за организирана престъпност</w:t>
      </w:r>
      <w:r>
        <w:rPr>
          <w:rtl w:val="0"/>
        </w:rPr>
        <w:t xml:space="preserve">, </w:t>
      </w:r>
      <w:r>
        <w:rPr>
          <w:rtl w:val="0"/>
        </w:rPr>
        <w:t>автоматично се прехвърлят в окръжните прокуратури без необходимия кадрови ресурс и специализация</w:t>
      </w:r>
      <w:r>
        <w:rPr>
          <w:rtl w:val="0"/>
        </w:rPr>
        <w:t xml:space="preserve">, </w:t>
      </w:r>
      <w:r>
        <w:rPr>
          <w:rtl w:val="0"/>
        </w:rPr>
        <w:t>на фона на риска от местни обвързаности</w:t>
      </w:r>
      <w:r>
        <w:rPr>
          <w:rtl w:val="0"/>
        </w:rPr>
        <w:t xml:space="preserve">, </w:t>
      </w:r>
      <w:r>
        <w:rPr>
          <w:rtl w:val="0"/>
        </w:rPr>
        <w:t>това ще се отрази отрицателно на ефективността на делата и ще върне модела</w:t>
      </w:r>
      <w:r>
        <w:rPr>
          <w:rtl w:val="0"/>
        </w:rPr>
        <w:t xml:space="preserve">, </w:t>
      </w:r>
      <w:r>
        <w:rPr>
          <w:rtl w:val="0"/>
        </w:rPr>
        <w:t>доказал своята непригодност</w:t>
      </w:r>
      <w:r>
        <w:rPr>
          <w:rtl w:val="0"/>
        </w:rPr>
        <w:t>.</w:t>
      </w:r>
    </w:p>
    <w:p>
      <w:pPr>
        <w:pStyle w:val="Normal.0"/>
      </w:pPr>
    </w:p>
    <w:p>
      <w:pPr>
        <w:pStyle w:val="Normal.0"/>
        <w:ind w:firstLine="0"/>
      </w:pPr>
      <w:r>
        <w:rPr>
          <w:rtl w:val="0"/>
        </w:rPr>
        <w:t>В проекта на Закона за изменение и допълнение на Закона за съдебната власт липсва регламентация за компетентността по делата на Европейската прокуратура</w:t>
      </w:r>
      <w:r>
        <w:rPr>
          <w:rtl w:val="0"/>
        </w:rPr>
        <w:t xml:space="preserve">, </w:t>
      </w:r>
      <w:r>
        <w:rPr>
          <w:rtl w:val="0"/>
        </w:rPr>
        <w:t>което ще се отрази крайно негативно на изпълнението на задълженията на българската държава по Регламента за установяване на засилено сътрудничество и създаване на Европейска прокуратура</w:t>
      </w:r>
      <w:r>
        <w:rPr>
          <w:rtl w:val="0"/>
        </w:rPr>
        <w:t xml:space="preserve">.  </w:t>
      </w:r>
    </w:p>
    <w:p>
      <w:pPr>
        <w:pStyle w:val="List Paragraph"/>
        <w:ind w:left="0" w:firstLine="0"/>
        <w:jc w:val="both"/>
      </w:pPr>
    </w:p>
    <w:p>
      <w:pPr>
        <w:pStyle w:val="List Paragraph"/>
        <w:ind w:left="0" w:firstLine="0"/>
        <w:jc w:val="both"/>
        <w:rPr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rtl w:val="0"/>
        </w:rPr>
        <w:t>Предлаганото законодателно решение за възстановяване или преназначаване на магистрати след закриването на специализираните структури ще засегне несменяемостта и независимостта на магистратите</w:t>
      </w:r>
      <w:r>
        <w:rPr>
          <w:rtl w:val="0"/>
        </w:rPr>
        <w:t xml:space="preserve">. </w:t>
      </w:r>
    </w:p>
    <w:p>
      <w:pPr>
        <w:pStyle w:val="Normal.0"/>
        <w:ind w:firstLine="0"/>
      </w:pPr>
      <w:r>
        <w:rPr>
          <w:rtl w:val="0"/>
        </w:rPr>
        <w:t xml:space="preserve">Закриването на специализираните съд и прокуратура би удовлетворило интересите на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ограничен кръг от лица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„застрашени“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>от специализираното правосъдие</w:t>
      </w:r>
      <w:r>
        <w:rPr>
          <w:rtl w:val="0"/>
        </w:rPr>
        <w:t xml:space="preserve">, </w:t>
      </w:r>
      <w:r>
        <w:rPr>
          <w:rtl w:val="0"/>
        </w:rPr>
        <w:t>и е теза</w:t>
      </w:r>
      <w:r>
        <w:rPr>
          <w:rtl w:val="0"/>
        </w:rPr>
        <w:t xml:space="preserve">, </w:t>
      </w:r>
      <w:r>
        <w:rPr>
          <w:rtl w:val="0"/>
        </w:rPr>
        <w:t>поддържана публично от политици</w:t>
      </w:r>
      <w:r>
        <w:rPr>
          <w:rtl w:val="0"/>
        </w:rPr>
        <w:t xml:space="preserve">, </w:t>
      </w:r>
      <w:r>
        <w:rPr>
          <w:rtl w:val="0"/>
        </w:rPr>
        <w:t>а също и от редица обвиняеми и подсъдими по наказателни производства</w:t>
      </w:r>
      <w:r>
        <w:rPr>
          <w:rtl w:val="0"/>
        </w:rPr>
        <w:t>.</w:t>
      </w:r>
    </w:p>
    <w:p>
      <w:pPr>
        <w:pStyle w:val="Normal.0"/>
      </w:pPr>
    </w:p>
    <w:p>
      <w:pPr>
        <w:pStyle w:val="Normal.0"/>
        <w:ind w:firstLine="0"/>
      </w:pPr>
      <w:r>
        <w:rPr>
          <w:rtl w:val="0"/>
        </w:rPr>
        <w:t>Прокуратурата на Република България не съгласува законопроекта за изменение и допълнение на Закона за съдебната власт</w:t>
      </w:r>
      <w:r>
        <w:rPr>
          <w:rtl w:val="0"/>
        </w:rPr>
        <w:t>.</w:t>
      </w:r>
    </w:p>
    <w:p>
      <w:pPr>
        <w:pStyle w:val="Normal.0"/>
      </w:pPr>
    </w:p>
    <w:p>
      <w:pPr>
        <w:pStyle w:val="Normal.0"/>
        <w:ind w:firstLine="0"/>
      </w:pPr>
      <w:r>
        <w:rPr>
          <w:rtl w:val="0"/>
        </w:rPr>
        <w:t>Становището на ПРБ ще бъде изпратено на Европейската комисия</w:t>
      </w:r>
      <w:r>
        <w:rPr>
          <w:rtl w:val="0"/>
        </w:rPr>
        <w:t xml:space="preserve">, </w:t>
      </w:r>
      <w:r>
        <w:rPr>
          <w:rtl w:val="0"/>
          <w:lang w:val="ru-RU"/>
        </w:rPr>
        <w:t>Европейския парламент и други европейски институции</w:t>
      </w:r>
      <w:r>
        <w:rPr>
          <w:rtl w:val="0"/>
        </w:rPr>
        <w:t>.</w:t>
      </w:r>
    </w:p>
    <w:p>
      <w:pPr>
        <w:pStyle w:val="List Paragraph"/>
        <w:ind w:left="0" w:firstLine="0"/>
        <w:jc w:val="both"/>
        <w:rPr>
          <w:i w:val="1"/>
          <w:iCs w:val="1"/>
        </w:rPr>
      </w:pPr>
    </w:p>
    <w:p>
      <w:pPr>
        <w:pStyle w:val="List Paragraph"/>
        <w:ind w:left="0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Пълният текст на Становището на ПРБ по законопроекта за изменение и допълнение на ЗСВ може да видите в прикачения файл</w:t>
      </w:r>
      <w:r>
        <w:rPr>
          <w:i w:val="1"/>
          <w:iCs w:val="1"/>
          <w:rtl w:val="0"/>
        </w:rPr>
        <w:t xml:space="preserve">.  </w:t>
      </w:r>
    </w:p>
    <w:p>
      <w:pPr>
        <w:pStyle w:val="List Paragraph"/>
        <w:ind w:left="0" w:firstLine="0"/>
        <w:jc w:val="both"/>
      </w:pPr>
      <w:r>
        <w:rPr>
          <w:i w:val="1"/>
          <w:i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тема">
  <a:themeElements>
    <a:clrScheme name="Office тема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тема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тем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