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0C837" w14:textId="77777777" w:rsidR="00283600" w:rsidRDefault="00283600" w:rsidP="00E94C72">
      <w:pPr>
        <w:ind w:right="569"/>
        <w:jc w:val="right"/>
        <w:rPr>
          <w:rFonts w:asciiTheme="minorHAnsi" w:hAnsiTheme="minorHAnsi"/>
          <w:szCs w:val="2"/>
          <w:lang w:val="bg-BG"/>
        </w:rPr>
      </w:pPr>
    </w:p>
    <w:p w14:paraId="6D8DCCB4" w14:textId="77777777" w:rsidR="00C61601" w:rsidRPr="00DC2206" w:rsidRDefault="00275ACE" w:rsidP="00E94C72">
      <w:pPr>
        <w:ind w:right="569"/>
        <w:jc w:val="right"/>
        <w:rPr>
          <w:rFonts w:asciiTheme="minorHAnsi" w:hAnsiTheme="minorHAnsi"/>
          <w:szCs w:val="2"/>
          <w:lang w:val="bg-BG"/>
        </w:rPr>
      </w:pPr>
      <w:r w:rsidRPr="00DC2206">
        <w:rPr>
          <w:rFonts w:asciiTheme="minorHAnsi" w:hAnsiTheme="minorHAnsi"/>
          <w:noProof/>
          <w:lang w:val="bg-BG" w:eastAsia="bg-BG" w:bidi="ar-SA"/>
        </w:rPr>
        <w:drawing>
          <wp:inline distT="0" distB="0" distL="0" distR="0" wp14:anchorId="4DADA0AA" wp14:editId="18F974CC">
            <wp:extent cx="1355090" cy="1068070"/>
            <wp:effectExtent l="0" t="0" r="0" b="0"/>
            <wp:docPr id="1" name="Picture 1" descr="G:\Translations\Interlang\W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nslations\Interlang\WS\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090" cy="1068070"/>
                    </a:xfrm>
                    <a:prstGeom prst="rect">
                      <a:avLst/>
                    </a:prstGeom>
                    <a:noFill/>
                    <a:ln>
                      <a:noFill/>
                    </a:ln>
                  </pic:spPr>
                </pic:pic>
              </a:graphicData>
            </a:graphic>
          </wp:inline>
        </w:drawing>
      </w:r>
    </w:p>
    <w:p w14:paraId="73F316B7" w14:textId="77777777" w:rsidR="00E94C72" w:rsidRPr="00DC2206" w:rsidRDefault="00E94C72" w:rsidP="00E94C72">
      <w:pPr>
        <w:jc w:val="right"/>
        <w:rPr>
          <w:rFonts w:asciiTheme="minorHAnsi" w:hAnsiTheme="minorHAnsi"/>
          <w:lang w:val="bg-BG"/>
        </w:rPr>
      </w:pPr>
    </w:p>
    <w:p w14:paraId="4FBB581A" w14:textId="77777777" w:rsidR="00C61601" w:rsidRPr="00DC2206" w:rsidRDefault="00B90749" w:rsidP="00E94C72">
      <w:pPr>
        <w:jc w:val="right"/>
        <w:rPr>
          <w:rFonts w:asciiTheme="minorHAnsi" w:hAnsiTheme="minorHAnsi"/>
          <w:lang w:val="bg-BG"/>
        </w:rPr>
      </w:pPr>
      <w:r w:rsidRPr="00DC2206">
        <w:rPr>
          <w:rFonts w:asciiTheme="minorHAnsi" w:hAnsiTheme="minorHAnsi"/>
          <w:lang w:val="bg-BG"/>
        </w:rPr>
        <w:t>КСЕП</w:t>
      </w:r>
      <w:r w:rsidR="00521963" w:rsidRPr="00DC2206">
        <w:rPr>
          <w:rFonts w:asciiTheme="minorHAnsi" w:hAnsiTheme="minorHAnsi"/>
          <w:lang w:val="bg-BG"/>
        </w:rPr>
        <w:t>(2021)6</w:t>
      </w:r>
    </w:p>
    <w:p w14:paraId="612FAD64" w14:textId="77777777" w:rsidR="00B90749" w:rsidRPr="00DC2206" w:rsidRDefault="00B90749" w:rsidP="00E07C60">
      <w:pPr>
        <w:ind w:left="360" w:hanging="360"/>
        <w:jc w:val="both"/>
        <w:rPr>
          <w:rFonts w:asciiTheme="minorHAnsi" w:hAnsiTheme="minorHAnsi"/>
          <w:lang w:val="bg-BG"/>
        </w:rPr>
      </w:pPr>
    </w:p>
    <w:p w14:paraId="7D1BCE42" w14:textId="77777777" w:rsidR="00C61601" w:rsidRPr="00DC2206" w:rsidRDefault="00B90749" w:rsidP="00E07C60">
      <w:pPr>
        <w:ind w:left="360" w:hanging="360"/>
        <w:jc w:val="both"/>
        <w:rPr>
          <w:rFonts w:asciiTheme="minorHAnsi" w:hAnsiTheme="minorHAnsi"/>
          <w:lang w:val="bg-BG"/>
        </w:rPr>
      </w:pPr>
      <w:r w:rsidRPr="00DC2206">
        <w:rPr>
          <w:rFonts w:asciiTheme="minorHAnsi" w:hAnsiTheme="minorHAnsi"/>
          <w:lang w:val="bg-BG"/>
        </w:rPr>
        <w:t>Страсбург</w:t>
      </w:r>
      <w:r w:rsidR="00521963" w:rsidRPr="00DC2206">
        <w:rPr>
          <w:rFonts w:asciiTheme="minorHAnsi" w:hAnsiTheme="minorHAnsi"/>
          <w:lang w:val="bg-BG"/>
        </w:rPr>
        <w:t xml:space="preserve">, 26 </w:t>
      </w:r>
      <w:r w:rsidRPr="00DC2206">
        <w:rPr>
          <w:rFonts w:asciiTheme="minorHAnsi" w:hAnsiTheme="minorHAnsi"/>
          <w:lang w:val="bg-BG"/>
        </w:rPr>
        <w:t xml:space="preserve">ноември </w:t>
      </w:r>
      <w:r w:rsidR="00521963" w:rsidRPr="00DC2206">
        <w:rPr>
          <w:rFonts w:asciiTheme="minorHAnsi" w:hAnsiTheme="minorHAnsi"/>
          <w:lang w:val="bg-BG"/>
        </w:rPr>
        <w:t>2021</w:t>
      </w:r>
      <w:r w:rsidRPr="00DC2206">
        <w:rPr>
          <w:rFonts w:asciiTheme="minorHAnsi" w:hAnsiTheme="minorHAnsi"/>
          <w:lang w:val="bg-BG"/>
        </w:rPr>
        <w:t> г.</w:t>
      </w:r>
    </w:p>
    <w:p w14:paraId="2EC4C0A0" w14:textId="77777777" w:rsidR="00B90749" w:rsidRPr="00DC2206" w:rsidRDefault="00B90749" w:rsidP="00E07C60">
      <w:pPr>
        <w:ind w:left="360" w:hanging="360"/>
        <w:jc w:val="both"/>
        <w:rPr>
          <w:rFonts w:asciiTheme="minorHAnsi" w:hAnsiTheme="minorHAnsi"/>
          <w:lang w:val="bg-BG"/>
        </w:rPr>
      </w:pPr>
    </w:p>
    <w:p w14:paraId="4D1E7D56" w14:textId="77777777" w:rsidR="00C61601" w:rsidRPr="00DC2206" w:rsidRDefault="00B90749" w:rsidP="00B90749">
      <w:pPr>
        <w:jc w:val="center"/>
        <w:outlineLvl w:val="0"/>
        <w:rPr>
          <w:rFonts w:asciiTheme="minorHAnsi" w:hAnsiTheme="minorHAnsi"/>
          <w:b/>
          <w:sz w:val="30"/>
          <w:lang w:val="bg-BG"/>
        </w:rPr>
      </w:pPr>
      <w:r w:rsidRPr="00DC2206">
        <w:rPr>
          <w:rFonts w:asciiTheme="minorHAnsi" w:hAnsiTheme="minorHAnsi"/>
          <w:b/>
          <w:sz w:val="30"/>
          <w:lang w:val="bg-BG"/>
        </w:rPr>
        <w:t>КОНСУЛТАТИВЕН СЪВЕТ НА ЕВРОПЕЙСКИТЕ ПРОКУРОРИ (КСЕП)</w:t>
      </w:r>
    </w:p>
    <w:p w14:paraId="25BB2376" w14:textId="77777777" w:rsidR="00B90749" w:rsidRPr="00DC2206" w:rsidRDefault="00B90749" w:rsidP="00E07C60">
      <w:pPr>
        <w:jc w:val="both"/>
        <w:rPr>
          <w:rFonts w:asciiTheme="minorHAnsi" w:hAnsiTheme="minorHAnsi"/>
          <w:lang w:val="bg-BG"/>
        </w:rPr>
      </w:pPr>
    </w:p>
    <w:tbl>
      <w:tblPr>
        <w:tblStyle w:val="TableGrid"/>
        <w:tblW w:w="0" w:type="auto"/>
        <w:tblLook w:val="04A0" w:firstRow="1" w:lastRow="0" w:firstColumn="1" w:lastColumn="0" w:noHBand="0" w:noVBand="1"/>
      </w:tblPr>
      <w:tblGrid>
        <w:gridCol w:w="9915"/>
      </w:tblGrid>
      <w:tr w:rsidR="00B90749" w:rsidRPr="00DC2206" w14:paraId="5FED7A30" w14:textId="77777777" w:rsidTr="00B90749">
        <w:tc>
          <w:tcPr>
            <w:tcW w:w="10065" w:type="dxa"/>
          </w:tcPr>
          <w:p w14:paraId="174C29D4" w14:textId="77777777" w:rsidR="00B90749" w:rsidRPr="00DC2206" w:rsidRDefault="00B90749" w:rsidP="00BF23A7">
            <w:pPr>
              <w:spacing w:before="240" w:after="240" w:line="480" w:lineRule="auto"/>
              <w:jc w:val="center"/>
              <w:rPr>
                <w:rFonts w:asciiTheme="minorHAnsi" w:hAnsiTheme="minorHAnsi"/>
                <w:b/>
                <w:lang w:val="bg-BG"/>
              </w:rPr>
            </w:pPr>
            <w:r w:rsidRPr="00DC2206">
              <w:rPr>
                <w:rFonts w:asciiTheme="minorHAnsi" w:hAnsiTheme="minorHAnsi"/>
                <w:b/>
                <w:lang w:val="bg-BG"/>
              </w:rPr>
              <w:t xml:space="preserve">Становище </w:t>
            </w:r>
            <w:r w:rsidR="00BF23A7">
              <w:rPr>
                <w:rFonts w:asciiTheme="minorHAnsi" w:hAnsiTheme="minorHAnsi"/>
                <w:b/>
                <w:lang w:val="bg-BG"/>
              </w:rPr>
              <w:t>№ 16 (2021)</w:t>
            </w:r>
            <w:r w:rsidR="00BF23A7" w:rsidRPr="00DC2206">
              <w:rPr>
                <w:rFonts w:asciiTheme="minorHAnsi" w:hAnsiTheme="minorHAnsi"/>
                <w:b/>
                <w:lang w:val="bg-BG"/>
              </w:rPr>
              <w:t xml:space="preserve"> на КСЕП</w:t>
            </w:r>
            <w:r w:rsidR="00BF23A7">
              <w:rPr>
                <w:rFonts w:asciiTheme="minorHAnsi" w:hAnsiTheme="minorHAnsi"/>
                <w:b/>
                <w:lang w:val="bg-BG"/>
              </w:rPr>
              <w:t>:</w:t>
            </w:r>
            <w:r w:rsidRPr="00DC2206">
              <w:rPr>
                <w:rFonts w:asciiTheme="minorHAnsi" w:hAnsiTheme="minorHAnsi"/>
                <w:b/>
                <w:lang w:val="bg-BG"/>
              </w:rPr>
              <w:br/>
              <w:t xml:space="preserve">Последици от решенията на международните съдилища и </w:t>
            </w:r>
            <w:r w:rsidR="00D46B76">
              <w:rPr>
                <w:rFonts w:asciiTheme="minorHAnsi" w:hAnsiTheme="minorHAnsi"/>
                <w:b/>
                <w:lang w:val="bg-BG"/>
              </w:rPr>
              <w:t>органите, учредени с международни договори,</w:t>
            </w:r>
            <w:r w:rsidRPr="00DC2206">
              <w:rPr>
                <w:rFonts w:asciiTheme="minorHAnsi" w:hAnsiTheme="minorHAnsi"/>
                <w:b/>
                <w:lang w:val="bg-BG"/>
              </w:rPr>
              <w:t xml:space="preserve"> по отношение на практическата независимост на прокурорите</w:t>
            </w:r>
          </w:p>
        </w:tc>
      </w:tr>
    </w:tbl>
    <w:p w14:paraId="34756AEA" w14:textId="77777777" w:rsidR="00B90749" w:rsidRPr="00DC2206" w:rsidRDefault="00B90749" w:rsidP="00B90749">
      <w:pPr>
        <w:jc w:val="center"/>
        <w:rPr>
          <w:rFonts w:asciiTheme="minorHAnsi" w:hAnsiTheme="minorHAnsi"/>
          <w:b/>
          <w:lang w:val="bg-BG"/>
        </w:rPr>
      </w:pPr>
    </w:p>
    <w:tbl>
      <w:tblPr>
        <w:tblStyle w:val="TableGrid"/>
        <w:tblW w:w="0" w:type="auto"/>
        <w:tblLook w:val="04A0" w:firstRow="1" w:lastRow="0" w:firstColumn="1" w:lastColumn="0" w:noHBand="0" w:noVBand="1"/>
      </w:tblPr>
      <w:tblGrid>
        <w:gridCol w:w="9915"/>
      </w:tblGrid>
      <w:tr w:rsidR="00B90749" w:rsidRPr="00DC2206" w14:paraId="0CE07CB9" w14:textId="77777777" w:rsidTr="00B90749">
        <w:tc>
          <w:tcPr>
            <w:tcW w:w="10065" w:type="dxa"/>
          </w:tcPr>
          <w:p w14:paraId="179366EE" w14:textId="77777777" w:rsidR="00B90749" w:rsidRPr="00DC2206" w:rsidRDefault="00B90749" w:rsidP="00B90749">
            <w:pPr>
              <w:tabs>
                <w:tab w:val="left" w:leader="underscore" w:pos="9082"/>
              </w:tabs>
              <w:jc w:val="both"/>
              <w:rPr>
                <w:rFonts w:asciiTheme="minorHAnsi" w:hAnsiTheme="minorHAnsi"/>
                <w:b/>
                <w:lang w:val="bg-BG"/>
              </w:rPr>
            </w:pPr>
            <w:r w:rsidRPr="00DC2206">
              <w:rPr>
                <w:rFonts w:asciiTheme="minorHAnsi" w:hAnsiTheme="minorHAnsi"/>
                <w:b/>
                <w:lang w:val="bg-BG"/>
              </w:rPr>
              <w:t>I. Въведение: цел и обхват на Становището</w:t>
            </w:r>
          </w:p>
        </w:tc>
      </w:tr>
    </w:tbl>
    <w:p w14:paraId="1B1D8AE5" w14:textId="77777777" w:rsidR="00B90749" w:rsidRPr="00DC2206" w:rsidRDefault="00B90749" w:rsidP="00E07C60">
      <w:pPr>
        <w:ind w:left="360" w:hanging="360"/>
        <w:jc w:val="both"/>
        <w:rPr>
          <w:rFonts w:asciiTheme="minorHAnsi" w:hAnsiTheme="minorHAnsi"/>
          <w:lang w:val="bg-BG"/>
        </w:rPr>
      </w:pPr>
    </w:p>
    <w:p w14:paraId="576623D2"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1.</w:t>
      </w:r>
      <w:r w:rsidR="00732D5B" w:rsidRPr="00DC2206">
        <w:rPr>
          <w:rFonts w:asciiTheme="minorHAnsi" w:hAnsiTheme="minorHAnsi"/>
          <w:lang w:val="bg-BG"/>
        </w:rPr>
        <w:tab/>
        <w:t>В съответствие с мандата, даден му от Комитета на министрите</w:t>
      </w:r>
      <w:r w:rsidRPr="00DC2206">
        <w:rPr>
          <w:rFonts w:asciiTheme="minorHAnsi" w:hAnsiTheme="minorHAnsi"/>
          <w:lang w:val="bg-BG"/>
        </w:rPr>
        <w:t xml:space="preserve">, </w:t>
      </w:r>
      <w:r w:rsidR="00732D5B" w:rsidRPr="00DC2206">
        <w:rPr>
          <w:rFonts w:asciiTheme="minorHAnsi" w:hAnsiTheme="minorHAnsi"/>
          <w:lang w:val="bg-BG"/>
        </w:rPr>
        <w:t>Консултативният</w:t>
      </w:r>
      <w:r w:rsidR="00B90749" w:rsidRPr="00DC2206">
        <w:rPr>
          <w:rFonts w:asciiTheme="minorHAnsi" w:hAnsiTheme="minorHAnsi"/>
          <w:lang w:val="bg-BG"/>
        </w:rPr>
        <w:t xml:space="preserve"> съвет на европейските прокурори (КСЕП)</w:t>
      </w:r>
      <w:r w:rsidRPr="00DC2206">
        <w:rPr>
          <w:rFonts w:asciiTheme="minorHAnsi" w:hAnsiTheme="minorHAnsi"/>
          <w:lang w:val="bg-BG"/>
        </w:rPr>
        <w:t xml:space="preserve"> </w:t>
      </w:r>
      <w:r w:rsidR="00732D5B" w:rsidRPr="00DC2206">
        <w:rPr>
          <w:rFonts w:asciiTheme="minorHAnsi" w:hAnsiTheme="minorHAnsi"/>
          <w:lang w:val="bg-BG"/>
        </w:rPr>
        <w:t>изготви настоящото Становище относно</w:t>
      </w:r>
      <w:r w:rsidR="00275ACE" w:rsidRPr="00DC2206">
        <w:rPr>
          <w:rFonts w:asciiTheme="minorHAnsi" w:hAnsiTheme="minorHAnsi"/>
          <w:lang w:val="bg-BG"/>
        </w:rPr>
        <w:t xml:space="preserve"> последиците от решенията на международните съдилища и </w:t>
      </w:r>
      <w:r w:rsidR="00D46B76">
        <w:rPr>
          <w:rFonts w:asciiTheme="minorHAnsi" w:hAnsiTheme="minorHAnsi"/>
          <w:lang w:val="bg-BG"/>
        </w:rPr>
        <w:t>органите, учредени с международни договори,</w:t>
      </w:r>
      <w:r w:rsidR="00275ACE" w:rsidRPr="00DC2206">
        <w:rPr>
          <w:rFonts w:asciiTheme="minorHAnsi" w:hAnsiTheme="minorHAnsi"/>
          <w:lang w:val="bg-BG"/>
        </w:rPr>
        <w:t xml:space="preserve"> по отношение на практическата независимост и ефективната автономия на прокурорите и свързаните с това аспекти</w:t>
      </w:r>
      <w:r w:rsidRPr="00DC2206">
        <w:rPr>
          <w:rFonts w:asciiTheme="minorHAnsi" w:hAnsiTheme="minorHAnsi"/>
          <w:lang w:val="bg-BG"/>
        </w:rPr>
        <w:t>.</w:t>
      </w:r>
    </w:p>
    <w:p w14:paraId="047904B6" w14:textId="77777777" w:rsidR="00732D5B" w:rsidRPr="00DC2206" w:rsidRDefault="00732D5B" w:rsidP="00732D5B">
      <w:pPr>
        <w:ind w:left="709" w:hanging="709"/>
        <w:jc w:val="both"/>
        <w:rPr>
          <w:rFonts w:asciiTheme="minorHAnsi" w:hAnsiTheme="minorHAnsi"/>
          <w:lang w:val="bg-BG"/>
        </w:rPr>
      </w:pPr>
    </w:p>
    <w:p w14:paraId="31B6704B" w14:textId="77777777" w:rsidR="00C61601" w:rsidRPr="00DC2206" w:rsidRDefault="00521963" w:rsidP="00F25FDD">
      <w:pPr>
        <w:ind w:left="709" w:hanging="709"/>
        <w:jc w:val="both"/>
        <w:rPr>
          <w:rFonts w:asciiTheme="minorHAnsi" w:hAnsiTheme="minorHAnsi"/>
          <w:lang w:val="bg-BG"/>
        </w:rPr>
      </w:pPr>
      <w:r w:rsidRPr="00DC2206">
        <w:rPr>
          <w:rFonts w:asciiTheme="minorHAnsi" w:hAnsiTheme="minorHAnsi"/>
          <w:lang w:val="bg-BG"/>
        </w:rPr>
        <w:t>2.</w:t>
      </w:r>
      <w:r w:rsidR="00732D5B" w:rsidRPr="00DC2206">
        <w:rPr>
          <w:rFonts w:asciiTheme="minorHAnsi" w:hAnsiTheme="minorHAnsi"/>
          <w:lang w:val="bg-BG"/>
        </w:rPr>
        <w:tab/>
      </w:r>
      <w:r w:rsidR="00A0730F" w:rsidRPr="00DC2206">
        <w:rPr>
          <w:rFonts w:asciiTheme="minorHAnsi" w:hAnsiTheme="minorHAnsi"/>
          <w:lang w:val="bg-BG"/>
        </w:rPr>
        <w:t xml:space="preserve">Тази тема беше избрана от </w:t>
      </w:r>
      <w:r w:rsidR="00B90749" w:rsidRPr="00DC2206">
        <w:rPr>
          <w:rFonts w:asciiTheme="minorHAnsi" w:hAnsiTheme="minorHAnsi"/>
          <w:lang w:val="bg-BG"/>
        </w:rPr>
        <w:t>КСЕП</w:t>
      </w:r>
      <w:r w:rsidRPr="00DC2206">
        <w:rPr>
          <w:rFonts w:asciiTheme="minorHAnsi" w:hAnsiTheme="minorHAnsi"/>
          <w:lang w:val="bg-BG"/>
        </w:rPr>
        <w:t xml:space="preserve"> </w:t>
      </w:r>
      <w:r w:rsidR="00A0730F" w:rsidRPr="00DC2206">
        <w:rPr>
          <w:rFonts w:asciiTheme="minorHAnsi" w:hAnsiTheme="minorHAnsi"/>
          <w:lang w:val="bg-BG"/>
        </w:rPr>
        <w:t xml:space="preserve">с </w:t>
      </w:r>
      <w:r w:rsidR="00BF23A7">
        <w:rPr>
          <w:rFonts w:asciiTheme="minorHAnsi" w:hAnsiTheme="minorHAnsi"/>
          <w:lang w:val="bg-BG"/>
        </w:rPr>
        <w:t xml:space="preserve">цел </w:t>
      </w:r>
      <w:r w:rsidR="00A0730F" w:rsidRPr="00DC2206">
        <w:rPr>
          <w:rFonts w:asciiTheme="minorHAnsi" w:hAnsiTheme="minorHAnsi"/>
          <w:lang w:val="bg-BG"/>
        </w:rPr>
        <w:t xml:space="preserve">да се подчертае въздействието на решенията на международните съдилища и </w:t>
      </w:r>
      <w:r w:rsidR="00D46B76">
        <w:rPr>
          <w:rFonts w:asciiTheme="minorHAnsi" w:hAnsiTheme="minorHAnsi"/>
          <w:lang w:val="bg-BG"/>
        </w:rPr>
        <w:t>органите, учредени с международни договори,</w:t>
      </w:r>
      <w:r w:rsidR="00A0730F" w:rsidRPr="00DC2206">
        <w:rPr>
          <w:rFonts w:asciiTheme="minorHAnsi" w:hAnsiTheme="minorHAnsi"/>
          <w:lang w:val="bg-BG"/>
        </w:rPr>
        <w:t xml:space="preserve"> върху независимостта</w:t>
      </w:r>
      <w:r w:rsidRPr="00DC2206">
        <w:rPr>
          <w:rFonts w:asciiTheme="minorHAnsi" w:hAnsiTheme="minorHAnsi"/>
          <w:lang w:val="bg-BG"/>
        </w:rPr>
        <w:t xml:space="preserve"> </w:t>
      </w:r>
      <w:r w:rsidR="00A0730F" w:rsidRPr="00DC2206">
        <w:rPr>
          <w:rFonts w:asciiTheme="minorHAnsi" w:hAnsiTheme="minorHAnsi"/>
          <w:lang w:val="bg-BG"/>
        </w:rPr>
        <w:t>на прокурорите</w:t>
      </w:r>
      <w:r w:rsidRPr="00DC2206">
        <w:rPr>
          <w:rFonts w:asciiTheme="minorHAnsi" w:hAnsiTheme="minorHAnsi"/>
          <w:lang w:val="bg-BG"/>
        </w:rPr>
        <w:t xml:space="preserve">. </w:t>
      </w:r>
      <w:r w:rsidR="00A0730F" w:rsidRPr="00DC2206">
        <w:rPr>
          <w:rFonts w:asciiTheme="minorHAnsi" w:hAnsiTheme="minorHAnsi"/>
          <w:lang w:val="bg-BG"/>
        </w:rPr>
        <w:t>Макар че много от тези решения са фокусирани по-скоро върху независимостта</w:t>
      </w:r>
      <w:r w:rsidRPr="00DC2206">
        <w:rPr>
          <w:rFonts w:asciiTheme="minorHAnsi" w:hAnsiTheme="minorHAnsi"/>
          <w:lang w:val="bg-BG"/>
        </w:rPr>
        <w:t xml:space="preserve"> </w:t>
      </w:r>
      <w:r w:rsidR="00A0730F" w:rsidRPr="00DC2206">
        <w:rPr>
          <w:rFonts w:asciiTheme="minorHAnsi" w:hAnsiTheme="minorHAnsi"/>
          <w:lang w:val="bg-BG"/>
        </w:rPr>
        <w:t>на съдебната власт</w:t>
      </w:r>
      <w:r w:rsidRPr="00DC2206">
        <w:rPr>
          <w:rFonts w:asciiTheme="minorHAnsi" w:hAnsiTheme="minorHAnsi"/>
          <w:lang w:val="bg-BG"/>
        </w:rPr>
        <w:t xml:space="preserve">, </w:t>
      </w:r>
      <w:r w:rsidR="00A0730F" w:rsidRPr="00DC2206">
        <w:rPr>
          <w:rFonts w:asciiTheme="minorHAnsi" w:hAnsiTheme="minorHAnsi"/>
          <w:lang w:val="bg-BG"/>
        </w:rPr>
        <w:t>тази независимост</w:t>
      </w:r>
      <w:r w:rsidRPr="00DC2206">
        <w:rPr>
          <w:rFonts w:asciiTheme="minorHAnsi" w:hAnsiTheme="minorHAnsi"/>
          <w:lang w:val="bg-BG"/>
        </w:rPr>
        <w:t xml:space="preserve"> </w:t>
      </w:r>
      <w:r w:rsidR="00A0730F" w:rsidRPr="00DC2206">
        <w:rPr>
          <w:rFonts w:asciiTheme="minorHAnsi" w:hAnsiTheme="minorHAnsi"/>
          <w:lang w:val="bg-BG"/>
        </w:rPr>
        <w:t>е тясно свързан</w:t>
      </w:r>
      <w:r w:rsidR="00BF23A7">
        <w:rPr>
          <w:rFonts w:asciiTheme="minorHAnsi" w:hAnsiTheme="minorHAnsi"/>
          <w:lang w:val="bg-BG"/>
        </w:rPr>
        <w:t>а</w:t>
      </w:r>
      <w:r w:rsidR="00A0730F" w:rsidRPr="00DC2206">
        <w:rPr>
          <w:rFonts w:asciiTheme="minorHAnsi" w:hAnsiTheme="minorHAnsi"/>
          <w:lang w:val="bg-BG"/>
        </w:rPr>
        <w:t xml:space="preserve"> с независимостта</w:t>
      </w:r>
      <w:r w:rsidRPr="00DC2206">
        <w:rPr>
          <w:rFonts w:asciiTheme="minorHAnsi" w:hAnsiTheme="minorHAnsi"/>
          <w:lang w:val="bg-BG"/>
        </w:rPr>
        <w:t xml:space="preserve"> </w:t>
      </w:r>
      <w:r w:rsidR="00A0730F" w:rsidRPr="00DC2206">
        <w:rPr>
          <w:rFonts w:asciiTheme="minorHAnsi" w:hAnsiTheme="minorHAnsi"/>
          <w:lang w:val="bg-BG"/>
        </w:rPr>
        <w:t>на прокурорите, тъй като независимостта</w:t>
      </w:r>
      <w:r w:rsidRPr="00DC2206">
        <w:rPr>
          <w:rFonts w:asciiTheme="minorHAnsi" w:hAnsiTheme="minorHAnsi"/>
          <w:lang w:val="bg-BG"/>
        </w:rPr>
        <w:t xml:space="preserve"> </w:t>
      </w:r>
      <w:r w:rsidR="00A0730F" w:rsidRPr="00DC2206">
        <w:rPr>
          <w:rFonts w:asciiTheme="minorHAnsi" w:hAnsiTheme="minorHAnsi"/>
          <w:lang w:val="bg-BG"/>
        </w:rPr>
        <w:t>и автономията</w:t>
      </w:r>
      <w:r w:rsidRPr="00DC2206">
        <w:rPr>
          <w:rFonts w:asciiTheme="minorHAnsi" w:hAnsiTheme="minorHAnsi"/>
          <w:lang w:val="bg-BG"/>
        </w:rPr>
        <w:t xml:space="preserve"> </w:t>
      </w:r>
      <w:r w:rsidR="00A0730F" w:rsidRPr="00DC2206">
        <w:rPr>
          <w:rFonts w:asciiTheme="minorHAnsi" w:hAnsiTheme="minorHAnsi"/>
          <w:lang w:val="bg-BG"/>
        </w:rPr>
        <w:t>на прокуратурите</w:t>
      </w:r>
      <w:r w:rsidRPr="00DC2206">
        <w:rPr>
          <w:rFonts w:asciiTheme="minorHAnsi" w:hAnsiTheme="minorHAnsi"/>
          <w:lang w:val="bg-BG"/>
        </w:rPr>
        <w:t xml:space="preserve"> </w:t>
      </w:r>
      <w:r w:rsidR="00A0730F" w:rsidRPr="00DC2206">
        <w:rPr>
          <w:rFonts w:asciiTheme="minorHAnsi" w:hAnsiTheme="minorHAnsi"/>
          <w:lang w:val="bg-BG"/>
        </w:rPr>
        <w:t xml:space="preserve">представляват </w:t>
      </w:r>
      <w:r w:rsidR="00533CCC" w:rsidRPr="00DC2206">
        <w:rPr>
          <w:rFonts w:asciiTheme="minorHAnsi" w:hAnsiTheme="minorHAnsi"/>
          <w:lang w:val="bg-BG"/>
        </w:rPr>
        <w:t xml:space="preserve">неизбежна естествена последица от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533CCC" w:rsidRPr="00DC2206">
        <w:rPr>
          <w:rFonts w:asciiTheme="minorHAnsi" w:hAnsiTheme="minorHAnsi"/>
          <w:lang w:val="bg-BG"/>
        </w:rPr>
        <w:t xml:space="preserve">на </w:t>
      </w:r>
      <w:r w:rsidR="00A0730F" w:rsidRPr="00DC2206">
        <w:rPr>
          <w:rFonts w:asciiTheme="minorHAnsi" w:hAnsiTheme="minorHAnsi"/>
          <w:lang w:val="bg-BG"/>
        </w:rPr>
        <w:t>съдебната власт</w:t>
      </w:r>
      <w:r w:rsidR="0002131C" w:rsidRPr="00DC2206">
        <w:rPr>
          <w:rStyle w:val="FootnoteReference"/>
          <w:rFonts w:asciiTheme="minorHAnsi" w:hAnsiTheme="minorHAnsi"/>
          <w:lang w:val="bg-BG"/>
        </w:rPr>
        <w:footnoteReference w:id="1"/>
      </w:r>
      <w:r w:rsidRPr="00DC2206">
        <w:rPr>
          <w:rFonts w:asciiTheme="minorHAnsi" w:hAnsiTheme="minorHAnsi"/>
          <w:lang w:val="bg-BG"/>
        </w:rPr>
        <w:t xml:space="preserve">. </w:t>
      </w:r>
      <w:r w:rsidR="00A0730F" w:rsidRPr="00DC2206">
        <w:rPr>
          <w:rFonts w:asciiTheme="minorHAnsi" w:hAnsiTheme="minorHAnsi"/>
          <w:lang w:val="bg-BG"/>
        </w:rPr>
        <w:t>Прокурори</w:t>
      </w:r>
      <w:r w:rsidR="00533CCC" w:rsidRPr="00DC2206">
        <w:rPr>
          <w:rFonts w:asciiTheme="minorHAnsi" w:hAnsiTheme="minorHAnsi"/>
          <w:lang w:val="bg-BG"/>
        </w:rPr>
        <w:t>те следва да бъдат автономни в процеса на вземане на решения и следва да изпълняват задълженията си без външен натиск или намеса</w:t>
      </w:r>
      <w:r w:rsidRPr="00DC2206">
        <w:rPr>
          <w:rFonts w:asciiTheme="minorHAnsi" w:hAnsiTheme="minorHAnsi"/>
          <w:lang w:val="bg-BG"/>
        </w:rPr>
        <w:t xml:space="preserve">, </w:t>
      </w:r>
      <w:r w:rsidR="00533CCC" w:rsidRPr="00DC2206">
        <w:rPr>
          <w:rFonts w:asciiTheme="minorHAnsi" w:hAnsiTheme="minorHAnsi"/>
          <w:lang w:val="bg-BG"/>
        </w:rPr>
        <w:t>като се имат предвид принципите на разделение на властите и отчетност</w:t>
      </w:r>
      <w:r w:rsidR="0002131C" w:rsidRPr="00DC2206">
        <w:rPr>
          <w:rStyle w:val="FootnoteReference"/>
          <w:rFonts w:asciiTheme="minorHAnsi" w:hAnsiTheme="minorHAnsi"/>
          <w:lang w:val="bg-BG"/>
        </w:rPr>
        <w:footnoteReference w:id="2"/>
      </w:r>
      <w:r w:rsidRPr="00DC2206">
        <w:rPr>
          <w:rFonts w:asciiTheme="minorHAnsi" w:hAnsiTheme="minorHAnsi"/>
          <w:lang w:val="bg-BG"/>
        </w:rPr>
        <w:t xml:space="preserve">. </w:t>
      </w:r>
      <w:r w:rsidR="00533CCC" w:rsidRPr="00DC2206">
        <w:rPr>
          <w:rFonts w:asciiTheme="minorHAnsi" w:hAnsiTheme="minorHAnsi"/>
          <w:lang w:val="bg-BG"/>
        </w:rPr>
        <w:t>Следователно</w:t>
      </w:r>
      <w:r w:rsidRPr="00DC2206">
        <w:rPr>
          <w:rFonts w:asciiTheme="minorHAnsi" w:hAnsiTheme="minorHAnsi"/>
          <w:lang w:val="bg-BG"/>
        </w:rPr>
        <w:t xml:space="preserve">, </w:t>
      </w:r>
      <w:r w:rsidR="00533CCC" w:rsidRPr="00DC2206">
        <w:rPr>
          <w:rFonts w:asciiTheme="minorHAnsi" w:hAnsiTheme="minorHAnsi"/>
          <w:lang w:val="bg-BG"/>
        </w:rPr>
        <w:t>следва да бъдат приети подходящи разпоредби в държавите членки</w:t>
      </w:r>
      <w:r w:rsidRPr="00DC2206">
        <w:rPr>
          <w:rFonts w:asciiTheme="minorHAnsi" w:hAnsiTheme="minorHAnsi"/>
          <w:lang w:val="bg-BG"/>
        </w:rPr>
        <w:t xml:space="preserve">, </w:t>
      </w:r>
      <w:r w:rsidR="00D46B76">
        <w:rPr>
          <w:rFonts w:asciiTheme="minorHAnsi" w:hAnsiTheme="minorHAnsi"/>
          <w:lang w:val="bg-BG"/>
        </w:rPr>
        <w:t xml:space="preserve">в духа на уреждащите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533CCC" w:rsidRPr="00DC2206">
        <w:rPr>
          <w:rFonts w:asciiTheme="minorHAnsi" w:hAnsiTheme="minorHAnsi"/>
          <w:lang w:val="bg-BG"/>
        </w:rPr>
        <w:t>на съдиите, за да се укреп</w:t>
      </w:r>
      <w:r w:rsidR="00BF23A7">
        <w:rPr>
          <w:rFonts w:asciiTheme="minorHAnsi" w:hAnsiTheme="minorHAnsi"/>
          <w:lang w:val="bg-BG"/>
        </w:rPr>
        <w:t>ят</w:t>
      </w:r>
      <w:r w:rsidR="00533CCC" w:rsidRPr="00DC2206">
        <w:rPr>
          <w:rFonts w:asciiTheme="minorHAnsi" w:hAnsiTheme="minorHAnsi"/>
          <w:lang w:val="bg-BG"/>
        </w:rPr>
        <w:t xml:space="preserve"> и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BF23A7">
        <w:rPr>
          <w:rFonts w:asciiTheme="minorHAnsi" w:hAnsiTheme="minorHAnsi"/>
          <w:lang w:val="bg-BG"/>
        </w:rPr>
        <w:t>отчетността и моралът</w:t>
      </w:r>
      <w:r w:rsidR="00533CCC" w:rsidRPr="00DC2206">
        <w:rPr>
          <w:rFonts w:asciiTheme="minorHAnsi" w:hAnsiTheme="minorHAnsi"/>
          <w:lang w:val="bg-BG"/>
        </w:rPr>
        <w:t xml:space="preserve"> на </w:t>
      </w:r>
      <w:r w:rsidR="00A0730F" w:rsidRPr="00DC2206">
        <w:rPr>
          <w:rFonts w:asciiTheme="minorHAnsi" w:hAnsiTheme="minorHAnsi"/>
          <w:lang w:val="bg-BG"/>
        </w:rPr>
        <w:t>прокурори</w:t>
      </w:r>
      <w:r w:rsidR="00533CCC" w:rsidRPr="00DC2206">
        <w:rPr>
          <w:rFonts w:asciiTheme="minorHAnsi" w:hAnsiTheme="minorHAnsi"/>
          <w:lang w:val="bg-BG"/>
        </w:rPr>
        <w:t>те</w:t>
      </w:r>
      <w:r w:rsidR="005832CE" w:rsidRPr="00DC2206">
        <w:rPr>
          <w:rStyle w:val="FootnoteReference"/>
          <w:rFonts w:asciiTheme="minorHAnsi" w:hAnsiTheme="minorHAnsi"/>
          <w:lang w:val="bg-BG"/>
        </w:rPr>
        <w:footnoteReference w:id="3"/>
      </w:r>
      <w:r w:rsidRPr="00DC2206">
        <w:rPr>
          <w:rFonts w:asciiTheme="minorHAnsi" w:hAnsiTheme="minorHAnsi"/>
          <w:lang w:val="bg-BG"/>
        </w:rPr>
        <w:t>.</w:t>
      </w:r>
    </w:p>
    <w:p w14:paraId="3EFEAD3C" w14:textId="77777777" w:rsidR="00F25FDD" w:rsidRPr="00DC2206" w:rsidRDefault="00F25FDD" w:rsidP="00732D5B">
      <w:pPr>
        <w:ind w:left="709" w:hanging="709"/>
        <w:jc w:val="both"/>
        <w:rPr>
          <w:rFonts w:asciiTheme="minorHAnsi" w:hAnsiTheme="minorHAnsi"/>
          <w:lang w:val="bg-BG"/>
        </w:rPr>
      </w:pPr>
    </w:p>
    <w:p w14:paraId="4B48B548"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3.</w:t>
      </w:r>
      <w:r w:rsidR="00F25FDD" w:rsidRPr="00DC2206">
        <w:rPr>
          <w:rFonts w:asciiTheme="minorHAnsi" w:hAnsiTheme="minorHAnsi"/>
          <w:lang w:val="bg-BG"/>
        </w:rPr>
        <w:tab/>
      </w:r>
      <w:r w:rsidR="00984F2F" w:rsidRPr="00DC2206">
        <w:rPr>
          <w:rFonts w:asciiTheme="minorHAnsi" w:hAnsiTheme="minorHAnsi"/>
          <w:lang w:val="bg-BG"/>
        </w:rPr>
        <w:t>Системите на наказателното правораздаване се различават в Европа</w:t>
      </w:r>
      <w:r w:rsidRPr="00DC2206">
        <w:rPr>
          <w:rFonts w:asciiTheme="minorHAnsi" w:hAnsiTheme="minorHAnsi"/>
          <w:lang w:val="bg-BG"/>
        </w:rPr>
        <w:t xml:space="preserve">. </w:t>
      </w:r>
      <w:r w:rsidR="00984F2F" w:rsidRPr="00DC2206">
        <w:rPr>
          <w:rFonts w:asciiTheme="minorHAnsi" w:hAnsiTheme="minorHAnsi"/>
          <w:lang w:val="bg-BG"/>
        </w:rPr>
        <w:t xml:space="preserve">Различните системи </w:t>
      </w:r>
      <w:r w:rsidR="00984F2F" w:rsidRPr="00DC2206">
        <w:rPr>
          <w:rFonts w:asciiTheme="minorHAnsi" w:hAnsiTheme="minorHAnsi"/>
          <w:lang w:val="bg-BG"/>
        </w:rPr>
        <w:lastRenderedPageBreak/>
        <w:t>имат своите корени в различни правни култури и поради това няма еднообразен модел за всички държави</w:t>
      </w:r>
      <w:r w:rsidRPr="00DC2206">
        <w:rPr>
          <w:rFonts w:asciiTheme="minorHAnsi" w:hAnsiTheme="minorHAnsi"/>
          <w:lang w:val="bg-BG"/>
        </w:rPr>
        <w:t xml:space="preserve">. </w:t>
      </w:r>
      <w:r w:rsidR="00984F2F" w:rsidRPr="00DC2206">
        <w:rPr>
          <w:rFonts w:asciiTheme="minorHAnsi" w:hAnsiTheme="minorHAnsi"/>
          <w:lang w:val="bg-BG"/>
        </w:rPr>
        <w:t>Например, съществуват важни разлики между системи, които, в рамките на наказателното производство</w:t>
      </w:r>
      <w:r w:rsidRPr="00DC2206">
        <w:rPr>
          <w:rFonts w:asciiTheme="minorHAnsi" w:hAnsiTheme="minorHAnsi"/>
          <w:lang w:val="bg-BG"/>
        </w:rPr>
        <w:t xml:space="preserve">, </w:t>
      </w:r>
      <w:r w:rsidR="00984F2F" w:rsidRPr="00DC2206">
        <w:rPr>
          <w:rFonts w:asciiTheme="minorHAnsi" w:hAnsiTheme="minorHAnsi"/>
          <w:lang w:val="bg-BG"/>
        </w:rPr>
        <w:t xml:space="preserve">са основани по същността си на състезателното начало, и </w:t>
      </w:r>
      <w:r w:rsidR="00BF23A7">
        <w:rPr>
          <w:rFonts w:asciiTheme="minorHAnsi" w:hAnsiTheme="minorHAnsi"/>
          <w:lang w:val="bg-BG"/>
        </w:rPr>
        <w:t>такива</w:t>
      </w:r>
      <w:r w:rsidR="00984F2F" w:rsidRPr="00DC2206">
        <w:rPr>
          <w:rFonts w:asciiTheme="minorHAnsi" w:hAnsiTheme="minorHAnsi"/>
          <w:lang w:val="bg-BG"/>
        </w:rPr>
        <w:t>, които са основани на служебното начало</w:t>
      </w:r>
      <w:r w:rsidR="005832CE" w:rsidRPr="00DC2206">
        <w:rPr>
          <w:rStyle w:val="FootnoteReference"/>
          <w:rFonts w:asciiTheme="minorHAnsi" w:hAnsiTheme="minorHAnsi"/>
          <w:lang w:val="bg-BG"/>
        </w:rPr>
        <w:footnoteReference w:id="4"/>
      </w:r>
      <w:r w:rsidRPr="00DC2206">
        <w:rPr>
          <w:rFonts w:asciiTheme="minorHAnsi" w:hAnsiTheme="minorHAnsi"/>
          <w:lang w:val="bg-BG"/>
        </w:rPr>
        <w:t xml:space="preserve">. </w:t>
      </w:r>
      <w:r w:rsidR="00984F2F" w:rsidRPr="00DC2206">
        <w:rPr>
          <w:rFonts w:asciiTheme="minorHAnsi" w:hAnsiTheme="minorHAnsi"/>
          <w:lang w:val="bg-BG"/>
        </w:rPr>
        <w:t xml:space="preserve">Независимо от това, през вековете европейските системи на наказателното правораздаване са заемали много една от друга, така че днес вероятно </w:t>
      </w:r>
      <w:r w:rsidR="00D46B76">
        <w:rPr>
          <w:rFonts w:asciiTheme="minorHAnsi" w:hAnsiTheme="minorHAnsi"/>
          <w:lang w:val="bg-BG"/>
        </w:rPr>
        <w:t>двете споменати начала не са прокарани никъде в чист вид</w:t>
      </w:r>
      <w:r w:rsidRPr="00DC2206">
        <w:rPr>
          <w:rFonts w:asciiTheme="minorHAnsi" w:hAnsiTheme="minorHAnsi"/>
          <w:lang w:val="bg-BG"/>
        </w:rPr>
        <w:t xml:space="preserve">. </w:t>
      </w:r>
      <w:r w:rsidR="00984F2F" w:rsidRPr="00DC2206">
        <w:rPr>
          <w:rFonts w:asciiTheme="minorHAnsi" w:hAnsiTheme="minorHAnsi"/>
          <w:lang w:val="bg-BG"/>
        </w:rPr>
        <w:t xml:space="preserve">Това заемане между системите е довело до определена степен на </w:t>
      </w:r>
      <w:r w:rsidR="00AD7714" w:rsidRPr="00DC2206">
        <w:rPr>
          <w:rFonts w:asciiTheme="minorHAnsi" w:hAnsiTheme="minorHAnsi"/>
          <w:lang w:val="bg-BG"/>
        </w:rPr>
        <w:t>сближаване</w:t>
      </w:r>
      <w:r w:rsidR="005832CE" w:rsidRPr="00DC2206">
        <w:rPr>
          <w:rStyle w:val="FootnoteReference"/>
          <w:rFonts w:asciiTheme="minorHAnsi" w:hAnsiTheme="minorHAnsi"/>
          <w:lang w:val="bg-BG"/>
        </w:rPr>
        <w:footnoteReference w:id="5"/>
      </w:r>
      <w:r w:rsidRPr="00DC2206">
        <w:rPr>
          <w:rFonts w:asciiTheme="minorHAnsi" w:hAnsiTheme="minorHAnsi"/>
          <w:lang w:val="bg-BG"/>
        </w:rPr>
        <w:t>.</w:t>
      </w:r>
    </w:p>
    <w:p w14:paraId="3F5F66DE" w14:textId="77777777" w:rsidR="005832CE" w:rsidRPr="00DC2206" w:rsidRDefault="005832CE" w:rsidP="00732D5B">
      <w:pPr>
        <w:ind w:left="709" w:hanging="709"/>
        <w:jc w:val="both"/>
        <w:rPr>
          <w:rFonts w:asciiTheme="minorHAnsi" w:hAnsiTheme="minorHAnsi"/>
          <w:lang w:val="bg-BG"/>
        </w:rPr>
      </w:pPr>
    </w:p>
    <w:p w14:paraId="49FA3913" w14:textId="578AF219"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4.</w:t>
      </w:r>
      <w:r w:rsidR="005832CE" w:rsidRPr="00DC2206">
        <w:rPr>
          <w:rFonts w:asciiTheme="minorHAnsi" w:hAnsiTheme="minorHAnsi"/>
          <w:lang w:val="bg-BG"/>
        </w:rPr>
        <w:tab/>
      </w:r>
      <w:r w:rsidR="00AD7714" w:rsidRPr="00DC2206">
        <w:rPr>
          <w:rFonts w:asciiTheme="minorHAnsi" w:hAnsiTheme="minorHAnsi"/>
          <w:lang w:val="bg-BG"/>
        </w:rPr>
        <w:t xml:space="preserve">Най-важният фактор за сближаване и този, който реално </w:t>
      </w:r>
      <w:r w:rsidR="00D46B76">
        <w:rPr>
          <w:rFonts w:asciiTheme="minorHAnsi" w:hAnsiTheme="minorHAnsi"/>
          <w:lang w:val="bg-BG"/>
        </w:rPr>
        <w:t>обединяв</w:t>
      </w:r>
      <w:r w:rsidR="00AD7714" w:rsidRPr="00DC2206">
        <w:rPr>
          <w:rFonts w:asciiTheme="minorHAnsi" w:hAnsiTheme="minorHAnsi"/>
          <w:lang w:val="bg-BG"/>
        </w:rPr>
        <w:t>а всички тези системи</w:t>
      </w:r>
      <w:r w:rsidRPr="00DC2206">
        <w:rPr>
          <w:rFonts w:asciiTheme="minorHAnsi" w:hAnsiTheme="minorHAnsi"/>
          <w:lang w:val="bg-BG"/>
        </w:rPr>
        <w:t xml:space="preserve">, </w:t>
      </w:r>
      <w:r w:rsidR="00AD7714" w:rsidRPr="00DC2206">
        <w:rPr>
          <w:rFonts w:asciiTheme="minorHAnsi" w:hAnsiTheme="minorHAnsi"/>
          <w:lang w:val="bg-BG"/>
        </w:rPr>
        <w:t xml:space="preserve">е изискването за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AD7714" w:rsidRPr="00DC2206">
        <w:rPr>
          <w:rFonts w:asciiTheme="minorHAnsi" w:hAnsiTheme="minorHAnsi"/>
          <w:lang w:val="bg-BG"/>
        </w:rPr>
        <w:t xml:space="preserve">на </w:t>
      </w:r>
      <w:r w:rsidR="00A0730F" w:rsidRPr="00DC2206">
        <w:rPr>
          <w:rFonts w:asciiTheme="minorHAnsi" w:hAnsiTheme="minorHAnsi"/>
          <w:lang w:val="bg-BG"/>
        </w:rPr>
        <w:t>прокуратурите</w:t>
      </w:r>
      <w:r w:rsidRPr="00DC2206">
        <w:rPr>
          <w:rFonts w:asciiTheme="minorHAnsi" w:hAnsiTheme="minorHAnsi"/>
          <w:lang w:val="bg-BG"/>
        </w:rPr>
        <w:t xml:space="preserve"> </w:t>
      </w:r>
      <w:r w:rsidR="00AD7714" w:rsidRPr="00DC2206">
        <w:rPr>
          <w:rFonts w:asciiTheme="minorHAnsi" w:hAnsiTheme="minorHAnsi"/>
          <w:lang w:val="bg-BG"/>
        </w:rPr>
        <w:t xml:space="preserve">като предпоставка за върховенството на закона и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AD7714" w:rsidRPr="00DC2206">
        <w:rPr>
          <w:rFonts w:asciiTheme="minorHAnsi" w:hAnsiTheme="minorHAnsi"/>
          <w:lang w:val="bg-BG"/>
        </w:rPr>
        <w:t xml:space="preserve">на </w:t>
      </w:r>
      <w:r w:rsidR="00A0730F" w:rsidRPr="00DC2206">
        <w:rPr>
          <w:rFonts w:asciiTheme="minorHAnsi" w:hAnsiTheme="minorHAnsi"/>
          <w:lang w:val="bg-BG"/>
        </w:rPr>
        <w:t>съдебната власт</w:t>
      </w:r>
      <w:r w:rsidRPr="00DC2206">
        <w:rPr>
          <w:rFonts w:asciiTheme="minorHAnsi" w:hAnsiTheme="minorHAnsi"/>
          <w:lang w:val="bg-BG"/>
        </w:rPr>
        <w:t xml:space="preserve">, </w:t>
      </w:r>
      <w:r w:rsidR="00AD7714" w:rsidRPr="00DC2206">
        <w:rPr>
          <w:rFonts w:asciiTheme="minorHAnsi" w:hAnsiTheme="minorHAnsi"/>
          <w:lang w:val="bg-BG"/>
        </w:rPr>
        <w:t>както е посочено в точка </w:t>
      </w:r>
      <w:r w:rsidRPr="00DC2206">
        <w:rPr>
          <w:rFonts w:asciiTheme="minorHAnsi" w:hAnsiTheme="minorHAnsi"/>
          <w:lang w:val="bg-BG"/>
        </w:rPr>
        <w:t xml:space="preserve">2 </w:t>
      </w:r>
      <w:r w:rsidR="00AD7714" w:rsidRPr="00DC2206">
        <w:rPr>
          <w:rFonts w:asciiTheme="minorHAnsi" w:hAnsiTheme="minorHAnsi"/>
          <w:lang w:val="bg-BG"/>
        </w:rPr>
        <w:t>от настоящото Становище</w:t>
      </w:r>
      <w:r w:rsidRPr="00DC2206">
        <w:rPr>
          <w:rFonts w:asciiTheme="minorHAnsi" w:hAnsiTheme="minorHAnsi"/>
          <w:lang w:val="bg-BG"/>
        </w:rPr>
        <w:t xml:space="preserve">. </w:t>
      </w:r>
      <w:r w:rsidR="00313084" w:rsidRPr="00DC2206">
        <w:rPr>
          <w:rFonts w:asciiTheme="minorHAnsi" w:hAnsiTheme="minorHAnsi"/>
          <w:lang w:val="bg-BG"/>
        </w:rPr>
        <w:t>Поради сериозните последици за отделното лице от едно наказателно разследване и съдебен процес</w:t>
      </w:r>
      <w:r w:rsidRPr="00DC2206">
        <w:rPr>
          <w:rFonts w:asciiTheme="minorHAnsi" w:hAnsiTheme="minorHAnsi"/>
          <w:lang w:val="bg-BG"/>
        </w:rPr>
        <w:t xml:space="preserve">, </w:t>
      </w:r>
      <w:r w:rsidR="00313084" w:rsidRPr="00DC2206">
        <w:rPr>
          <w:rFonts w:asciiTheme="minorHAnsi" w:hAnsiTheme="minorHAnsi"/>
          <w:lang w:val="bg-BG"/>
        </w:rPr>
        <w:t xml:space="preserve">тъй като той може да доведе до осъждане и налагане на наказание, прокурорът </w:t>
      </w:r>
      <w:r w:rsidR="008D292D">
        <w:rPr>
          <w:rFonts w:asciiTheme="minorHAnsi" w:hAnsiTheme="minorHAnsi"/>
          <w:lang w:val="bg-BG"/>
        </w:rPr>
        <w:t>трябва</w:t>
      </w:r>
      <w:r w:rsidR="00313084" w:rsidRPr="00DC2206">
        <w:rPr>
          <w:rFonts w:asciiTheme="minorHAnsi" w:hAnsiTheme="minorHAnsi"/>
          <w:lang w:val="bg-BG"/>
        </w:rPr>
        <w:t xml:space="preserve"> да действа внимателно и справедливо, когато взема решение дали да ангажира наказателна отговорност и за какви обвинения</w:t>
      </w:r>
      <w:r w:rsidRPr="00DC2206">
        <w:rPr>
          <w:rFonts w:asciiTheme="minorHAnsi" w:hAnsiTheme="minorHAnsi"/>
          <w:lang w:val="bg-BG"/>
        </w:rPr>
        <w:t xml:space="preserve">. </w:t>
      </w:r>
      <w:r w:rsidR="00313084" w:rsidRPr="00DC2206">
        <w:rPr>
          <w:rFonts w:asciiTheme="minorHAnsi" w:hAnsiTheme="minorHAnsi"/>
          <w:lang w:val="bg-BG"/>
        </w:rPr>
        <w:t>В тази връзка</w:t>
      </w:r>
      <w:r w:rsidRPr="00DC2206">
        <w:rPr>
          <w:rFonts w:asciiTheme="minorHAnsi" w:hAnsiTheme="minorHAnsi"/>
          <w:lang w:val="bg-BG"/>
        </w:rPr>
        <w:t xml:space="preserve">, </w:t>
      </w:r>
      <w:r w:rsidR="00313084" w:rsidRPr="00DC2206">
        <w:rPr>
          <w:rFonts w:asciiTheme="minorHAnsi" w:hAnsiTheme="minorHAnsi"/>
          <w:lang w:val="bg-BG"/>
        </w:rPr>
        <w:t>един прокурор, подобно на съдия, не може да извършва дейност по дело, по което има личен интерес и поради това може да бъде обект на определени професионални ограничения, целящи да запазят неговата безпристрастност и почтеност</w:t>
      </w:r>
      <w:r w:rsidR="005832CE" w:rsidRPr="00DC2206">
        <w:rPr>
          <w:rStyle w:val="FootnoteReference"/>
          <w:rFonts w:asciiTheme="minorHAnsi" w:hAnsiTheme="minorHAnsi"/>
          <w:lang w:val="bg-BG"/>
        </w:rPr>
        <w:footnoteReference w:id="6"/>
      </w:r>
      <w:r w:rsidRPr="00DC2206">
        <w:rPr>
          <w:rFonts w:asciiTheme="minorHAnsi" w:hAnsiTheme="minorHAnsi"/>
          <w:lang w:val="bg-BG"/>
        </w:rPr>
        <w:t>.</w:t>
      </w:r>
    </w:p>
    <w:p w14:paraId="1F6C735C" w14:textId="77777777" w:rsidR="005832CE" w:rsidRPr="00DC2206" w:rsidRDefault="005832CE" w:rsidP="00732D5B">
      <w:pPr>
        <w:ind w:left="709" w:hanging="709"/>
        <w:jc w:val="both"/>
        <w:rPr>
          <w:rFonts w:asciiTheme="minorHAnsi" w:hAnsiTheme="minorHAnsi"/>
          <w:lang w:val="bg-BG"/>
        </w:rPr>
      </w:pPr>
    </w:p>
    <w:p w14:paraId="1E9241A7"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 xml:space="preserve">5. </w:t>
      </w:r>
      <w:r w:rsidR="005832CE" w:rsidRPr="00DC2206">
        <w:rPr>
          <w:rFonts w:asciiTheme="minorHAnsi" w:hAnsiTheme="minorHAnsi"/>
          <w:lang w:val="bg-BG"/>
        </w:rPr>
        <w:tab/>
      </w:r>
      <w:r w:rsidR="00313084" w:rsidRPr="00DC2206">
        <w:rPr>
          <w:rFonts w:asciiTheme="minorHAnsi" w:hAnsiTheme="minorHAnsi"/>
          <w:lang w:val="bg-BG"/>
        </w:rPr>
        <w:t>Независимостта</w:t>
      </w:r>
      <w:r w:rsidRPr="00DC2206">
        <w:rPr>
          <w:rFonts w:asciiTheme="minorHAnsi" w:hAnsiTheme="minorHAnsi"/>
          <w:lang w:val="bg-BG"/>
        </w:rPr>
        <w:t xml:space="preserve"> </w:t>
      </w:r>
      <w:r w:rsidR="00313084" w:rsidRPr="00DC2206">
        <w:rPr>
          <w:rFonts w:asciiTheme="minorHAnsi" w:hAnsiTheme="minorHAnsi"/>
          <w:lang w:val="bg-BG"/>
        </w:rPr>
        <w:t xml:space="preserve">на </w:t>
      </w:r>
      <w:r w:rsidR="00A0730F" w:rsidRPr="00DC2206">
        <w:rPr>
          <w:rFonts w:asciiTheme="minorHAnsi" w:hAnsiTheme="minorHAnsi"/>
          <w:lang w:val="bg-BG"/>
        </w:rPr>
        <w:t>прокурори</w:t>
      </w:r>
      <w:r w:rsidR="00313084" w:rsidRPr="00DC2206">
        <w:rPr>
          <w:rFonts w:asciiTheme="minorHAnsi" w:hAnsiTheme="minorHAnsi"/>
          <w:lang w:val="bg-BG"/>
        </w:rPr>
        <w:t xml:space="preserve">те е </w:t>
      </w:r>
      <w:r w:rsidR="00750CF9">
        <w:rPr>
          <w:rFonts w:asciiTheme="minorHAnsi" w:hAnsiTheme="minorHAnsi"/>
          <w:lang w:val="bg-BG"/>
        </w:rPr>
        <w:t xml:space="preserve">задължително условие, за да могат те </w:t>
      </w:r>
      <w:r w:rsidR="00313084" w:rsidRPr="00DC2206">
        <w:rPr>
          <w:rFonts w:asciiTheme="minorHAnsi" w:hAnsiTheme="minorHAnsi"/>
          <w:lang w:val="bg-BG"/>
        </w:rPr>
        <w:t>да изпълняват мисията си</w:t>
      </w:r>
      <w:r w:rsidRPr="00DC2206">
        <w:rPr>
          <w:rFonts w:asciiTheme="minorHAnsi" w:hAnsiTheme="minorHAnsi"/>
          <w:lang w:val="bg-BG"/>
        </w:rPr>
        <w:t xml:space="preserve">. </w:t>
      </w:r>
      <w:r w:rsidR="00313084" w:rsidRPr="00DC2206">
        <w:rPr>
          <w:rFonts w:asciiTheme="minorHAnsi" w:hAnsiTheme="minorHAnsi"/>
          <w:lang w:val="bg-BG"/>
        </w:rPr>
        <w:t xml:space="preserve">Тя укрепва ролята им в правовата държава и в обществото и освен това е гаранция, че съдебната система ще работи справедливо и ефективно и че ще бъдат реализирани пълните ползи от </w:t>
      </w:r>
      <w:r w:rsidR="00A0730F" w:rsidRPr="00DC2206">
        <w:rPr>
          <w:rFonts w:asciiTheme="minorHAnsi" w:hAnsiTheme="minorHAnsi"/>
          <w:lang w:val="bg-BG"/>
        </w:rPr>
        <w:t>независимост</w:t>
      </w:r>
      <w:r w:rsidR="00313084" w:rsidRPr="00DC2206">
        <w:rPr>
          <w:rFonts w:asciiTheme="minorHAnsi" w:hAnsiTheme="minorHAnsi"/>
          <w:lang w:val="bg-BG"/>
        </w:rPr>
        <w:t>та на съдебната власт</w:t>
      </w:r>
      <w:r w:rsidRPr="00DC2206">
        <w:rPr>
          <w:rFonts w:asciiTheme="minorHAnsi" w:hAnsiTheme="minorHAnsi"/>
          <w:lang w:val="bg-BG"/>
        </w:rPr>
        <w:t xml:space="preserve">. </w:t>
      </w:r>
      <w:r w:rsidR="00313084" w:rsidRPr="00DC2206">
        <w:rPr>
          <w:rFonts w:asciiTheme="minorHAnsi" w:hAnsiTheme="minorHAnsi"/>
          <w:lang w:val="bg-BG"/>
        </w:rPr>
        <w:t>По този начин</w:t>
      </w:r>
      <w:r w:rsidRPr="00DC2206">
        <w:rPr>
          <w:rFonts w:asciiTheme="minorHAnsi" w:hAnsiTheme="minorHAnsi"/>
          <w:lang w:val="bg-BG"/>
        </w:rPr>
        <w:t xml:space="preserve">, </w:t>
      </w:r>
      <w:r w:rsidR="00313084" w:rsidRPr="00DC2206">
        <w:rPr>
          <w:rFonts w:asciiTheme="minorHAnsi" w:hAnsiTheme="minorHAnsi"/>
          <w:lang w:val="bg-BG"/>
        </w:rPr>
        <w:t xml:space="preserve">подобно на </w:t>
      </w:r>
      <w:r w:rsidR="00A0730F" w:rsidRPr="00DC2206">
        <w:rPr>
          <w:rFonts w:asciiTheme="minorHAnsi" w:hAnsiTheme="minorHAnsi"/>
          <w:lang w:val="bg-BG"/>
        </w:rPr>
        <w:t>независимостта</w:t>
      </w:r>
      <w:r w:rsidR="00313084" w:rsidRPr="00DC2206">
        <w:rPr>
          <w:rFonts w:asciiTheme="minorHAnsi" w:hAnsiTheme="minorHAnsi"/>
          <w:lang w:val="bg-BG"/>
        </w:rPr>
        <w:t xml:space="preserve">, осигурена за </w:t>
      </w:r>
      <w:r w:rsidR="0006181B" w:rsidRPr="00DC2206">
        <w:rPr>
          <w:rFonts w:asciiTheme="minorHAnsi" w:hAnsiTheme="minorHAnsi"/>
          <w:lang w:val="bg-BG"/>
        </w:rPr>
        <w:t>съдиите</w:t>
      </w:r>
      <w:r w:rsidRPr="00DC2206">
        <w:rPr>
          <w:rFonts w:asciiTheme="minorHAnsi" w:hAnsiTheme="minorHAnsi"/>
          <w:lang w:val="bg-BG"/>
        </w:rPr>
        <w:t xml:space="preserve">,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313084" w:rsidRPr="00DC2206">
        <w:rPr>
          <w:rFonts w:asciiTheme="minorHAnsi" w:hAnsiTheme="minorHAnsi"/>
          <w:lang w:val="bg-BG"/>
        </w:rPr>
        <w:t xml:space="preserve">на </w:t>
      </w:r>
      <w:r w:rsidR="00A0730F" w:rsidRPr="00DC2206">
        <w:rPr>
          <w:rFonts w:asciiTheme="minorHAnsi" w:hAnsiTheme="minorHAnsi"/>
          <w:lang w:val="bg-BG"/>
        </w:rPr>
        <w:t>прокурори</w:t>
      </w:r>
      <w:r w:rsidR="00313084" w:rsidRPr="00DC2206">
        <w:rPr>
          <w:rFonts w:asciiTheme="minorHAnsi" w:hAnsiTheme="minorHAnsi"/>
          <w:lang w:val="bg-BG"/>
        </w:rPr>
        <w:t>те не е прерогатив или привилегия, предоставена в техен интерес</w:t>
      </w:r>
      <w:r w:rsidRPr="00DC2206">
        <w:rPr>
          <w:rFonts w:asciiTheme="minorHAnsi" w:hAnsiTheme="minorHAnsi"/>
          <w:lang w:val="bg-BG"/>
        </w:rPr>
        <w:t xml:space="preserve">, </w:t>
      </w:r>
      <w:r w:rsidR="00313084" w:rsidRPr="00DC2206">
        <w:rPr>
          <w:rFonts w:asciiTheme="minorHAnsi" w:hAnsiTheme="minorHAnsi"/>
          <w:lang w:val="bg-BG"/>
        </w:rPr>
        <w:t>а гаранция в интерес на едно справедливо</w:t>
      </w:r>
      <w:r w:rsidRPr="00DC2206">
        <w:rPr>
          <w:rFonts w:asciiTheme="minorHAnsi" w:hAnsiTheme="minorHAnsi"/>
          <w:lang w:val="bg-BG"/>
        </w:rPr>
        <w:t xml:space="preserve">, </w:t>
      </w:r>
      <w:r w:rsidR="00313084" w:rsidRPr="00DC2206">
        <w:rPr>
          <w:rFonts w:asciiTheme="minorHAnsi" w:hAnsiTheme="minorHAnsi"/>
          <w:lang w:val="bg-BG"/>
        </w:rPr>
        <w:t xml:space="preserve">безпристрастно и ефективно правосъдие, което защитава и публичните </w:t>
      </w:r>
      <w:r w:rsidR="00BF23A7">
        <w:rPr>
          <w:rFonts w:asciiTheme="minorHAnsi" w:hAnsiTheme="minorHAnsi"/>
          <w:lang w:val="bg-BG"/>
        </w:rPr>
        <w:t xml:space="preserve">интереси </w:t>
      </w:r>
      <w:r w:rsidR="00313084" w:rsidRPr="00DC2206">
        <w:rPr>
          <w:rFonts w:asciiTheme="minorHAnsi" w:hAnsiTheme="minorHAnsi"/>
          <w:lang w:val="bg-BG"/>
        </w:rPr>
        <w:t>и частните интереси на засегнатите лица</w:t>
      </w:r>
      <w:r w:rsidR="005832CE" w:rsidRPr="00DC2206">
        <w:rPr>
          <w:rStyle w:val="FootnoteReference"/>
          <w:rFonts w:asciiTheme="minorHAnsi" w:hAnsiTheme="minorHAnsi"/>
          <w:lang w:val="bg-BG"/>
        </w:rPr>
        <w:footnoteReference w:id="7"/>
      </w:r>
      <w:r w:rsidRPr="00DC2206">
        <w:rPr>
          <w:rFonts w:asciiTheme="minorHAnsi" w:hAnsiTheme="minorHAnsi"/>
          <w:lang w:val="bg-BG"/>
        </w:rPr>
        <w:t>.</w:t>
      </w:r>
    </w:p>
    <w:p w14:paraId="6BED641B" w14:textId="77777777" w:rsidR="005832CE" w:rsidRPr="00DC2206" w:rsidRDefault="005832CE" w:rsidP="00732D5B">
      <w:pPr>
        <w:ind w:left="709" w:hanging="709"/>
        <w:jc w:val="both"/>
        <w:rPr>
          <w:rFonts w:asciiTheme="minorHAnsi" w:hAnsiTheme="minorHAnsi"/>
          <w:lang w:val="bg-BG"/>
        </w:rPr>
      </w:pPr>
    </w:p>
    <w:p w14:paraId="0D2641BE"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6.</w:t>
      </w:r>
      <w:r w:rsidR="005832CE" w:rsidRPr="00DC2206">
        <w:rPr>
          <w:rFonts w:asciiTheme="minorHAnsi" w:hAnsiTheme="minorHAnsi"/>
          <w:lang w:val="bg-BG"/>
        </w:rPr>
        <w:tab/>
      </w:r>
      <w:r w:rsidR="0007510A" w:rsidRPr="00DC2206">
        <w:rPr>
          <w:rFonts w:asciiTheme="minorHAnsi" w:hAnsiTheme="minorHAnsi"/>
          <w:lang w:val="bg-BG"/>
        </w:rPr>
        <w:t>В държави, в които прокуратурата е част от или подчинена на правителството</w:t>
      </w:r>
      <w:r w:rsidRPr="00DC2206">
        <w:rPr>
          <w:rFonts w:asciiTheme="minorHAnsi" w:hAnsiTheme="minorHAnsi"/>
          <w:lang w:val="bg-BG"/>
        </w:rPr>
        <w:t xml:space="preserve">, </w:t>
      </w:r>
      <w:r w:rsidR="0007510A" w:rsidRPr="00DC2206">
        <w:rPr>
          <w:rFonts w:asciiTheme="minorHAnsi" w:hAnsiTheme="minorHAnsi"/>
          <w:lang w:val="bg-BG"/>
        </w:rPr>
        <w:t xml:space="preserve">държавата трябва да гарантира, че естеството и </w:t>
      </w:r>
      <w:r w:rsidR="0007510A" w:rsidRPr="00140A84">
        <w:rPr>
          <w:rFonts w:asciiTheme="minorHAnsi" w:hAnsiTheme="minorHAnsi"/>
          <w:color w:val="auto"/>
          <w:lang w:val="bg-BG"/>
        </w:rPr>
        <w:t>обхват</w:t>
      </w:r>
      <w:r w:rsidR="00750CF9">
        <w:rPr>
          <w:rFonts w:asciiTheme="minorHAnsi" w:hAnsiTheme="minorHAnsi"/>
          <w:color w:val="auto"/>
          <w:lang w:val="bg-BG"/>
        </w:rPr>
        <w:t>ът</w:t>
      </w:r>
      <w:r w:rsidR="0007510A" w:rsidRPr="00140A84">
        <w:rPr>
          <w:rFonts w:asciiTheme="minorHAnsi" w:hAnsiTheme="minorHAnsi"/>
          <w:color w:val="auto"/>
          <w:lang w:val="bg-BG"/>
        </w:rPr>
        <w:t xml:space="preserve"> </w:t>
      </w:r>
      <w:r w:rsidR="0007510A" w:rsidRPr="00DC2206">
        <w:rPr>
          <w:rFonts w:asciiTheme="minorHAnsi" w:hAnsiTheme="minorHAnsi"/>
          <w:lang w:val="bg-BG"/>
        </w:rPr>
        <w:t xml:space="preserve">на неговите правомощия </w:t>
      </w:r>
      <w:r w:rsidR="00D45839" w:rsidRPr="00DC2206">
        <w:rPr>
          <w:rFonts w:asciiTheme="minorHAnsi" w:hAnsiTheme="minorHAnsi"/>
          <w:lang w:val="bg-BG"/>
        </w:rPr>
        <w:t>по отношение на прокуратурата, са ясно определени от закона и че правителството упражнява правомощията си по един прозрачен начин и в съответствие с международни договори и стандарти</w:t>
      </w:r>
      <w:r w:rsidRPr="00DC2206">
        <w:rPr>
          <w:rFonts w:asciiTheme="minorHAnsi" w:hAnsiTheme="minorHAnsi"/>
          <w:lang w:val="bg-BG"/>
        </w:rPr>
        <w:t xml:space="preserve">, </w:t>
      </w:r>
      <w:r w:rsidR="00D45839" w:rsidRPr="00DC2206">
        <w:rPr>
          <w:rFonts w:asciiTheme="minorHAnsi" w:hAnsiTheme="minorHAnsi"/>
          <w:lang w:val="bg-BG"/>
        </w:rPr>
        <w:t>националното законодателство и общите принципи на правото</w:t>
      </w:r>
      <w:r w:rsidR="005832CE" w:rsidRPr="00DC2206">
        <w:rPr>
          <w:rStyle w:val="FootnoteReference"/>
          <w:rFonts w:asciiTheme="minorHAnsi" w:hAnsiTheme="minorHAnsi"/>
          <w:lang w:val="bg-BG"/>
        </w:rPr>
        <w:footnoteReference w:id="8"/>
      </w:r>
      <w:r w:rsidRPr="00DC2206">
        <w:rPr>
          <w:rFonts w:asciiTheme="minorHAnsi" w:hAnsiTheme="minorHAnsi"/>
          <w:lang w:val="bg-BG"/>
        </w:rPr>
        <w:t>.</w:t>
      </w:r>
    </w:p>
    <w:p w14:paraId="0FB4D916" w14:textId="77777777" w:rsidR="005832CE" w:rsidRPr="00DC2206" w:rsidRDefault="005832CE" w:rsidP="00732D5B">
      <w:pPr>
        <w:ind w:left="709" w:hanging="709"/>
        <w:jc w:val="both"/>
        <w:rPr>
          <w:rFonts w:asciiTheme="minorHAnsi" w:hAnsiTheme="minorHAnsi"/>
          <w:lang w:val="bg-BG"/>
        </w:rPr>
      </w:pPr>
    </w:p>
    <w:p w14:paraId="27F8EA46" w14:textId="087691C3"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7.</w:t>
      </w:r>
      <w:r w:rsidR="005832CE" w:rsidRPr="00DC2206">
        <w:rPr>
          <w:rFonts w:asciiTheme="minorHAnsi" w:hAnsiTheme="minorHAnsi"/>
          <w:lang w:val="bg-BG"/>
        </w:rPr>
        <w:tab/>
      </w:r>
      <w:r w:rsidR="00A1456B" w:rsidRPr="00DC2206">
        <w:rPr>
          <w:rFonts w:asciiTheme="minorHAnsi" w:hAnsiTheme="minorHAnsi"/>
          <w:lang w:val="bg-BG"/>
        </w:rPr>
        <w:t>Поради това н</w:t>
      </w:r>
      <w:r w:rsidR="00313084" w:rsidRPr="00DC2206">
        <w:rPr>
          <w:rFonts w:asciiTheme="minorHAnsi" w:hAnsiTheme="minorHAnsi"/>
          <w:lang w:val="bg-BG"/>
        </w:rPr>
        <w:t>езависимостта</w:t>
      </w:r>
      <w:r w:rsidRPr="00DC2206">
        <w:rPr>
          <w:rFonts w:asciiTheme="minorHAnsi" w:hAnsiTheme="minorHAnsi"/>
          <w:lang w:val="bg-BG"/>
        </w:rPr>
        <w:t xml:space="preserve"> </w:t>
      </w:r>
      <w:r w:rsidR="00A1456B" w:rsidRPr="00DC2206">
        <w:rPr>
          <w:rFonts w:asciiTheme="minorHAnsi" w:hAnsiTheme="minorHAnsi"/>
          <w:lang w:val="bg-BG"/>
        </w:rPr>
        <w:t>и</w:t>
      </w:r>
      <w:r w:rsidRPr="00DC2206">
        <w:rPr>
          <w:rFonts w:asciiTheme="minorHAnsi" w:hAnsiTheme="minorHAnsi"/>
          <w:lang w:val="bg-BG"/>
        </w:rPr>
        <w:t xml:space="preserve"> </w:t>
      </w:r>
      <w:r w:rsidR="00A0730F" w:rsidRPr="00DC2206">
        <w:rPr>
          <w:rFonts w:asciiTheme="minorHAnsi" w:hAnsiTheme="minorHAnsi"/>
          <w:lang w:val="bg-BG"/>
        </w:rPr>
        <w:t>автономия</w:t>
      </w:r>
      <w:r w:rsidR="00A1456B" w:rsidRPr="00DC2206">
        <w:rPr>
          <w:rFonts w:asciiTheme="minorHAnsi" w:hAnsiTheme="minorHAnsi"/>
          <w:lang w:val="bg-BG"/>
        </w:rPr>
        <w:t xml:space="preserve">та на </w:t>
      </w:r>
      <w:r w:rsidR="00A0730F" w:rsidRPr="00DC2206">
        <w:rPr>
          <w:rFonts w:asciiTheme="minorHAnsi" w:hAnsiTheme="minorHAnsi"/>
          <w:lang w:val="bg-BG"/>
        </w:rPr>
        <w:t>прокурори</w:t>
      </w:r>
      <w:r w:rsidR="00A1456B" w:rsidRPr="00DC2206">
        <w:rPr>
          <w:rFonts w:asciiTheme="minorHAnsi" w:hAnsiTheme="minorHAnsi"/>
          <w:lang w:val="bg-BG"/>
        </w:rPr>
        <w:t>те и прокуратурите</w:t>
      </w:r>
      <w:r w:rsidRPr="00DC2206">
        <w:rPr>
          <w:rFonts w:asciiTheme="minorHAnsi" w:hAnsiTheme="minorHAnsi"/>
          <w:lang w:val="bg-BG"/>
        </w:rPr>
        <w:t xml:space="preserve"> </w:t>
      </w:r>
      <w:r w:rsidR="00A1456B" w:rsidRPr="00DC2206">
        <w:rPr>
          <w:rFonts w:asciiTheme="minorHAnsi" w:hAnsiTheme="minorHAnsi"/>
          <w:lang w:val="bg-BG"/>
        </w:rPr>
        <w:t>следва да бъдат насърчавани</w:t>
      </w:r>
      <w:r w:rsidR="005832CE" w:rsidRPr="00DC2206">
        <w:rPr>
          <w:rStyle w:val="FootnoteReference"/>
          <w:rFonts w:asciiTheme="minorHAnsi" w:hAnsiTheme="minorHAnsi"/>
          <w:lang w:val="bg-BG"/>
        </w:rPr>
        <w:footnoteReference w:id="9"/>
      </w:r>
      <w:r w:rsidRPr="00DC2206">
        <w:rPr>
          <w:rFonts w:asciiTheme="minorHAnsi" w:hAnsiTheme="minorHAnsi"/>
          <w:lang w:val="bg-BG"/>
        </w:rPr>
        <w:t xml:space="preserve"> </w:t>
      </w:r>
      <w:r w:rsidR="00A1456B" w:rsidRPr="00DC2206">
        <w:rPr>
          <w:rFonts w:asciiTheme="minorHAnsi" w:hAnsiTheme="minorHAnsi"/>
          <w:lang w:val="bg-BG"/>
        </w:rPr>
        <w:t>и гарантирани от закона</w:t>
      </w:r>
      <w:r w:rsidRPr="00DC2206">
        <w:rPr>
          <w:rFonts w:asciiTheme="minorHAnsi" w:hAnsiTheme="minorHAnsi"/>
          <w:lang w:val="bg-BG"/>
        </w:rPr>
        <w:t xml:space="preserve">, </w:t>
      </w:r>
      <w:r w:rsidR="00A1456B" w:rsidRPr="00DC2206">
        <w:rPr>
          <w:rFonts w:asciiTheme="minorHAnsi" w:hAnsiTheme="minorHAnsi"/>
          <w:lang w:val="bg-BG"/>
        </w:rPr>
        <w:t>на най-високото възможно ниво</w:t>
      </w:r>
      <w:r w:rsidRPr="00DC2206">
        <w:rPr>
          <w:rFonts w:asciiTheme="minorHAnsi" w:hAnsiTheme="minorHAnsi"/>
          <w:lang w:val="bg-BG"/>
        </w:rPr>
        <w:t xml:space="preserve">, </w:t>
      </w:r>
      <w:r w:rsidR="00750CF9">
        <w:rPr>
          <w:rFonts w:asciiTheme="minorHAnsi" w:hAnsiTheme="minorHAnsi"/>
          <w:lang w:val="bg-BG"/>
        </w:rPr>
        <w:t>по начин сходен с този</w:t>
      </w:r>
      <w:r w:rsidR="00A1456B" w:rsidRPr="00DC2206">
        <w:rPr>
          <w:rFonts w:asciiTheme="minorHAnsi" w:hAnsiTheme="minorHAnsi"/>
          <w:lang w:val="bg-BG"/>
        </w:rPr>
        <w:t xml:space="preserve"> </w:t>
      </w:r>
      <w:r w:rsidR="00750CF9">
        <w:rPr>
          <w:rFonts w:asciiTheme="minorHAnsi" w:hAnsiTheme="minorHAnsi"/>
          <w:lang w:val="bg-BG"/>
        </w:rPr>
        <w:t>з</w:t>
      </w:r>
      <w:r w:rsidR="00A1456B" w:rsidRPr="00DC2206">
        <w:rPr>
          <w:rFonts w:asciiTheme="minorHAnsi" w:hAnsiTheme="minorHAnsi"/>
          <w:lang w:val="bg-BG"/>
        </w:rPr>
        <w:t>а съдиите</w:t>
      </w:r>
      <w:r w:rsidRPr="00DC2206">
        <w:rPr>
          <w:rFonts w:asciiTheme="minorHAnsi" w:hAnsiTheme="minorHAnsi"/>
          <w:lang w:val="bg-BG"/>
        </w:rPr>
        <w:t xml:space="preserve">. </w:t>
      </w:r>
      <w:r w:rsidR="00750CF9">
        <w:rPr>
          <w:rFonts w:asciiTheme="minorHAnsi" w:hAnsiTheme="minorHAnsi"/>
          <w:lang w:val="bg-BG"/>
        </w:rPr>
        <w:t>В</w:t>
      </w:r>
      <w:r w:rsidR="00D45839" w:rsidRPr="00DC2206">
        <w:rPr>
          <w:rFonts w:asciiTheme="minorHAnsi" w:hAnsiTheme="minorHAnsi"/>
          <w:lang w:val="bg-BG"/>
        </w:rPr>
        <w:t xml:space="preserve"> държавите, в които прокуратурата е независима от </w:t>
      </w:r>
      <w:r w:rsidR="00D45839" w:rsidRPr="00DC2206">
        <w:rPr>
          <w:rFonts w:asciiTheme="minorHAnsi" w:hAnsiTheme="minorHAnsi"/>
          <w:lang w:val="bg-BG"/>
        </w:rPr>
        <w:lastRenderedPageBreak/>
        <w:t>правителството</w:t>
      </w:r>
      <w:r w:rsidRPr="00DC2206">
        <w:rPr>
          <w:rFonts w:asciiTheme="minorHAnsi" w:hAnsiTheme="minorHAnsi"/>
          <w:lang w:val="bg-BG"/>
        </w:rPr>
        <w:t xml:space="preserve">, </w:t>
      </w:r>
      <w:r w:rsidR="00D45839" w:rsidRPr="00DC2206">
        <w:rPr>
          <w:rFonts w:asciiTheme="minorHAnsi" w:hAnsiTheme="minorHAnsi"/>
          <w:lang w:val="bg-BG"/>
        </w:rPr>
        <w:t xml:space="preserve">държавата трябва </w:t>
      </w:r>
      <w:r w:rsidR="00750CF9">
        <w:rPr>
          <w:rFonts w:asciiTheme="minorHAnsi" w:hAnsiTheme="minorHAnsi"/>
          <w:lang w:val="bg-BG"/>
        </w:rPr>
        <w:t>последователно да предприема</w:t>
      </w:r>
      <w:r w:rsidR="00D45839" w:rsidRPr="00DC2206">
        <w:rPr>
          <w:rFonts w:asciiTheme="minorHAnsi" w:hAnsiTheme="minorHAnsi"/>
          <w:lang w:val="bg-BG"/>
        </w:rPr>
        <w:t xml:space="preserve"> ефективни мерки, за да гарантира, че естеството и обхватът на тази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D45839" w:rsidRPr="00DC2206">
        <w:rPr>
          <w:rFonts w:asciiTheme="minorHAnsi" w:hAnsiTheme="minorHAnsi"/>
          <w:lang w:val="bg-BG"/>
        </w:rPr>
        <w:t>са установени от закона</w:t>
      </w:r>
      <w:r w:rsidR="005832CE" w:rsidRPr="00DC2206">
        <w:rPr>
          <w:rStyle w:val="FootnoteReference"/>
          <w:rFonts w:asciiTheme="minorHAnsi" w:hAnsiTheme="minorHAnsi"/>
          <w:lang w:val="bg-BG"/>
        </w:rPr>
        <w:footnoteReference w:id="10"/>
      </w:r>
      <w:r w:rsidR="00D45839" w:rsidRPr="00DC2206">
        <w:rPr>
          <w:rFonts w:asciiTheme="minorHAnsi" w:hAnsiTheme="minorHAnsi"/>
          <w:lang w:val="bg-BG"/>
        </w:rPr>
        <w:t>, а не просто от административна подзаконова нормативна уредба</w:t>
      </w:r>
      <w:r w:rsidRPr="00DC2206">
        <w:rPr>
          <w:rFonts w:asciiTheme="minorHAnsi" w:hAnsiTheme="minorHAnsi"/>
          <w:lang w:val="bg-BG"/>
        </w:rPr>
        <w:t xml:space="preserve">. </w:t>
      </w:r>
      <w:r w:rsidR="00D45839" w:rsidRPr="00DC2206">
        <w:rPr>
          <w:rFonts w:asciiTheme="minorHAnsi" w:hAnsiTheme="minorHAnsi"/>
          <w:lang w:val="bg-BG"/>
        </w:rPr>
        <w:t xml:space="preserve">Напълно независимата система на прокуратурата остава гаранция за безусловна безпристрастност на </w:t>
      </w:r>
      <w:r w:rsidR="00A0730F" w:rsidRPr="00DC2206">
        <w:rPr>
          <w:rFonts w:asciiTheme="minorHAnsi" w:hAnsiTheme="minorHAnsi"/>
          <w:lang w:val="bg-BG"/>
        </w:rPr>
        <w:t>прокурори</w:t>
      </w:r>
      <w:r w:rsidR="00D45839" w:rsidRPr="00DC2206">
        <w:rPr>
          <w:rFonts w:asciiTheme="minorHAnsi" w:hAnsiTheme="minorHAnsi"/>
          <w:lang w:val="bg-BG"/>
        </w:rPr>
        <w:t>те</w:t>
      </w:r>
      <w:r w:rsidRPr="00DC2206">
        <w:rPr>
          <w:rFonts w:asciiTheme="minorHAnsi" w:hAnsiTheme="minorHAnsi"/>
          <w:lang w:val="bg-BG"/>
        </w:rPr>
        <w:t>.</w:t>
      </w:r>
    </w:p>
    <w:p w14:paraId="13404BA3" w14:textId="77777777" w:rsidR="005832CE" w:rsidRPr="00DC2206" w:rsidRDefault="005832CE" w:rsidP="00732D5B">
      <w:pPr>
        <w:ind w:left="709" w:hanging="709"/>
        <w:jc w:val="both"/>
        <w:rPr>
          <w:rFonts w:asciiTheme="minorHAnsi" w:hAnsiTheme="minorHAnsi"/>
          <w:lang w:val="bg-BG"/>
        </w:rPr>
      </w:pPr>
    </w:p>
    <w:p w14:paraId="24A25547"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8.</w:t>
      </w:r>
      <w:r w:rsidR="005832CE" w:rsidRPr="00DC2206">
        <w:rPr>
          <w:rFonts w:asciiTheme="minorHAnsi" w:hAnsiTheme="minorHAnsi"/>
          <w:lang w:val="bg-BG"/>
        </w:rPr>
        <w:tab/>
      </w:r>
      <w:r w:rsidR="002E7193" w:rsidRPr="00DC2206">
        <w:rPr>
          <w:rFonts w:asciiTheme="minorHAnsi" w:hAnsiTheme="minorHAnsi"/>
          <w:lang w:val="bg-BG"/>
        </w:rPr>
        <w:t xml:space="preserve">Съдебната практика на международните съдилища и решенията на </w:t>
      </w:r>
      <w:r w:rsidR="00D46B76">
        <w:rPr>
          <w:rFonts w:asciiTheme="minorHAnsi" w:hAnsiTheme="minorHAnsi"/>
          <w:lang w:val="bg-BG"/>
        </w:rPr>
        <w:t>органите, учредени с международни договори,</w:t>
      </w:r>
      <w:r w:rsidR="002E7193" w:rsidRPr="00DC2206">
        <w:rPr>
          <w:rFonts w:asciiTheme="minorHAnsi" w:hAnsiTheme="minorHAnsi"/>
          <w:lang w:val="bg-BG"/>
        </w:rPr>
        <w:t xml:space="preserve"> също могат да играят важна роля</w:t>
      </w:r>
      <w:r w:rsidRPr="00DC2206">
        <w:rPr>
          <w:rFonts w:asciiTheme="minorHAnsi" w:hAnsiTheme="minorHAnsi"/>
          <w:lang w:val="bg-BG"/>
        </w:rPr>
        <w:t xml:space="preserve">. </w:t>
      </w:r>
      <w:r w:rsidR="002E7193" w:rsidRPr="00DC2206">
        <w:rPr>
          <w:rFonts w:asciiTheme="minorHAnsi" w:hAnsiTheme="minorHAnsi"/>
          <w:lang w:val="bg-BG"/>
        </w:rPr>
        <w:t>Настоящото Становище</w:t>
      </w:r>
      <w:r w:rsidRPr="00DC2206">
        <w:rPr>
          <w:rFonts w:asciiTheme="minorHAnsi" w:hAnsiTheme="minorHAnsi"/>
          <w:lang w:val="bg-BG"/>
        </w:rPr>
        <w:t xml:space="preserve"> </w:t>
      </w:r>
      <w:r w:rsidR="002E7193" w:rsidRPr="00DC2206">
        <w:rPr>
          <w:rFonts w:asciiTheme="minorHAnsi" w:hAnsiTheme="minorHAnsi"/>
          <w:lang w:val="bg-BG"/>
        </w:rPr>
        <w:t xml:space="preserve">има за цел да изследва въздействието върху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2E7193" w:rsidRPr="00DC2206">
        <w:rPr>
          <w:rFonts w:asciiTheme="minorHAnsi" w:hAnsiTheme="minorHAnsi"/>
          <w:lang w:val="bg-BG"/>
        </w:rPr>
        <w:t xml:space="preserve">на </w:t>
      </w:r>
      <w:r w:rsidR="00A0730F" w:rsidRPr="00DC2206">
        <w:rPr>
          <w:rFonts w:asciiTheme="minorHAnsi" w:hAnsiTheme="minorHAnsi"/>
          <w:lang w:val="bg-BG"/>
        </w:rPr>
        <w:t>прокуратурите</w:t>
      </w:r>
      <w:r w:rsidRPr="00DC2206">
        <w:rPr>
          <w:rFonts w:asciiTheme="minorHAnsi" w:hAnsiTheme="minorHAnsi"/>
          <w:lang w:val="bg-BG"/>
        </w:rPr>
        <w:t xml:space="preserve"> </w:t>
      </w:r>
      <w:r w:rsidR="002E7193" w:rsidRPr="00DC2206">
        <w:rPr>
          <w:rFonts w:asciiTheme="minorHAnsi" w:hAnsiTheme="minorHAnsi"/>
          <w:lang w:val="bg-BG"/>
        </w:rPr>
        <w:t xml:space="preserve">и на отделните </w:t>
      </w:r>
      <w:r w:rsidR="00A0730F" w:rsidRPr="00DC2206">
        <w:rPr>
          <w:rFonts w:asciiTheme="minorHAnsi" w:hAnsiTheme="minorHAnsi"/>
          <w:lang w:val="bg-BG"/>
        </w:rPr>
        <w:t>прокурори</w:t>
      </w:r>
      <w:r w:rsidRPr="00DC2206">
        <w:rPr>
          <w:rFonts w:asciiTheme="minorHAnsi" w:hAnsiTheme="minorHAnsi"/>
          <w:lang w:val="bg-BG"/>
        </w:rPr>
        <w:t xml:space="preserve"> </w:t>
      </w:r>
      <w:r w:rsidR="002E7193" w:rsidRPr="00DC2206">
        <w:rPr>
          <w:rFonts w:asciiTheme="minorHAnsi" w:hAnsiTheme="minorHAnsi"/>
          <w:lang w:val="bg-BG"/>
        </w:rPr>
        <w:t>на тези практики и решения</w:t>
      </w:r>
      <w:r w:rsidRPr="00DC2206">
        <w:rPr>
          <w:rFonts w:asciiTheme="minorHAnsi" w:hAnsiTheme="minorHAnsi"/>
          <w:lang w:val="bg-BG"/>
        </w:rPr>
        <w:t>.</w:t>
      </w:r>
    </w:p>
    <w:p w14:paraId="02AE4CF4" w14:textId="77777777" w:rsidR="005832CE" w:rsidRPr="00DC2206" w:rsidRDefault="005832CE" w:rsidP="00732D5B">
      <w:pPr>
        <w:ind w:left="709" w:hanging="709"/>
        <w:jc w:val="both"/>
        <w:rPr>
          <w:rFonts w:asciiTheme="minorHAnsi" w:hAnsiTheme="minorHAnsi"/>
          <w:lang w:val="bg-BG"/>
        </w:rPr>
      </w:pPr>
    </w:p>
    <w:p w14:paraId="73CADD0B"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9.</w:t>
      </w:r>
      <w:r w:rsidR="005832CE" w:rsidRPr="00DC2206">
        <w:rPr>
          <w:rFonts w:asciiTheme="minorHAnsi" w:hAnsiTheme="minorHAnsi"/>
          <w:lang w:val="bg-BG"/>
        </w:rPr>
        <w:tab/>
      </w:r>
      <w:r w:rsidR="002E7193" w:rsidRPr="00DC2206">
        <w:rPr>
          <w:rFonts w:asciiTheme="minorHAnsi" w:hAnsiTheme="minorHAnsi"/>
          <w:lang w:val="bg-BG"/>
        </w:rPr>
        <w:t>Това Становище е изготвено въз основа на Европейката конвенция за правата на човека</w:t>
      </w:r>
      <w:r w:rsidRPr="00DC2206">
        <w:rPr>
          <w:rFonts w:asciiTheme="minorHAnsi" w:hAnsiTheme="minorHAnsi"/>
          <w:lang w:val="bg-BG"/>
        </w:rPr>
        <w:t xml:space="preserve"> (</w:t>
      </w:r>
      <w:r w:rsidR="001C1676" w:rsidRPr="00DC2206">
        <w:rPr>
          <w:rFonts w:asciiTheme="minorHAnsi" w:hAnsiTheme="minorHAnsi"/>
          <w:lang w:val="bg-BG"/>
        </w:rPr>
        <w:t>оттук нататък наричана ЕКПЧ</w:t>
      </w:r>
      <w:r w:rsidRPr="00DC2206">
        <w:rPr>
          <w:rFonts w:asciiTheme="minorHAnsi" w:hAnsiTheme="minorHAnsi"/>
          <w:lang w:val="bg-BG"/>
        </w:rPr>
        <w:t xml:space="preserve">) </w:t>
      </w:r>
      <w:r w:rsidR="001C1676" w:rsidRPr="00DC2206">
        <w:rPr>
          <w:rFonts w:asciiTheme="minorHAnsi" w:hAnsiTheme="minorHAnsi"/>
          <w:lang w:val="bg-BG"/>
        </w:rPr>
        <w:t>и относимата съдебна практика на Европейския съд по правата на човека</w:t>
      </w:r>
      <w:r w:rsidRPr="00DC2206">
        <w:rPr>
          <w:rFonts w:asciiTheme="minorHAnsi" w:hAnsiTheme="minorHAnsi"/>
          <w:lang w:val="bg-BG"/>
        </w:rPr>
        <w:t xml:space="preserve"> (</w:t>
      </w:r>
      <w:r w:rsidR="001C1676" w:rsidRPr="00DC2206">
        <w:rPr>
          <w:rFonts w:asciiTheme="minorHAnsi" w:hAnsiTheme="minorHAnsi"/>
          <w:lang w:val="bg-BG"/>
        </w:rPr>
        <w:t>оттук нататък наричан ЕСПЧ</w:t>
      </w:r>
      <w:r w:rsidRPr="00DC2206">
        <w:rPr>
          <w:rFonts w:asciiTheme="minorHAnsi" w:hAnsiTheme="minorHAnsi"/>
          <w:lang w:val="bg-BG"/>
        </w:rPr>
        <w:t xml:space="preserve">), </w:t>
      </w:r>
      <w:r w:rsidR="001C1676" w:rsidRPr="00DC2206">
        <w:rPr>
          <w:rFonts w:asciiTheme="minorHAnsi" w:hAnsiTheme="minorHAnsi"/>
          <w:lang w:val="bg-BG"/>
        </w:rPr>
        <w:t xml:space="preserve">както и на </w:t>
      </w:r>
      <w:r w:rsidRPr="00DC2206">
        <w:rPr>
          <w:rFonts w:asciiTheme="minorHAnsi" w:hAnsiTheme="minorHAnsi"/>
          <w:lang w:val="bg-BG"/>
        </w:rPr>
        <w:t xml:space="preserve"> </w:t>
      </w:r>
      <w:r w:rsidR="001C1676" w:rsidRPr="00DC2206">
        <w:rPr>
          <w:rFonts w:asciiTheme="minorHAnsi" w:hAnsiTheme="minorHAnsi"/>
          <w:lang w:val="bg-BG"/>
        </w:rPr>
        <w:t>съдебната практика</w:t>
      </w:r>
      <w:r w:rsidRPr="00DC2206">
        <w:rPr>
          <w:rFonts w:asciiTheme="minorHAnsi" w:hAnsiTheme="minorHAnsi"/>
          <w:lang w:val="bg-BG"/>
        </w:rPr>
        <w:t xml:space="preserve"> </w:t>
      </w:r>
      <w:r w:rsidR="001C1676" w:rsidRPr="00DC2206">
        <w:rPr>
          <w:rFonts w:asciiTheme="minorHAnsi" w:hAnsiTheme="minorHAnsi"/>
          <w:lang w:val="bg-BG"/>
        </w:rPr>
        <w:t>на Съда на Европейския съюз</w:t>
      </w:r>
      <w:r w:rsidRPr="00DC2206">
        <w:rPr>
          <w:rFonts w:asciiTheme="minorHAnsi" w:hAnsiTheme="minorHAnsi"/>
          <w:lang w:val="bg-BG"/>
        </w:rPr>
        <w:t xml:space="preserve"> (</w:t>
      </w:r>
      <w:r w:rsidR="001C1676" w:rsidRPr="00DC2206">
        <w:rPr>
          <w:rFonts w:asciiTheme="minorHAnsi" w:hAnsiTheme="minorHAnsi"/>
          <w:lang w:val="bg-BG"/>
        </w:rPr>
        <w:t>оттук нататък наричан СЕС</w:t>
      </w:r>
      <w:r w:rsidRPr="00DC2206">
        <w:rPr>
          <w:rFonts w:asciiTheme="minorHAnsi" w:hAnsiTheme="minorHAnsi"/>
          <w:lang w:val="bg-BG"/>
        </w:rPr>
        <w:t xml:space="preserve">) </w:t>
      </w:r>
      <w:r w:rsidR="007D565F" w:rsidRPr="00DC2206">
        <w:rPr>
          <w:rFonts w:asciiTheme="minorHAnsi" w:hAnsiTheme="minorHAnsi"/>
          <w:lang w:val="bg-BG"/>
        </w:rPr>
        <w:t>и решенията на съответните</w:t>
      </w:r>
      <w:r w:rsidRPr="00DC2206">
        <w:rPr>
          <w:rFonts w:asciiTheme="minorHAnsi" w:hAnsiTheme="minorHAnsi"/>
          <w:lang w:val="bg-BG"/>
        </w:rPr>
        <w:t xml:space="preserve"> </w:t>
      </w:r>
      <w:r w:rsidR="00D46B76">
        <w:rPr>
          <w:rFonts w:asciiTheme="minorHAnsi" w:hAnsiTheme="minorHAnsi"/>
          <w:lang w:val="bg-BG"/>
        </w:rPr>
        <w:t>органи, учредени с международни договори,</w:t>
      </w:r>
      <w:r w:rsidR="007D565F" w:rsidRPr="00DC2206">
        <w:rPr>
          <w:rFonts w:asciiTheme="minorHAnsi" w:hAnsiTheme="minorHAnsi"/>
          <w:lang w:val="bg-BG"/>
        </w:rPr>
        <w:t xml:space="preserve"> на Организацията на обединените нации</w:t>
      </w:r>
      <w:r w:rsidRPr="00DC2206">
        <w:rPr>
          <w:rFonts w:asciiTheme="minorHAnsi" w:hAnsiTheme="minorHAnsi"/>
          <w:lang w:val="bg-BG"/>
        </w:rPr>
        <w:t>.</w:t>
      </w:r>
    </w:p>
    <w:p w14:paraId="488ED5E0" w14:textId="77777777" w:rsidR="005832CE" w:rsidRPr="00DC2206" w:rsidRDefault="005832CE" w:rsidP="00732D5B">
      <w:pPr>
        <w:ind w:left="709" w:hanging="709"/>
        <w:jc w:val="both"/>
        <w:rPr>
          <w:rFonts w:asciiTheme="minorHAnsi" w:hAnsiTheme="minorHAnsi"/>
          <w:lang w:val="bg-BG"/>
        </w:rPr>
      </w:pPr>
    </w:p>
    <w:p w14:paraId="2AAFCBEA"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10.</w:t>
      </w:r>
      <w:r w:rsidR="005832CE" w:rsidRPr="00DC2206">
        <w:rPr>
          <w:rFonts w:asciiTheme="minorHAnsi" w:hAnsiTheme="minorHAnsi"/>
          <w:lang w:val="bg-BG"/>
        </w:rPr>
        <w:tab/>
      </w:r>
      <w:r w:rsidR="002E7193" w:rsidRPr="00DC2206">
        <w:rPr>
          <w:rFonts w:asciiTheme="minorHAnsi" w:hAnsiTheme="minorHAnsi"/>
          <w:lang w:val="bg-BG"/>
        </w:rPr>
        <w:t>Това Становище</w:t>
      </w:r>
      <w:r w:rsidRPr="00DC2206">
        <w:rPr>
          <w:rFonts w:asciiTheme="minorHAnsi" w:hAnsiTheme="minorHAnsi"/>
          <w:lang w:val="bg-BG"/>
        </w:rPr>
        <w:t xml:space="preserve"> </w:t>
      </w:r>
      <w:r w:rsidR="0019086C" w:rsidRPr="00DC2206">
        <w:rPr>
          <w:rFonts w:asciiTheme="minorHAnsi" w:hAnsiTheme="minorHAnsi"/>
          <w:lang w:val="bg-BG"/>
        </w:rPr>
        <w:t>е основано и на предходните Становища на КСЕП</w:t>
      </w:r>
      <w:r w:rsidRPr="00DC2206">
        <w:rPr>
          <w:rFonts w:asciiTheme="minorHAnsi" w:hAnsiTheme="minorHAnsi"/>
          <w:lang w:val="bg-BG"/>
        </w:rPr>
        <w:t xml:space="preserve">, </w:t>
      </w:r>
      <w:r w:rsidR="0019086C" w:rsidRPr="00DC2206">
        <w:rPr>
          <w:rFonts w:asciiTheme="minorHAnsi" w:hAnsiTheme="minorHAnsi"/>
          <w:lang w:val="bg-BG"/>
        </w:rPr>
        <w:t xml:space="preserve">по-специално </w:t>
      </w:r>
      <w:r w:rsidR="002E7193" w:rsidRPr="00DC2206">
        <w:rPr>
          <w:rFonts w:asciiTheme="minorHAnsi" w:hAnsiTheme="minorHAnsi"/>
          <w:lang w:val="bg-BG"/>
        </w:rPr>
        <w:t>Становище</w:t>
      </w:r>
      <w:r w:rsidRPr="00DC2206">
        <w:rPr>
          <w:rFonts w:asciiTheme="minorHAnsi" w:hAnsiTheme="minorHAnsi"/>
          <w:lang w:val="bg-BG"/>
        </w:rPr>
        <w:t xml:space="preserve"> </w:t>
      </w:r>
      <w:r w:rsidR="0019086C" w:rsidRPr="00DC2206">
        <w:rPr>
          <w:rFonts w:asciiTheme="minorHAnsi" w:hAnsiTheme="minorHAnsi"/>
          <w:lang w:val="bg-BG"/>
        </w:rPr>
        <w:t>№ </w:t>
      </w:r>
      <w:r w:rsidRPr="00DC2206">
        <w:rPr>
          <w:rFonts w:asciiTheme="minorHAnsi" w:hAnsiTheme="minorHAnsi"/>
          <w:lang w:val="bg-BG"/>
        </w:rPr>
        <w:t xml:space="preserve">9 (2014) </w:t>
      </w:r>
      <w:r w:rsidR="0019086C" w:rsidRPr="00DC2206">
        <w:rPr>
          <w:rFonts w:asciiTheme="minorHAnsi" w:hAnsiTheme="minorHAnsi"/>
          <w:lang w:val="bg-BG"/>
        </w:rPr>
        <w:t>относно европейските норми и принципи, засягащи прокурорите</w:t>
      </w:r>
      <w:r w:rsidRPr="00DC2206">
        <w:rPr>
          <w:rFonts w:asciiTheme="minorHAnsi" w:hAnsiTheme="minorHAnsi"/>
          <w:lang w:val="bg-BG"/>
        </w:rPr>
        <w:t xml:space="preserve">, </w:t>
      </w:r>
      <w:r w:rsidR="0019086C" w:rsidRPr="00DC2206">
        <w:rPr>
          <w:rFonts w:asciiTheme="minorHAnsi" w:hAnsiTheme="minorHAnsi"/>
          <w:lang w:val="bg-BG"/>
        </w:rPr>
        <w:t>включително Римската харта</w:t>
      </w:r>
      <w:r w:rsidRPr="00DC2206">
        <w:rPr>
          <w:rFonts w:asciiTheme="minorHAnsi" w:hAnsiTheme="minorHAnsi"/>
          <w:lang w:val="bg-BG"/>
        </w:rPr>
        <w:t xml:space="preserve">, </w:t>
      </w:r>
      <w:r w:rsidR="0019086C" w:rsidRPr="00DC2206">
        <w:rPr>
          <w:rFonts w:asciiTheme="minorHAnsi" w:hAnsiTheme="minorHAnsi"/>
          <w:lang w:val="bg-BG"/>
        </w:rPr>
        <w:t xml:space="preserve">и </w:t>
      </w:r>
      <w:r w:rsidR="002E7193" w:rsidRPr="00DC2206">
        <w:rPr>
          <w:rFonts w:asciiTheme="minorHAnsi" w:hAnsiTheme="minorHAnsi"/>
          <w:lang w:val="bg-BG"/>
        </w:rPr>
        <w:t>Становище</w:t>
      </w:r>
      <w:r w:rsidRPr="00DC2206">
        <w:rPr>
          <w:rFonts w:asciiTheme="minorHAnsi" w:hAnsiTheme="minorHAnsi"/>
          <w:lang w:val="bg-BG"/>
        </w:rPr>
        <w:t xml:space="preserve"> </w:t>
      </w:r>
      <w:r w:rsidR="0019086C" w:rsidRPr="00DC2206">
        <w:rPr>
          <w:rFonts w:asciiTheme="minorHAnsi" w:hAnsiTheme="minorHAnsi"/>
          <w:lang w:val="bg-BG"/>
        </w:rPr>
        <w:t>№ </w:t>
      </w:r>
      <w:r w:rsidRPr="00DC2206">
        <w:rPr>
          <w:rFonts w:asciiTheme="minorHAnsi" w:hAnsiTheme="minorHAnsi"/>
          <w:lang w:val="bg-BG"/>
        </w:rPr>
        <w:t xml:space="preserve">13 (2018) </w:t>
      </w:r>
      <w:r w:rsidR="0019086C" w:rsidRPr="00DC2206">
        <w:rPr>
          <w:rFonts w:asciiTheme="minorHAnsi" w:hAnsiTheme="minorHAnsi"/>
          <w:lang w:val="bg-BG"/>
        </w:rPr>
        <w:t>относно независимост, отчетност и етика на прокурорите</w:t>
      </w:r>
      <w:r w:rsidRPr="00DC2206">
        <w:rPr>
          <w:rFonts w:asciiTheme="minorHAnsi" w:hAnsiTheme="minorHAnsi"/>
          <w:lang w:val="bg-BG"/>
        </w:rPr>
        <w:t xml:space="preserve">, </w:t>
      </w:r>
      <w:r w:rsidR="0019086C" w:rsidRPr="00DC2206">
        <w:rPr>
          <w:rFonts w:asciiTheme="minorHAnsi" w:hAnsiTheme="minorHAnsi"/>
          <w:lang w:val="bg-BG"/>
        </w:rPr>
        <w:t xml:space="preserve">както и на Препоръка Rec(2000)19 на Комитета на министрите към държавите членки за ролята на прокуратурата в системата на наказателното правосъдие </w:t>
      </w:r>
      <w:r w:rsidRPr="00DC2206">
        <w:rPr>
          <w:rFonts w:asciiTheme="minorHAnsi" w:hAnsiTheme="minorHAnsi"/>
          <w:lang w:val="bg-BG"/>
        </w:rPr>
        <w:t>(</w:t>
      </w:r>
      <w:r w:rsidR="0019086C" w:rsidRPr="00DC2206">
        <w:rPr>
          <w:rFonts w:asciiTheme="minorHAnsi" w:hAnsiTheme="minorHAnsi"/>
          <w:lang w:val="bg-BG"/>
        </w:rPr>
        <w:t>оттук нататък наричана Препоръка</w:t>
      </w:r>
      <w:r w:rsidRPr="00DC2206">
        <w:rPr>
          <w:rFonts w:asciiTheme="minorHAnsi" w:hAnsiTheme="minorHAnsi"/>
          <w:lang w:val="bg-BG"/>
        </w:rPr>
        <w:t xml:space="preserve"> Rec(2000)19) </w:t>
      </w:r>
      <w:r w:rsidR="0019086C" w:rsidRPr="00DC2206">
        <w:rPr>
          <w:rFonts w:asciiTheme="minorHAnsi" w:hAnsiTheme="minorHAnsi"/>
          <w:lang w:val="bg-BG"/>
        </w:rPr>
        <w:t>и</w:t>
      </w:r>
      <w:r w:rsidRPr="00DC2206">
        <w:rPr>
          <w:rFonts w:asciiTheme="minorHAnsi" w:hAnsiTheme="minorHAnsi"/>
          <w:lang w:val="bg-BG"/>
        </w:rPr>
        <w:t xml:space="preserve"> </w:t>
      </w:r>
      <w:r w:rsidR="0019086C" w:rsidRPr="00DC2206">
        <w:rPr>
          <w:rFonts w:asciiTheme="minorHAnsi" w:hAnsiTheme="minorHAnsi"/>
          <w:lang w:val="bg-BG"/>
        </w:rPr>
        <w:t>Препоръка</w:t>
      </w:r>
      <w:r w:rsidRPr="00DC2206">
        <w:rPr>
          <w:rFonts w:asciiTheme="minorHAnsi" w:hAnsiTheme="minorHAnsi"/>
          <w:lang w:val="bg-BG"/>
        </w:rPr>
        <w:t xml:space="preserve"> Rec(2012)11 </w:t>
      </w:r>
      <w:r w:rsidR="0019086C" w:rsidRPr="00DC2206">
        <w:rPr>
          <w:rFonts w:asciiTheme="minorHAnsi" w:hAnsiTheme="minorHAnsi"/>
          <w:lang w:val="bg-BG"/>
        </w:rPr>
        <w:t>на</w:t>
      </w:r>
      <w:r w:rsidRPr="00DC2206">
        <w:rPr>
          <w:rFonts w:asciiTheme="minorHAnsi" w:hAnsiTheme="minorHAnsi"/>
          <w:lang w:val="bg-BG"/>
        </w:rPr>
        <w:t xml:space="preserve"> </w:t>
      </w:r>
      <w:r w:rsidR="00732D5B" w:rsidRPr="00DC2206">
        <w:rPr>
          <w:rFonts w:asciiTheme="minorHAnsi" w:hAnsiTheme="minorHAnsi"/>
          <w:lang w:val="bg-BG"/>
        </w:rPr>
        <w:t>Комитета на министрите</w:t>
      </w:r>
      <w:r w:rsidRPr="00DC2206">
        <w:rPr>
          <w:rFonts w:asciiTheme="minorHAnsi" w:hAnsiTheme="minorHAnsi"/>
          <w:lang w:val="bg-BG"/>
        </w:rPr>
        <w:t xml:space="preserve"> </w:t>
      </w:r>
      <w:r w:rsidR="0019086C" w:rsidRPr="00DC2206">
        <w:rPr>
          <w:rFonts w:asciiTheme="minorHAnsi" w:hAnsiTheme="minorHAnsi"/>
          <w:lang w:val="bg-BG"/>
        </w:rPr>
        <w:t xml:space="preserve">за ролята на прокуратурата извън системата на наказателното правосъдие </w:t>
      </w:r>
      <w:r w:rsidRPr="00DC2206">
        <w:rPr>
          <w:rFonts w:asciiTheme="minorHAnsi" w:hAnsiTheme="minorHAnsi"/>
          <w:lang w:val="bg-BG"/>
        </w:rPr>
        <w:t>(</w:t>
      </w:r>
      <w:r w:rsidR="0019086C" w:rsidRPr="00DC2206">
        <w:rPr>
          <w:rFonts w:asciiTheme="minorHAnsi" w:hAnsiTheme="minorHAnsi"/>
          <w:lang w:val="bg-BG"/>
        </w:rPr>
        <w:t>оттук нататък наричана Препоръка</w:t>
      </w:r>
      <w:r w:rsidRPr="00DC2206">
        <w:rPr>
          <w:rFonts w:asciiTheme="minorHAnsi" w:hAnsiTheme="minorHAnsi"/>
          <w:lang w:val="bg-BG"/>
        </w:rPr>
        <w:t xml:space="preserve"> Rec(2012)11).</w:t>
      </w:r>
    </w:p>
    <w:p w14:paraId="352EAC2C" w14:textId="77777777" w:rsidR="005832CE" w:rsidRPr="00DC2206" w:rsidRDefault="005832CE" w:rsidP="00732D5B">
      <w:pPr>
        <w:ind w:left="709" w:hanging="709"/>
        <w:jc w:val="both"/>
        <w:rPr>
          <w:rFonts w:asciiTheme="minorHAnsi" w:hAnsiTheme="minorHAnsi"/>
          <w:lang w:val="bg-BG"/>
        </w:rPr>
      </w:pPr>
    </w:p>
    <w:p w14:paraId="5A8FD77E"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11.</w:t>
      </w:r>
      <w:r w:rsidR="005832CE" w:rsidRPr="00DC2206">
        <w:rPr>
          <w:rFonts w:asciiTheme="minorHAnsi" w:hAnsiTheme="minorHAnsi"/>
          <w:lang w:val="bg-BG"/>
        </w:rPr>
        <w:tab/>
      </w:r>
      <w:r w:rsidR="0019086C" w:rsidRPr="00DC2206">
        <w:rPr>
          <w:rFonts w:asciiTheme="minorHAnsi" w:hAnsiTheme="minorHAnsi"/>
          <w:lang w:val="bg-BG"/>
        </w:rPr>
        <w:t>Освен това</w:t>
      </w:r>
      <w:r w:rsidRPr="00DC2206">
        <w:rPr>
          <w:rFonts w:asciiTheme="minorHAnsi" w:hAnsiTheme="minorHAnsi"/>
          <w:lang w:val="bg-BG"/>
        </w:rPr>
        <w:t xml:space="preserve"> </w:t>
      </w:r>
      <w:r w:rsidR="00B90749" w:rsidRPr="00DC2206">
        <w:rPr>
          <w:rFonts w:asciiTheme="minorHAnsi" w:hAnsiTheme="minorHAnsi"/>
          <w:lang w:val="bg-BG"/>
        </w:rPr>
        <w:t>КСЕП</w:t>
      </w:r>
      <w:r w:rsidRPr="00DC2206">
        <w:rPr>
          <w:rFonts w:asciiTheme="minorHAnsi" w:hAnsiTheme="minorHAnsi"/>
          <w:lang w:val="bg-BG"/>
        </w:rPr>
        <w:t xml:space="preserve"> </w:t>
      </w:r>
      <w:r w:rsidR="0019086C" w:rsidRPr="00DC2206">
        <w:rPr>
          <w:rFonts w:asciiTheme="minorHAnsi" w:hAnsiTheme="minorHAnsi"/>
          <w:lang w:val="bg-BG"/>
        </w:rPr>
        <w:t xml:space="preserve">се е запознал с </w:t>
      </w:r>
      <w:r w:rsidR="002E55CA" w:rsidRPr="00DC2206">
        <w:rPr>
          <w:rFonts w:asciiTheme="minorHAnsi" w:hAnsiTheme="minorHAnsi"/>
          <w:lang w:val="bg-BG"/>
        </w:rPr>
        <w:t xml:space="preserve">Ръководните принципи на ООН за ролята на прокурорите, приети през </w:t>
      </w:r>
      <w:r w:rsidRPr="00DC2206">
        <w:rPr>
          <w:rFonts w:asciiTheme="minorHAnsi" w:hAnsiTheme="minorHAnsi"/>
          <w:lang w:val="bg-BG"/>
        </w:rPr>
        <w:t>1990</w:t>
      </w:r>
      <w:r w:rsidR="002E55CA" w:rsidRPr="00DC2206">
        <w:rPr>
          <w:rFonts w:asciiTheme="minorHAnsi" w:hAnsiTheme="minorHAnsi"/>
          <w:lang w:val="bg-BG"/>
        </w:rPr>
        <w:t> г.</w:t>
      </w:r>
      <w:r w:rsidR="005832CE" w:rsidRPr="00DC2206">
        <w:rPr>
          <w:rStyle w:val="FootnoteReference"/>
          <w:rFonts w:asciiTheme="minorHAnsi" w:hAnsiTheme="minorHAnsi"/>
          <w:lang w:val="bg-BG"/>
        </w:rPr>
        <w:footnoteReference w:id="11"/>
      </w:r>
      <w:r w:rsidRPr="00DC2206">
        <w:rPr>
          <w:rFonts w:asciiTheme="minorHAnsi" w:hAnsiTheme="minorHAnsi"/>
          <w:lang w:val="bg-BG"/>
        </w:rPr>
        <w:t xml:space="preserve">, </w:t>
      </w:r>
      <w:r w:rsidR="002E55CA" w:rsidRPr="00DC2206">
        <w:rPr>
          <w:rFonts w:asciiTheme="minorHAnsi" w:hAnsiTheme="minorHAnsi"/>
          <w:lang w:val="bg-BG"/>
        </w:rPr>
        <w:t>както и със Стандартите за професионална отговорност и изложение на основните права и задължения на прокурорите</w:t>
      </w:r>
      <w:r w:rsidRPr="00DC2206">
        <w:rPr>
          <w:rFonts w:asciiTheme="minorHAnsi" w:hAnsiTheme="minorHAnsi"/>
          <w:lang w:val="bg-BG"/>
        </w:rPr>
        <w:t xml:space="preserve">, </w:t>
      </w:r>
      <w:r w:rsidR="002E55CA" w:rsidRPr="00DC2206">
        <w:rPr>
          <w:rFonts w:asciiTheme="minorHAnsi" w:hAnsiTheme="minorHAnsi"/>
          <w:lang w:val="bg-BG"/>
        </w:rPr>
        <w:t xml:space="preserve">приети през </w:t>
      </w:r>
      <w:r w:rsidRPr="00DC2206">
        <w:rPr>
          <w:rFonts w:asciiTheme="minorHAnsi" w:hAnsiTheme="minorHAnsi"/>
          <w:lang w:val="bg-BG"/>
        </w:rPr>
        <w:t>1999</w:t>
      </w:r>
      <w:r w:rsidR="002E55CA" w:rsidRPr="00DC2206">
        <w:rPr>
          <w:rFonts w:asciiTheme="minorHAnsi" w:hAnsiTheme="minorHAnsi"/>
          <w:lang w:val="bg-BG"/>
        </w:rPr>
        <w:t> г. от Международната асоциация на п</w:t>
      </w:r>
      <w:r w:rsidR="00A0730F" w:rsidRPr="00DC2206">
        <w:rPr>
          <w:rFonts w:asciiTheme="minorHAnsi" w:hAnsiTheme="minorHAnsi"/>
          <w:lang w:val="bg-BG"/>
        </w:rPr>
        <w:t>рокурори</w:t>
      </w:r>
      <w:r w:rsidR="002E55CA" w:rsidRPr="00DC2206">
        <w:rPr>
          <w:rFonts w:asciiTheme="minorHAnsi" w:hAnsiTheme="minorHAnsi"/>
          <w:lang w:val="bg-BG"/>
        </w:rPr>
        <w:t>те</w:t>
      </w:r>
      <w:r w:rsidRPr="00DC2206">
        <w:rPr>
          <w:rFonts w:asciiTheme="minorHAnsi" w:hAnsiTheme="minorHAnsi"/>
          <w:lang w:val="bg-BG"/>
        </w:rPr>
        <w:t xml:space="preserve"> (</w:t>
      </w:r>
      <w:r w:rsidR="009234AE" w:rsidRPr="00DC2206">
        <w:rPr>
          <w:rFonts w:asciiTheme="minorHAnsi" w:hAnsiTheme="minorHAnsi"/>
          <w:lang w:val="bg-BG"/>
        </w:rPr>
        <w:t>МАП</w:t>
      </w:r>
      <w:r w:rsidRPr="00DC2206">
        <w:rPr>
          <w:rFonts w:asciiTheme="minorHAnsi" w:hAnsiTheme="minorHAnsi"/>
          <w:lang w:val="bg-BG"/>
        </w:rPr>
        <w:t>)</w:t>
      </w:r>
      <w:r w:rsidR="005832CE" w:rsidRPr="00DC2206">
        <w:rPr>
          <w:rStyle w:val="FootnoteReference"/>
          <w:rFonts w:asciiTheme="minorHAnsi" w:hAnsiTheme="minorHAnsi"/>
          <w:lang w:val="bg-BG"/>
        </w:rPr>
        <w:footnoteReference w:id="12"/>
      </w:r>
      <w:r w:rsidRPr="00DC2206">
        <w:rPr>
          <w:rFonts w:asciiTheme="minorHAnsi" w:hAnsiTheme="minorHAnsi"/>
          <w:lang w:val="bg-BG"/>
        </w:rPr>
        <w:t>.</w:t>
      </w:r>
    </w:p>
    <w:p w14:paraId="5B4AEFDD" w14:textId="77777777" w:rsidR="005832CE" w:rsidRPr="00DC2206" w:rsidRDefault="005832CE" w:rsidP="00732D5B">
      <w:pPr>
        <w:ind w:left="709" w:hanging="709"/>
        <w:jc w:val="both"/>
        <w:rPr>
          <w:rFonts w:asciiTheme="minorHAnsi" w:hAnsiTheme="minorHAnsi"/>
          <w:lang w:val="bg-BG"/>
        </w:rPr>
      </w:pPr>
    </w:p>
    <w:p w14:paraId="64E0CB1F"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 xml:space="preserve">12. </w:t>
      </w:r>
      <w:r w:rsidR="005832CE" w:rsidRPr="00DC2206">
        <w:rPr>
          <w:rFonts w:asciiTheme="minorHAnsi" w:hAnsiTheme="minorHAnsi"/>
          <w:lang w:val="bg-BG"/>
        </w:rPr>
        <w:tab/>
      </w:r>
      <w:r w:rsidR="00401E03" w:rsidRPr="00DC2206">
        <w:rPr>
          <w:rFonts w:asciiTheme="minorHAnsi" w:hAnsiTheme="minorHAnsi"/>
          <w:lang w:val="bg-BG"/>
        </w:rPr>
        <w:t xml:space="preserve">В хода на подготовката на </w:t>
      </w:r>
      <w:r w:rsidR="00AD7714" w:rsidRPr="00DC2206">
        <w:rPr>
          <w:rFonts w:asciiTheme="minorHAnsi" w:hAnsiTheme="minorHAnsi"/>
          <w:lang w:val="bg-BG"/>
        </w:rPr>
        <w:t>настоящото Становище</w:t>
      </w:r>
      <w:r w:rsidRPr="00DC2206">
        <w:rPr>
          <w:rFonts w:asciiTheme="minorHAnsi" w:hAnsiTheme="minorHAnsi"/>
          <w:lang w:val="bg-BG"/>
        </w:rPr>
        <w:t xml:space="preserve">, </w:t>
      </w:r>
      <w:r w:rsidR="00B90749" w:rsidRPr="00DC2206">
        <w:rPr>
          <w:rFonts w:asciiTheme="minorHAnsi" w:hAnsiTheme="minorHAnsi"/>
          <w:lang w:val="bg-BG"/>
        </w:rPr>
        <w:t>КСЕП</w:t>
      </w:r>
      <w:r w:rsidRPr="00DC2206">
        <w:rPr>
          <w:rFonts w:asciiTheme="minorHAnsi" w:hAnsiTheme="minorHAnsi"/>
          <w:lang w:val="bg-BG"/>
        </w:rPr>
        <w:t xml:space="preserve"> </w:t>
      </w:r>
      <w:r w:rsidR="00BF23A7">
        <w:rPr>
          <w:rFonts w:asciiTheme="minorHAnsi" w:hAnsiTheme="minorHAnsi"/>
          <w:lang w:val="bg-BG"/>
        </w:rPr>
        <w:t xml:space="preserve">стъпи </w:t>
      </w:r>
      <w:r w:rsidR="00401E03" w:rsidRPr="00DC2206">
        <w:rPr>
          <w:rFonts w:asciiTheme="minorHAnsi" w:hAnsiTheme="minorHAnsi"/>
          <w:lang w:val="bg-BG"/>
        </w:rPr>
        <w:t xml:space="preserve">а значителния принос на г-н </w:t>
      </w:r>
      <w:r w:rsidRPr="00DC2206">
        <w:rPr>
          <w:rFonts w:asciiTheme="minorHAnsi" w:hAnsiTheme="minorHAnsi"/>
          <w:lang w:val="bg-BG"/>
        </w:rPr>
        <w:t>Joao Manuel da Silva Miguel (</w:t>
      </w:r>
      <w:r w:rsidR="00401E03" w:rsidRPr="00DC2206">
        <w:rPr>
          <w:rFonts w:asciiTheme="minorHAnsi" w:hAnsiTheme="minorHAnsi"/>
          <w:lang w:val="bg-BG"/>
        </w:rPr>
        <w:t>Португалия</w:t>
      </w:r>
      <w:r w:rsidRPr="00DC2206">
        <w:rPr>
          <w:rFonts w:asciiTheme="minorHAnsi" w:hAnsiTheme="minorHAnsi"/>
          <w:lang w:val="bg-BG"/>
        </w:rPr>
        <w:t xml:space="preserve">), </w:t>
      </w:r>
      <w:r w:rsidR="00401E03" w:rsidRPr="00DC2206">
        <w:rPr>
          <w:rFonts w:asciiTheme="minorHAnsi" w:hAnsiTheme="minorHAnsi"/>
          <w:lang w:val="bg-BG"/>
        </w:rPr>
        <w:t xml:space="preserve">г-н </w:t>
      </w:r>
      <w:r w:rsidRPr="00DC2206">
        <w:rPr>
          <w:rFonts w:asciiTheme="minorHAnsi" w:hAnsiTheme="minorHAnsi"/>
          <w:lang w:val="bg-BG"/>
        </w:rPr>
        <w:t>Jose Manuel Santos Pais (</w:t>
      </w:r>
      <w:r w:rsidR="00401E03" w:rsidRPr="00DC2206">
        <w:rPr>
          <w:rFonts w:asciiTheme="minorHAnsi" w:hAnsiTheme="minorHAnsi"/>
          <w:lang w:val="bg-BG"/>
        </w:rPr>
        <w:t>Португалия</w:t>
      </w:r>
      <w:r w:rsidRPr="00DC2206">
        <w:rPr>
          <w:rFonts w:asciiTheme="minorHAnsi" w:hAnsiTheme="minorHAnsi"/>
          <w:lang w:val="bg-BG"/>
        </w:rPr>
        <w:t xml:space="preserve">), </w:t>
      </w:r>
      <w:r w:rsidR="00401E03" w:rsidRPr="00DC2206">
        <w:rPr>
          <w:rFonts w:asciiTheme="minorHAnsi" w:hAnsiTheme="minorHAnsi"/>
          <w:lang w:val="bg-BG"/>
        </w:rPr>
        <w:t xml:space="preserve">г-жа </w:t>
      </w:r>
      <w:r w:rsidRPr="00DC2206">
        <w:rPr>
          <w:rFonts w:asciiTheme="minorHAnsi" w:hAnsiTheme="minorHAnsi"/>
          <w:lang w:val="bg-BG"/>
        </w:rPr>
        <w:t>Jana Zezulova (</w:t>
      </w:r>
      <w:r w:rsidR="00401E03" w:rsidRPr="00DC2206">
        <w:rPr>
          <w:rFonts w:asciiTheme="minorHAnsi" w:hAnsiTheme="minorHAnsi"/>
          <w:lang w:val="bg-BG"/>
        </w:rPr>
        <w:t>Република Чехия</w:t>
      </w:r>
      <w:r w:rsidRPr="00DC2206">
        <w:rPr>
          <w:rFonts w:asciiTheme="minorHAnsi" w:hAnsiTheme="minorHAnsi"/>
          <w:lang w:val="bg-BG"/>
        </w:rPr>
        <w:t xml:space="preserve">) </w:t>
      </w:r>
      <w:r w:rsidR="00401E03" w:rsidRPr="00DC2206">
        <w:rPr>
          <w:rFonts w:asciiTheme="minorHAnsi" w:hAnsiTheme="minorHAnsi"/>
          <w:lang w:val="bg-BG"/>
        </w:rPr>
        <w:t xml:space="preserve">и г-жа </w:t>
      </w:r>
      <w:r w:rsidRPr="00DC2206">
        <w:rPr>
          <w:rFonts w:asciiTheme="minorHAnsi" w:hAnsiTheme="minorHAnsi"/>
          <w:lang w:val="bg-BG"/>
        </w:rPr>
        <w:t>Ioana Bara-Busila (</w:t>
      </w:r>
      <w:r w:rsidR="00401E03" w:rsidRPr="00DC2206">
        <w:rPr>
          <w:rFonts w:asciiTheme="minorHAnsi" w:hAnsiTheme="minorHAnsi"/>
          <w:lang w:val="bg-BG"/>
        </w:rPr>
        <w:t>Румъния</w:t>
      </w:r>
      <w:r w:rsidRPr="00DC2206">
        <w:rPr>
          <w:rFonts w:asciiTheme="minorHAnsi" w:hAnsiTheme="minorHAnsi"/>
          <w:lang w:val="bg-BG"/>
        </w:rPr>
        <w:t xml:space="preserve">), </w:t>
      </w:r>
      <w:r w:rsidR="00401E03" w:rsidRPr="00DC2206">
        <w:rPr>
          <w:rFonts w:asciiTheme="minorHAnsi" w:hAnsiTheme="minorHAnsi"/>
          <w:lang w:val="bg-BG"/>
        </w:rPr>
        <w:t>и им благодари за техния ценен принос за тази ра</w:t>
      </w:r>
      <w:r w:rsidR="00991092" w:rsidRPr="00DC2206">
        <w:rPr>
          <w:rFonts w:asciiTheme="minorHAnsi" w:hAnsiTheme="minorHAnsi"/>
          <w:lang w:val="bg-BG"/>
        </w:rPr>
        <w:t>з</w:t>
      </w:r>
      <w:r w:rsidR="00401E03" w:rsidRPr="00DC2206">
        <w:rPr>
          <w:rFonts w:asciiTheme="minorHAnsi" w:hAnsiTheme="minorHAnsi"/>
          <w:lang w:val="bg-BG"/>
        </w:rPr>
        <w:t>работка</w:t>
      </w:r>
      <w:r w:rsidRPr="00DC2206">
        <w:rPr>
          <w:rFonts w:asciiTheme="minorHAnsi" w:hAnsiTheme="minorHAnsi"/>
          <w:lang w:val="bg-BG"/>
        </w:rPr>
        <w:t>.</w:t>
      </w:r>
    </w:p>
    <w:p w14:paraId="1EDD5C4D" w14:textId="77777777" w:rsidR="005832CE" w:rsidRPr="00DC2206" w:rsidRDefault="005832CE" w:rsidP="00732D5B">
      <w:pPr>
        <w:tabs>
          <w:tab w:val="left" w:leader="underscore" w:pos="9047"/>
        </w:tabs>
        <w:ind w:left="709" w:hanging="709"/>
        <w:jc w:val="both"/>
        <w:rPr>
          <w:rFonts w:asciiTheme="minorHAnsi" w:hAnsiTheme="minorHAnsi"/>
          <w:lang w:val="bg-BG"/>
        </w:rPr>
      </w:pPr>
    </w:p>
    <w:tbl>
      <w:tblPr>
        <w:tblStyle w:val="TableGrid"/>
        <w:tblW w:w="0" w:type="auto"/>
        <w:tblLook w:val="04A0" w:firstRow="1" w:lastRow="0" w:firstColumn="1" w:lastColumn="0" w:noHBand="0" w:noVBand="1"/>
      </w:tblPr>
      <w:tblGrid>
        <w:gridCol w:w="9915"/>
      </w:tblGrid>
      <w:tr w:rsidR="00A0730F" w:rsidRPr="00DC2206" w14:paraId="58A23339" w14:textId="77777777" w:rsidTr="00A0730F">
        <w:tc>
          <w:tcPr>
            <w:tcW w:w="9915" w:type="dxa"/>
          </w:tcPr>
          <w:p w14:paraId="2D2AA900" w14:textId="77777777" w:rsidR="00A0730F" w:rsidRPr="00DC2206" w:rsidRDefault="00A0730F" w:rsidP="00CD379A">
            <w:pPr>
              <w:jc w:val="both"/>
              <w:rPr>
                <w:rFonts w:asciiTheme="minorHAnsi" w:hAnsiTheme="minorHAnsi"/>
                <w:b/>
                <w:lang w:val="bg-BG"/>
              </w:rPr>
            </w:pPr>
            <w:r w:rsidRPr="00DC2206">
              <w:rPr>
                <w:rFonts w:asciiTheme="minorHAnsi" w:hAnsiTheme="minorHAnsi"/>
                <w:b/>
                <w:lang w:val="bg-BG"/>
              </w:rPr>
              <w:t>II. </w:t>
            </w:r>
            <w:r w:rsidR="00CD379A" w:rsidRPr="007F4186">
              <w:rPr>
                <w:rFonts w:asciiTheme="minorHAnsi" w:hAnsiTheme="minorHAnsi"/>
                <w:b/>
                <w:color w:val="auto"/>
                <w:lang w:val="bg-BG"/>
              </w:rPr>
              <w:t>Реш</w:t>
            </w:r>
            <w:r w:rsidR="00BF23A7" w:rsidRPr="007F4186">
              <w:rPr>
                <w:rFonts w:asciiTheme="minorHAnsi" w:hAnsiTheme="minorHAnsi"/>
                <w:b/>
                <w:color w:val="auto"/>
                <w:lang w:val="bg-BG"/>
              </w:rPr>
              <w:t>е</w:t>
            </w:r>
            <w:r w:rsidR="00CD379A" w:rsidRPr="007F4186">
              <w:rPr>
                <w:rFonts w:asciiTheme="minorHAnsi" w:hAnsiTheme="minorHAnsi"/>
                <w:b/>
                <w:color w:val="auto"/>
                <w:lang w:val="bg-BG"/>
              </w:rPr>
              <w:t xml:space="preserve">ния на международните съдилища във връзка с практическата </w:t>
            </w:r>
            <w:r w:rsidRPr="007F4186">
              <w:rPr>
                <w:rFonts w:asciiTheme="minorHAnsi" w:hAnsiTheme="minorHAnsi"/>
                <w:b/>
                <w:color w:val="auto"/>
                <w:lang w:val="bg-BG"/>
              </w:rPr>
              <w:t xml:space="preserve">независимост </w:t>
            </w:r>
            <w:r w:rsidR="00CD379A" w:rsidRPr="007F4186">
              <w:rPr>
                <w:rFonts w:asciiTheme="minorHAnsi" w:hAnsiTheme="minorHAnsi"/>
                <w:b/>
                <w:color w:val="auto"/>
                <w:lang w:val="bg-BG"/>
              </w:rPr>
              <w:t xml:space="preserve">на </w:t>
            </w:r>
            <w:r w:rsidRPr="007F4186">
              <w:rPr>
                <w:rFonts w:asciiTheme="minorHAnsi" w:hAnsiTheme="minorHAnsi"/>
                <w:b/>
                <w:color w:val="auto"/>
                <w:lang w:val="bg-BG"/>
              </w:rPr>
              <w:t xml:space="preserve">съдебната власт </w:t>
            </w:r>
            <w:r w:rsidR="00CD379A" w:rsidRPr="007F4186">
              <w:rPr>
                <w:rFonts w:asciiTheme="minorHAnsi" w:hAnsiTheme="minorHAnsi"/>
                <w:b/>
                <w:color w:val="auto"/>
                <w:lang w:val="bg-BG"/>
              </w:rPr>
              <w:t xml:space="preserve">като цяло и по-специално </w:t>
            </w:r>
            <w:r w:rsidR="00991092" w:rsidRPr="007F4186">
              <w:rPr>
                <w:rFonts w:asciiTheme="minorHAnsi" w:hAnsiTheme="minorHAnsi"/>
                <w:b/>
                <w:color w:val="auto"/>
                <w:lang w:val="bg-BG"/>
              </w:rPr>
              <w:t xml:space="preserve">на </w:t>
            </w:r>
            <w:r w:rsidRPr="007F4186">
              <w:rPr>
                <w:rFonts w:asciiTheme="minorHAnsi" w:hAnsiTheme="minorHAnsi"/>
                <w:b/>
                <w:color w:val="auto"/>
                <w:lang w:val="bg-BG"/>
              </w:rPr>
              <w:t>прокурори</w:t>
            </w:r>
            <w:r w:rsidR="00CD379A" w:rsidRPr="007F4186">
              <w:rPr>
                <w:rFonts w:asciiTheme="minorHAnsi" w:hAnsiTheme="minorHAnsi"/>
                <w:b/>
                <w:color w:val="auto"/>
                <w:lang w:val="bg-BG"/>
              </w:rPr>
              <w:t xml:space="preserve">те и </w:t>
            </w:r>
            <w:r w:rsidR="00A1456B" w:rsidRPr="007F4186">
              <w:rPr>
                <w:rFonts w:asciiTheme="minorHAnsi" w:hAnsiTheme="minorHAnsi"/>
                <w:b/>
                <w:color w:val="auto"/>
                <w:lang w:val="bg-BG"/>
              </w:rPr>
              <w:t>прокуратури</w:t>
            </w:r>
            <w:r w:rsidR="00CD379A" w:rsidRPr="007F4186">
              <w:rPr>
                <w:rFonts w:asciiTheme="minorHAnsi" w:hAnsiTheme="minorHAnsi"/>
                <w:b/>
                <w:color w:val="auto"/>
                <w:lang w:val="bg-BG"/>
              </w:rPr>
              <w:t>те</w:t>
            </w:r>
          </w:p>
        </w:tc>
      </w:tr>
    </w:tbl>
    <w:p w14:paraId="619403D2" w14:textId="77777777" w:rsidR="005832CE" w:rsidRPr="00DC2206" w:rsidRDefault="005832CE" w:rsidP="00732D5B">
      <w:pPr>
        <w:ind w:left="709" w:hanging="709"/>
        <w:jc w:val="both"/>
        <w:rPr>
          <w:rFonts w:asciiTheme="minorHAnsi" w:hAnsiTheme="minorHAnsi"/>
          <w:lang w:val="bg-BG"/>
        </w:rPr>
      </w:pPr>
    </w:p>
    <w:p w14:paraId="066381A2" w14:textId="77777777" w:rsidR="00C61601" w:rsidRPr="00DC2206" w:rsidRDefault="00521963" w:rsidP="00A0730F">
      <w:pPr>
        <w:jc w:val="both"/>
        <w:rPr>
          <w:rFonts w:asciiTheme="minorHAnsi" w:hAnsiTheme="minorHAnsi"/>
          <w:b/>
          <w:lang w:val="bg-BG"/>
        </w:rPr>
      </w:pPr>
      <w:r w:rsidRPr="00DC2206">
        <w:rPr>
          <w:rFonts w:asciiTheme="minorHAnsi" w:hAnsiTheme="minorHAnsi"/>
          <w:b/>
          <w:lang w:val="bg-BG"/>
        </w:rPr>
        <w:t xml:space="preserve">A. </w:t>
      </w:r>
      <w:r w:rsidR="00CD379A" w:rsidRPr="00DC2206">
        <w:rPr>
          <w:rFonts w:asciiTheme="minorHAnsi" w:hAnsiTheme="minorHAnsi"/>
          <w:b/>
          <w:lang w:val="bg-BG"/>
        </w:rPr>
        <w:t xml:space="preserve">Принципи, разработени от </w:t>
      </w:r>
      <w:r w:rsidR="00B90749" w:rsidRPr="00DC2206">
        <w:rPr>
          <w:rFonts w:asciiTheme="minorHAnsi" w:hAnsiTheme="minorHAnsi"/>
          <w:b/>
          <w:lang w:val="bg-BG"/>
        </w:rPr>
        <w:t>КСЕП</w:t>
      </w:r>
      <w:r w:rsidRPr="00DC2206">
        <w:rPr>
          <w:rFonts w:asciiTheme="minorHAnsi" w:hAnsiTheme="minorHAnsi"/>
          <w:b/>
          <w:lang w:val="bg-BG"/>
        </w:rPr>
        <w:t xml:space="preserve"> </w:t>
      </w:r>
      <w:r w:rsidR="00CD379A" w:rsidRPr="00DC2206">
        <w:rPr>
          <w:rFonts w:asciiTheme="minorHAnsi" w:hAnsiTheme="minorHAnsi"/>
          <w:b/>
          <w:lang w:val="bg-BG"/>
        </w:rPr>
        <w:t xml:space="preserve">по отношение на </w:t>
      </w:r>
      <w:r w:rsidR="00A0730F" w:rsidRPr="00DC2206">
        <w:rPr>
          <w:rFonts w:asciiTheme="minorHAnsi" w:hAnsiTheme="minorHAnsi"/>
          <w:b/>
          <w:lang w:val="bg-BG"/>
        </w:rPr>
        <w:t>независимост</w:t>
      </w:r>
      <w:r w:rsidR="00CD379A" w:rsidRPr="00DC2206">
        <w:rPr>
          <w:rFonts w:asciiTheme="minorHAnsi" w:hAnsiTheme="minorHAnsi"/>
          <w:b/>
          <w:lang w:val="bg-BG"/>
        </w:rPr>
        <w:t xml:space="preserve">та на </w:t>
      </w:r>
      <w:r w:rsidR="00A0730F" w:rsidRPr="00DC2206">
        <w:rPr>
          <w:rFonts w:asciiTheme="minorHAnsi" w:hAnsiTheme="minorHAnsi"/>
          <w:b/>
          <w:lang w:val="bg-BG"/>
        </w:rPr>
        <w:t>прокурори</w:t>
      </w:r>
      <w:r w:rsidR="00CD379A" w:rsidRPr="00DC2206">
        <w:rPr>
          <w:rFonts w:asciiTheme="minorHAnsi" w:hAnsiTheme="minorHAnsi"/>
          <w:b/>
          <w:lang w:val="bg-BG"/>
        </w:rPr>
        <w:t>те</w:t>
      </w:r>
      <w:r w:rsidRPr="00DC2206">
        <w:rPr>
          <w:rFonts w:asciiTheme="minorHAnsi" w:hAnsiTheme="minorHAnsi"/>
          <w:b/>
          <w:lang w:val="bg-BG"/>
        </w:rPr>
        <w:t xml:space="preserve"> </w:t>
      </w:r>
      <w:r w:rsidR="00CD379A" w:rsidRPr="00DC2206">
        <w:rPr>
          <w:rFonts w:asciiTheme="minorHAnsi" w:hAnsiTheme="minorHAnsi"/>
          <w:b/>
          <w:lang w:val="bg-BG"/>
        </w:rPr>
        <w:t xml:space="preserve">и </w:t>
      </w:r>
      <w:r w:rsidR="00A1456B" w:rsidRPr="00DC2206">
        <w:rPr>
          <w:rFonts w:asciiTheme="minorHAnsi" w:hAnsiTheme="minorHAnsi"/>
          <w:b/>
          <w:lang w:val="bg-BG"/>
        </w:rPr>
        <w:lastRenderedPageBreak/>
        <w:t>прокуратури</w:t>
      </w:r>
      <w:r w:rsidR="00CD379A" w:rsidRPr="00DC2206">
        <w:rPr>
          <w:rFonts w:asciiTheme="minorHAnsi" w:hAnsiTheme="minorHAnsi"/>
          <w:b/>
          <w:lang w:val="bg-BG"/>
        </w:rPr>
        <w:t>те</w:t>
      </w:r>
    </w:p>
    <w:p w14:paraId="3270DE5F" w14:textId="77777777" w:rsidR="005832CE" w:rsidRPr="00DC2206" w:rsidRDefault="005832CE" w:rsidP="00732D5B">
      <w:pPr>
        <w:ind w:left="709" w:hanging="709"/>
        <w:jc w:val="both"/>
        <w:rPr>
          <w:rFonts w:asciiTheme="minorHAnsi" w:hAnsiTheme="minorHAnsi"/>
          <w:lang w:val="bg-BG"/>
        </w:rPr>
      </w:pPr>
    </w:p>
    <w:p w14:paraId="2F0FB708" w14:textId="77777777" w:rsidR="00C61601" w:rsidRPr="00DC2206" w:rsidRDefault="00521963" w:rsidP="00A0730F">
      <w:pPr>
        <w:ind w:left="709" w:hanging="709"/>
        <w:jc w:val="both"/>
        <w:rPr>
          <w:rFonts w:asciiTheme="minorHAnsi" w:hAnsiTheme="minorHAnsi"/>
          <w:lang w:val="bg-BG"/>
        </w:rPr>
      </w:pPr>
      <w:r w:rsidRPr="00DC2206">
        <w:rPr>
          <w:rFonts w:asciiTheme="minorHAnsi" w:hAnsiTheme="minorHAnsi"/>
          <w:lang w:val="bg-BG"/>
        </w:rPr>
        <w:t>13.</w:t>
      </w:r>
      <w:r w:rsidR="005832CE" w:rsidRPr="00DC2206">
        <w:rPr>
          <w:rFonts w:asciiTheme="minorHAnsi" w:hAnsiTheme="minorHAnsi"/>
          <w:lang w:val="bg-BG"/>
        </w:rPr>
        <w:tab/>
      </w:r>
      <w:r w:rsidR="00E47E84" w:rsidRPr="00DC2206">
        <w:rPr>
          <w:rFonts w:asciiTheme="minorHAnsi" w:hAnsiTheme="minorHAnsi"/>
          <w:lang w:val="bg-BG"/>
        </w:rPr>
        <w:t xml:space="preserve">Според </w:t>
      </w:r>
      <w:r w:rsidR="00B90749" w:rsidRPr="00DC2206">
        <w:rPr>
          <w:rFonts w:asciiTheme="minorHAnsi" w:hAnsiTheme="minorHAnsi"/>
          <w:lang w:val="bg-BG"/>
        </w:rPr>
        <w:t>КСЕП</w:t>
      </w:r>
      <w:r w:rsidRPr="00DC2206">
        <w:rPr>
          <w:rFonts w:asciiTheme="minorHAnsi" w:hAnsiTheme="minorHAnsi"/>
          <w:lang w:val="bg-BG"/>
        </w:rPr>
        <w:t xml:space="preserve">, </w:t>
      </w:r>
      <w:r w:rsidR="00E47E84" w:rsidRPr="00DC2206">
        <w:rPr>
          <w:rFonts w:asciiTheme="minorHAnsi" w:hAnsiTheme="minorHAnsi"/>
          <w:lang w:val="bg-BG"/>
        </w:rPr>
        <w:t xml:space="preserve">концепцията за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E47E84" w:rsidRPr="00DC2206">
        <w:rPr>
          <w:rFonts w:asciiTheme="minorHAnsi" w:hAnsiTheme="minorHAnsi"/>
          <w:lang w:val="bg-BG"/>
        </w:rPr>
        <w:t xml:space="preserve">означава, че </w:t>
      </w:r>
      <w:r w:rsidR="00A0730F" w:rsidRPr="00DC2206">
        <w:rPr>
          <w:rFonts w:asciiTheme="minorHAnsi" w:hAnsiTheme="minorHAnsi"/>
          <w:lang w:val="bg-BG"/>
        </w:rPr>
        <w:t>прокурори</w:t>
      </w:r>
      <w:r w:rsidR="00E47E84" w:rsidRPr="00DC2206">
        <w:rPr>
          <w:rFonts w:asciiTheme="minorHAnsi" w:hAnsiTheme="minorHAnsi"/>
          <w:lang w:val="bg-BG"/>
        </w:rPr>
        <w:t>те не са подложени на незаконно вмешателство при изпълнението на задълженията им, така че да се осигури пълно зачитане и прилагане на закона и принципа на върховенство на закона, и че не са положени на  никакъв политически натиск или незаконно влияние от какъвто и да е характер</w:t>
      </w:r>
      <w:r w:rsidRPr="00DC2206">
        <w:rPr>
          <w:rFonts w:asciiTheme="minorHAnsi" w:hAnsiTheme="minorHAnsi"/>
          <w:lang w:val="bg-BG"/>
        </w:rPr>
        <w:t xml:space="preserve">. </w:t>
      </w:r>
      <w:r w:rsidR="00A0730F" w:rsidRPr="00DC2206">
        <w:rPr>
          <w:rFonts w:asciiTheme="minorHAnsi" w:hAnsiTheme="minorHAnsi"/>
          <w:lang w:val="bg-BG"/>
        </w:rPr>
        <w:t>Независимост</w:t>
      </w:r>
      <w:r w:rsidR="00E47E84" w:rsidRPr="00DC2206">
        <w:rPr>
          <w:rFonts w:asciiTheme="minorHAnsi" w:hAnsiTheme="minorHAnsi"/>
          <w:lang w:val="bg-BG"/>
        </w:rPr>
        <w:t>та се прилага не само спрямо прокуратурата като цяло</w:t>
      </w:r>
      <w:r w:rsidRPr="00DC2206">
        <w:rPr>
          <w:rFonts w:asciiTheme="minorHAnsi" w:hAnsiTheme="minorHAnsi"/>
          <w:lang w:val="bg-BG"/>
        </w:rPr>
        <w:t xml:space="preserve">, </w:t>
      </w:r>
      <w:r w:rsidR="00E47E84" w:rsidRPr="00DC2206">
        <w:rPr>
          <w:rFonts w:asciiTheme="minorHAnsi" w:hAnsiTheme="minorHAnsi"/>
          <w:lang w:val="bg-BG"/>
        </w:rPr>
        <w:t xml:space="preserve">но и спрямо конкретните й органи и спрямо отделните </w:t>
      </w:r>
      <w:r w:rsidR="00A0730F" w:rsidRPr="00DC2206">
        <w:rPr>
          <w:rFonts w:asciiTheme="minorHAnsi" w:hAnsiTheme="minorHAnsi"/>
          <w:lang w:val="bg-BG"/>
        </w:rPr>
        <w:t>прокурори</w:t>
      </w:r>
      <w:r w:rsidR="00A0730F" w:rsidRPr="00DC2206">
        <w:rPr>
          <w:rStyle w:val="FootnoteReference"/>
          <w:rFonts w:asciiTheme="minorHAnsi" w:hAnsiTheme="minorHAnsi"/>
          <w:lang w:val="bg-BG"/>
        </w:rPr>
        <w:footnoteReference w:id="13"/>
      </w:r>
      <w:r w:rsidRPr="00DC2206">
        <w:rPr>
          <w:rFonts w:asciiTheme="minorHAnsi" w:hAnsiTheme="minorHAnsi"/>
          <w:lang w:val="bg-BG"/>
        </w:rPr>
        <w:t>.</w:t>
      </w:r>
    </w:p>
    <w:p w14:paraId="08ED838E" w14:textId="77777777" w:rsidR="00A0730F" w:rsidRPr="00DC2206" w:rsidRDefault="00A0730F" w:rsidP="00A0730F">
      <w:pPr>
        <w:ind w:left="709" w:hanging="709"/>
        <w:jc w:val="both"/>
        <w:rPr>
          <w:rFonts w:asciiTheme="minorHAnsi" w:hAnsiTheme="minorHAnsi"/>
          <w:lang w:val="bg-BG"/>
        </w:rPr>
      </w:pPr>
    </w:p>
    <w:p w14:paraId="1ADC834E" w14:textId="77777777" w:rsidR="00C61601" w:rsidRPr="00DC2206" w:rsidRDefault="00521963" w:rsidP="00A0730F">
      <w:pPr>
        <w:ind w:left="709" w:hanging="709"/>
        <w:jc w:val="both"/>
        <w:rPr>
          <w:rFonts w:asciiTheme="minorHAnsi" w:hAnsiTheme="minorHAnsi"/>
          <w:lang w:val="bg-BG"/>
        </w:rPr>
      </w:pPr>
      <w:r w:rsidRPr="00DC2206">
        <w:rPr>
          <w:rFonts w:asciiTheme="minorHAnsi" w:hAnsiTheme="minorHAnsi"/>
          <w:lang w:val="bg-BG"/>
        </w:rPr>
        <w:t>14.</w:t>
      </w:r>
      <w:r w:rsidR="00A0730F" w:rsidRPr="00DC2206">
        <w:rPr>
          <w:rFonts w:asciiTheme="minorHAnsi" w:hAnsiTheme="minorHAnsi"/>
          <w:lang w:val="bg-BG"/>
        </w:rPr>
        <w:tab/>
      </w:r>
      <w:r w:rsidR="004D43D4" w:rsidRPr="00DC2206">
        <w:rPr>
          <w:rFonts w:asciiTheme="minorHAnsi" w:hAnsiTheme="minorHAnsi"/>
          <w:lang w:val="bg-BG"/>
        </w:rPr>
        <w:t xml:space="preserve">От практическа гледна точка, горепосоченото определение води до няколко важни принципа, за да се превърне тази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4D43D4" w:rsidRPr="00DC2206">
        <w:rPr>
          <w:rFonts w:asciiTheme="minorHAnsi" w:hAnsiTheme="minorHAnsi"/>
          <w:lang w:val="bg-BG"/>
        </w:rPr>
        <w:t>в реалност</w:t>
      </w:r>
      <w:r w:rsidRPr="00DC2206">
        <w:rPr>
          <w:rFonts w:asciiTheme="minorHAnsi" w:hAnsiTheme="minorHAnsi"/>
          <w:lang w:val="bg-BG"/>
        </w:rPr>
        <w:t>:</w:t>
      </w:r>
    </w:p>
    <w:p w14:paraId="18A5FAF7" w14:textId="77777777" w:rsidR="00A0730F" w:rsidRPr="00E20B35" w:rsidRDefault="00A0730F" w:rsidP="00A0730F">
      <w:pPr>
        <w:ind w:left="1418" w:hanging="426"/>
        <w:jc w:val="both"/>
        <w:rPr>
          <w:rFonts w:asciiTheme="minorHAnsi" w:hAnsiTheme="minorHAnsi"/>
        </w:rPr>
      </w:pPr>
    </w:p>
    <w:p w14:paraId="32998EFA" w14:textId="77777777" w:rsidR="00C61601" w:rsidRPr="00DC2206" w:rsidRDefault="00A0730F" w:rsidP="00A0730F">
      <w:pPr>
        <w:ind w:left="1418" w:hanging="426"/>
        <w:jc w:val="both"/>
        <w:rPr>
          <w:rFonts w:asciiTheme="minorHAnsi" w:hAnsiTheme="minorHAnsi"/>
          <w:lang w:val="bg-BG"/>
        </w:rPr>
      </w:pPr>
      <w:r w:rsidRPr="00DC2206">
        <w:rPr>
          <w:rFonts w:asciiTheme="minorHAnsi" w:hAnsiTheme="minorHAnsi"/>
          <w:lang w:val="bg-BG"/>
        </w:rPr>
        <w:t>•</w:t>
      </w:r>
      <w:r w:rsidRPr="00DC2206">
        <w:rPr>
          <w:rFonts w:asciiTheme="minorHAnsi" w:hAnsiTheme="minorHAnsi"/>
          <w:lang w:val="bg-BG"/>
        </w:rPr>
        <w:tab/>
      </w:r>
      <w:r w:rsidR="004D43D4" w:rsidRPr="00DC2206">
        <w:rPr>
          <w:rFonts w:asciiTheme="minorHAnsi" w:hAnsiTheme="minorHAnsi"/>
          <w:lang w:val="bg-BG"/>
        </w:rPr>
        <w:t>на първо място</w:t>
      </w:r>
      <w:r w:rsidR="00521963" w:rsidRPr="00DC2206">
        <w:rPr>
          <w:rFonts w:asciiTheme="minorHAnsi" w:hAnsiTheme="minorHAnsi"/>
          <w:lang w:val="bg-BG"/>
        </w:rPr>
        <w:t xml:space="preserve">, </w:t>
      </w:r>
      <w:r w:rsidR="004D43D4" w:rsidRPr="00DC2206">
        <w:rPr>
          <w:rFonts w:asciiTheme="minorHAnsi" w:hAnsiTheme="minorHAnsi"/>
          <w:lang w:val="bg-BG"/>
        </w:rPr>
        <w:t xml:space="preserve">мерките за тази </w:t>
      </w:r>
      <w:r w:rsidRPr="00DC2206">
        <w:rPr>
          <w:rFonts w:asciiTheme="minorHAnsi" w:hAnsiTheme="minorHAnsi"/>
          <w:lang w:val="bg-BG"/>
        </w:rPr>
        <w:t>независимост</w:t>
      </w:r>
      <w:r w:rsidR="00521963" w:rsidRPr="00DC2206">
        <w:rPr>
          <w:rFonts w:asciiTheme="minorHAnsi" w:hAnsiTheme="minorHAnsi"/>
          <w:lang w:val="bg-BG"/>
        </w:rPr>
        <w:t xml:space="preserve"> </w:t>
      </w:r>
      <w:r w:rsidR="004D43D4" w:rsidRPr="00DC2206">
        <w:rPr>
          <w:rFonts w:asciiTheme="minorHAnsi" w:hAnsiTheme="minorHAnsi"/>
          <w:lang w:val="bg-BG"/>
        </w:rPr>
        <w:t xml:space="preserve">следва да бъдат установени </w:t>
      </w:r>
      <w:r w:rsidR="007A4B44" w:rsidRPr="00DC2206">
        <w:rPr>
          <w:rFonts w:asciiTheme="minorHAnsi" w:hAnsiTheme="minorHAnsi"/>
          <w:lang w:val="bg-BG"/>
        </w:rPr>
        <w:t>чрез съответна правна уредба</w:t>
      </w:r>
      <w:r w:rsidR="00521963" w:rsidRPr="00DC2206">
        <w:rPr>
          <w:rFonts w:asciiTheme="minorHAnsi" w:hAnsiTheme="minorHAnsi"/>
          <w:lang w:val="bg-BG"/>
        </w:rPr>
        <w:t xml:space="preserve">, </w:t>
      </w:r>
      <w:r w:rsidR="007A4B44" w:rsidRPr="00DC2206">
        <w:rPr>
          <w:rFonts w:asciiTheme="minorHAnsi" w:hAnsiTheme="minorHAnsi"/>
          <w:lang w:val="bg-BG"/>
        </w:rPr>
        <w:t xml:space="preserve">като тези за </w:t>
      </w:r>
      <w:r w:rsidRPr="00DC2206">
        <w:rPr>
          <w:rFonts w:asciiTheme="minorHAnsi" w:hAnsiTheme="minorHAnsi"/>
          <w:lang w:val="bg-BG"/>
        </w:rPr>
        <w:t>независимостта</w:t>
      </w:r>
      <w:r w:rsidR="00521963" w:rsidRPr="00DC2206">
        <w:rPr>
          <w:rFonts w:asciiTheme="minorHAnsi" w:hAnsiTheme="minorHAnsi"/>
          <w:lang w:val="bg-BG"/>
        </w:rPr>
        <w:t xml:space="preserve"> </w:t>
      </w:r>
      <w:r w:rsidR="007A4B44" w:rsidRPr="00DC2206">
        <w:rPr>
          <w:rFonts w:asciiTheme="minorHAnsi" w:hAnsiTheme="minorHAnsi"/>
          <w:lang w:val="bg-BG"/>
        </w:rPr>
        <w:t>на съдиите</w:t>
      </w:r>
      <w:r w:rsidRPr="00DC2206">
        <w:rPr>
          <w:rStyle w:val="FootnoteReference"/>
          <w:rFonts w:asciiTheme="minorHAnsi" w:hAnsiTheme="minorHAnsi"/>
          <w:lang w:val="bg-BG"/>
        </w:rPr>
        <w:footnoteReference w:id="14"/>
      </w:r>
      <w:r w:rsidR="00521963" w:rsidRPr="00DC2206">
        <w:rPr>
          <w:rFonts w:asciiTheme="minorHAnsi" w:hAnsiTheme="minorHAnsi"/>
          <w:lang w:val="bg-BG"/>
        </w:rPr>
        <w:t>;</w:t>
      </w:r>
    </w:p>
    <w:p w14:paraId="480EDDF8" w14:textId="77777777" w:rsidR="00A0730F" w:rsidRPr="00DC2206" w:rsidRDefault="00A0730F" w:rsidP="00A0730F">
      <w:pPr>
        <w:ind w:left="1418" w:hanging="426"/>
        <w:jc w:val="both"/>
        <w:rPr>
          <w:rFonts w:asciiTheme="minorHAnsi" w:hAnsiTheme="minorHAnsi"/>
          <w:lang w:val="bg-BG"/>
        </w:rPr>
      </w:pPr>
    </w:p>
    <w:p w14:paraId="7D664211" w14:textId="77777777" w:rsidR="00C61601" w:rsidRPr="00DC2206" w:rsidRDefault="00A0730F" w:rsidP="00A0730F">
      <w:pPr>
        <w:ind w:left="1418" w:hanging="426"/>
        <w:jc w:val="both"/>
        <w:rPr>
          <w:rFonts w:asciiTheme="minorHAnsi" w:hAnsiTheme="minorHAnsi"/>
          <w:lang w:val="bg-BG"/>
        </w:rPr>
      </w:pPr>
      <w:r w:rsidRPr="00DC2206">
        <w:rPr>
          <w:rFonts w:asciiTheme="minorHAnsi" w:hAnsiTheme="minorHAnsi"/>
          <w:lang w:val="bg-BG"/>
        </w:rPr>
        <w:t>•</w:t>
      </w:r>
      <w:r w:rsidRPr="00DC2206">
        <w:rPr>
          <w:rFonts w:asciiTheme="minorHAnsi" w:hAnsiTheme="minorHAnsi"/>
          <w:lang w:val="bg-BG"/>
        </w:rPr>
        <w:tab/>
      </w:r>
      <w:r w:rsidR="007A4B44" w:rsidRPr="00DC2206">
        <w:rPr>
          <w:rFonts w:asciiTheme="minorHAnsi" w:hAnsiTheme="minorHAnsi"/>
          <w:lang w:val="bg-BG"/>
        </w:rPr>
        <w:t>следователно</w:t>
      </w:r>
      <w:r w:rsidR="00521963" w:rsidRPr="00DC2206">
        <w:rPr>
          <w:rFonts w:asciiTheme="minorHAnsi" w:hAnsiTheme="minorHAnsi"/>
          <w:lang w:val="bg-BG"/>
        </w:rPr>
        <w:t xml:space="preserve">, </w:t>
      </w:r>
      <w:r w:rsidR="007A4B44" w:rsidRPr="00DC2206">
        <w:rPr>
          <w:rFonts w:asciiTheme="minorHAnsi" w:hAnsiTheme="minorHAnsi"/>
          <w:lang w:val="bg-BG"/>
        </w:rPr>
        <w:t>статутът</w:t>
      </w:r>
      <w:r w:rsidR="00521963" w:rsidRPr="00DC2206">
        <w:rPr>
          <w:rFonts w:asciiTheme="minorHAnsi" w:hAnsiTheme="minorHAnsi"/>
          <w:lang w:val="bg-BG"/>
        </w:rPr>
        <w:t xml:space="preserve">, </w:t>
      </w:r>
      <w:r w:rsidRPr="00DC2206">
        <w:rPr>
          <w:rFonts w:asciiTheme="minorHAnsi" w:hAnsiTheme="minorHAnsi"/>
          <w:lang w:val="bg-BG"/>
        </w:rPr>
        <w:t>независимост</w:t>
      </w:r>
      <w:r w:rsidR="007A4B44" w:rsidRPr="00DC2206">
        <w:rPr>
          <w:rFonts w:asciiTheme="minorHAnsi" w:hAnsiTheme="minorHAnsi"/>
          <w:lang w:val="bg-BG"/>
        </w:rPr>
        <w:t>та</w:t>
      </w:r>
      <w:r w:rsidR="00521963" w:rsidRPr="00DC2206">
        <w:rPr>
          <w:rFonts w:asciiTheme="minorHAnsi" w:hAnsiTheme="minorHAnsi"/>
          <w:lang w:val="bg-BG"/>
        </w:rPr>
        <w:t xml:space="preserve">, </w:t>
      </w:r>
      <w:r w:rsidR="007A4B44" w:rsidRPr="00DC2206">
        <w:rPr>
          <w:rFonts w:asciiTheme="minorHAnsi" w:hAnsiTheme="minorHAnsi"/>
          <w:lang w:val="bg-BG"/>
        </w:rPr>
        <w:t xml:space="preserve">наемането на работата и кариерното развитие на </w:t>
      </w:r>
      <w:r w:rsidRPr="00DC2206">
        <w:rPr>
          <w:rFonts w:asciiTheme="minorHAnsi" w:hAnsiTheme="minorHAnsi"/>
          <w:lang w:val="bg-BG"/>
        </w:rPr>
        <w:t>прокурори</w:t>
      </w:r>
      <w:r w:rsidR="007A4B44" w:rsidRPr="00DC2206">
        <w:rPr>
          <w:rFonts w:asciiTheme="minorHAnsi" w:hAnsiTheme="minorHAnsi"/>
          <w:lang w:val="bg-BG"/>
        </w:rPr>
        <w:t>те следва</w:t>
      </w:r>
      <w:r w:rsidR="00521963" w:rsidRPr="00DC2206">
        <w:rPr>
          <w:rFonts w:asciiTheme="minorHAnsi" w:hAnsiTheme="minorHAnsi"/>
          <w:lang w:val="bg-BG"/>
        </w:rPr>
        <w:t xml:space="preserve">, </w:t>
      </w:r>
      <w:r w:rsidR="007A4B44" w:rsidRPr="00DC2206">
        <w:rPr>
          <w:rFonts w:asciiTheme="minorHAnsi" w:hAnsiTheme="minorHAnsi"/>
          <w:lang w:val="bg-BG"/>
        </w:rPr>
        <w:t>подобно на съдиите</w:t>
      </w:r>
      <w:r w:rsidR="00521963" w:rsidRPr="00DC2206">
        <w:rPr>
          <w:rFonts w:asciiTheme="minorHAnsi" w:hAnsiTheme="minorHAnsi"/>
          <w:lang w:val="bg-BG"/>
        </w:rPr>
        <w:t xml:space="preserve">, </w:t>
      </w:r>
      <w:r w:rsidR="007A4B44" w:rsidRPr="00DC2206">
        <w:rPr>
          <w:rFonts w:asciiTheme="minorHAnsi" w:hAnsiTheme="minorHAnsi"/>
          <w:lang w:val="bg-BG"/>
        </w:rPr>
        <w:t>да бъдат ясно определени от закона и ръководени от прозрачни и обективни критерии</w:t>
      </w:r>
      <w:r w:rsidRPr="00DC2206">
        <w:rPr>
          <w:rStyle w:val="FootnoteReference"/>
          <w:rFonts w:asciiTheme="minorHAnsi" w:hAnsiTheme="minorHAnsi"/>
          <w:lang w:val="bg-BG"/>
        </w:rPr>
        <w:footnoteReference w:id="15"/>
      </w:r>
      <w:r w:rsidR="00521963" w:rsidRPr="00DC2206">
        <w:rPr>
          <w:rFonts w:asciiTheme="minorHAnsi" w:hAnsiTheme="minorHAnsi"/>
          <w:lang w:val="bg-BG"/>
        </w:rPr>
        <w:t>;</w:t>
      </w:r>
    </w:p>
    <w:p w14:paraId="5701713F" w14:textId="77777777" w:rsidR="00A0730F" w:rsidRPr="00DC2206" w:rsidRDefault="00A0730F" w:rsidP="00A0730F">
      <w:pPr>
        <w:ind w:left="1418" w:hanging="426"/>
        <w:jc w:val="both"/>
        <w:rPr>
          <w:rFonts w:asciiTheme="minorHAnsi" w:hAnsiTheme="minorHAnsi"/>
          <w:lang w:val="bg-BG"/>
        </w:rPr>
      </w:pPr>
    </w:p>
    <w:p w14:paraId="6D626D74" w14:textId="77777777" w:rsidR="00C61601" w:rsidRPr="00DC2206" w:rsidRDefault="00A0730F" w:rsidP="00A0730F">
      <w:pPr>
        <w:ind w:left="1418" w:hanging="426"/>
        <w:jc w:val="both"/>
        <w:rPr>
          <w:rFonts w:asciiTheme="minorHAnsi" w:hAnsiTheme="minorHAnsi"/>
          <w:lang w:val="bg-BG"/>
        </w:rPr>
      </w:pPr>
      <w:r w:rsidRPr="00DC2206">
        <w:rPr>
          <w:rFonts w:asciiTheme="minorHAnsi" w:hAnsiTheme="minorHAnsi"/>
          <w:lang w:val="bg-BG"/>
        </w:rPr>
        <w:t>•</w:t>
      </w:r>
      <w:r w:rsidRPr="00DC2206">
        <w:rPr>
          <w:rFonts w:asciiTheme="minorHAnsi" w:hAnsiTheme="minorHAnsi"/>
          <w:lang w:val="bg-BG"/>
        </w:rPr>
        <w:tab/>
      </w:r>
      <w:r w:rsidR="00D014BB" w:rsidRPr="00DC2206">
        <w:rPr>
          <w:rFonts w:asciiTheme="minorHAnsi" w:hAnsiTheme="minorHAnsi"/>
          <w:lang w:val="bg-BG"/>
        </w:rPr>
        <w:t xml:space="preserve">статусът на </w:t>
      </w:r>
      <w:r w:rsidRPr="00DC2206">
        <w:rPr>
          <w:rFonts w:asciiTheme="minorHAnsi" w:hAnsiTheme="minorHAnsi"/>
          <w:lang w:val="bg-BG"/>
        </w:rPr>
        <w:t>прокурори</w:t>
      </w:r>
      <w:r w:rsidR="00D014BB" w:rsidRPr="00DC2206">
        <w:rPr>
          <w:rFonts w:asciiTheme="minorHAnsi" w:hAnsiTheme="minorHAnsi"/>
          <w:lang w:val="bg-BG"/>
        </w:rPr>
        <w:t>те следва да осигури тяхната външна и вътре</w:t>
      </w:r>
      <w:r w:rsidR="00D016FE" w:rsidRPr="00DC2206">
        <w:rPr>
          <w:rFonts w:asciiTheme="minorHAnsi" w:hAnsiTheme="minorHAnsi"/>
          <w:lang w:val="bg-BG"/>
        </w:rPr>
        <w:t>ш</w:t>
      </w:r>
      <w:r w:rsidR="00D014BB" w:rsidRPr="00DC2206">
        <w:rPr>
          <w:rFonts w:asciiTheme="minorHAnsi" w:hAnsiTheme="minorHAnsi"/>
          <w:lang w:val="bg-BG"/>
        </w:rPr>
        <w:t xml:space="preserve">на </w:t>
      </w:r>
      <w:r w:rsidRPr="00DC2206">
        <w:rPr>
          <w:rFonts w:asciiTheme="minorHAnsi" w:hAnsiTheme="minorHAnsi"/>
          <w:lang w:val="bg-BG"/>
        </w:rPr>
        <w:t>независимост</w:t>
      </w:r>
      <w:r w:rsidR="00521963" w:rsidRPr="00DC2206">
        <w:rPr>
          <w:rFonts w:asciiTheme="minorHAnsi" w:hAnsiTheme="minorHAnsi"/>
          <w:lang w:val="bg-BG"/>
        </w:rPr>
        <w:t xml:space="preserve">, </w:t>
      </w:r>
      <w:r w:rsidR="00D016FE" w:rsidRPr="00DC2206">
        <w:rPr>
          <w:rFonts w:asciiTheme="minorHAnsi" w:hAnsiTheme="minorHAnsi"/>
          <w:lang w:val="bg-BG"/>
        </w:rPr>
        <w:t>за предпочитане чрез разпоредби на най-високо законодателно равнище, гарантиращи тяхното прилаган</w:t>
      </w:r>
      <w:r w:rsidR="00BF23A7">
        <w:rPr>
          <w:rFonts w:asciiTheme="minorHAnsi" w:hAnsiTheme="minorHAnsi"/>
          <w:lang w:val="bg-BG"/>
        </w:rPr>
        <w:t>е</w:t>
      </w:r>
      <w:r w:rsidR="00D016FE" w:rsidRPr="00DC2206">
        <w:rPr>
          <w:rFonts w:asciiTheme="minorHAnsi" w:hAnsiTheme="minorHAnsi"/>
          <w:lang w:val="bg-BG"/>
        </w:rPr>
        <w:t xml:space="preserve"> от независим орган, като Прокурорски съвет</w:t>
      </w:r>
      <w:r w:rsidR="00521963" w:rsidRPr="00DC2206">
        <w:rPr>
          <w:rFonts w:asciiTheme="minorHAnsi" w:hAnsiTheme="minorHAnsi"/>
          <w:lang w:val="bg-BG"/>
        </w:rPr>
        <w:t xml:space="preserve">, </w:t>
      </w:r>
      <w:r w:rsidR="00D016FE" w:rsidRPr="00DC2206">
        <w:rPr>
          <w:rFonts w:asciiTheme="minorHAnsi" w:hAnsiTheme="minorHAnsi"/>
          <w:lang w:val="bg-BG"/>
        </w:rPr>
        <w:t>по-специално за назначения, кариерно развитие и дисциплина</w:t>
      </w:r>
      <w:r w:rsidRPr="00DC2206">
        <w:rPr>
          <w:rStyle w:val="FootnoteReference"/>
          <w:rFonts w:asciiTheme="minorHAnsi" w:hAnsiTheme="minorHAnsi"/>
          <w:lang w:val="bg-BG"/>
        </w:rPr>
        <w:footnoteReference w:id="16"/>
      </w:r>
      <w:r w:rsidR="00521963" w:rsidRPr="00DC2206">
        <w:rPr>
          <w:rFonts w:asciiTheme="minorHAnsi" w:hAnsiTheme="minorHAnsi"/>
          <w:lang w:val="bg-BG"/>
        </w:rPr>
        <w:t xml:space="preserve">. </w:t>
      </w:r>
      <w:r w:rsidR="00D016FE" w:rsidRPr="00DC2206">
        <w:rPr>
          <w:rFonts w:asciiTheme="minorHAnsi" w:hAnsiTheme="minorHAnsi"/>
          <w:lang w:val="bg-BG"/>
        </w:rPr>
        <w:t>По-специално, необходимо е да се осигури надлежен мандат и подходящи мерки за повишаването</w:t>
      </w:r>
      <w:r w:rsidR="00521963" w:rsidRPr="00DC2206">
        <w:rPr>
          <w:rFonts w:asciiTheme="minorHAnsi" w:hAnsiTheme="minorHAnsi"/>
          <w:lang w:val="bg-BG"/>
        </w:rPr>
        <w:t xml:space="preserve">, </w:t>
      </w:r>
      <w:r w:rsidR="00D016FE" w:rsidRPr="00DC2206">
        <w:rPr>
          <w:rFonts w:asciiTheme="minorHAnsi" w:hAnsiTheme="minorHAnsi"/>
          <w:lang w:val="bg-BG"/>
        </w:rPr>
        <w:t xml:space="preserve">дисциплинарните мерки и уволнението на </w:t>
      </w:r>
      <w:r w:rsidRPr="00DC2206">
        <w:rPr>
          <w:rFonts w:asciiTheme="minorHAnsi" w:hAnsiTheme="minorHAnsi"/>
          <w:lang w:val="bg-BG"/>
        </w:rPr>
        <w:t>прокурори</w:t>
      </w:r>
      <w:r w:rsidRPr="00DC2206">
        <w:rPr>
          <w:rStyle w:val="FootnoteReference"/>
          <w:rFonts w:asciiTheme="minorHAnsi" w:hAnsiTheme="minorHAnsi"/>
          <w:lang w:val="bg-BG"/>
        </w:rPr>
        <w:footnoteReference w:id="17"/>
      </w:r>
      <w:r w:rsidR="00521963" w:rsidRPr="00DC2206">
        <w:rPr>
          <w:rFonts w:asciiTheme="minorHAnsi" w:hAnsiTheme="minorHAnsi"/>
          <w:lang w:val="bg-BG"/>
        </w:rPr>
        <w:t>;</w:t>
      </w:r>
    </w:p>
    <w:p w14:paraId="740DE6BC" w14:textId="77777777" w:rsidR="00A0730F" w:rsidRPr="00DC2206" w:rsidRDefault="00A0730F" w:rsidP="00A0730F">
      <w:pPr>
        <w:ind w:left="1418" w:hanging="426"/>
        <w:jc w:val="both"/>
        <w:rPr>
          <w:rFonts w:asciiTheme="minorHAnsi" w:hAnsiTheme="minorHAnsi"/>
          <w:lang w:val="bg-BG"/>
        </w:rPr>
      </w:pPr>
    </w:p>
    <w:p w14:paraId="5459B434" w14:textId="77777777" w:rsidR="00C61601" w:rsidRPr="00DC2206" w:rsidRDefault="00A0730F" w:rsidP="00A0730F">
      <w:pPr>
        <w:ind w:left="1418" w:hanging="426"/>
        <w:jc w:val="both"/>
        <w:rPr>
          <w:rFonts w:asciiTheme="minorHAnsi" w:hAnsiTheme="minorHAnsi"/>
          <w:lang w:val="bg-BG"/>
        </w:rPr>
      </w:pPr>
      <w:r w:rsidRPr="00DC2206">
        <w:rPr>
          <w:rFonts w:asciiTheme="minorHAnsi" w:hAnsiTheme="minorHAnsi"/>
          <w:lang w:val="bg-BG"/>
        </w:rPr>
        <w:t>•</w:t>
      </w:r>
      <w:r w:rsidRPr="00DC2206">
        <w:rPr>
          <w:rFonts w:asciiTheme="minorHAnsi" w:hAnsiTheme="minorHAnsi"/>
          <w:lang w:val="bg-BG"/>
        </w:rPr>
        <w:tab/>
      </w:r>
      <w:r w:rsidR="00D016FE" w:rsidRPr="00DC2206">
        <w:rPr>
          <w:rFonts w:asciiTheme="minorHAnsi" w:hAnsiTheme="minorHAnsi"/>
          <w:lang w:val="bg-BG"/>
        </w:rPr>
        <w:t>в хода на кариерата им</w:t>
      </w:r>
      <w:r w:rsidR="00521963" w:rsidRPr="00DC2206">
        <w:rPr>
          <w:rFonts w:asciiTheme="minorHAnsi" w:hAnsiTheme="minorHAnsi"/>
          <w:lang w:val="bg-BG"/>
        </w:rPr>
        <w:t xml:space="preserve">, </w:t>
      </w:r>
      <w:r w:rsidR="00D016FE" w:rsidRPr="00DC2206">
        <w:rPr>
          <w:rFonts w:asciiTheme="minorHAnsi" w:hAnsiTheme="minorHAnsi"/>
          <w:lang w:val="bg-BG"/>
        </w:rPr>
        <w:t>включително за назначаване на работа и повишаване</w:t>
      </w:r>
      <w:r w:rsidR="00521963" w:rsidRPr="00DC2206">
        <w:rPr>
          <w:rFonts w:asciiTheme="minorHAnsi" w:hAnsiTheme="minorHAnsi"/>
          <w:lang w:val="bg-BG"/>
        </w:rPr>
        <w:t xml:space="preserve">, </w:t>
      </w:r>
      <w:r w:rsidRPr="00DC2206">
        <w:rPr>
          <w:rFonts w:asciiTheme="minorHAnsi" w:hAnsiTheme="minorHAnsi"/>
          <w:lang w:val="bg-BG"/>
        </w:rPr>
        <w:t>прокурори</w:t>
      </w:r>
      <w:r w:rsidR="00D016FE" w:rsidRPr="00DC2206">
        <w:rPr>
          <w:rFonts w:asciiTheme="minorHAnsi" w:hAnsiTheme="minorHAnsi"/>
          <w:lang w:val="bg-BG"/>
        </w:rPr>
        <w:t>те следва да бъдат избирани въз основа на техните умения</w:t>
      </w:r>
      <w:r w:rsidR="00521963" w:rsidRPr="00DC2206">
        <w:rPr>
          <w:rFonts w:asciiTheme="minorHAnsi" w:hAnsiTheme="minorHAnsi"/>
          <w:lang w:val="bg-BG"/>
        </w:rPr>
        <w:t xml:space="preserve">, </w:t>
      </w:r>
      <w:r w:rsidR="00D016FE" w:rsidRPr="00DC2206">
        <w:rPr>
          <w:rFonts w:asciiTheme="minorHAnsi" w:hAnsiTheme="minorHAnsi"/>
          <w:lang w:val="bg-BG"/>
        </w:rPr>
        <w:t xml:space="preserve">знания и етични ценности и да получават адекватно обучение, за да изпълняват функциите си независимо и безпристрастно и </w:t>
      </w:r>
      <w:r w:rsidR="00BF23A7">
        <w:rPr>
          <w:rFonts w:asciiTheme="minorHAnsi" w:hAnsiTheme="minorHAnsi"/>
          <w:lang w:val="bg-BG"/>
        </w:rPr>
        <w:t>при</w:t>
      </w:r>
      <w:r w:rsidR="00D016FE" w:rsidRPr="00DC2206">
        <w:rPr>
          <w:rFonts w:asciiTheme="minorHAnsi" w:hAnsiTheme="minorHAnsi"/>
          <w:lang w:val="bg-BG"/>
        </w:rPr>
        <w:t xml:space="preserve"> пълно зачитане на етичните стандарти</w:t>
      </w:r>
      <w:r w:rsidRPr="00DC2206">
        <w:rPr>
          <w:rStyle w:val="FootnoteReference"/>
          <w:rFonts w:asciiTheme="minorHAnsi" w:hAnsiTheme="minorHAnsi"/>
          <w:lang w:val="bg-BG"/>
        </w:rPr>
        <w:footnoteReference w:id="18"/>
      </w:r>
      <w:r w:rsidR="00521963" w:rsidRPr="00DC2206">
        <w:rPr>
          <w:rFonts w:asciiTheme="minorHAnsi" w:hAnsiTheme="minorHAnsi"/>
          <w:lang w:val="bg-BG"/>
        </w:rPr>
        <w:t>;</w:t>
      </w:r>
    </w:p>
    <w:p w14:paraId="10631D1D" w14:textId="77777777" w:rsidR="00A0730F" w:rsidRPr="00DC2206" w:rsidRDefault="00A0730F" w:rsidP="00A0730F">
      <w:pPr>
        <w:ind w:left="1418" w:hanging="426"/>
        <w:jc w:val="both"/>
        <w:rPr>
          <w:rFonts w:asciiTheme="minorHAnsi" w:hAnsiTheme="minorHAnsi"/>
          <w:lang w:val="bg-BG"/>
        </w:rPr>
      </w:pPr>
    </w:p>
    <w:p w14:paraId="45609C6E" w14:textId="77777777" w:rsidR="00C61601" w:rsidRPr="00DC2206" w:rsidRDefault="00A0730F" w:rsidP="00A0730F">
      <w:pPr>
        <w:ind w:left="1418" w:hanging="426"/>
        <w:jc w:val="both"/>
        <w:rPr>
          <w:rFonts w:asciiTheme="minorHAnsi" w:hAnsiTheme="minorHAnsi"/>
          <w:lang w:val="bg-BG"/>
        </w:rPr>
      </w:pPr>
      <w:r w:rsidRPr="00DC2206">
        <w:rPr>
          <w:rFonts w:asciiTheme="minorHAnsi" w:hAnsiTheme="minorHAnsi"/>
          <w:lang w:val="bg-BG"/>
        </w:rPr>
        <w:t>•</w:t>
      </w:r>
      <w:r w:rsidRPr="00DC2206">
        <w:rPr>
          <w:rFonts w:asciiTheme="minorHAnsi" w:hAnsiTheme="minorHAnsi"/>
          <w:lang w:val="bg-BG"/>
        </w:rPr>
        <w:tab/>
      </w:r>
      <w:r w:rsidR="00750CF9">
        <w:rPr>
          <w:rFonts w:asciiTheme="minorHAnsi" w:hAnsiTheme="minorHAnsi"/>
          <w:lang w:val="bg-BG"/>
        </w:rPr>
        <w:t>указанията</w:t>
      </w:r>
      <w:r w:rsidR="00A424F9" w:rsidRPr="00DC2206">
        <w:rPr>
          <w:rFonts w:asciiTheme="minorHAnsi" w:hAnsiTheme="minorHAnsi"/>
          <w:lang w:val="bg-BG"/>
        </w:rPr>
        <w:t xml:space="preserve"> от страна на изпълнителната власт по конкретни дела са принципно нежелателни</w:t>
      </w:r>
      <w:r w:rsidR="00521963" w:rsidRPr="00DC2206">
        <w:rPr>
          <w:rFonts w:asciiTheme="minorHAnsi" w:hAnsiTheme="minorHAnsi"/>
          <w:lang w:val="bg-BG"/>
        </w:rPr>
        <w:t xml:space="preserve">. </w:t>
      </w:r>
      <w:r w:rsidR="00A424F9" w:rsidRPr="00DC2206">
        <w:rPr>
          <w:rFonts w:asciiTheme="minorHAnsi" w:hAnsiTheme="minorHAnsi"/>
          <w:lang w:val="bg-BG"/>
        </w:rPr>
        <w:t>В този контекст</w:t>
      </w:r>
      <w:r w:rsidR="00521963" w:rsidRPr="00DC2206">
        <w:rPr>
          <w:rFonts w:asciiTheme="minorHAnsi" w:hAnsiTheme="minorHAnsi"/>
          <w:lang w:val="bg-BG"/>
        </w:rPr>
        <w:t xml:space="preserve">, </w:t>
      </w:r>
      <w:r w:rsidR="005326DE">
        <w:rPr>
          <w:rFonts w:asciiTheme="minorHAnsi" w:hAnsiTheme="minorHAnsi"/>
          <w:lang w:val="bg-BG"/>
        </w:rPr>
        <w:t>указанията</w:t>
      </w:r>
      <w:r w:rsidR="00A424F9" w:rsidRPr="00DC2206">
        <w:rPr>
          <w:rFonts w:asciiTheme="minorHAnsi" w:hAnsiTheme="minorHAnsi"/>
          <w:lang w:val="bg-BG"/>
        </w:rPr>
        <w:t xml:space="preserve"> да не се провежда наказателно преследване трябва да бъдат забранени, а </w:t>
      </w:r>
      <w:r w:rsidR="005326DE">
        <w:rPr>
          <w:rFonts w:asciiTheme="minorHAnsi" w:hAnsiTheme="minorHAnsi"/>
          <w:lang w:val="bg-BG"/>
        </w:rPr>
        <w:t>указанията</w:t>
      </w:r>
      <w:r w:rsidR="00A424F9" w:rsidRPr="00DC2206">
        <w:rPr>
          <w:rFonts w:asciiTheme="minorHAnsi" w:hAnsiTheme="minorHAnsi"/>
          <w:lang w:val="bg-BG"/>
        </w:rPr>
        <w:t xml:space="preserve"> да се провежда наказателно преследване трябва да бъдат строго уредени в съответствие с </w:t>
      </w:r>
      <w:r w:rsidR="0019086C" w:rsidRPr="00DC2206">
        <w:rPr>
          <w:rFonts w:asciiTheme="minorHAnsi" w:hAnsiTheme="minorHAnsi"/>
          <w:lang w:val="bg-BG"/>
        </w:rPr>
        <w:t>Препоръка Rec</w:t>
      </w:r>
      <w:r w:rsidR="00521963" w:rsidRPr="00DC2206">
        <w:rPr>
          <w:rFonts w:asciiTheme="minorHAnsi" w:hAnsiTheme="minorHAnsi"/>
          <w:lang w:val="bg-BG"/>
        </w:rPr>
        <w:t>(2000)19</w:t>
      </w:r>
      <w:r w:rsidRPr="00DC2206">
        <w:rPr>
          <w:rStyle w:val="FootnoteReference"/>
          <w:rFonts w:asciiTheme="minorHAnsi" w:hAnsiTheme="minorHAnsi"/>
          <w:lang w:val="bg-BG"/>
        </w:rPr>
        <w:footnoteReference w:id="19"/>
      </w:r>
      <w:r w:rsidR="00521963" w:rsidRPr="00DC2206">
        <w:rPr>
          <w:rFonts w:asciiTheme="minorHAnsi" w:hAnsiTheme="minorHAnsi"/>
          <w:lang w:val="bg-BG"/>
        </w:rPr>
        <w:t>;</w:t>
      </w:r>
    </w:p>
    <w:p w14:paraId="265DF8F6" w14:textId="77777777" w:rsidR="00A0730F" w:rsidRPr="00DC2206" w:rsidRDefault="00A0730F" w:rsidP="00A0730F">
      <w:pPr>
        <w:ind w:left="1418" w:hanging="426"/>
        <w:jc w:val="both"/>
        <w:rPr>
          <w:rFonts w:asciiTheme="minorHAnsi" w:hAnsiTheme="minorHAnsi"/>
          <w:lang w:val="bg-BG"/>
        </w:rPr>
      </w:pPr>
    </w:p>
    <w:p w14:paraId="7E24B667" w14:textId="77777777" w:rsidR="00C61601" w:rsidRPr="00DC2206" w:rsidRDefault="00A0730F" w:rsidP="00A0730F">
      <w:pPr>
        <w:ind w:left="1418" w:hanging="426"/>
        <w:jc w:val="both"/>
        <w:rPr>
          <w:rFonts w:asciiTheme="minorHAnsi" w:hAnsiTheme="minorHAnsi"/>
          <w:lang w:val="bg-BG"/>
        </w:rPr>
      </w:pPr>
      <w:r w:rsidRPr="00DC2206">
        <w:rPr>
          <w:rFonts w:asciiTheme="minorHAnsi" w:hAnsiTheme="minorHAnsi"/>
          <w:lang w:val="bg-BG"/>
        </w:rPr>
        <w:t>•</w:t>
      </w:r>
      <w:r w:rsidRPr="00DC2206">
        <w:rPr>
          <w:rFonts w:asciiTheme="minorHAnsi" w:hAnsiTheme="minorHAnsi"/>
          <w:lang w:val="bg-BG"/>
        </w:rPr>
        <w:tab/>
      </w:r>
      <w:r w:rsidR="00A424F9" w:rsidRPr="00DC2206">
        <w:rPr>
          <w:rFonts w:asciiTheme="minorHAnsi" w:hAnsiTheme="minorHAnsi"/>
          <w:lang w:val="bg-BG"/>
        </w:rPr>
        <w:t xml:space="preserve">общи </w:t>
      </w:r>
      <w:r w:rsidR="00750CF9">
        <w:rPr>
          <w:rFonts w:asciiTheme="minorHAnsi" w:hAnsiTheme="minorHAnsi"/>
          <w:lang w:val="bg-BG"/>
        </w:rPr>
        <w:t>указания</w:t>
      </w:r>
      <w:r w:rsidR="00A424F9" w:rsidRPr="00DC2206">
        <w:rPr>
          <w:rFonts w:asciiTheme="minorHAnsi" w:hAnsiTheme="minorHAnsi"/>
          <w:lang w:val="bg-BG"/>
        </w:rPr>
        <w:t xml:space="preserve"> за приоритетите на прокурорските дейности, както те произтичат от </w:t>
      </w:r>
      <w:r w:rsidR="00A424F9" w:rsidRPr="00DC2206">
        <w:rPr>
          <w:rFonts w:asciiTheme="minorHAnsi" w:hAnsiTheme="minorHAnsi"/>
          <w:lang w:val="bg-BG"/>
        </w:rPr>
        <w:lastRenderedPageBreak/>
        <w:t>закона</w:t>
      </w:r>
      <w:r w:rsidR="00521963" w:rsidRPr="00DC2206">
        <w:rPr>
          <w:rFonts w:asciiTheme="minorHAnsi" w:hAnsiTheme="minorHAnsi"/>
          <w:lang w:val="bg-BG"/>
        </w:rPr>
        <w:t xml:space="preserve">, </w:t>
      </w:r>
      <w:r w:rsidR="00A424F9" w:rsidRPr="00DC2206">
        <w:rPr>
          <w:rFonts w:asciiTheme="minorHAnsi" w:hAnsiTheme="minorHAnsi"/>
          <w:lang w:val="bg-BG"/>
        </w:rPr>
        <w:t>развитието на международно сътрудничество или изисквания, свързани с организацията на прокуратурата следва да бъдат давани винаги в съответствие със закона</w:t>
      </w:r>
      <w:r w:rsidR="00521963" w:rsidRPr="00DC2206">
        <w:rPr>
          <w:rFonts w:asciiTheme="minorHAnsi" w:hAnsiTheme="minorHAnsi"/>
          <w:lang w:val="bg-BG"/>
        </w:rPr>
        <w:t xml:space="preserve">, </w:t>
      </w:r>
      <w:r w:rsidR="00A424F9" w:rsidRPr="00DC2206">
        <w:rPr>
          <w:rFonts w:asciiTheme="minorHAnsi" w:hAnsiTheme="minorHAnsi"/>
          <w:lang w:val="bg-BG"/>
        </w:rPr>
        <w:t>по един напълно прозрачен начин и изцяло в писмена форма</w:t>
      </w:r>
      <w:r w:rsidRPr="00DC2206">
        <w:rPr>
          <w:rStyle w:val="FootnoteReference"/>
          <w:rFonts w:asciiTheme="minorHAnsi" w:hAnsiTheme="minorHAnsi"/>
          <w:lang w:val="bg-BG"/>
        </w:rPr>
        <w:footnoteReference w:id="20"/>
      </w:r>
      <w:r w:rsidR="00521963" w:rsidRPr="00DC2206">
        <w:rPr>
          <w:rFonts w:asciiTheme="minorHAnsi" w:hAnsiTheme="minorHAnsi"/>
          <w:lang w:val="bg-BG"/>
        </w:rPr>
        <w:t xml:space="preserve">. </w:t>
      </w:r>
      <w:r w:rsidR="002D5BE7" w:rsidRPr="00DC2206">
        <w:rPr>
          <w:rFonts w:asciiTheme="minorHAnsi" w:hAnsiTheme="minorHAnsi"/>
          <w:lang w:val="bg-BG"/>
        </w:rPr>
        <w:t xml:space="preserve">Ако </w:t>
      </w:r>
      <w:r w:rsidRPr="00DC2206">
        <w:rPr>
          <w:rFonts w:asciiTheme="minorHAnsi" w:hAnsiTheme="minorHAnsi"/>
          <w:lang w:val="bg-BG"/>
        </w:rPr>
        <w:t>прокурори</w:t>
      </w:r>
      <w:r w:rsidR="002D5BE7" w:rsidRPr="00DC2206">
        <w:rPr>
          <w:rFonts w:asciiTheme="minorHAnsi" w:hAnsiTheme="minorHAnsi"/>
          <w:lang w:val="bg-BG"/>
        </w:rPr>
        <w:t xml:space="preserve">те получават </w:t>
      </w:r>
      <w:r w:rsidR="005326DE">
        <w:rPr>
          <w:rFonts w:asciiTheme="minorHAnsi" w:hAnsiTheme="minorHAnsi"/>
          <w:lang w:val="bg-BG"/>
        </w:rPr>
        <w:t>указания</w:t>
      </w:r>
      <w:r w:rsidR="002D5BE7" w:rsidRPr="00DC2206">
        <w:rPr>
          <w:rFonts w:asciiTheme="minorHAnsi" w:hAnsiTheme="minorHAnsi"/>
          <w:lang w:val="bg-BG"/>
        </w:rPr>
        <w:t xml:space="preserve"> от своите ръководители в прокуратурата</w:t>
      </w:r>
      <w:r w:rsidR="00521963" w:rsidRPr="00DC2206">
        <w:rPr>
          <w:rFonts w:asciiTheme="minorHAnsi" w:hAnsiTheme="minorHAnsi"/>
          <w:lang w:val="bg-BG"/>
        </w:rPr>
        <w:t xml:space="preserve">, </w:t>
      </w:r>
      <w:r w:rsidR="002D5BE7" w:rsidRPr="00DC2206">
        <w:rPr>
          <w:rFonts w:asciiTheme="minorHAnsi" w:hAnsiTheme="minorHAnsi"/>
          <w:lang w:val="bg-BG"/>
        </w:rPr>
        <w:t>те следва да бъдат представени в писмена форма</w:t>
      </w:r>
      <w:r w:rsidR="00521963" w:rsidRPr="00DC2206">
        <w:rPr>
          <w:rFonts w:asciiTheme="minorHAnsi" w:hAnsiTheme="minorHAnsi"/>
          <w:lang w:val="bg-BG"/>
        </w:rPr>
        <w:t xml:space="preserve">, </w:t>
      </w:r>
      <w:r w:rsidR="002D5BE7" w:rsidRPr="00DC2206">
        <w:rPr>
          <w:rFonts w:asciiTheme="minorHAnsi" w:hAnsiTheme="minorHAnsi"/>
          <w:lang w:val="bg-BG"/>
        </w:rPr>
        <w:t>да бъдат дадени по прозрачен начин и винаги с цел да бъде приложен законът</w:t>
      </w:r>
      <w:r w:rsidR="00521963" w:rsidRPr="00DC2206">
        <w:rPr>
          <w:rFonts w:asciiTheme="minorHAnsi" w:hAnsiTheme="minorHAnsi"/>
          <w:lang w:val="bg-BG"/>
        </w:rPr>
        <w:t xml:space="preserve">, </w:t>
      </w:r>
      <w:r w:rsidR="002D5BE7" w:rsidRPr="00DC2206">
        <w:rPr>
          <w:rFonts w:asciiTheme="minorHAnsi" w:hAnsiTheme="minorHAnsi"/>
          <w:lang w:val="bg-BG"/>
        </w:rPr>
        <w:t>като се търси истината и се гарантира надлежното правораздаване и същевременно се зачитат правата на човека и основните свободи</w:t>
      </w:r>
      <w:r w:rsidRPr="00DC2206">
        <w:rPr>
          <w:rStyle w:val="FootnoteReference"/>
          <w:rFonts w:asciiTheme="minorHAnsi" w:hAnsiTheme="minorHAnsi"/>
          <w:lang w:val="bg-BG"/>
        </w:rPr>
        <w:footnoteReference w:id="21"/>
      </w:r>
      <w:r w:rsidR="00521963" w:rsidRPr="00DC2206">
        <w:rPr>
          <w:rFonts w:asciiTheme="minorHAnsi" w:hAnsiTheme="minorHAnsi"/>
          <w:lang w:val="bg-BG"/>
        </w:rPr>
        <w:t>;</w:t>
      </w:r>
    </w:p>
    <w:p w14:paraId="617680BB" w14:textId="77777777" w:rsidR="00A0730F" w:rsidRPr="00DC2206" w:rsidRDefault="00A0730F" w:rsidP="00A0730F">
      <w:pPr>
        <w:ind w:left="1418" w:hanging="426"/>
        <w:jc w:val="both"/>
        <w:rPr>
          <w:rFonts w:asciiTheme="minorHAnsi" w:hAnsiTheme="minorHAnsi"/>
          <w:lang w:val="bg-BG"/>
        </w:rPr>
      </w:pPr>
    </w:p>
    <w:p w14:paraId="1A3574C1" w14:textId="77777777" w:rsidR="00C61601" w:rsidRPr="00DC2206" w:rsidRDefault="00521963" w:rsidP="008561A8">
      <w:pPr>
        <w:pStyle w:val="1"/>
      </w:pPr>
      <w:r w:rsidRPr="00DC2206">
        <w:t>•</w:t>
      </w:r>
      <w:r w:rsidRPr="00DC2206">
        <w:tab/>
      </w:r>
      <w:r w:rsidR="00CC3632" w:rsidRPr="00DC2206">
        <w:t xml:space="preserve">статусът, възнаграждението и третирането на </w:t>
      </w:r>
      <w:r w:rsidR="00A0730F" w:rsidRPr="00DC2206">
        <w:t>прокурори</w:t>
      </w:r>
      <w:r w:rsidR="00CC3632" w:rsidRPr="00DC2206">
        <w:t xml:space="preserve">те, както и предоставянето на финансови, човешки и други ресурси, разпределени за </w:t>
      </w:r>
      <w:r w:rsidR="00A1456B" w:rsidRPr="00DC2206">
        <w:t>прокуратури</w:t>
      </w:r>
      <w:r w:rsidR="00CC3632" w:rsidRPr="00DC2206">
        <w:t>те, следва да съответства</w:t>
      </w:r>
      <w:r w:rsidR="00F67AB6" w:rsidRPr="00DC2206">
        <w:t>т</w:t>
      </w:r>
      <w:r w:rsidR="00BF23A7">
        <w:t xml:space="preserve"> –</w:t>
      </w:r>
      <w:r w:rsidR="00CC3632" w:rsidRPr="00DC2206">
        <w:t xml:space="preserve"> </w:t>
      </w:r>
      <w:r w:rsidR="00F67AB6" w:rsidRPr="00DC2206">
        <w:t xml:space="preserve">така че да са съпоставими </w:t>
      </w:r>
      <w:r w:rsidR="00CC3632" w:rsidRPr="00DC2206">
        <w:t xml:space="preserve">с тези </w:t>
      </w:r>
      <w:r w:rsidR="00F67AB6" w:rsidRPr="00DC2206">
        <w:t xml:space="preserve">при </w:t>
      </w:r>
      <w:r w:rsidR="00CC3632" w:rsidRPr="00DC2206">
        <w:t>съдиите</w:t>
      </w:r>
      <w:r w:rsidR="00BF23A7">
        <w:t xml:space="preserve"> –</w:t>
      </w:r>
      <w:r w:rsidRPr="00DC2206">
        <w:t xml:space="preserve"> </w:t>
      </w:r>
      <w:r w:rsidR="00F67AB6" w:rsidRPr="00DC2206">
        <w:t>на з</w:t>
      </w:r>
      <w:r w:rsidR="00750CF9">
        <w:t>начимостта</w:t>
      </w:r>
      <w:r w:rsidR="00F67AB6" w:rsidRPr="00DC2206">
        <w:t xml:space="preserve"> на мисията и </w:t>
      </w:r>
      <w:r w:rsidR="00750CF9">
        <w:t>специфич</w:t>
      </w:r>
      <w:r w:rsidR="00F67AB6" w:rsidRPr="00DC2206">
        <w:t xml:space="preserve">ните задължения на </w:t>
      </w:r>
      <w:r w:rsidR="00A0730F" w:rsidRPr="00DC2206">
        <w:t>прокурори</w:t>
      </w:r>
      <w:r w:rsidR="00F67AB6" w:rsidRPr="00DC2206">
        <w:t>те</w:t>
      </w:r>
      <w:r w:rsidR="00A0730F" w:rsidRPr="00DC2206">
        <w:rPr>
          <w:rStyle w:val="FootnoteReference"/>
        </w:rPr>
        <w:footnoteReference w:id="22"/>
      </w:r>
      <w:r w:rsidRPr="00DC2206">
        <w:t>;</w:t>
      </w:r>
    </w:p>
    <w:p w14:paraId="0FCCDC65" w14:textId="77777777" w:rsidR="00A0730F" w:rsidRPr="00DC2206" w:rsidRDefault="00A0730F" w:rsidP="00A0730F">
      <w:pPr>
        <w:ind w:left="1418" w:hanging="426"/>
        <w:jc w:val="both"/>
        <w:rPr>
          <w:rFonts w:asciiTheme="minorHAnsi" w:hAnsiTheme="minorHAnsi"/>
          <w:lang w:val="bg-BG"/>
        </w:rPr>
      </w:pPr>
    </w:p>
    <w:p w14:paraId="412FBEB8" w14:textId="77777777" w:rsidR="00C61601" w:rsidRPr="00DC2206" w:rsidRDefault="00521963" w:rsidP="00A0730F">
      <w:pPr>
        <w:ind w:left="1418" w:hanging="426"/>
        <w:jc w:val="both"/>
        <w:rPr>
          <w:rFonts w:asciiTheme="minorHAnsi" w:hAnsiTheme="minorHAnsi"/>
          <w:lang w:val="bg-BG"/>
        </w:rPr>
      </w:pPr>
      <w:r w:rsidRPr="00DC2206">
        <w:rPr>
          <w:rFonts w:asciiTheme="minorHAnsi" w:hAnsiTheme="minorHAnsi"/>
          <w:lang w:val="bg-BG"/>
        </w:rPr>
        <w:t>•</w:t>
      </w:r>
      <w:r w:rsidRPr="00DC2206">
        <w:rPr>
          <w:rFonts w:asciiTheme="minorHAnsi" w:hAnsiTheme="minorHAnsi"/>
          <w:lang w:val="bg-BG"/>
        </w:rPr>
        <w:tab/>
      </w:r>
      <w:r w:rsidR="00F67AB6" w:rsidRPr="00DC2206">
        <w:rPr>
          <w:rFonts w:asciiTheme="minorHAnsi" w:hAnsiTheme="minorHAnsi"/>
          <w:lang w:val="bg-BG"/>
        </w:rPr>
        <w:t xml:space="preserve">държавите членки следва да защитават </w:t>
      </w:r>
      <w:r w:rsidR="00A0730F" w:rsidRPr="00DC2206">
        <w:rPr>
          <w:rFonts w:asciiTheme="minorHAnsi" w:hAnsiTheme="minorHAnsi"/>
          <w:lang w:val="bg-BG"/>
        </w:rPr>
        <w:t>прокурори</w:t>
      </w:r>
      <w:r w:rsidR="00F67AB6" w:rsidRPr="00DC2206">
        <w:rPr>
          <w:rFonts w:asciiTheme="minorHAnsi" w:hAnsiTheme="minorHAnsi"/>
          <w:lang w:val="bg-BG"/>
        </w:rPr>
        <w:t>те и</w:t>
      </w:r>
      <w:r w:rsidRPr="00DC2206">
        <w:rPr>
          <w:rFonts w:asciiTheme="minorHAnsi" w:hAnsiTheme="minorHAnsi"/>
          <w:lang w:val="bg-BG"/>
        </w:rPr>
        <w:t xml:space="preserve">, </w:t>
      </w:r>
      <w:r w:rsidR="00F67AB6" w:rsidRPr="00DC2206">
        <w:rPr>
          <w:rFonts w:asciiTheme="minorHAnsi" w:hAnsiTheme="minorHAnsi"/>
          <w:lang w:val="bg-BG"/>
        </w:rPr>
        <w:t>в зависимост от случая</w:t>
      </w:r>
      <w:r w:rsidRPr="00DC2206">
        <w:rPr>
          <w:rFonts w:asciiTheme="minorHAnsi" w:hAnsiTheme="minorHAnsi"/>
          <w:lang w:val="bg-BG"/>
        </w:rPr>
        <w:t xml:space="preserve">, </w:t>
      </w:r>
      <w:r w:rsidR="00F67AB6" w:rsidRPr="00DC2206">
        <w:rPr>
          <w:rFonts w:asciiTheme="minorHAnsi" w:hAnsiTheme="minorHAnsi"/>
          <w:lang w:val="bg-BG"/>
        </w:rPr>
        <w:t>членовете на техните семейства и пре</w:t>
      </w:r>
      <w:r w:rsidR="00750CF9">
        <w:rPr>
          <w:rFonts w:asciiTheme="minorHAnsi" w:hAnsiTheme="minorHAnsi"/>
          <w:lang w:val="bg-BG"/>
        </w:rPr>
        <w:t>питанието</w:t>
      </w:r>
      <w:r w:rsidR="00F67AB6" w:rsidRPr="00DC2206">
        <w:rPr>
          <w:rFonts w:asciiTheme="minorHAnsi" w:hAnsiTheme="minorHAnsi"/>
          <w:lang w:val="bg-BG"/>
        </w:rPr>
        <w:t xml:space="preserve"> им</w:t>
      </w:r>
      <w:r w:rsidRPr="00DC2206">
        <w:rPr>
          <w:rFonts w:asciiTheme="minorHAnsi" w:hAnsiTheme="minorHAnsi"/>
          <w:lang w:val="bg-BG"/>
        </w:rPr>
        <w:t xml:space="preserve">, </w:t>
      </w:r>
      <w:r w:rsidR="00F67AB6" w:rsidRPr="00DC2206">
        <w:rPr>
          <w:rFonts w:asciiTheme="minorHAnsi" w:hAnsiTheme="minorHAnsi"/>
          <w:lang w:val="bg-BG"/>
        </w:rPr>
        <w:t>при изпълнение на функциите им</w:t>
      </w:r>
      <w:r w:rsidR="00A0730F" w:rsidRPr="00DC2206">
        <w:rPr>
          <w:rStyle w:val="FootnoteReference"/>
          <w:rFonts w:asciiTheme="minorHAnsi" w:hAnsiTheme="minorHAnsi"/>
          <w:lang w:val="bg-BG"/>
        </w:rPr>
        <w:footnoteReference w:id="23"/>
      </w:r>
      <w:r w:rsidRPr="00DC2206">
        <w:rPr>
          <w:rFonts w:asciiTheme="minorHAnsi" w:hAnsiTheme="minorHAnsi"/>
          <w:lang w:val="bg-BG"/>
        </w:rPr>
        <w:t>;</w:t>
      </w:r>
    </w:p>
    <w:p w14:paraId="5FB4833E" w14:textId="77777777" w:rsidR="00A0730F" w:rsidRPr="00DC2206" w:rsidRDefault="00A0730F" w:rsidP="00A0730F">
      <w:pPr>
        <w:ind w:left="1418" w:hanging="426"/>
        <w:jc w:val="both"/>
        <w:rPr>
          <w:rFonts w:asciiTheme="minorHAnsi" w:hAnsiTheme="minorHAnsi"/>
          <w:lang w:val="bg-BG"/>
        </w:rPr>
      </w:pPr>
    </w:p>
    <w:p w14:paraId="2B1BB8AB" w14:textId="77777777" w:rsidR="00C61601" w:rsidRPr="00DC2206" w:rsidRDefault="00521963" w:rsidP="00A0730F">
      <w:pPr>
        <w:ind w:left="1418" w:hanging="426"/>
        <w:jc w:val="both"/>
        <w:rPr>
          <w:rFonts w:asciiTheme="minorHAnsi" w:hAnsiTheme="minorHAnsi"/>
          <w:lang w:val="bg-BG"/>
        </w:rPr>
      </w:pPr>
      <w:r w:rsidRPr="00DC2206">
        <w:rPr>
          <w:rFonts w:asciiTheme="minorHAnsi" w:hAnsiTheme="minorHAnsi"/>
          <w:lang w:val="bg-BG"/>
        </w:rPr>
        <w:t>•</w:t>
      </w:r>
      <w:r w:rsidRPr="00DC2206">
        <w:rPr>
          <w:rFonts w:asciiTheme="minorHAnsi" w:hAnsiTheme="minorHAnsi"/>
          <w:lang w:val="bg-BG"/>
        </w:rPr>
        <w:tab/>
      </w:r>
      <w:r w:rsidR="00F67AB6" w:rsidRPr="00DC2206">
        <w:rPr>
          <w:rFonts w:asciiTheme="minorHAnsi" w:hAnsiTheme="minorHAnsi"/>
          <w:lang w:val="bg-BG"/>
        </w:rPr>
        <w:t>в своите системи на административна и йерархична организация</w:t>
      </w:r>
      <w:r w:rsidRPr="00DC2206">
        <w:rPr>
          <w:rFonts w:asciiTheme="minorHAnsi" w:hAnsiTheme="minorHAnsi"/>
          <w:lang w:val="bg-BG"/>
        </w:rPr>
        <w:t xml:space="preserve">, </w:t>
      </w:r>
      <w:r w:rsidR="00F67AB6" w:rsidRPr="00DC2206">
        <w:rPr>
          <w:rFonts w:asciiTheme="minorHAnsi" w:hAnsiTheme="minorHAnsi"/>
          <w:lang w:val="bg-BG"/>
        </w:rPr>
        <w:t>държавите членки</w:t>
      </w:r>
      <w:r w:rsidRPr="00DC2206">
        <w:rPr>
          <w:rFonts w:asciiTheme="minorHAnsi" w:hAnsiTheme="minorHAnsi"/>
          <w:lang w:val="bg-BG"/>
        </w:rPr>
        <w:t xml:space="preserve">, </w:t>
      </w:r>
      <w:r w:rsidR="00BF23A7">
        <w:rPr>
          <w:rFonts w:asciiTheme="minorHAnsi" w:hAnsiTheme="minorHAnsi"/>
          <w:lang w:val="bg-BG"/>
        </w:rPr>
        <w:t>а</w:t>
      </w:r>
      <w:r w:rsidR="00F67AB6" w:rsidRPr="00DC2206">
        <w:rPr>
          <w:rFonts w:asciiTheme="minorHAnsi" w:hAnsiTheme="minorHAnsi"/>
          <w:lang w:val="bg-BG"/>
        </w:rPr>
        <w:t xml:space="preserve">ко желаят да предоставят или да поддържат статута на съдебна власт за </w:t>
      </w:r>
      <w:r w:rsidR="00A0730F" w:rsidRPr="00DC2206">
        <w:rPr>
          <w:rFonts w:asciiTheme="minorHAnsi" w:hAnsiTheme="minorHAnsi"/>
          <w:lang w:val="bg-BG"/>
        </w:rPr>
        <w:t>прокурори</w:t>
      </w:r>
      <w:r w:rsidR="00F67AB6" w:rsidRPr="00DC2206">
        <w:rPr>
          <w:rFonts w:asciiTheme="minorHAnsi" w:hAnsiTheme="minorHAnsi"/>
          <w:lang w:val="bg-BG"/>
        </w:rPr>
        <w:t xml:space="preserve">те по смисъла на </w:t>
      </w:r>
      <w:r w:rsidR="001C1676" w:rsidRPr="00DC2206">
        <w:rPr>
          <w:rFonts w:asciiTheme="minorHAnsi" w:hAnsiTheme="minorHAnsi"/>
          <w:lang w:val="bg-BG"/>
        </w:rPr>
        <w:t>Европейката конвенция за правата на човека</w:t>
      </w:r>
      <w:r w:rsidRPr="00DC2206">
        <w:rPr>
          <w:rFonts w:asciiTheme="minorHAnsi" w:hAnsiTheme="minorHAnsi"/>
          <w:lang w:val="bg-BG"/>
        </w:rPr>
        <w:t xml:space="preserve">, </w:t>
      </w:r>
      <w:r w:rsidR="00F67AB6" w:rsidRPr="00DC2206">
        <w:rPr>
          <w:rFonts w:asciiTheme="minorHAnsi" w:hAnsiTheme="minorHAnsi"/>
          <w:lang w:val="bg-BG"/>
        </w:rPr>
        <w:t>следва да гарантират, че същите разполагат с всички гаранции</w:t>
      </w:r>
      <w:r w:rsidRPr="00DC2206">
        <w:rPr>
          <w:rFonts w:asciiTheme="minorHAnsi" w:hAnsiTheme="minorHAnsi"/>
          <w:lang w:val="bg-BG"/>
        </w:rPr>
        <w:t xml:space="preserve">, </w:t>
      </w:r>
      <w:r w:rsidR="00F67AB6" w:rsidRPr="00DC2206">
        <w:rPr>
          <w:rFonts w:asciiTheme="minorHAnsi" w:hAnsiTheme="minorHAnsi"/>
          <w:lang w:val="bg-BG"/>
        </w:rPr>
        <w:t xml:space="preserve">по-специално изискваните за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F67AB6" w:rsidRPr="00DC2206">
        <w:rPr>
          <w:rFonts w:asciiTheme="minorHAnsi" w:hAnsiTheme="minorHAnsi"/>
          <w:lang w:val="bg-BG"/>
        </w:rPr>
        <w:t>инкорпорирани в този статут</w:t>
      </w:r>
      <w:r w:rsidR="00A0730F" w:rsidRPr="00DC2206">
        <w:rPr>
          <w:rStyle w:val="FootnoteReference"/>
          <w:rFonts w:asciiTheme="minorHAnsi" w:hAnsiTheme="minorHAnsi"/>
          <w:lang w:val="bg-BG"/>
        </w:rPr>
        <w:footnoteReference w:id="24"/>
      </w:r>
      <w:r w:rsidRPr="00DC2206">
        <w:rPr>
          <w:rFonts w:asciiTheme="minorHAnsi" w:hAnsiTheme="minorHAnsi"/>
          <w:lang w:val="bg-BG"/>
        </w:rPr>
        <w:t>;</w:t>
      </w:r>
    </w:p>
    <w:p w14:paraId="6188351C" w14:textId="77777777" w:rsidR="00A0730F" w:rsidRPr="00DC2206" w:rsidRDefault="00A0730F" w:rsidP="00A0730F">
      <w:pPr>
        <w:ind w:left="1418" w:hanging="426"/>
        <w:jc w:val="both"/>
        <w:rPr>
          <w:rFonts w:asciiTheme="minorHAnsi" w:hAnsiTheme="minorHAnsi"/>
          <w:lang w:val="bg-BG"/>
        </w:rPr>
      </w:pPr>
    </w:p>
    <w:p w14:paraId="416A6DD4" w14:textId="77777777" w:rsidR="00C61601" w:rsidRPr="00DC2206" w:rsidRDefault="00521963" w:rsidP="00A0730F">
      <w:pPr>
        <w:ind w:left="1418" w:hanging="426"/>
        <w:jc w:val="both"/>
        <w:rPr>
          <w:rFonts w:asciiTheme="minorHAnsi" w:hAnsiTheme="minorHAnsi"/>
          <w:lang w:val="bg-BG"/>
        </w:rPr>
      </w:pPr>
      <w:r w:rsidRPr="00DC2206">
        <w:rPr>
          <w:rFonts w:asciiTheme="minorHAnsi" w:hAnsiTheme="minorHAnsi"/>
          <w:lang w:val="bg-BG"/>
        </w:rPr>
        <w:t>•</w:t>
      </w:r>
      <w:r w:rsidR="00A0730F" w:rsidRPr="00DC2206">
        <w:rPr>
          <w:rFonts w:asciiTheme="minorHAnsi" w:hAnsiTheme="minorHAnsi"/>
          <w:lang w:val="bg-BG"/>
        </w:rPr>
        <w:tab/>
      </w:r>
      <w:r w:rsidR="00F67AB6" w:rsidRPr="00DC2206">
        <w:rPr>
          <w:rFonts w:asciiTheme="minorHAnsi" w:hAnsiTheme="minorHAnsi"/>
          <w:lang w:val="bg-BG"/>
        </w:rPr>
        <w:t>широката общественост и заинтересуваните лица следва при поискване да получават подходяща информация за прокуратурата и дейностите по наказателно преследване</w:t>
      </w:r>
      <w:r w:rsidRPr="00DC2206">
        <w:rPr>
          <w:rFonts w:asciiTheme="minorHAnsi" w:hAnsiTheme="minorHAnsi"/>
          <w:lang w:val="bg-BG"/>
        </w:rPr>
        <w:t xml:space="preserve">. </w:t>
      </w:r>
      <w:r w:rsidR="00F67AB6" w:rsidRPr="00DC2206">
        <w:rPr>
          <w:rFonts w:asciiTheme="minorHAnsi" w:hAnsiTheme="minorHAnsi"/>
          <w:lang w:val="bg-BG"/>
        </w:rPr>
        <w:t>Успоредно с това</w:t>
      </w:r>
      <w:r w:rsidRPr="00DC2206">
        <w:rPr>
          <w:rFonts w:asciiTheme="minorHAnsi" w:hAnsiTheme="minorHAnsi"/>
          <w:lang w:val="bg-BG"/>
        </w:rPr>
        <w:t xml:space="preserve">, </w:t>
      </w:r>
      <w:r w:rsidR="00A0730F" w:rsidRPr="00DC2206">
        <w:rPr>
          <w:rFonts w:asciiTheme="minorHAnsi" w:hAnsiTheme="minorHAnsi"/>
          <w:lang w:val="bg-BG"/>
        </w:rPr>
        <w:t>прокурори</w:t>
      </w:r>
      <w:r w:rsidR="00F67AB6" w:rsidRPr="00DC2206">
        <w:rPr>
          <w:rFonts w:asciiTheme="minorHAnsi" w:hAnsiTheme="minorHAnsi"/>
          <w:lang w:val="bg-BG"/>
        </w:rPr>
        <w:t>те следва да играят ключова роля при разпространението на тази информация чрез подходящи канали и в съответствие със закона</w:t>
      </w:r>
      <w:r w:rsidRPr="00DC2206">
        <w:rPr>
          <w:rFonts w:asciiTheme="minorHAnsi" w:hAnsiTheme="minorHAnsi"/>
          <w:lang w:val="bg-BG"/>
        </w:rPr>
        <w:t xml:space="preserve">, </w:t>
      </w:r>
      <w:r w:rsidR="00F67AB6" w:rsidRPr="00DC2206">
        <w:rPr>
          <w:rFonts w:asciiTheme="minorHAnsi" w:hAnsiTheme="minorHAnsi"/>
          <w:lang w:val="bg-BG"/>
        </w:rPr>
        <w:t xml:space="preserve">същевременно гарантирайки зачитане на прокурорската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F67AB6" w:rsidRPr="00DC2206">
        <w:rPr>
          <w:rFonts w:asciiTheme="minorHAnsi" w:hAnsiTheme="minorHAnsi"/>
          <w:lang w:val="bg-BG"/>
        </w:rPr>
        <w:t>презумпцията за невиновност</w:t>
      </w:r>
      <w:r w:rsidRPr="00DC2206">
        <w:rPr>
          <w:rFonts w:asciiTheme="minorHAnsi" w:hAnsiTheme="minorHAnsi"/>
          <w:lang w:val="bg-BG"/>
        </w:rPr>
        <w:t xml:space="preserve">, </w:t>
      </w:r>
      <w:r w:rsidR="00F67AB6" w:rsidRPr="00DC2206">
        <w:rPr>
          <w:rFonts w:asciiTheme="minorHAnsi" w:hAnsiTheme="minorHAnsi"/>
          <w:lang w:val="bg-BG"/>
        </w:rPr>
        <w:t>необходимостта от разследване</w:t>
      </w:r>
      <w:r w:rsidRPr="00DC2206">
        <w:rPr>
          <w:rFonts w:asciiTheme="minorHAnsi" w:hAnsiTheme="minorHAnsi"/>
          <w:lang w:val="bg-BG"/>
        </w:rPr>
        <w:t xml:space="preserve">, </w:t>
      </w:r>
      <w:r w:rsidR="00F67AB6" w:rsidRPr="00DC2206">
        <w:rPr>
          <w:rFonts w:asciiTheme="minorHAnsi" w:hAnsiTheme="minorHAnsi"/>
          <w:lang w:val="bg-BG"/>
        </w:rPr>
        <w:t>защита на личните данни и други относими аспекти</w:t>
      </w:r>
      <w:r w:rsidR="00A0730F" w:rsidRPr="00DC2206">
        <w:rPr>
          <w:rStyle w:val="FootnoteReference"/>
          <w:rFonts w:asciiTheme="minorHAnsi" w:hAnsiTheme="minorHAnsi"/>
          <w:lang w:val="bg-BG"/>
        </w:rPr>
        <w:footnoteReference w:id="25"/>
      </w:r>
      <w:r w:rsidRPr="00DC2206">
        <w:rPr>
          <w:rFonts w:asciiTheme="minorHAnsi" w:hAnsiTheme="minorHAnsi"/>
          <w:lang w:val="bg-BG"/>
        </w:rPr>
        <w:t>.</w:t>
      </w:r>
    </w:p>
    <w:p w14:paraId="2B04451E" w14:textId="77777777" w:rsidR="00A0730F" w:rsidRPr="00DC2206" w:rsidRDefault="00A0730F" w:rsidP="00732D5B">
      <w:pPr>
        <w:ind w:left="709" w:hanging="709"/>
        <w:jc w:val="both"/>
        <w:rPr>
          <w:rFonts w:asciiTheme="minorHAnsi" w:hAnsiTheme="minorHAnsi"/>
          <w:lang w:val="bg-BG"/>
        </w:rPr>
      </w:pPr>
    </w:p>
    <w:p w14:paraId="5DDC6757"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15.</w:t>
      </w:r>
      <w:r w:rsidR="00A0730F" w:rsidRPr="00DC2206">
        <w:rPr>
          <w:rFonts w:asciiTheme="minorHAnsi" w:hAnsiTheme="minorHAnsi"/>
          <w:lang w:val="bg-BG"/>
        </w:rPr>
        <w:tab/>
      </w:r>
      <w:r w:rsidR="00BE23BC" w:rsidRPr="00DC2206">
        <w:rPr>
          <w:rFonts w:asciiTheme="minorHAnsi" w:hAnsiTheme="minorHAnsi"/>
          <w:lang w:val="bg-BG"/>
        </w:rPr>
        <w:t xml:space="preserve">Що се отнася, по-специално, до мандата на </w:t>
      </w:r>
      <w:r w:rsidR="00A0730F" w:rsidRPr="00DC2206">
        <w:rPr>
          <w:rFonts w:asciiTheme="minorHAnsi" w:hAnsiTheme="minorHAnsi"/>
          <w:lang w:val="bg-BG"/>
        </w:rPr>
        <w:t>прокурори</w:t>
      </w:r>
      <w:r w:rsidR="00BE23BC" w:rsidRPr="00DC2206">
        <w:rPr>
          <w:rFonts w:asciiTheme="minorHAnsi" w:hAnsiTheme="minorHAnsi"/>
          <w:lang w:val="bg-BG"/>
        </w:rPr>
        <w:t>те</w:t>
      </w:r>
      <w:r w:rsidRPr="00DC2206">
        <w:rPr>
          <w:rFonts w:asciiTheme="minorHAnsi" w:hAnsiTheme="minorHAnsi"/>
          <w:lang w:val="bg-BG"/>
        </w:rPr>
        <w:t xml:space="preserve">, </w:t>
      </w:r>
      <w:r w:rsidR="00BE23BC" w:rsidRPr="00DC2206">
        <w:rPr>
          <w:rFonts w:asciiTheme="minorHAnsi" w:hAnsiTheme="minorHAnsi"/>
          <w:lang w:val="bg-BG"/>
        </w:rPr>
        <w:t xml:space="preserve">е важно да се припомни позицията, подкрепена от Венецианската комисия, че </w:t>
      </w:r>
      <w:r w:rsidR="00A0730F" w:rsidRPr="00DC2206">
        <w:rPr>
          <w:rFonts w:asciiTheme="minorHAnsi" w:hAnsiTheme="minorHAnsi"/>
          <w:lang w:val="bg-BG"/>
        </w:rPr>
        <w:t>прокурори</w:t>
      </w:r>
      <w:r w:rsidR="00BE23BC" w:rsidRPr="00DC2206">
        <w:rPr>
          <w:rFonts w:asciiTheme="minorHAnsi" w:hAnsiTheme="minorHAnsi"/>
          <w:lang w:val="bg-BG"/>
        </w:rPr>
        <w:t>те</w:t>
      </w:r>
      <w:r w:rsidRPr="00DC2206">
        <w:rPr>
          <w:rFonts w:asciiTheme="minorHAnsi" w:hAnsiTheme="minorHAnsi"/>
          <w:lang w:val="bg-BG"/>
        </w:rPr>
        <w:t xml:space="preserve"> </w:t>
      </w:r>
      <w:r w:rsidR="00BE23BC" w:rsidRPr="00DC2206">
        <w:rPr>
          <w:rFonts w:asciiTheme="minorHAnsi" w:hAnsiTheme="minorHAnsi"/>
          <w:lang w:val="bg-BG"/>
        </w:rPr>
        <w:t xml:space="preserve">следва да се ползват </w:t>
      </w:r>
      <w:r w:rsidR="0026783E">
        <w:rPr>
          <w:rFonts w:asciiTheme="minorHAnsi" w:hAnsiTheme="minorHAnsi"/>
          <w:lang w:val="bg-BG"/>
        </w:rPr>
        <w:t>от кариерата си до пенсиониране</w:t>
      </w:r>
      <w:r w:rsidRPr="00DC2206">
        <w:rPr>
          <w:rFonts w:asciiTheme="minorHAnsi" w:hAnsiTheme="minorHAnsi"/>
          <w:lang w:val="bg-BG"/>
        </w:rPr>
        <w:t xml:space="preserve">. </w:t>
      </w:r>
      <w:r w:rsidR="00BE23BC" w:rsidRPr="00DC2206">
        <w:rPr>
          <w:rFonts w:asciiTheme="minorHAnsi" w:hAnsiTheme="minorHAnsi"/>
          <w:lang w:val="bg-BG"/>
        </w:rPr>
        <w:t>Назначенията за ограничени периоди с въ</w:t>
      </w:r>
      <w:r w:rsidR="004D19CF" w:rsidRPr="00DC2206">
        <w:rPr>
          <w:rFonts w:asciiTheme="minorHAnsi" w:hAnsiTheme="minorHAnsi"/>
          <w:lang w:val="bg-BG"/>
        </w:rPr>
        <w:t>зможността за преназначение крият</w:t>
      </w:r>
      <w:r w:rsidR="00BE23BC" w:rsidRPr="00DC2206">
        <w:rPr>
          <w:rFonts w:asciiTheme="minorHAnsi" w:hAnsiTheme="minorHAnsi"/>
          <w:lang w:val="bg-BG"/>
        </w:rPr>
        <w:t xml:space="preserve"> риска прокурорът да взема своите решения не на </w:t>
      </w:r>
      <w:r w:rsidR="0026783E">
        <w:rPr>
          <w:rFonts w:asciiTheme="minorHAnsi" w:hAnsiTheme="minorHAnsi"/>
          <w:lang w:val="bg-BG"/>
        </w:rPr>
        <w:t>основание</w:t>
      </w:r>
      <w:r w:rsidR="00BE23BC" w:rsidRPr="00DC2206">
        <w:rPr>
          <w:rFonts w:asciiTheme="minorHAnsi" w:hAnsiTheme="minorHAnsi"/>
          <w:lang w:val="bg-BG"/>
        </w:rPr>
        <w:t xml:space="preserve"> на закона, но с идеята да </w:t>
      </w:r>
      <w:r w:rsidR="0026783E">
        <w:rPr>
          <w:rFonts w:asciiTheme="minorHAnsi" w:hAnsiTheme="minorHAnsi"/>
          <w:lang w:val="bg-BG"/>
        </w:rPr>
        <w:t>удовлетвори</w:t>
      </w:r>
      <w:r w:rsidR="00BE23BC" w:rsidRPr="00DC2206">
        <w:rPr>
          <w:rFonts w:asciiTheme="minorHAnsi" w:hAnsiTheme="minorHAnsi"/>
          <w:lang w:val="bg-BG"/>
        </w:rPr>
        <w:t xml:space="preserve"> тези, които ще го преназначат</w:t>
      </w:r>
      <w:r w:rsidR="00A0730F" w:rsidRPr="00DC2206">
        <w:rPr>
          <w:rStyle w:val="FootnoteReference"/>
          <w:rFonts w:asciiTheme="minorHAnsi" w:hAnsiTheme="minorHAnsi"/>
          <w:lang w:val="bg-BG"/>
        </w:rPr>
        <w:footnoteReference w:id="26"/>
      </w:r>
      <w:r w:rsidRPr="00DC2206">
        <w:rPr>
          <w:rFonts w:asciiTheme="minorHAnsi" w:hAnsiTheme="minorHAnsi"/>
          <w:lang w:val="bg-BG"/>
        </w:rPr>
        <w:t>.</w:t>
      </w:r>
    </w:p>
    <w:p w14:paraId="6B754D78" w14:textId="77777777" w:rsidR="00A0730F" w:rsidRPr="00DC2206" w:rsidRDefault="00A0730F" w:rsidP="00732D5B">
      <w:pPr>
        <w:tabs>
          <w:tab w:val="left" w:pos="347"/>
        </w:tabs>
        <w:ind w:left="709" w:hanging="709"/>
        <w:jc w:val="both"/>
        <w:outlineLvl w:val="1"/>
        <w:rPr>
          <w:rFonts w:asciiTheme="minorHAnsi" w:hAnsiTheme="minorHAnsi"/>
          <w:lang w:val="bg-BG"/>
        </w:rPr>
      </w:pPr>
      <w:bookmarkStart w:id="0" w:name="bookmark1"/>
    </w:p>
    <w:p w14:paraId="0E29DEC5" w14:textId="77777777" w:rsidR="00C61601" w:rsidRPr="00DC2206" w:rsidRDefault="00B71421" w:rsidP="00732D5B">
      <w:pPr>
        <w:tabs>
          <w:tab w:val="left" w:pos="347"/>
        </w:tabs>
        <w:ind w:left="709" w:hanging="709"/>
        <w:jc w:val="both"/>
        <w:outlineLvl w:val="1"/>
        <w:rPr>
          <w:rFonts w:asciiTheme="minorHAnsi" w:hAnsiTheme="minorHAnsi"/>
          <w:b/>
          <w:lang w:val="bg-BG"/>
        </w:rPr>
      </w:pPr>
      <w:r w:rsidRPr="00DC2206">
        <w:rPr>
          <w:rFonts w:asciiTheme="minorHAnsi" w:hAnsiTheme="minorHAnsi"/>
          <w:b/>
          <w:lang w:val="bg-BG"/>
        </w:rPr>
        <w:t>Б</w:t>
      </w:r>
      <w:r w:rsidR="00521963" w:rsidRPr="00DC2206">
        <w:rPr>
          <w:rFonts w:asciiTheme="minorHAnsi" w:hAnsiTheme="minorHAnsi"/>
          <w:b/>
          <w:lang w:val="bg-BG"/>
        </w:rPr>
        <w:t>.</w:t>
      </w:r>
      <w:r w:rsidRPr="00DC2206">
        <w:rPr>
          <w:rFonts w:asciiTheme="minorHAnsi" w:hAnsiTheme="minorHAnsi"/>
          <w:b/>
          <w:lang w:val="bg-BG"/>
        </w:rPr>
        <w:t> </w:t>
      </w:r>
      <w:r w:rsidR="00BE23BC" w:rsidRPr="00DC2206">
        <w:rPr>
          <w:rFonts w:asciiTheme="minorHAnsi" w:hAnsiTheme="minorHAnsi"/>
          <w:b/>
          <w:lang w:val="bg-BG"/>
        </w:rPr>
        <w:t xml:space="preserve">Съдебна практика на </w:t>
      </w:r>
      <w:r w:rsidR="001C1676" w:rsidRPr="00DC2206">
        <w:rPr>
          <w:rFonts w:asciiTheme="minorHAnsi" w:hAnsiTheme="minorHAnsi"/>
          <w:b/>
          <w:lang w:val="bg-BG"/>
        </w:rPr>
        <w:t>Европейския съд по правата на човека</w:t>
      </w:r>
      <w:r w:rsidR="00521963" w:rsidRPr="00DC2206">
        <w:rPr>
          <w:rFonts w:asciiTheme="minorHAnsi" w:hAnsiTheme="minorHAnsi"/>
          <w:b/>
          <w:lang w:val="bg-BG"/>
        </w:rPr>
        <w:t xml:space="preserve"> (</w:t>
      </w:r>
      <w:r w:rsidR="001C1676" w:rsidRPr="00DC2206">
        <w:rPr>
          <w:rFonts w:asciiTheme="minorHAnsi" w:hAnsiTheme="minorHAnsi"/>
          <w:b/>
          <w:lang w:val="bg-BG"/>
        </w:rPr>
        <w:t>ЕСПЧ</w:t>
      </w:r>
      <w:r w:rsidR="00521963" w:rsidRPr="00DC2206">
        <w:rPr>
          <w:rFonts w:asciiTheme="minorHAnsi" w:hAnsiTheme="minorHAnsi"/>
          <w:b/>
          <w:lang w:val="bg-BG"/>
        </w:rPr>
        <w:t>)</w:t>
      </w:r>
      <w:bookmarkEnd w:id="0"/>
    </w:p>
    <w:p w14:paraId="7753EDE0" w14:textId="77777777" w:rsidR="00A0730F" w:rsidRPr="00DC2206" w:rsidRDefault="00A0730F" w:rsidP="00A0730F">
      <w:pPr>
        <w:ind w:left="709" w:hanging="709"/>
        <w:jc w:val="both"/>
        <w:rPr>
          <w:rFonts w:asciiTheme="minorHAnsi" w:hAnsiTheme="minorHAnsi"/>
          <w:lang w:val="bg-BG"/>
        </w:rPr>
      </w:pPr>
    </w:p>
    <w:p w14:paraId="69D9A10F" w14:textId="77777777" w:rsidR="00C61601" w:rsidRPr="00DC2206" w:rsidRDefault="00521963" w:rsidP="00A0730F">
      <w:pPr>
        <w:ind w:left="709" w:hanging="709"/>
        <w:jc w:val="both"/>
        <w:rPr>
          <w:rFonts w:asciiTheme="minorHAnsi" w:hAnsiTheme="minorHAnsi"/>
          <w:lang w:val="bg-BG"/>
        </w:rPr>
      </w:pPr>
      <w:r w:rsidRPr="00DC2206">
        <w:rPr>
          <w:rFonts w:asciiTheme="minorHAnsi" w:hAnsiTheme="minorHAnsi"/>
          <w:lang w:val="bg-BG"/>
        </w:rPr>
        <w:t>16.</w:t>
      </w:r>
      <w:r w:rsidR="00A0730F" w:rsidRPr="00DC2206">
        <w:rPr>
          <w:rFonts w:asciiTheme="minorHAnsi" w:hAnsiTheme="minorHAnsi"/>
          <w:lang w:val="bg-BG"/>
        </w:rPr>
        <w:tab/>
      </w:r>
      <w:r w:rsidR="00B71421" w:rsidRPr="00DC2206">
        <w:rPr>
          <w:rFonts w:asciiTheme="minorHAnsi" w:hAnsiTheme="minorHAnsi"/>
          <w:lang w:val="bg-BG"/>
        </w:rPr>
        <w:t>Член </w:t>
      </w:r>
      <w:r w:rsidRPr="00DC2206">
        <w:rPr>
          <w:rFonts w:asciiTheme="minorHAnsi" w:hAnsiTheme="minorHAnsi"/>
          <w:lang w:val="bg-BG"/>
        </w:rPr>
        <w:t xml:space="preserve">6 </w:t>
      </w:r>
      <w:r w:rsidR="00B71421" w:rsidRPr="00DC2206">
        <w:rPr>
          <w:rFonts w:asciiTheme="minorHAnsi" w:hAnsiTheme="minorHAnsi"/>
          <w:lang w:val="bg-BG"/>
        </w:rPr>
        <w:t>от Европейската конвенцията предвижда, че всеки има правото на независим и безпристрастен съд, създаден в съответствие със закона</w:t>
      </w:r>
      <w:r w:rsidRPr="00DC2206">
        <w:rPr>
          <w:rFonts w:asciiTheme="minorHAnsi" w:hAnsiTheme="minorHAnsi"/>
          <w:lang w:val="bg-BG"/>
        </w:rPr>
        <w:t xml:space="preserve">. </w:t>
      </w:r>
      <w:r w:rsidR="00B71421" w:rsidRPr="00DC2206">
        <w:rPr>
          <w:rFonts w:asciiTheme="minorHAnsi" w:hAnsiTheme="minorHAnsi"/>
          <w:lang w:val="bg-BG"/>
        </w:rPr>
        <w:t>Има обширна съдебна практика за това</w:t>
      </w:r>
      <w:r w:rsidR="006C408A">
        <w:rPr>
          <w:rFonts w:asciiTheme="minorHAnsi" w:hAnsiTheme="minorHAnsi"/>
          <w:lang w:val="bg-BG"/>
        </w:rPr>
        <w:t>,</w:t>
      </w:r>
      <w:r w:rsidR="00B71421" w:rsidRPr="00DC2206">
        <w:rPr>
          <w:rFonts w:asciiTheme="minorHAnsi" w:hAnsiTheme="minorHAnsi"/>
          <w:lang w:val="bg-BG"/>
        </w:rPr>
        <w:t xml:space="preserve"> какъв следва да бъде независимият съд</w:t>
      </w:r>
      <w:r w:rsidRPr="00DC2206">
        <w:rPr>
          <w:rFonts w:asciiTheme="minorHAnsi" w:hAnsiTheme="minorHAnsi"/>
          <w:lang w:val="bg-BG"/>
        </w:rPr>
        <w:t xml:space="preserve">. </w:t>
      </w:r>
      <w:r w:rsidR="00B71421" w:rsidRPr="00DC2206">
        <w:rPr>
          <w:rFonts w:asciiTheme="minorHAnsi" w:hAnsiTheme="minorHAnsi"/>
          <w:lang w:val="bg-BG"/>
        </w:rPr>
        <w:t xml:space="preserve">Относимостта на концепцията произтича от факта, че </w:t>
      </w:r>
      <w:r w:rsidR="00A4123B" w:rsidRPr="00DC2206">
        <w:rPr>
          <w:rFonts w:asciiTheme="minorHAnsi" w:hAnsiTheme="minorHAnsi"/>
          <w:lang w:val="bg-BG"/>
        </w:rPr>
        <w:t>той е елемент от съдебната система, който е от жизненоважно значение за укрепването и функционирането на върховенството на закона</w:t>
      </w:r>
      <w:r w:rsidRPr="00DC2206">
        <w:rPr>
          <w:rFonts w:asciiTheme="minorHAnsi" w:hAnsiTheme="minorHAnsi"/>
          <w:lang w:val="bg-BG"/>
        </w:rPr>
        <w:t xml:space="preserve">. </w:t>
      </w:r>
      <w:r w:rsidR="00A4123B" w:rsidRPr="00DC2206">
        <w:rPr>
          <w:rFonts w:asciiTheme="minorHAnsi" w:hAnsiTheme="minorHAnsi"/>
          <w:lang w:val="bg-BG"/>
        </w:rPr>
        <w:t>Независимият и безпристрастен съд гарантира спазването на правата на човека и основните свободи и е от решаващо значение за осигуряването на общественото доверие в правосъдната система в едно демократично общество</w:t>
      </w:r>
      <w:r w:rsidRPr="00DC2206">
        <w:rPr>
          <w:rFonts w:asciiTheme="minorHAnsi" w:hAnsiTheme="minorHAnsi"/>
          <w:lang w:val="bg-BG"/>
        </w:rPr>
        <w:t>.</w:t>
      </w:r>
    </w:p>
    <w:p w14:paraId="5D04B1DC" w14:textId="77777777" w:rsidR="00A0730F" w:rsidRPr="00DC2206" w:rsidRDefault="00A0730F" w:rsidP="00732D5B">
      <w:pPr>
        <w:ind w:left="709" w:hanging="709"/>
        <w:jc w:val="both"/>
        <w:rPr>
          <w:rFonts w:asciiTheme="minorHAnsi" w:hAnsiTheme="minorHAnsi"/>
          <w:lang w:val="bg-BG"/>
        </w:rPr>
      </w:pPr>
    </w:p>
    <w:p w14:paraId="182836F7"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17.</w:t>
      </w:r>
      <w:r w:rsidR="00A0730F" w:rsidRPr="00DC2206">
        <w:rPr>
          <w:rFonts w:asciiTheme="minorHAnsi" w:hAnsiTheme="minorHAnsi"/>
          <w:lang w:val="bg-BG"/>
        </w:rPr>
        <w:tab/>
        <w:t>Независимост</w:t>
      </w:r>
      <w:r w:rsidR="00BE23BC" w:rsidRPr="00DC2206">
        <w:rPr>
          <w:rFonts w:asciiTheme="minorHAnsi" w:hAnsiTheme="minorHAnsi"/>
          <w:lang w:val="bg-BG"/>
        </w:rPr>
        <w:t>та</w:t>
      </w:r>
      <w:r w:rsidRPr="00DC2206">
        <w:rPr>
          <w:rFonts w:asciiTheme="minorHAnsi" w:hAnsiTheme="minorHAnsi"/>
          <w:lang w:val="bg-BG"/>
        </w:rPr>
        <w:t xml:space="preserve"> </w:t>
      </w:r>
      <w:r w:rsidR="00BE23BC" w:rsidRPr="00DC2206">
        <w:rPr>
          <w:rFonts w:asciiTheme="minorHAnsi" w:hAnsiTheme="minorHAnsi"/>
          <w:lang w:val="bg-BG"/>
        </w:rPr>
        <w:t>и</w:t>
      </w:r>
      <w:r w:rsidRPr="00DC2206">
        <w:rPr>
          <w:rFonts w:asciiTheme="minorHAnsi" w:hAnsiTheme="minorHAnsi"/>
          <w:lang w:val="bg-BG"/>
        </w:rPr>
        <w:t xml:space="preserve"> </w:t>
      </w:r>
      <w:r w:rsidR="00A0730F" w:rsidRPr="00DC2206">
        <w:rPr>
          <w:rFonts w:asciiTheme="minorHAnsi" w:hAnsiTheme="minorHAnsi"/>
          <w:lang w:val="bg-BG"/>
        </w:rPr>
        <w:t>автономия</w:t>
      </w:r>
      <w:r w:rsidR="00BE23BC" w:rsidRPr="00DC2206">
        <w:rPr>
          <w:rFonts w:asciiTheme="minorHAnsi" w:hAnsiTheme="minorHAnsi"/>
          <w:lang w:val="bg-BG"/>
        </w:rPr>
        <w:t xml:space="preserve">та на </w:t>
      </w:r>
      <w:r w:rsidR="00A0730F" w:rsidRPr="00DC2206">
        <w:rPr>
          <w:rFonts w:asciiTheme="minorHAnsi" w:hAnsiTheme="minorHAnsi"/>
          <w:lang w:val="bg-BG"/>
        </w:rPr>
        <w:t>прокурори</w:t>
      </w:r>
      <w:r w:rsidR="00BE23BC" w:rsidRPr="00DC2206">
        <w:rPr>
          <w:rFonts w:asciiTheme="minorHAnsi" w:hAnsiTheme="minorHAnsi"/>
          <w:lang w:val="bg-BG"/>
        </w:rPr>
        <w:t>те</w:t>
      </w:r>
      <w:r w:rsidRPr="00DC2206">
        <w:rPr>
          <w:rFonts w:asciiTheme="minorHAnsi" w:hAnsiTheme="minorHAnsi"/>
          <w:lang w:val="bg-BG"/>
        </w:rPr>
        <w:t xml:space="preserve"> </w:t>
      </w:r>
      <w:r w:rsidR="008420E4" w:rsidRPr="00DC2206">
        <w:rPr>
          <w:rFonts w:asciiTheme="minorHAnsi" w:hAnsiTheme="minorHAnsi"/>
          <w:lang w:val="bg-BG"/>
        </w:rPr>
        <w:t xml:space="preserve">са разглеждани до този момент от </w:t>
      </w:r>
      <w:r w:rsidR="001C1676" w:rsidRPr="00DC2206">
        <w:rPr>
          <w:rFonts w:asciiTheme="minorHAnsi" w:hAnsiTheme="minorHAnsi"/>
          <w:lang w:val="bg-BG"/>
        </w:rPr>
        <w:t>ЕСПЧ</w:t>
      </w:r>
      <w:r w:rsidRPr="00DC2206">
        <w:rPr>
          <w:rFonts w:asciiTheme="minorHAnsi" w:hAnsiTheme="minorHAnsi"/>
          <w:lang w:val="bg-BG"/>
        </w:rPr>
        <w:t xml:space="preserve"> </w:t>
      </w:r>
      <w:r w:rsidR="008420E4" w:rsidRPr="00DC2206">
        <w:rPr>
          <w:rFonts w:asciiTheme="minorHAnsi" w:hAnsiTheme="minorHAnsi"/>
          <w:lang w:val="bg-BG"/>
        </w:rPr>
        <w:t>само в ограничена степен</w:t>
      </w:r>
      <w:r w:rsidRPr="00DC2206">
        <w:rPr>
          <w:rFonts w:asciiTheme="minorHAnsi" w:hAnsiTheme="minorHAnsi"/>
          <w:lang w:val="bg-BG"/>
        </w:rPr>
        <w:t xml:space="preserve">, </w:t>
      </w:r>
      <w:r w:rsidR="008420E4" w:rsidRPr="00DC2206">
        <w:rPr>
          <w:rFonts w:asciiTheme="minorHAnsi" w:hAnsiTheme="minorHAnsi"/>
          <w:lang w:val="bg-BG"/>
        </w:rPr>
        <w:t xml:space="preserve">за разлика от </w:t>
      </w:r>
      <w:r w:rsidR="001C1676" w:rsidRPr="00DC2206">
        <w:rPr>
          <w:rFonts w:asciiTheme="minorHAnsi" w:hAnsiTheme="minorHAnsi"/>
          <w:lang w:val="bg-BG"/>
        </w:rPr>
        <w:t>съдебната практика</w:t>
      </w:r>
      <w:r w:rsidRPr="00DC2206">
        <w:rPr>
          <w:rFonts w:asciiTheme="minorHAnsi" w:hAnsiTheme="minorHAnsi"/>
          <w:lang w:val="bg-BG"/>
        </w:rPr>
        <w:t xml:space="preserve"> </w:t>
      </w:r>
      <w:r w:rsidR="008420E4" w:rsidRPr="00DC2206">
        <w:rPr>
          <w:rFonts w:asciiTheme="minorHAnsi" w:hAnsiTheme="minorHAnsi"/>
          <w:lang w:val="bg-BG"/>
        </w:rPr>
        <w:t>по отношение на съдиите, която е много по-изчерпателна</w:t>
      </w:r>
      <w:r w:rsidRPr="00DC2206">
        <w:rPr>
          <w:rFonts w:asciiTheme="minorHAnsi" w:hAnsiTheme="minorHAnsi"/>
          <w:lang w:val="bg-BG"/>
        </w:rPr>
        <w:t xml:space="preserve">. </w:t>
      </w:r>
      <w:r w:rsidR="008420E4" w:rsidRPr="00DC2206">
        <w:rPr>
          <w:rFonts w:asciiTheme="minorHAnsi" w:hAnsiTheme="minorHAnsi"/>
          <w:lang w:val="bg-BG"/>
        </w:rPr>
        <w:t xml:space="preserve">Тези концепции във връзка с </w:t>
      </w:r>
      <w:r w:rsidR="00A0730F" w:rsidRPr="00DC2206">
        <w:rPr>
          <w:rFonts w:asciiTheme="minorHAnsi" w:hAnsiTheme="minorHAnsi"/>
          <w:lang w:val="bg-BG"/>
        </w:rPr>
        <w:t>прокурори</w:t>
      </w:r>
      <w:r w:rsidR="008420E4" w:rsidRPr="00DC2206">
        <w:rPr>
          <w:rFonts w:asciiTheme="minorHAnsi" w:hAnsiTheme="minorHAnsi"/>
          <w:lang w:val="bg-BG"/>
        </w:rPr>
        <w:t>те, са само маркирани в някои решения</w:t>
      </w:r>
      <w:r w:rsidRPr="00DC2206">
        <w:rPr>
          <w:rFonts w:asciiTheme="minorHAnsi" w:hAnsiTheme="minorHAnsi"/>
          <w:lang w:val="bg-BG"/>
        </w:rPr>
        <w:t xml:space="preserve">. </w:t>
      </w:r>
      <w:r w:rsidR="008420E4" w:rsidRPr="00DC2206">
        <w:rPr>
          <w:rFonts w:asciiTheme="minorHAnsi" w:hAnsiTheme="minorHAnsi"/>
          <w:lang w:val="bg-BG"/>
        </w:rPr>
        <w:t xml:space="preserve">Тъй като обаче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8420E4" w:rsidRPr="00DC2206">
        <w:rPr>
          <w:rFonts w:asciiTheme="minorHAnsi" w:hAnsiTheme="minorHAnsi"/>
          <w:lang w:val="bg-BG"/>
        </w:rPr>
        <w:t xml:space="preserve">и </w:t>
      </w:r>
      <w:r w:rsidR="00A0730F" w:rsidRPr="00DC2206">
        <w:rPr>
          <w:rFonts w:asciiTheme="minorHAnsi" w:hAnsiTheme="minorHAnsi"/>
          <w:lang w:val="bg-BG"/>
        </w:rPr>
        <w:t>автономия</w:t>
      </w:r>
      <w:r w:rsidR="008420E4" w:rsidRPr="00DC2206">
        <w:rPr>
          <w:rFonts w:asciiTheme="minorHAnsi" w:hAnsiTheme="minorHAnsi"/>
          <w:lang w:val="bg-BG"/>
        </w:rPr>
        <w:t xml:space="preserve">та на </w:t>
      </w:r>
      <w:r w:rsidR="00A0730F" w:rsidRPr="00DC2206">
        <w:rPr>
          <w:rFonts w:asciiTheme="minorHAnsi" w:hAnsiTheme="minorHAnsi"/>
          <w:lang w:val="bg-BG"/>
        </w:rPr>
        <w:t>прокуратурите</w:t>
      </w:r>
      <w:r w:rsidRPr="00DC2206">
        <w:rPr>
          <w:rFonts w:asciiTheme="minorHAnsi" w:hAnsiTheme="minorHAnsi"/>
          <w:lang w:val="bg-BG"/>
        </w:rPr>
        <w:t xml:space="preserve"> </w:t>
      </w:r>
      <w:r w:rsidR="008420E4" w:rsidRPr="00DC2206">
        <w:rPr>
          <w:rFonts w:asciiTheme="minorHAnsi" w:hAnsiTheme="minorHAnsi"/>
          <w:lang w:val="bg-BG"/>
        </w:rPr>
        <w:t>представляват</w:t>
      </w:r>
      <w:r w:rsidRPr="00DC2206">
        <w:rPr>
          <w:rFonts w:asciiTheme="minorHAnsi" w:hAnsiTheme="minorHAnsi"/>
          <w:lang w:val="bg-BG"/>
        </w:rPr>
        <w:t xml:space="preserve">, </w:t>
      </w:r>
      <w:r w:rsidR="00750CF9">
        <w:rPr>
          <w:rFonts w:asciiTheme="minorHAnsi" w:hAnsiTheme="minorHAnsi"/>
          <w:lang w:val="bg-BG"/>
        </w:rPr>
        <w:t>според</w:t>
      </w:r>
      <w:r w:rsidR="008420E4" w:rsidRPr="00DC2206">
        <w:rPr>
          <w:rFonts w:asciiTheme="minorHAnsi" w:hAnsiTheme="minorHAnsi"/>
          <w:lang w:val="bg-BG"/>
        </w:rPr>
        <w:t xml:space="preserve"> </w:t>
      </w:r>
      <w:r w:rsidR="002E7193" w:rsidRPr="00DC2206">
        <w:rPr>
          <w:rFonts w:asciiTheme="minorHAnsi" w:hAnsiTheme="minorHAnsi"/>
          <w:lang w:val="bg-BG"/>
        </w:rPr>
        <w:t>становище</w:t>
      </w:r>
      <w:r w:rsidR="008420E4" w:rsidRPr="00DC2206">
        <w:rPr>
          <w:rFonts w:asciiTheme="minorHAnsi" w:hAnsiTheme="minorHAnsi"/>
          <w:lang w:val="bg-BG"/>
        </w:rPr>
        <w:t xml:space="preserve">то на </w:t>
      </w:r>
      <w:r w:rsidR="00B90749" w:rsidRPr="00DC2206">
        <w:rPr>
          <w:rFonts w:asciiTheme="minorHAnsi" w:hAnsiTheme="minorHAnsi"/>
          <w:lang w:val="bg-BG"/>
        </w:rPr>
        <w:t>КСЕП</w:t>
      </w:r>
      <w:r w:rsidRPr="00DC2206">
        <w:rPr>
          <w:rFonts w:asciiTheme="minorHAnsi" w:hAnsiTheme="minorHAnsi"/>
          <w:lang w:val="bg-BG"/>
        </w:rPr>
        <w:t xml:space="preserve">, </w:t>
      </w:r>
      <w:r w:rsidR="008420E4" w:rsidRPr="00DC2206">
        <w:rPr>
          <w:rFonts w:asciiTheme="minorHAnsi" w:hAnsiTheme="minorHAnsi"/>
          <w:lang w:val="bg-BG"/>
        </w:rPr>
        <w:t xml:space="preserve">неизбежна естествена последица от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8420E4" w:rsidRPr="00DC2206">
        <w:rPr>
          <w:rFonts w:asciiTheme="minorHAnsi" w:hAnsiTheme="minorHAnsi"/>
          <w:lang w:val="bg-BG"/>
        </w:rPr>
        <w:t>на</w:t>
      </w:r>
      <w:r w:rsidRPr="00DC2206">
        <w:rPr>
          <w:rFonts w:asciiTheme="minorHAnsi" w:hAnsiTheme="minorHAnsi"/>
          <w:lang w:val="bg-BG"/>
        </w:rPr>
        <w:t xml:space="preserve"> </w:t>
      </w:r>
      <w:r w:rsidR="00A0730F" w:rsidRPr="00DC2206">
        <w:rPr>
          <w:rFonts w:asciiTheme="minorHAnsi" w:hAnsiTheme="minorHAnsi"/>
          <w:lang w:val="bg-BG"/>
        </w:rPr>
        <w:t>съдебната власт</w:t>
      </w:r>
      <w:r w:rsidR="00A0730F" w:rsidRPr="00DC2206">
        <w:rPr>
          <w:rStyle w:val="FootnoteReference"/>
          <w:rFonts w:asciiTheme="minorHAnsi" w:hAnsiTheme="minorHAnsi"/>
          <w:lang w:val="bg-BG"/>
        </w:rPr>
        <w:footnoteReference w:id="27"/>
      </w:r>
      <w:r w:rsidRPr="00DC2206">
        <w:rPr>
          <w:rFonts w:asciiTheme="minorHAnsi" w:hAnsiTheme="minorHAnsi"/>
          <w:lang w:val="bg-BG"/>
        </w:rPr>
        <w:t xml:space="preserve"> (</w:t>
      </w:r>
      <w:r w:rsidR="008420E4" w:rsidRPr="00DC2206">
        <w:rPr>
          <w:rFonts w:asciiTheme="minorHAnsi" w:hAnsiTheme="minorHAnsi"/>
          <w:lang w:val="bg-BG"/>
        </w:rPr>
        <w:t xml:space="preserve">също </w:t>
      </w:r>
      <w:r w:rsidR="005832CE" w:rsidRPr="00DC2206">
        <w:rPr>
          <w:rFonts w:asciiTheme="minorHAnsi" w:hAnsiTheme="minorHAnsi"/>
          <w:lang w:val="bg-BG"/>
        </w:rPr>
        <w:t>вж</w:t>
      </w:r>
      <w:r w:rsidR="006C408A">
        <w:rPr>
          <w:rFonts w:asciiTheme="minorHAnsi" w:hAnsiTheme="minorHAnsi"/>
          <w:lang w:val="bg-BG"/>
        </w:rPr>
        <w:t>.</w:t>
      </w:r>
      <w:r w:rsidRPr="00DC2206">
        <w:rPr>
          <w:rFonts w:asciiTheme="minorHAnsi" w:hAnsiTheme="minorHAnsi"/>
          <w:lang w:val="bg-BG"/>
        </w:rPr>
        <w:t xml:space="preserve"> </w:t>
      </w:r>
      <w:r w:rsidR="008420E4" w:rsidRPr="00DC2206">
        <w:rPr>
          <w:rFonts w:asciiTheme="minorHAnsi" w:hAnsiTheme="minorHAnsi"/>
          <w:lang w:val="bg-BG"/>
        </w:rPr>
        <w:t xml:space="preserve">точки </w:t>
      </w:r>
      <w:r w:rsidRPr="00DC2206">
        <w:rPr>
          <w:rFonts w:asciiTheme="minorHAnsi" w:hAnsiTheme="minorHAnsi"/>
          <w:lang w:val="bg-BG"/>
        </w:rPr>
        <w:t xml:space="preserve">2 </w:t>
      </w:r>
      <w:r w:rsidR="008420E4" w:rsidRPr="00DC2206">
        <w:rPr>
          <w:rFonts w:asciiTheme="minorHAnsi" w:hAnsiTheme="minorHAnsi"/>
          <w:lang w:val="bg-BG"/>
        </w:rPr>
        <w:t xml:space="preserve">и </w:t>
      </w:r>
      <w:r w:rsidRPr="00DC2206">
        <w:rPr>
          <w:rFonts w:asciiTheme="minorHAnsi" w:hAnsiTheme="minorHAnsi"/>
          <w:lang w:val="bg-BG"/>
        </w:rPr>
        <w:t xml:space="preserve">4 </w:t>
      </w:r>
      <w:r w:rsidR="008420E4" w:rsidRPr="00DC2206">
        <w:rPr>
          <w:rFonts w:asciiTheme="minorHAnsi" w:hAnsiTheme="minorHAnsi"/>
          <w:lang w:val="bg-BG"/>
        </w:rPr>
        <w:t xml:space="preserve">от </w:t>
      </w:r>
      <w:r w:rsidR="00AD7714" w:rsidRPr="00DC2206">
        <w:rPr>
          <w:rFonts w:asciiTheme="minorHAnsi" w:hAnsiTheme="minorHAnsi"/>
          <w:lang w:val="bg-BG"/>
        </w:rPr>
        <w:t>настоящото Становище</w:t>
      </w:r>
      <w:r w:rsidRPr="00DC2206">
        <w:rPr>
          <w:rFonts w:asciiTheme="minorHAnsi" w:hAnsiTheme="minorHAnsi"/>
          <w:lang w:val="bg-BG"/>
        </w:rPr>
        <w:t xml:space="preserve">), </w:t>
      </w:r>
      <w:r w:rsidR="008420E4" w:rsidRPr="00DC2206">
        <w:rPr>
          <w:rFonts w:asciiTheme="minorHAnsi" w:hAnsiTheme="minorHAnsi"/>
          <w:lang w:val="bg-BG"/>
        </w:rPr>
        <w:t xml:space="preserve">насоките, предоставени от решенията по отношение на </w:t>
      </w:r>
      <w:r w:rsidR="00A0730F" w:rsidRPr="00DC2206">
        <w:rPr>
          <w:rFonts w:asciiTheme="minorHAnsi" w:hAnsiTheme="minorHAnsi"/>
          <w:lang w:val="bg-BG"/>
        </w:rPr>
        <w:t>съдебната власт</w:t>
      </w:r>
      <w:r w:rsidRPr="00DC2206">
        <w:rPr>
          <w:rFonts w:asciiTheme="minorHAnsi" w:hAnsiTheme="minorHAnsi"/>
          <w:lang w:val="bg-BG"/>
        </w:rPr>
        <w:t xml:space="preserve"> </w:t>
      </w:r>
      <w:r w:rsidR="008420E4" w:rsidRPr="00DC2206">
        <w:rPr>
          <w:rFonts w:asciiTheme="minorHAnsi" w:hAnsiTheme="minorHAnsi"/>
          <w:lang w:val="bg-BG"/>
        </w:rPr>
        <w:t xml:space="preserve">може също да бъдат съответно приложими в известна степен спрямо </w:t>
      </w:r>
      <w:r w:rsidR="00A0730F" w:rsidRPr="00DC2206">
        <w:rPr>
          <w:rFonts w:asciiTheme="minorHAnsi" w:hAnsiTheme="minorHAnsi"/>
          <w:lang w:val="bg-BG"/>
        </w:rPr>
        <w:t>прокуратурите</w:t>
      </w:r>
      <w:r w:rsidRPr="00DC2206">
        <w:rPr>
          <w:rFonts w:asciiTheme="minorHAnsi" w:hAnsiTheme="minorHAnsi"/>
          <w:lang w:val="bg-BG"/>
        </w:rPr>
        <w:t>.</w:t>
      </w:r>
    </w:p>
    <w:p w14:paraId="59D166BD" w14:textId="77777777" w:rsidR="00BE23BC" w:rsidRPr="00DC2206" w:rsidRDefault="00BE23BC" w:rsidP="00732D5B">
      <w:pPr>
        <w:ind w:left="709" w:hanging="709"/>
        <w:jc w:val="both"/>
        <w:rPr>
          <w:rFonts w:asciiTheme="minorHAnsi" w:hAnsiTheme="minorHAnsi"/>
          <w:lang w:val="bg-BG"/>
        </w:rPr>
      </w:pPr>
    </w:p>
    <w:p w14:paraId="515F45AA"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18.</w:t>
      </w:r>
      <w:r w:rsidR="00BE23BC" w:rsidRPr="00DC2206">
        <w:rPr>
          <w:rFonts w:asciiTheme="minorHAnsi" w:hAnsiTheme="minorHAnsi"/>
          <w:lang w:val="bg-BG"/>
        </w:rPr>
        <w:tab/>
      </w:r>
      <w:r w:rsidR="00200B13" w:rsidRPr="00DC2206">
        <w:rPr>
          <w:rFonts w:asciiTheme="minorHAnsi" w:hAnsiTheme="minorHAnsi"/>
          <w:lang w:val="bg-BG"/>
        </w:rPr>
        <w:t xml:space="preserve">Концепцията за независим съд изисква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200B13" w:rsidRPr="00DC2206">
        <w:rPr>
          <w:rFonts w:asciiTheme="minorHAnsi" w:hAnsiTheme="minorHAnsi"/>
          <w:lang w:val="bg-BG"/>
        </w:rPr>
        <w:t>не само от изпълнителната власт и страните по производството, но и от законодателя</w:t>
      </w:r>
      <w:r w:rsidR="00BE23BC" w:rsidRPr="00DC2206">
        <w:rPr>
          <w:rStyle w:val="FootnoteReference"/>
          <w:rFonts w:asciiTheme="minorHAnsi" w:hAnsiTheme="minorHAnsi"/>
          <w:lang w:val="bg-BG"/>
        </w:rPr>
        <w:footnoteReference w:id="28"/>
      </w:r>
      <w:r w:rsidRPr="00DC2206">
        <w:rPr>
          <w:rFonts w:asciiTheme="minorHAnsi" w:hAnsiTheme="minorHAnsi"/>
          <w:lang w:val="bg-BG"/>
        </w:rPr>
        <w:t xml:space="preserve">. </w:t>
      </w:r>
      <w:r w:rsidR="00200B13" w:rsidRPr="00DC2206">
        <w:rPr>
          <w:rFonts w:asciiTheme="minorHAnsi" w:hAnsiTheme="minorHAnsi"/>
          <w:lang w:val="bg-BG"/>
        </w:rPr>
        <w:t>Освен това, за да се определи дали един съд може да бъде считан за независим съгласно изискванията на член </w:t>
      </w:r>
      <w:r w:rsidRPr="00DC2206">
        <w:rPr>
          <w:rFonts w:asciiTheme="minorHAnsi" w:hAnsiTheme="minorHAnsi"/>
          <w:lang w:val="bg-BG"/>
        </w:rPr>
        <w:t xml:space="preserve">6 </w:t>
      </w:r>
      <w:r w:rsidR="00200B13" w:rsidRPr="00DC2206">
        <w:rPr>
          <w:rFonts w:asciiTheme="minorHAnsi" w:hAnsiTheme="minorHAnsi"/>
          <w:lang w:val="bg-BG"/>
        </w:rPr>
        <w:t xml:space="preserve">от </w:t>
      </w:r>
      <w:r w:rsidR="001C1676" w:rsidRPr="00DC2206">
        <w:rPr>
          <w:rFonts w:asciiTheme="minorHAnsi" w:hAnsiTheme="minorHAnsi"/>
          <w:lang w:val="bg-BG"/>
        </w:rPr>
        <w:t>ЕКПЧ</w:t>
      </w:r>
      <w:r w:rsidRPr="00DC2206">
        <w:rPr>
          <w:rFonts w:asciiTheme="minorHAnsi" w:hAnsiTheme="minorHAnsi"/>
          <w:lang w:val="bg-BG"/>
        </w:rPr>
        <w:t xml:space="preserve">, </w:t>
      </w:r>
      <w:r w:rsidR="00200B13" w:rsidRPr="00DC2206">
        <w:rPr>
          <w:rFonts w:asciiTheme="minorHAnsi" w:hAnsiTheme="minorHAnsi"/>
          <w:lang w:val="bg-BG"/>
        </w:rPr>
        <w:t>може да е от значение и независимият облик</w:t>
      </w:r>
      <w:r w:rsidR="00BE23BC" w:rsidRPr="00DC2206">
        <w:rPr>
          <w:rStyle w:val="FootnoteReference"/>
          <w:rFonts w:asciiTheme="minorHAnsi" w:hAnsiTheme="minorHAnsi"/>
          <w:lang w:val="bg-BG"/>
        </w:rPr>
        <w:footnoteReference w:id="29"/>
      </w:r>
      <w:r w:rsidRPr="00DC2206">
        <w:rPr>
          <w:rFonts w:asciiTheme="minorHAnsi" w:hAnsiTheme="minorHAnsi"/>
          <w:lang w:val="bg-BG"/>
        </w:rPr>
        <w:t>.</w:t>
      </w:r>
    </w:p>
    <w:p w14:paraId="4F005EE7" w14:textId="77777777" w:rsidR="00BE23BC" w:rsidRPr="00DC2206" w:rsidRDefault="00BE23BC" w:rsidP="00732D5B">
      <w:pPr>
        <w:tabs>
          <w:tab w:val="left" w:pos="558"/>
        </w:tabs>
        <w:ind w:left="709" w:hanging="709"/>
        <w:jc w:val="both"/>
        <w:rPr>
          <w:rFonts w:asciiTheme="minorHAnsi" w:hAnsiTheme="minorHAnsi"/>
          <w:lang w:val="bg-BG"/>
        </w:rPr>
      </w:pPr>
    </w:p>
    <w:p w14:paraId="5C459D15" w14:textId="77777777" w:rsidR="00C61601" w:rsidRPr="00DC2206" w:rsidRDefault="00521963" w:rsidP="00BE23BC">
      <w:pPr>
        <w:ind w:left="709" w:hanging="709"/>
        <w:jc w:val="both"/>
        <w:rPr>
          <w:rFonts w:asciiTheme="minorHAnsi" w:hAnsiTheme="minorHAnsi"/>
          <w:lang w:val="bg-BG"/>
        </w:rPr>
      </w:pPr>
      <w:r w:rsidRPr="00DC2206">
        <w:rPr>
          <w:rFonts w:asciiTheme="minorHAnsi" w:hAnsiTheme="minorHAnsi"/>
          <w:lang w:val="bg-BG"/>
        </w:rPr>
        <w:t>19.</w:t>
      </w:r>
      <w:r w:rsidR="00BE23BC" w:rsidRPr="00DC2206">
        <w:rPr>
          <w:rFonts w:asciiTheme="minorHAnsi" w:hAnsiTheme="minorHAnsi"/>
          <w:lang w:val="bg-BG"/>
        </w:rPr>
        <w:tab/>
      </w:r>
      <w:r w:rsidR="001C1676" w:rsidRPr="00DC2206">
        <w:rPr>
          <w:rFonts w:asciiTheme="minorHAnsi" w:hAnsiTheme="minorHAnsi"/>
          <w:lang w:val="bg-BG"/>
        </w:rPr>
        <w:t>ЕСПЧ</w:t>
      </w:r>
      <w:r w:rsidRPr="00DC2206">
        <w:rPr>
          <w:rFonts w:asciiTheme="minorHAnsi" w:hAnsiTheme="minorHAnsi"/>
          <w:lang w:val="bg-BG"/>
        </w:rPr>
        <w:t xml:space="preserve"> </w:t>
      </w:r>
      <w:r w:rsidR="005C517B" w:rsidRPr="00DC2206">
        <w:rPr>
          <w:rFonts w:asciiTheme="minorHAnsi" w:hAnsiTheme="minorHAnsi"/>
          <w:lang w:val="bg-BG"/>
        </w:rPr>
        <w:t xml:space="preserve">допълнително хвърля светлина върху важността на независимия облик и посочва, че това, което е от значение, е </w:t>
      </w:r>
      <w:r w:rsidR="00AD3702" w:rsidRPr="00DC2206">
        <w:rPr>
          <w:rFonts w:asciiTheme="minorHAnsi" w:hAnsiTheme="minorHAnsi"/>
          <w:lang w:val="bg-BG"/>
        </w:rPr>
        <w:t>доверието</w:t>
      </w:r>
      <w:r w:rsidR="005C517B" w:rsidRPr="00DC2206">
        <w:rPr>
          <w:rFonts w:asciiTheme="minorHAnsi" w:hAnsiTheme="minorHAnsi"/>
          <w:lang w:val="bg-BG"/>
        </w:rPr>
        <w:t xml:space="preserve">, която съдилищата в едно демократично общество трябва да </w:t>
      </w:r>
      <w:r w:rsidR="0026783E">
        <w:rPr>
          <w:rFonts w:asciiTheme="minorHAnsi" w:hAnsiTheme="minorHAnsi"/>
          <w:lang w:val="bg-BG"/>
        </w:rPr>
        <w:t>вдъхват</w:t>
      </w:r>
      <w:r w:rsidR="005C517B" w:rsidRPr="00DC2206">
        <w:rPr>
          <w:rFonts w:asciiTheme="minorHAnsi" w:hAnsiTheme="minorHAnsi"/>
          <w:lang w:val="bg-BG"/>
        </w:rPr>
        <w:t xml:space="preserve"> в обществеността и – преди всичко</w:t>
      </w:r>
      <w:r w:rsidR="0026783E">
        <w:rPr>
          <w:rFonts w:asciiTheme="minorHAnsi" w:hAnsiTheme="minorHAnsi"/>
          <w:lang w:val="bg-BG"/>
        </w:rPr>
        <w:t>,</w:t>
      </w:r>
      <w:r w:rsidR="005C517B" w:rsidRPr="00DC2206">
        <w:rPr>
          <w:rFonts w:asciiTheme="minorHAnsi" w:hAnsiTheme="minorHAnsi"/>
          <w:lang w:val="bg-BG"/>
        </w:rPr>
        <w:t xml:space="preserve"> доколкото става дума за наказателно производство</w:t>
      </w:r>
      <w:r w:rsidR="0026783E">
        <w:rPr>
          <w:rFonts w:asciiTheme="minorHAnsi" w:hAnsiTheme="minorHAnsi"/>
          <w:lang w:val="bg-BG"/>
        </w:rPr>
        <w:t xml:space="preserve"> –</w:t>
      </w:r>
      <w:r w:rsidR="005C517B" w:rsidRPr="00DC2206">
        <w:rPr>
          <w:rFonts w:asciiTheme="minorHAnsi" w:hAnsiTheme="minorHAnsi"/>
          <w:lang w:val="bg-BG"/>
        </w:rPr>
        <w:t xml:space="preserve"> в</w:t>
      </w:r>
      <w:r w:rsidR="0026783E">
        <w:rPr>
          <w:rFonts w:asciiTheme="minorHAnsi" w:hAnsiTheme="minorHAnsi"/>
          <w:lang w:val="bg-BG"/>
        </w:rPr>
        <w:t xml:space="preserve"> </w:t>
      </w:r>
      <w:r w:rsidR="005C517B" w:rsidRPr="00DC2206">
        <w:rPr>
          <w:rFonts w:asciiTheme="minorHAnsi" w:hAnsiTheme="minorHAnsi"/>
          <w:lang w:val="bg-BG"/>
        </w:rPr>
        <w:t>обвиняемия</w:t>
      </w:r>
      <w:r w:rsidR="00BE23BC" w:rsidRPr="00DC2206">
        <w:rPr>
          <w:rStyle w:val="FootnoteReference"/>
          <w:rFonts w:asciiTheme="minorHAnsi" w:hAnsiTheme="minorHAnsi"/>
          <w:lang w:val="bg-BG"/>
        </w:rPr>
        <w:footnoteReference w:id="30"/>
      </w:r>
      <w:r w:rsidRPr="00DC2206">
        <w:rPr>
          <w:rFonts w:asciiTheme="minorHAnsi" w:hAnsiTheme="minorHAnsi"/>
          <w:lang w:val="bg-BG"/>
        </w:rPr>
        <w:t>.</w:t>
      </w:r>
    </w:p>
    <w:p w14:paraId="75A80E4F" w14:textId="77777777" w:rsidR="00BE23BC" w:rsidRPr="00DC2206" w:rsidRDefault="00BE23BC" w:rsidP="00732D5B">
      <w:pPr>
        <w:ind w:left="709" w:hanging="709"/>
        <w:jc w:val="both"/>
        <w:rPr>
          <w:rFonts w:asciiTheme="minorHAnsi" w:hAnsiTheme="minorHAnsi"/>
          <w:lang w:val="bg-BG"/>
        </w:rPr>
      </w:pPr>
    </w:p>
    <w:p w14:paraId="4B39EB2E"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20.</w:t>
      </w:r>
      <w:r w:rsidR="00BE23BC" w:rsidRPr="00DC2206">
        <w:rPr>
          <w:rFonts w:asciiTheme="minorHAnsi" w:hAnsiTheme="minorHAnsi"/>
          <w:lang w:val="bg-BG"/>
        </w:rPr>
        <w:tab/>
      </w:r>
      <w:r w:rsidR="005C517B" w:rsidRPr="00DC2206">
        <w:rPr>
          <w:rFonts w:asciiTheme="minorHAnsi" w:hAnsiTheme="minorHAnsi"/>
          <w:lang w:val="bg-BG"/>
        </w:rPr>
        <w:t>Спазването на изискването за независим съд се оценява на базата на законоустановени критерии</w:t>
      </w:r>
      <w:r w:rsidRPr="00DC2206">
        <w:rPr>
          <w:rFonts w:asciiTheme="minorHAnsi" w:hAnsiTheme="minorHAnsi"/>
          <w:lang w:val="bg-BG"/>
        </w:rPr>
        <w:t xml:space="preserve">, </w:t>
      </w:r>
      <w:r w:rsidR="005C517B" w:rsidRPr="00DC2206">
        <w:rPr>
          <w:rFonts w:asciiTheme="minorHAnsi" w:hAnsiTheme="minorHAnsi"/>
          <w:lang w:val="bg-BG"/>
        </w:rPr>
        <w:t>като начина на назначаване на неговите членове и продължителността на техния мандат</w:t>
      </w:r>
      <w:r w:rsidRPr="00DC2206">
        <w:rPr>
          <w:rFonts w:asciiTheme="minorHAnsi" w:hAnsiTheme="minorHAnsi"/>
          <w:lang w:val="bg-BG"/>
        </w:rPr>
        <w:t xml:space="preserve">, </w:t>
      </w:r>
      <w:r w:rsidR="005C517B" w:rsidRPr="00DC2206">
        <w:rPr>
          <w:rFonts w:asciiTheme="minorHAnsi" w:hAnsiTheme="minorHAnsi"/>
          <w:lang w:val="bg-BG"/>
        </w:rPr>
        <w:t>или съществуването на достатъчно гаранции срещу риска от външен натиск</w:t>
      </w:r>
      <w:r w:rsidR="00BE23BC" w:rsidRPr="00DC2206">
        <w:rPr>
          <w:rStyle w:val="FootnoteReference"/>
          <w:rFonts w:asciiTheme="minorHAnsi" w:hAnsiTheme="minorHAnsi"/>
          <w:lang w:val="bg-BG"/>
        </w:rPr>
        <w:footnoteReference w:id="31"/>
      </w:r>
      <w:r w:rsidRPr="00DC2206">
        <w:rPr>
          <w:rFonts w:asciiTheme="minorHAnsi" w:hAnsiTheme="minorHAnsi"/>
          <w:lang w:val="bg-BG"/>
        </w:rPr>
        <w:t>.</w:t>
      </w:r>
    </w:p>
    <w:p w14:paraId="08000E91" w14:textId="77777777" w:rsidR="00BE23BC" w:rsidRPr="00DC2206" w:rsidRDefault="00BE23BC" w:rsidP="00732D5B">
      <w:pPr>
        <w:ind w:left="709" w:hanging="709"/>
        <w:jc w:val="both"/>
        <w:rPr>
          <w:rFonts w:asciiTheme="minorHAnsi" w:hAnsiTheme="minorHAnsi"/>
          <w:lang w:val="bg-BG"/>
        </w:rPr>
      </w:pPr>
    </w:p>
    <w:p w14:paraId="053B95C3"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21.</w:t>
      </w:r>
      <w:r w:rsidR="00BE23BC" w:rsidRPr="00DC2206">
        <w:rPr>
          <w:rFonts w:asciiTheme="minorHAnsi" w:hAnsiTheme="minorHAnsi"/>
          <w:lang w:val="bg-BG"/>
        </w:rPr>
        <w:tab/>
      </w:r>
      <w:r w:rsidR="005C517B" w:rsidRPr="00DC2206">
        <w:rPr>
          <w:rFonts w:asciiTheme="minorHAnsi" w:hAnsiTheme="minorHAnsi"/>
          <w:lang w:val="bg-BG"/>
        </w:rPr>
        <w:t xml:space="preserve">По-специално, несменяемостта на съдиите от изпълнителната власт по време на техния мандат като цяло се счита за естествена последица от </w:t>
      </w:r>
      <w:r w:rsidR="00A0730F" w:rsidRPr="00DC2206">
        <w:rPr>
          <w:rFonts w:asciiTheme="minorHAnsi" w:hAnsiTheme="minorHAnsi"/>
          <w:lang w:val="bg-BG"/>
        </w:rPr>
        <w:t>независимост</w:t>
      </w:r>
      <w:r w:rsidR="005C517B" w:rsidRPr="00DC2206">
        <w:rPr>
          <w:rFonts w:asciiTheme="minorHAnsi" w:hAnsiTheme="minorHAnsi"/>
          <w:lang w:val="bg-BG"/>
        </w:rPr>
        <w:t xml:space="preserve">та им и по този начин </w:t>
      </w:r>
      <w:r w:rsidR="005C517B" w:rsidRPr="00DC2206">
        <w:rPr>
          <w:rFonts w:asciiTheme="minorHAnsi" w:hAnsiTheme="minorHAnsi"/>
          <w:lang w:val="bg-BG"/>
        </w:rPr>
        <w:lastRenderedPageBreak/>
        <w:t>е включена в гаранциите на член </w:t>
      </w:r>
      <w:r w:rsidRPr="00DC2206">
        <w:rPr>
          <w:rFonts w:asciiTheme="minorHAnsi" w:hAnsiTheme="minorHAnsi"/>
          <w:lang w:val="bg-BG"/>
        </w:rPr>
        <w:t xml:space="preserve">6 </w:t>
      </w:r>
      <w:r w:rsidR="005C517B" w:rsidRPr="00DC2206">
        <w:rPr>
          <w:rFonts w:asciiTheme="minorHAnsi" w:hAnsiTheme="minorHAnsi"/>
          <w:lang w:val="bg-BG"/>
        </w:rPr>
        <w:t>от ЕКПЧ</w:t>
      </w:r>
      <w:r w:rsidR="00BE23BC" w:rsidRPr="00DC2206">
        <w:rPr>
          <w:rStyle w:val="FootnoteReference"/>
          <w:rFonts w:asciiTheme="minorHAnsi" w:hAnsiTheme="minorHAnsi"/>
          <w:lang w:val="bg-BG"/>
        </w:rPr>
        <w:footnoteReference w:id="32"/>
      </w:r>
      <w:r w:rsidRPr="00DC2206">
        <w:rPr>
          <w:rFonts w:asciiTheme="minorHAnsi" w:hAnsiTheme="minorHAnsi"/>
          <w:lang w:val="bg-BG"/>
        </w:rPr>
        <w:t>.</w:t>
      </w:r>
    </w:p>
    <w:p w14:paraId="59ED1F72" w14:textId="77777777" w:rsidR="00BE23BC" w:rsidRPr="00DC2206" w:rsidRDefault="00BE23BC" w:rsidP="00BE23BC">
      <w:pPr>
        <w:ind w:left="709" w:hanging="709"/>
        <w:jc w:val="both"/>
        <w:rPr>
          <w:rFonts w:asciiTheme="minorHAnsi" w:hAnsiTheme="minorHAnsi"/>
          <w:lang w:val="bg-BG"/>
        </w:rPr>
      </w:pPr>
    </w:p>
    <w:p w14:paraId="78DC4ECC" w14:textId="77777777" w:rsidR="00C61601" w:rsidRPr="00DC2206" w:rsidRDefault="00521963" w:rsidP="00BE23BC">
      <w:pPr>
        <w:ind w:left="709" w:hanging="709"/>
        <w:jc w:val="both"/>
        <w:rPr>
          <w:rFonts w:asciiTheme="minorHAnsi" w:hAnsiTheme="minorHAnsi"/>
          <w:lang w:val="bg-BG"/>
        </w:rPr>
      </w:pPr>
      <w:r w:rsidRPr="00DC2206">
        <w:rPr>
          <w:rFonts w:asciiTheme="minorHAnsi" w:hAnsiTheme="minorHAnsi"/>
          <w:lang w:val="bg-BG"/>
        </w:rPr>
        <w:t>22.</w:t>
      </w:r>
      <w:r w:rsidR="00BE23BC" w:rsidRPr="00DC2206">
        <w:rPr>
          <w:rFonts w:asciiTheme="minorHAnsi" w:hAnsiTheme="minorHAnsi"/>
          <w:lang w:val="bg-BG"/>
        </w:rPr>
        <w:tab/>
      </w:r>
      <w:r w:rsidR="00AD1FEF" w:rsidRPr="00DC2206">
        <w:rPr>
          <w:rFonts w:asciiTheme="minorHAnsi" w:hAnsiTheme="minorHAnsi"/>
          <w:lang w:val="bg-BG"/>
        </w:rPr>
        <w:t xml:space="preserve">Макар </w:t>
      </w:r>
      <w:r w:rsidR="001C1676" w:rsidRPr="00DC2206">
        <w:rPr>
          <w:rFonts w:asciiTheme="minorHAnsi" w:hAnsiTheme="minorHAnsi"/>
          <w:lang w:val="bg-BG"/>
        </w:rPr>
        <w:t>ЕСПЧ</w:t>
      </w:r>
      <w:r w:rsidRPr="00DC2206">
        <w:rPr>
          <w:rFonts w:asciiTheme="minorHAnsi" w:hAnsiTheme="minorHAnsi"/>
          <w:lang w:val="bg-BG"/>
        </w:rPr>
        <w:t xml:space="preserve"> </w:t>
      </w:r>
      <w:r w:rsidR="00AD1FEF" w:rsidRPr="00DC2206">
        <w:rPr>
          <w:rFonts w:asciiTheme="minorHAnsi" w:hAnsiTheme="minorHAnsi"/>
          <w:lang w:val="bg-BG"/>
        </w:rPr>
        <w:t>да е установил, че член </w:t>
      </w:r>
      <w:r w:rsidRPr="00DC2206">
        <w:rPr>
          <w:rFonts w:asciiTheme="minorHAnsi" w:hAnsiTheme="minorHAnsi"/>
          <w:lang w:val="bg-BG"/>
        </w:rPr>
        <w:t xml:space="preserve">6 </w:t>
      </w:r>
      <w:r w:rsidR="00AD1FEF" w:rsidRPr="00DC2206">
        <w:rPr>
          <w:rFonts w:asciiTheme="minorHAnsi" w:hAnsiTheme="minorHAnsi"/>
          <w:lang w:val="bg-BG"/>
        </w:rPr>
        <w:t xml:space="preserve">от </w:t>
      </w:r>
      <w:r w:rsidR="001C1676" w:rsidRPr="00DC2206">
        <w:rPr>
          <w:rFonts w:asciiTheme="minorHAnsi" w:hAnsiTheme="minorHAnsi"/>
          <w:lang w:val="bg-BG"/>
        </w:rPr>
        <w:t>ЕКПЧ</w:t>
      </w:r>
      <w:r w:rsidRPr="00DC2206">
        <w:rPr>
          <w:rFonts w:asciiTheme="minorHAnsi" w:hAnsiTheme="minorHAnsi"/>
          <w:lang w:val="bg-BG"/>
        </w:rPr>
        <w:t xml:space="preserve"> </w:t>
      </w:r>
      <w:r w:rsidR="00AD1FEF" w:rsidRPr="00DC2206">
        <w:rPr>
          <w:rFonts w:asciiTheme="minorHAnsi" w:hAnsiTheme="minorHAnsi"/>
          <w:lang w:val="bg-BG"/>
        </w:rPr>
        <w:t>изисква от съдилищата да бъдат независими не само от изпълнителната власт и от страните, но и от законодателната власт</w:t>
      </w:r>
      <w:r w:rsidRPr="00DC2206">
        <w:rPr>
          <w:rFonts w:asciiTheme="minorHAnsi" w:hAnsiTheme="minorHAnsi"/>
          <w:lang w:val="bg-BG"/>
        </w:rPr>
        <w:t xml:space="preserve">, </w:t>
      </w:r>
      <w:r w:rsidR="00AD1FEF" w:rsidRPr="00DC2206">
        <w:rPr>
          <w:rFonts w:asciiTheme="minorHAnsi" w:hAnsiTheme="minorHAnsi"/>
          <w:lang w:val="bg-BG"/>
        </w:rPr>
        <w:t xml:space="preserve">самото назначаването на съдиите от Парламента не може да се тълкува като създаващо съмнения в тяхната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AD1FEF" w:rsidRPr="00DC2206">
        <w:rPr>
          <w:rFonts w:asciiTheme="minorHAnsi" w:hAnsiTheme="minorHAnsi"/>
          <w:lang w:val="bg-BG"/>
        </w:rPr>
        <w:t>или безпристрастност</w:t>
      </w:r>
      <w:r w:rsidR="00BE23BC" w:rsidRPr="00DC2206">
        <w:rPr>
          <w:rStyle w:val="FootnoteReference"/>
          <w:rFonts w:asciiTheme="minorHAnsi" w:hAnsiTheme="minorHAnsi"/>
          <w:lang w:val="bg-BG"/>
        </w:rPr>
        <w:footnoteReference w:id="33"/>
      </w:r>
      <w:r w:rsidRPr="00DC2206">
        <w:rPr>
          <w:rFonts w:asciiTheme="minorHAnsi" w:hAnsiTheme="minorHAnsi"/>
          <w:lang w:val="bg-BG"/>
        </w:rPr>
        <w:t>.</w:t>
      </w:r>
    </w:p>
    <w:p w14:paraId="36C7E803" w14:textId="77777777" w:rsidR="00BE23BC" w:rsidRPr="00DC2206" w:rsidRDefault="00BE23BC" w:rsidP="00732D5B">
      <w:pPr>
        <w:ind w:left="709" w:hanging="709"/>
        <w:jc w:val="both"/>
        <w:rPr>
          <w:rFonts w:asciiTheme="minorHAnsi" w:hAnsiTheme="minorHAnsi"/>
          <w:lang w:val="bg-BG"/>
        </w:rPr>
      </w:pPr>
    </w:p>
    <w:p w14:paraId="2E1C9754"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23.</w:t>
      </w:r>
      <w:r w:rsidR="00BE23BC" w:rsidRPr="00DC2206">
        <w:rPr>
          <w:rFonts w:asciiTheme="minorHAnsi" w:hAnsiTheme="minorHAnsi"/>
          <w:lang w:val="bg-BG"/>
        </w:rPr>
        <w:tab/>
      </w:r>
      <w:r w:rsidR="00AD1FEF" w:rsidRPr="00DC2206">
        <w:rPr>
          <w:rFonts w:asciiTheme="minorHAnsi" w:hAnsiTheme="minorHAnsi"/>
          <w:lang w:val="bg-BG"/>
        </w:rPr>
        <w:t>Назначаването на съдиите от изпълнителната власт може да бъде допустимо</w:t>
      </w:r>
      <w:r w:rsidRPr="00DC2206">
        <w:rPr>
          <w:rFonts w:asciiTheme="minorHAnsi" w:hAnsiTheme="minorHAnsi"/>
          <w:lang w:val="bg-BG"/>
        </w:rPr>
        <w:t xml:space="preserve">, </w:t>
      </w:r>
      <w:r w:rsidR="00AD1FEF" w:rsidRPr="00DC2206">
        <w:rPr>
          <w:rFonts w:asciiTheme="minorHAnsi" w:hAnsiTheme="minorHAnsi"/>
          <w:lang w:val="bg-BG"/>
        </w:rPr>
        <w:t xml:space="preserve">при условие че назначените лица не са под влияние или натиск при изпълнението на тяхната роля по </w:t>
      </w:r>
      <w:r w:rsidR="00BE08F5">
        <w:rPr>
          <w:rFonts w:asciiTheme="minorHAnsi" w:hAnsiTheme="minorHAnsi"/>
          <w:lang w:val="bg-BG"/>
        </w:rPr>
        <w:t>правораздав</w:t>
      </w:r>
      <w:r w:rsidR="00AD1FEF" w:rsidRPr="00DC2206">
        <w:rPr>
          <w:rFonts w:asciiTheme="minorHAnsi" w:hAnsiTheme="minorHAnsi"/>
          <w:lang w:val="bg-BG"/>
        </w:rPr>
        <w:t>ане</w:t>
      </w:r>
      <w:r w:rsidR="00BE23BC" w:rsidRPr="00DC2206">
        <w:rPr>
          <w:rStyle w:val="FootnoteReference"/>
          <w:rFonts w:asciiTheme="minorHAnsi" w:hAnsiTheme="minorHAnsi"/>
          <w:lang w:val="bg-BG"/>
        </w:rPr>
        <w:footnoteReference w:id="34"/>
      </w:r>
      <w:r w:rsidRPr="00DC2206">
        <w:rPr>
          <w:rFonts w:asciiTheme="minorHAnsi" w:hAnsiTheme="minorHAnsi"/>
          <w:lang w:val="bg-BG"/>
        </w:rPr>
        <w:t>.</w:t>
      </w:r>
    </w:p>
    <w:p w14:paraId="19E63BFF" w14:textId="77777777" w:rsidR="00BE23BC" w:rsidRPr="00DC2206" w:rsidRDefault="00BE23BC" w:rsidP="00732D5B">
      <w:pPr>
        <w:ind w:left="709" w:hanging="709"/>
        <w:jc w:val="both"/>
        <w:rPr>
          <w:rFonts w:asciiTheme="minorHAnsi" w:hAnsiTheme="minorHAnsi"/>
          <w:lang w:val="bg-BG"/>
        </w:rPr>
      </w:pPr>
    </w:p>
    <w:p w14:paraId="30986E3E"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24.</w:t>
      </w:r>
      <w:r w:rsidR="00BE23BC" w:rsidRPr="00DC2206">
        <w:rPr>
          <w:rFonts w:asciiTheme="minorHAnsi" w:hAnsiTheme="minorHAnsi"/>
          <w:lang w:val="bg-BG"/>
        </w:rPr>
        <w:tab/>
      </w:r>
      <w:r w:rsidR="00AD1FEF" w:rsidRPr="00DC2206">
        <w:rPr>
          <w:rFonts w:asciiTheme="minorHAnsi" w:hAnsiTheme="minorHAnsi"/>
          <w:lang w:val="bg-BG"/>
        </w:rPr>
        <w:t>Изискването за безпристрастност</w:t>
      </w:r>
      <w:r w:rsidRPr="00DC2206">
        <w:rPr>
          <w:rFonts w:asciiTheme="minorHAnsi" w:hAnsiTheme="minorHAnsi"/>
          <w:lang w:val="bg-BG"/>
        </w:rPr>
        <w:t xml:space="preserve"> </w:t>
      </w:r>
      <w:r w:rsidR="00AD1FEF" w:rsidRPr="00DC2206">
        <w:rPr>
          <w:rFonts w:asciiTheme="minorHAnsi" w:hAnsiTheme="minorHAnsi"/>
          <w:lang w:val="bg-BG"/>
        </w:rPr>
        <w:t>има два аспекта</w:t>
      </w:r>
      <w:r w:rsidRPr="00DC2206">
        <w:rPr>
          <w:rFonts w:asciiTheme="minorHAnsi" w:hAnsiTheme="minorHAnsi"/>
          <w:lang w:val="bg-BG"/>
        </w:rPr>
        <w:t xml:space="preserve">: </w:t>
      </w:r>
      <w:r w:rsidR="00AD1FEF" w:rsidRPr="00DC2206">
        <w:rPr>
          <w:rFonts w:asciiTheme="minorHAnsi" w:hAnsiTheme="minorHAnsi"/>
          <w:lang w:val="bg-BG"/>
        </w:rPr>
        <w:t>първо</w:t>
      </w:r>
      <w:r w:rsidRPr="00DC2206">
        <w:rPr>
          <w:rFonts w:asciiTheme="minorHAnsi" w:hAnsiTheme="minorHAnsi"/>
          <w:lang w:val="bg-BG"/>
        </w:rPr>
        <w:t xml:space="preserve">, </w:t>
      </w:r>
      <w:r w:rsidR="00AD1FEF" w:rsidRPr="00DC2206">
        <w:rPr>
          <w:rFonts w:asciiTheme="minorHAnsi" w:hAnsiTheme="minorHAnsi"/>
          <w:lang w:val="bg-BG"/>
        </w:rPr>
        <w:t>съдът трябва да няма субективни лични предразсъдъци или уклони и, на второ място, той трябва да е независим от обективна гледна точка</w:t>
      </w:r>
      <w:r w:rsidRPr="00DC2206">
        <w:rPr>
          <w:rFonts w:asciiTheme="minorHAnsi" w:hAnsiTheme="minorHAnsi"/>
          <w:lang w:val="bg-BG"/>
        </w:rPr>
        <w:t xml:space="preserve">, </w:t>
      </w:r>
      <w:r w:rsidR="00AD1FEF" w:rsidRPr="00DC2206">
        <w:rPr>
          <w:rFonts w:asciiTheme="minorHAnsi" w:hAnsiTheme="minorHAnsi"/>
          <w:lang w:val="bg-BG"/>
        </w:rPr>
        <w:t xml:space="preserve">което означава, че той трябва да предлага достатъчни гаранции за изключване на каквото и да е </w:t>
      </w:r>
      <w:r w:rsidR="0026783E">
        <w:rPr>
          <w:rFonts w:asciiTheme="minorHAnsi" w:hAnsiTheme="minorHAnsi"/>
          <w:lang w:val="bg-BG"/>
        </w:rPr>
        <w:t>легитимно</w:t>
      </w:r>
      <w:r w:rsidR="00AD1FEF" w:rsidRPr="00DC2206">
        <w:rPr>
          <w:rFonts w:asciiTheme="minorHAnsi" w:hAnsiTheme="minorHAnsi"/>
          <w:lang w:val="bg-BG"/>
        </w:rPr>
        <w:t xml:space="preserve"> съмнение относно неговата безпристрастност</w:t>
      </w:r>
      <w:r w:rsidR="00BE23BC" w:rsidRPr="00DC2206">
        <w:rPr>
          <w:rStyle w:val="FootnoteReference"/>
          <w:rFonts w:asciiTheme="minorHAnsi" w:hAnsiTheme="minorHAnsi"/>
          <w:lang w:val="bg-BG"/>
        </w:rPr>
        <w:footnoteReference w:id="35"/>
      </w:r>
      <w:r w:rsidRPr="00DC2206">
        <w:rPr>
          <w:rFonts w:asciiTheme="minorHAnsi" w:hAnsiTheme="minorHAnsi"/>
          <w:lang w:val="bg-BG"/>
        </w:rPr>
        <w:t>.</w:t>
      </w:r>
    </w:p>
    <w:p w14:paraId="62CA1ABC" w14:textId="77777777" w:rsidR="00BE23BC" w:rsidRPr="00DC2206" w:rsidRDefault="00BE23BC" w:rsidP="00732D5B">
      <w:pPr>
        <w:ind w:left="709" w:hanging="709"/>
        <w:jc w:val="both"/>
        <w:rPr>
          <w:rFonts w:asciiTheme="minorHAnsi" w:hAnsiTheme="minorHAnsi"/>
          <w:lang w:val="bg-BG"/>
        </w:rPr>
      </w:pPr>
    </w:p>
    <w:p w14:paraId="7E7092CF"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25.</w:t>
      </w:r>
      <w:r w:rsidR="00BE23BC" w:rsidRPr="00DC2206">
        <w:rPr>
          <w:rFonts w:asciiTheme="minorHAnsi" w:hAnsiTheme="minorHAnsi"/>
          <w:lang w:val="bg-BG"/>
        </w:rPr>
        <w:tab/>
      </w:r>
      <w:r w:rsidR="00AD1FEF" w:rsidRPr="00DC2206">
        <w:rPr>
          <w:rFonts w:asciiTheme="minorHAnsi" w:hAnsiTheme="minorHAnsi"/>
          <w:lang w:val="bg-BG"/>
        </w:rPr>
        <w:t>Що се отнася до продължителността на мандата на съдиите</w:t>
      </w:r>
      <w:r w:rsidRPr="00DC2206">
        <w:rPr>
          <w:rFonts w:asciiTheme="minorHAnsi" w:hAnsiTheme="minorHAnsi"/>
          <w:lang w:val="bg-BG"/>
        </w:rPr>
        <w:t xml:space="preserve">, </w:t>
      </w:r>
      <w:r w:rsidR="00AD1FEF" w:rsidRPr="00DC2206">
        <w:rPr>
          <w:rFonts w:asciiTheme="minorHAnsi" w:hAnsiTheme="minorHAnsi"/>
          <w:lang w:val="bg-BG"/>
        </w:rPr>
        <w:t>не е определен конкретен мандат като необходим минимум</w:t>
      </w:r>
      <w:r w:rsidRPr="00DC2206">
        <w:rPr>
          <w:rFonts w:asciiTheme="minorHAnsi" w:hAnsiTheme="minorHAnsi"/>
          <w:lang w:val="bg-BG"/>
        </w:rPr>
        <w:t xml:space="preserve">. </w:t>
      </w:r>
      <w:r w:rsidR="00AD1FEF" w:rsidRPr="00DC2206">
        <w:rPr>
          <w:rFonts w:asciiTheme="minorHAnsi" w:hAnsiTheme="minorHAnsi"/>
          <w:lang w:val="bg-BG"/>
        </w:rPr>
        <w:t xml:space="preserve">Макар </w:t>
      </w:r>
      <w:r w:rsidR="005C517B" w:rsidRPr="00DC2206">
        <w:rPr>
          <w:rFonts w:asciiTheme="minorHAnsi" w:hAnsiTheme="minorHAnsi"/>
          <w:lang w:val="bg-BG"/>
        </w:rPr>
        <w:t>несменяемост</w:t>
      </w:r>
      <w:r w:rsidR="00AD1FEF" w:rsidRPr="00DC2206">
        <w:rPr>
          <w:rFonts w:asciiTheme="minorHAnsi" w:hAnsiTheme="minorHAnsi"/>
          <w:lang w:val="bg-BG"/>
        </w:rPr>
        <w:t xml:space="preserve">та на съдиите от изпълнителната власт по време на мандата им принципно да се счита за естествена последица от тяхната </w:t>
      </w:r>
      <w:r w:rsidR="00A0730F" w:rsidRPr="00DC2206">
        <w:rPr>
          <w:rFonts w:asciiTheme="minorHAnsi" w:hAnsiTheme="minorHAnsi"/>
          <w:lang w:val="bg-BG"/>
        </w:rPr>
        <w:t>независимост</w:t>
      </w:r>
      <w:r w:rsidR="00B71421" w:rsidRPr="00DC2206">
        <w:rPr>
          <w:rStyle w:val="FootnoteReference"/>
          <w:rFonts w:asciiTheme="minorHAnsi" w:hAnsiTheme="minorHAnsi"/>
          <w:lang w:val="bg-BG"/>
        </w:rPr>
        <w:footnoteReference w:id="36"/>
      </w:r>
      <w:r w:rsidRPr="00DC2206">
        <w:rPr>
          <w:rFonts w:asciiTheme="minorHAnsi" w:hAnsiTheme="minorHAnsi"/>
          <w:lang w:val="bg-BG"/>
        </w:rPr>
        <w:t xml:space="preserve">, </w:t>
      </w:r>
      <w:r w:rsidR="00AD1FEF" w:rsidRPr="00DC2206">
        <w:rPr>
          <w:rFonts w:asciiTheme="minorHAnsi" w:hAnsiTheme="minorHAnsi"/>
          <w:lang w:val="bg-BG"/>
        </w:rPr>
        <w:t xml:space="preserve">липсата на формално признаване на тази </w:t>
      </w:r>
      <w:r w:rsidR="005C517B" w:rsidRPr="00DC2206">
        <w:rPr>
          <w:rFonts w:asciiTheme="minorHAnsi" w:hAnsiTheme="minorHAnsi"/>
          <w:lang w:val="bg-BG"/>
        </w:rPr>
        <w:t>несменяемост</w:t>
      </w:r>
      <w:r w:rsidRPr="00DC2206">
        <w:rPr>
          <w:rFonts w:asciiTheme="minorHAnsi" w:hAnsiTheme="minorHAnsi"/>
          <w:lang w:val="bg-BG"/>
        </w:rPr>
        <w:t xml:space="preserve"> </w:t>
      </w:r>
      <w:r w:rsidR="00AD1FEF" w:rsidRPr="00DC2206">
        <w:rPr>
          <w:rFonts w:asciiTheme="minorHAnsi" w:hAnsiTheme="minorHAnsi"/>
          <w:lang w:val="bg-BG"/>
        </w:rPr>
        <w:t xml:space="preserve">в закона не предполага сама по себе си липса на </w:t>
      </w:r>
      <w:r w:rsidR="00A0730F" w:rsidRPr="00DC2206">
        <w:rPr>
          <w:rFonts w:asciiTheme="minorHAnsi" w:hAnsiTheme="minorHAnsi"/>
          <w:lang w:val="bg-BG"/>
        </w:rPr>
        <w:t>независимост</w:t>
      </w:r>
      <w:r w:rsidR="00AD1FEF" w:rsidRPr="00DC2206">
        <w:rPr>
          <w:rFonts w:asciiTheme="minorHAnsi" w:hAnsiTheme="minorHAnsi"/>
          <w:lang w:val="bg-BG"/>
        </w:rPr>
        <w:t xml:space="preserve">, при условие че </w:t>
      </w:r>
      <w:r w:rsidR="005C517B" w:rsidRPr="00DC2206">
        <w:rPr>
          <w:rFonts w:asciiTheme="minorHAnsi" w:hAnsiTheme="minorHAnsi"/>
          <w:lang w:val="bg-BG"/>
        </w:rPr>
        <w:t>несменяемост</w:t>
      </w:r>
      <w:r w:rsidR="00AD1FEF" w:rsidRPr="00DC2206">
        <w:rPr>
          <w:rFonts w:asciiTheme="minorHAnsi" w:hAnsiTheme="minorHAnsi"/>
          <w:lang w:val="bg-BG"/>
        </w:rPr>
        <w:t>та е призната фактически и са налице други необходими гаранции</w:t>
      </w:r>
      <w:r w:rsidR="00B71421" w:rsidRPr="00DC2206">
        <w:rPr>
          <w:rStyle w:val="FootnoteReference"/>
          <w:rFonts w:asciiTheme="minorHAnsi" w:hAnsiTheme="minorHAnsi"/>
          <w:lang w:val="bg-BG"/>
        </w:rPr>
        <w:footnoteReference w:id="37"/>
      </w:r>
      <w:r w:rsidRPr="00DC2206">
        <w:rPr>
          <w:rFonts w:asciiTheme="minorHAnsi" w:hAnsiTheme="minorHAnsi"/>
          <w:lang w:val="bg-BG"/>
        </w:rPr>
        <w:t>.</w:t>
      </w:r>
    </w:p>
    <w:p w14:paraId="3FBCFA59" w14:textId="77777777" w:rsidR="00B71421" w:rsidRPr="00DC2206" w:rsidRDefault="00B71421" w:rsidP="00732D5B">
      <w:pPr>
        <w:ind w:left="709" w:hanging="709"/>
        <w:jc w:val="both"/>
        <w:rPr>
          <w:rFonts w:asciiTheme="minorHAnsi" w:hAnsiTheme="minorHAnsi"/>
          <w:lang w:val="bg-BG"/>
        </w:rPr>
      </w:pPr>
    </w:p>
    <w:p w14:paraId="4FDCF894"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26.</w:t>
      </w:r>
      <w:r w:rsidR="00B71421" w:rsidRPr="00DC2206">
        <w:rPr>
          <w:rFonts w:asciiTheme="minorHAnsi" w:hAnsiTheme="minorHAnsi"/>
          <w:lang w:val="bg-BG"/>
        </w:rPr>
        <w:tab/>
      </w:r>
      <w:r w:rsidR="00AD1FEF" w:rsidRPr="00DC2206">
        <w:rPr>
          <w:rFonts w:asciiTheme="minorHAnsi" w:hAnsiTheme="minorHAnsi"/>
          <w:lang w:val="bg-BG"/>
        </w:rPr>
        <w:t xml:space="preserve">Съдебната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AD1FEF" w:rsidRPr="00DC2206">
        <w:rPr>
          <w:rFonts w:asciiTheme="minorHAnsi" w:hAnsiTheme="minorHAnsi"/>
          <w:lang w:val="bg-BG"/>
        </w:rPr>
        <w:t xml:space="preserve">изисква отделните съдии да </w:t>
      </w:r>
      <w:r w:rsidR="00306564" w:rsidRPr="00DC2206">
        <w:rPr>
          <w:rFonts w:asciiTheme="minorHAnsi" w:hAnsiTheme="minorHAnsi"/>
          <w:lang w:val="bg-BG"/>
        </w:rPr>
        <w:t xml:space="preserve">не </w:t>
      </w:r>
      <w:r w:rsidR="00AD1FEF" w:rsidRPr="00DC2206">
        <w:rPr>
          <w:rFonts w:asciiTheme="minorHAnsi" w:hAnsiTheme="minorHAnsi"/>
          <w:lang w:val="bg-BG"/>
        </w:rPr>
        <w:t xml:space="preserve">бъдат </w:t>
      </w:r>
      <w:r w:rsidR="00306564" w:rsidRPr="00DC2206">
        <w:rPr>
          <w:rFonts w:asciiTheme="minorHAnsi" w:hAnsiTheme="minorHAnsi"/>
          <w:lang w:val="bg-BG"/>
        </w:rPr>
        <w:t xml:space="preserve">подлагани на нерегламентирани влияние не само извън </w:t>
      </w:r>
      <w:r w:rsidR="00A0730F" w:rsidRPr="00DC2206">
        <w:rPr>
          <w:rFonts w:asciiTheme="minorHAnsi" w:hAnsiTheme="minorHAnsi"/>
          <w:lang w:val="bg-BG"/>
        </w:rPr>
        <w:t>съдебната власт</w:t>
      </w:r>
      <w:r w:rsidRPr="00DC2206">
        <w:rPr>
          <w:rFonts w:asciiTheme="minorHAnsi" w:hAnsiTheme="minorHAnsi"/>
          <w:lang w:val="bg-BG"/>
        </w:rPr>
        <w:t xml:space="preserve">, </w:t>
      </w:r>
      <w:r w:rsidR="00306564" w:rsidRPr="00DC2206">
        <w:rPr>
          <w:rFonts w:asciiTheme="minorHAnsi" w:hAnsiTheme="minorHAnsi"/>
          <w:lang w:val="bg-BG"/>
        </w:rPr>
        <w:t>но и в нейните рамки</w:t>
      </w:r>
      <w:r w:rsidRPr="00DC2206">
        <w:rPr>
          <w:rFonts w:asciiTheme="minorHAnsi" w:hAnsiTheme="minorHAnsi"/>
          <w:lang w:val="bg-BG"/>
        </w:rPr>
        <w:t xml:space="preserve">. </w:t>
      </w:r>
      <w:r w:rsidR="00306564" w:rsidRPr="00DC2206">
        <w:rPr>
          <w:rFonts w:asciiTheme="minorHAnsi" w:hAnsiTheme="minorHAnsi"/>
          <w:lang w:val="bg-BG"/>
        </w:rPr>
        <w:t xml:space="preserve">Тази вътрешна съдебна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306564" w:rsidRPr="00DC2206">
        <w:rPr>
          <w:rFonts w:asciiTheme="minorHAnsi" w:hAnsiTheme="minorHAnsi"/>
          <w:lang w:val="bg-BG"/>
        </w:rPr>
        <w:t>изисква спрямо тях да не се прилагат директиви или натиск от колегите съдии или от тези, които има</w:t>
      </w:r>
      <w:r w:rsidR="0026783E">
        <w:rPr>
          <w:rFonts w:asciiTheme="minorHAnsi" w:hAnsiTheme="minorHAnsi"/>
          <w:lang w:val="bg-BG"/>
        </w:rPr>
        <w:t>т</w:t>
      </w:r>
      <w:r w:rsidR="00306564" w:rsidRPr="00DC2206">
        <w:rPr>
          <w:rFonts w:asciiTheme="minorHAnsi" w:hAnsiTheme="minorHAnsi"/>
          <w:lang w:val="bg-BG"/>
        </w:rPr>
        <w:t xml:space="preserve"> административни отговорности в съда, като председателя на съда или председателя на отделение в съда</w:t>
      </w:r>
      <w:r w:rsidR="00B71421" w:rsidRPr="00DC2206">
        <w:rPr>
          <w:rStyle w:val="FootnoteReference"/>
          <w:rFonts w:asciiTheme="minorHAnsi" w:hAnsiTheme="minorHAnsi"/>
          <w:lang w:val="bg-BG"/>
        </w:rPr>
        <w:footnoteReference w:id="38"/>
      </w:r>
      <w:r w:rsidRPr="00DC2206">
        <w:rPr>
          <w:rFonts w:asciiTheme="minorHAnsi" w:hAnsiTheme="minorHAnsi"/>
          <w:lang w:val="bg-BG"/>
        </w:rPr>
        <w:t>.</w:t>
      </w:r>
    </w:p>
    <w:p w14:paraId="6B393435" w14:textId="77777777" w:rsidR="00B71421" w:rsidRPr="00DC2206" w:rsidRDefault="00B71421" w:rsidP="00732D5B">
      <w:pPr>
        <w:ind w:left="709" w:hanging="709"/>
        <w:jc w:val="both"/>
        <w:rPr>
          <w:rFonts w:asciiTheme="minorHAnsi" w:hAnsiTheme="minorHAnsi"/>
          <w:lang w:val="bg-BG"/>
        </w:rPr>
      </w:pPr>
    </w:p>
    <w:p w14:paraId="0C94CB6B"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27.</w:t>
      </w:r>
      <w:r w:rsidR="00B71421" w:rsidRPr="00DC2206">
        <w:rPr>
          <w:rFonts w:asciiTheme="minorHAnsi" w:hAnsiTheme="minorHAnsi"/>
          <w:lang w:val="bg-BG"/>
        </w:rPr>
        <w:tab/>
      </w:r>
      <w:r w:rsidR="00306564" w:rsidRPr="00DC2206">
        <w:rPr>
          <w:rFonts w:asciiTheme="minorHAnsi" w:hAnsiTheme="minorHAnsi"/>
          <w:lang w:val="bg-BG"/>
        </w:rPr>
        <w:t xml:space="preserve">По-специално, може да се каже, че съмнения относно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306564" w:rsidRPr="00DC2206">
        <w:rPr>
          <w:rFonts w:asciiTheme="minorHAnsi" w:hAnsiTheme="minorHAnsi"/>
          <w:lang w:val="bg-BG"/>
        </w:rPr>
        <w:t xml:space="preserve">и </w:t>
      </w:r>
      <w:r w:rsidR="00AD1FEF" w:rsidRPr="00DC2206">
        <w:rPr>
          <w:rFonts w:asciiTheme="minorHAnsi" w:hAnsiTheme="minorHAnsi"/>
          <w:lang w:val="bg-BG"/>
        </w:rPr>
        <w:t>безпристрастност</w:t>
      </w:r>
      <w:r w:rsidR="00306564" w:rsidRPr="00DC2206">
        <w:rPr>
          <w:rFonts w:asciiTheme="minorHAnsi" w:hAnsiTheme="minorHAnsi"/>
          <w:lang w:val="bg-BG"/>
        </w:rPr>
        <w:t>та на съда по делото са обективно обосновани поради многократната и честа смяна на членовете на състава по наказателното дело</w:t>
      </w:r>
      <w:r w:rsidRPr="00DC2206">
        <w:rPr>
          <w:rFonts w:asciiTheme="minorHAnsi" w:hAnsiTheme="minorHAnsi"/>
          <w:lang w:val="bg-BG"/>
        </w:rPr>
        <w:t xml:space="preserve">, </w:t>
      </w:r>
      <w:r w:rsidR="00306564" w:rsidRPr="00DC2206">
        <w:rPr>
          <w:rFonts w:asciiTheme="minorHAnsi" w:hAnsiTheme="minorHAnsi"/>
          <w:lang w:val="bg-BG"/>
        </w:rPr>
        <w:t>която е извършвана поради причини, които не могат да бъдат установени и не е ограничена от процесуални гаранции</w:t>
      </w:r>
      <w:r w:rsidR="00B71421" w:rsidRPr="00DC2206">
        <w:rPr>
          <w:rStyle w:val="FootnoteReference"/>
          <w:rFonts w:asciiTheme="minorHAnsi" w:hAnsiTheme="minorHAnsi"/>
          <w:lang w:val="bg-BG"/>
        </w:rPr>
        <w:footnoteReference w:id="39"/>
      </w:r>
      <w:r w:rsidRPr="00DC2206">
        <w:rPr>
          <w:rFonts w:asciiTheme="minorHAnsi" w:hAnsiTheme="minorHAnsi"/>
          <w:lang w:val="bg-BG"/>
        </w:rPr>
        <w:t>.</w:t>
      </w:r>
    </w:p>
    <w:p w14:paraId="434C8C95" w14:textId="77777777" w:rsidR="00B71421" w:rsidRPr="00DC2206" w:rsidRDefault="00B71421" w:rsidP="00732D5B">
      <w:pPr>
        <w:ind w:left="709" w:hanging="709"/>
        <w:jc w:val="both"/>
        <w:rPr>
          <w:rFonts w:asciiTheme="minorHAnsi" w:hAnsiTheme="minorHAnsi"/>
          <w:lang w:val="bg-BG"/>
        </w:rPr>
      </w:pPr>
    </w:p>
    <w:p w14:paraId="6AB9F942"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lastRenderedPageBreak/>
        <w:t>28.</w:t>
      </w:r>
      <w:r w:rsidR="00B71421" w:rsidRPr="00DC2206">
        <w:rPr>
          <w:rFonts w:asciiTheme="minorHAnsi" w:hAnsiTheme="minorHAnsi"/>
          <w:lang w:val="bg-BG"/>
        </w:rPr>
        <w:tab/>
      </w:r>
      <w:r w:rsidR="00AD3702" w:rsidRPr="00DC2206">
        <w:rPr>
          <w:rFonts w:asciiTheme="minorHAnsi" w:hAnsiTheme="minorHAnsi"/>
          <w:lang w:val="bg-BG"/>
        </w:rPr>
        <w:t>В тази връзка, когато членовете на един съд</w:t>
      </w:r>
      <w:r w:rsidR="00BE08F5">
        <w:rPr>
          <w:rFonts w:asciiTheme="minorHAnsi" w:hAnsiTheme="minorHAnsi"/>
          <w:lang w:val="bg-BG"/>
        </w:rPr>
        <w:t>ебен състав</w:t>
      </w:r>
      <w:r w:rsidR="00AD3702" w:rsidRPr="00DC2206">
        <w:rPr>
          <w:rFonts w:asciiTheme="minorHAnsi" w:hAnsiTheme="minorHAnsi"/>
          <w:lang w:val="bg-BG"/>
        </w:rPr>
        <w:t xml:space="preserve"> включват лица, които са в по</w:t>
      </w:r>
      <w:r w:rsidR="0026783E">
        <w:rPr>
          <w:rFonts w:asciiTheme="minorHAnsi" w:hAnsiTheme="minorHAnsi"/>
          <w:lang w:val="bg-BG"/>
        </w:rPr>
        <w:t>дчинена позиция</w:t>
      </w:r>
      <w:r w:rsidR="00AD3702" w:rsidRPr="00DC2206">
        <w:rPr>
          <w:rFonts w:asciiTheme="minorHAnsi" w:hAnsiTheme="minorHAnsi"/>
          <w:lang w:val="bg-BG"/>
        </w:rPr>
        <w:t xml:space="preserve"> от гледна точка на техните задължения и организацията на службата им</w:t>
      </w:r>
      <w:r w:rsidRPr="00DC2206">
        <w:rPr>
          <w:rFonts w:asciiTheme="minorHAnsi" w:hAnsiTheme="minorHAnsi"/>
          <w:lang w:val="bg-BG"/>
        </w:rPr>
        <w:t xml:space="preserve"> </w:t>
      </w:r>
      <w:r w:rsidR="00AD3702" w:rsidRPr="00DC2206">
        <w:rPr>
          <w:rFonts w:asciiTheme="minorHAnsi" w:hAnsiTheme="minorHAnsi"/>
          <w:lang w:val="bg-BG"/>
        </w:rPr>
        <w:t>спрямо една от страните</w:t>
      </w:r>
      <w:r w:rsidRPr="00DC2206">
        <w:rPr>
          <w:rFonts w:asciiTheme="minorHAnsi" w:hAnsiTheme="minorHAnsi"/>
          <w:lang w:val="bg-BG"/>
        </w:rPr>
        <w:t xml:space="preserve">, </w:t>
      </w:r>
      <w:r w:rsidR="00AD3702" w:rsidRPr="00DC2206">
        <w:rPr>
          <w:rFonts w:asciiTheme="minorHAnsi" w:hAnsiTheme="minorHAnsi"/>
          <w:lang w:val="bg-BG"/>
        </w:rPr>
        <w:t xml:space="preserve">обвиняемите могат да имат законно съмнение относно </w:t>
      </w:r>
      <w:r w:rsidR="00A0730F" w:rsidRPr="00DC2206">
        <w:rPr>
          <w:rFonts w:asciiTheme="minorHAnsi" w:hAnsiTheme="minorHAnsi"/>
          <w:lang w:val="bg-BG"/>
        </w:rPr>
        <w:t>независимос</w:t>
      </w:r>
      <w:r w:rsidR="00AD3702" w:rsidRPr="00DC2206">
        <w:rPr>
          <w:rFonts w:asciiTheme="minorHAnsi" w:hAnsiTheme="minorHAnsi"/>
          <w:lang w:val="bg-BG"/>
        </w:rPr>
        <w:t>т</w:t>
      </w:r>
      <w:r w:rsidR="00A0730F" w:rsidRPr="00DC2206">
        <w:rPr>
          <w:rFonts w:asciiTheme="minorHAnsi" w:hAnsiTheme="minorHAnsi"/>
          <w:lang w:val="bg-BG"/>
        </w:rPr>
        <w:t>т</w:t>
      </w:r>
      <w:r w:rsidR="00AD3702" w:rsidRPr="00DC2206">
        <w:rPr>
          <w:rFonts w:asciiTheme="minorHAnsi" w:hAnsiTheme="minorHAnsi"/>
          <w:lang w:val="bg-BG"/>
        </w:rPr>
        <w:t xml:space="preserve">а на </w:t>
      </w:r>
      <w:r w:rsidR="0026783E">
        <w:rPr>
          <w:rFonts w:asciiTheme="minorHAnsi" w:hAnsiTheme="minorHAnsi"/>
          <w:lang w:val="bg-BG"/>
        </w:rPr>
        <w:t>тези лица</w:t>
      </w:r>
      <w:r w:rsidRPr="00DC2206">
        <w:rPr>
          <w:rFonts w:asciiTheme="minorHAnsi" w:hAnsiTheme="minorHAnsi"/>
          <w:lang w:val="bg-BG"/>
        </w:rPr>
        <w:t xml:space="preserve">. </w:t>
      </w:r>
      <w:r w:rsidR="00AD3702" w:rsidRPr="00DC2206">
        <w:rPr>
          <w:rFonts w:asciiTheme="minorHAnsi" w:hAnsiTheme="minorHAnsi"/>
          <w:lang w:val="bg-BG"/>
        </w:rPr>
        <w:t xml:space="preserve">Тази ситуация сериозно засяга доверието, което съдилищата трябва да </w:t>
      </w:r>
      <w:r w:rsidR="0026783E">
        <w:rPr>
          <w:rFonts w:asciiTheme="minorHAnsi" w:hAnsiTheme="minorHAnsi"/>
          <w:lang w:val="bg-BG"/>
        </w:rPr>
        <w:t>вдъхват</w:t>
      </w:r>
      <w:r w:rsidR="00AD3702" w:rsidRPr="00DC2206">
        <w:rPr>
          <w:rFonts w:asciiTheme="minorHAnsi" w:hAnsiTheme="minorHAnsi"/>
          <w:lang w:val="bg-BG"/>
        </w:rPr>
        <w:t xml:space="preserve"> в едно демократично общество</w:t>
      </w:r>
      <w:r w:rsidR="00B71421" w:rsidRPr="00DC2206">
        <w:rPr>
          <w:rStyle w:val="FootnoteReference"/>
          <w:rFonts w:asciiTheme="minorHAnsi" w:hAnsiTheme="minorHAnsi"/>
          <w:lang w:val="bg-BG"/>
        </w:rPr>
        <w:footnoteReference w:id="40"/>
      </w:r>
      <w:r w:rsidRPr="00DC2206">
        <w:rPr>
          <w:rFonts w:asciiTheme="minorHAnsi" w:hAnsiTheme="minorHAnsi"/>
          <w:lang w:val="bg-BG"/>
        </w:rPr>
        <w:t>.</w:t>
      </w:r>
    </w:p>
    <w:p w14:paraId="7B9C3D9A" w14:textId="77777777" w:rsidR="00B71421" w:rsidRPr="00DC2206" w:rsidRDefault="00B71421" w:rsidP="00732D5B">
      <w:pPr>
        <w:tabs>
          <w:tab w:val="left" w:pos="549"/>
        </w:tabs>
        <w:ind w:left="709" w:hanging="709"/>
        <w:jc w:val="both"/>
        <w:rPr>
          <w:rFonts w:asciiTheme="minorHAnsi" w:hAnsiTheme="minorHAnsi"/>
          <w:vertAlign w:val="superscript"/>
          <w:lang w:val="bg-BG"/>
        </w:rPr>
      </w:pPr>
    </w:p>
    <w:p w14:paraId="33F43AFA" w14:textId="77777777" w:rsidR="00C61601" w:rsidRPr="00DC2206" w:rsidRDefault="00521963" w:rsidP="00B71421">
      <w:pPr>
        <w:ind w:left="709" w:hanging="709"/>
        <w:jc w:val="both"/>
        <w:rPr>
          <w:rFonts w:asciiTheme="minorHAnsi" w:hAnsiTheme="minorHAnsi"/>
          <w:lang w:val="bg-BG"/>
        </w:rPr>
      </w:pPr>
      <w:r w:rsidRPr="00DC2206">
        <w:rPr>
          <w:rFonts w:asciiTheme="minorHAnsi" w:hAnsiTheme="minorHAnsi"/>
          <w:lang w:val="bg-BG" w:eastAsia="bg-BG" w:bidi="bg-BG"/>
        </w:rPr>
        <w:t>29.</w:t>
      </w:r>
      <w:r w:rsidR="00B71421" w:rsidRPr="00DC2206">
        <w:rPr>
          <w:rFonts w:asciiTheme="minorHAnsi" w:hAnsiTheme="minorHAnsi"/>
          <w:lang w:val="bg-BG" w:eastAsia="bg-BG" w:bidi="bg-BG"/>
        </w:rPr>
        <w:tab/>
      </w:r>
      <w:r w:rsidR="00AD3702" w:rsidRPr="00DC2206">
        <w:rPr>
          <w:rFonts w:asciiTheme="minorHAnsi" w:hAnsiTheme="minorHAnsi"/>
          <w:lang w:val="bg-BG"/>
        </w:rPr>
        <w:t xml:space="preserve">Принципите, приложими при определяне дали един съд може да бъде считан за независим и безпристрастен по смисъла на </w:t>
      </w:r>
      <w:r w:rsidR="001C1676" w:rsidRPr="00DC2206">
        <w:rPr>
          <w:rFonts w:asciiTheme="minorHAnsi" w:hAnsiTheme="minorHAnsi"/>
          <w:lang w:val="bg-BG"/>
        </w:rPr>
        <w:t>ЕКПЧ</w:t>
      </w:r>
      <w:r w:rsidR="00AD3702" w:rsidRPr="00DC2206">
        <w:rPr>
          <w:rFonts w:asciiTheme="minorHAnsi" w:hAnsiTheme="minorHAnsi"/>
          <w:lang w:val="bg-BG"/>
        </w:rPr>
        <w:t>, се прилагат не само спрямо професионалните съдии, но и спрямо съдебните заседатели</w:t>
      </w:r>
      <w:r w:rsidR="00BE08F5">
        <w:rPr>
          <w:rFonts w:asciiTheme="minorHAnsi" w:hAnsiTheme="minorHAnsi"/>
          <w:lang w:val="bg-BG"/>
        </w:rPr>
        <w:t xml:space="preserve"> и членовете на съдебно жури</w:t>
      </w:r>
      <w:r w:rsidR="00B71421" w:rsidRPr="00DC2206">
        <w:rPr>
          <w:rStyle w:val="FootnoteReference"/>
          <w:rFonts w:asciiTheme="minorHAnsi" w:hAnsiTheme="minorHAnsi"/>
          <w:lang w:val="bg-BG"/>
        </w:rPr>
        <w:footnoteReference w:id="41"/>
      </w:r>
      <w:r w:rsidRPr="00DC2206">
        <w:rPr>
          <w:rFonts w:asciiTheme="minorHAnsi" w:hAnsiTheme="minorHAnsi"/>
          <w:lang w:val="bg-BG"/>
        </w:rPr>
        <w:t>.</w:t>
      </w:r>
    </w:p>
    <w:p w14:paraId="3B875061" w14:textId="77777777" w:rsidR="00B71421" w:rsidRPr="00DC2206" w:rsidRDefault="00B71421" w:rsidP="00B71421">
      <w:pPr>
        <w:ind w:left="709" w:hanging="709"/>
        <w:jc w:val="both"/>
        <w:rPr>
          <w:rFonts w:asciiTheme="minorHAnsi" w:hAnsiTheme="minorHAnsi"/>
          <w:lang w:val="bg-BG"/>
        </w:rPr>
      </w:pPr>
    </w:p>
    <w:p w14:paraId="51235E9F" w14:textId="77777777" w:rsidR="00C61601" w:rsidRPr="00DC2206" w:rsidRDefault="00521963" w:rsidP="00B71421">
      <w:pPr>
        <w:ind w:left="709" w:hanging="709"/>
        <w:jc w:val="both"/>
        <w:rPr>
          <w:rFonts w:asciiTheme="minorHAnsi" w:hAnsiTheme="minorHAnsi"/>
          <w:lang w:val="bg-BG"/>
        </w:rPr>
      </w:pPr>
      <w:r w:rsidRPr="00DC2206">
        <w:rPr>
          <w:rFonts w:asciiTheme="minorHAnsi" w:hAnsiTheme="minorHAnsi"/>
          <w:lang w:val="bg-BG"/>
        </w:rPr>
        <w:t>30.</w:t>
      </w:r>
      <w:r w:rsidRPr="00DC2206">
        <w:rPr>
          <w:rFonts w:asciiTheme="minorHAnsi" w:hAnsiTheme="minorHAnsi"/>
          <w:lang w:val="bg-BG"/>
        </w:rPr>
        <w:tab/>
      </w:r>
      <w:r w:rsidR="00AD3702" w:rsidRPr="00DC2206">
        <w:rPr>
          <w:rFonts w:asciiTheme="minorHAnsi" w:hAnsiTheme="minorHAnsi"/>
          <w:lang w:val="bg-BG"/>
        </w:rPr>
        <w:t>В едно демократично общество</w:t>
      </w:r>
      <w:r w:rsidRPr="00DC2206">
        <w:rPr>
          <w:rFonts w:asciiTheme="minorHAnsi" w:hAnsiTheme="minorHAnsi"/>
          <w:lang w:val="bg-BG"/>
        </w:rPr>
        <w:t xml:space="preserve">, </w:t>
      </w:r>
      <w:r w:rsidR="00AD3702" w:rsidRPr="00DC2206">
        <w:rPr>
          <w:rFonts w:asciiTheme="minorHAnsi" w:hAnsiTheme="minorHAnsi"/>
          <w:lang w:val="bg-BG"/>
        </w:rPr>
        <w:t>и съдилищата и следствените органи трябва да останат свободни от политически натиск</w:t>
      </w:r>
      <w:r w:rsidRPr="00DC2206">
        <w:rPr>
          <w:rFonts w:asciiTheme="minorHAnsi" w:hAnsiTheme="minorHAnsi"/>
          <w:lang w:val="bg-BG"/>
        </w:rPr>
        <w:t xml:space="preserve">. </w:t>
      </w:r>
      <w:r w:rsidR="00AD3702" w:rsidRPr="00DC2206">
        <w:rPr>
          <w:rFonts w:asciiTheme="minorHAnsi" w:hAnsiTheme="minorHAnsi"/>
          <w:lang w:val="bg-BG"/>
        </w:rPr>
        <w:t xml:space="preserve">По този начин е в обществен интерес да се поддържа доверие в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AD3702" w:rsidRPr="00DC2206">
        <w:rPr>
          <w:rFonts w:asciiTheme="minorHAnsi" w:hAnsiTheme="minorHAnsi"/>
          <w:lang w:val="bg-BG"/>
        </w:rPr>
        <w:t>и политическата неутралност на прокурорските органи на държавата</w:t>
      </w:r>
      <w:r w:rsidR="00B71421" w:rsidRPr="00DC2206">
        <w:rPr>
          <w:rStyle w:val="FootnoteReference"/>
          <w:rFonts w:asciiTheme="minorHAnsi" w:hAnsiTheme="minorHAnsi"/>
          <w:lang w:val="bg-BG"/>
        </w:rPr>
        <w:footnoteReference w:id="42"/>
      </w:r>
      <w:r w:rsidRPr="00DC2206">
        <w:rPr>
          <w:rFonts w:asciiTheme="minorHAnsi" w:hAnsiTheme="minorHAnsi"/>
          <w:lang w:val="bg-BG"/>
        </w:rPr>
        <w:t>.</w:t>
      </w:r>
    </w:p>
    <w:p w14:paraId="54F1DB3E" w14:textId="77777777" w:rsidR="00B71421" w:rsidRPr="00DC2206" w:rsidRDefault="00B71421" w:rsidP="00B71421">
      <w:pPr>
        <w:ind w:left="709" w:hanging="709"/>
        <w:jc w:val="both"/>
        <w:rPr>
          <w:rFonts w:asciiTheme="minorHAnsi" w:hAnsiTheme="minorHAnsi"/>
          <w:lang w:val="bg-BG"/>
        </w:rPr>
      </w:pPr>
    </w:p>
    <w:p w14:paraId="5D74BF6D" w14:textId="77777777" w:rsidR="00C61601" w:rsidRPr="00DC2206" w:rsidRDefault="00521963" w:rsidP="00B71421">
      <w:pPr>
        <w:ind w:left="709" w:hanging="709"/>
        <w:jc w:val="both"/>
        <w:rPr>
          <w:rFonts w:asciiTheme="minorHAnsi" w:hAnsiTheme="minorHAnsi"/>
          <w:lang w:val="bg-BG"/>
        </w:rPr>
      </w:pPr>
      <w:r w:rsidRPr="00DC2206">
        <w:rPr>
          <w:rFonts w:asciiTheme="minorHAnsi" w:hAnsiTheme="minorHAnsi"/>
          <w:lang w:val="bg-BG"/>
        </w:rPr>
        <w:t>31.</w:t>
      </w:r>
      <w:r w:rsidRPr="00DC2206">
        <w:rPr>
          <w:rFonts w:asciiTheme="minorHAnsi" w:hAnsiTheme="minorHAnsi"/>
          <w:lang w:val="bg-BG"/>
        </w:rPr>
        <w:tab/>
      </w:r>
      <w:r w:rsidR="00C335CD" w:rsidRPr="00DC2206">
        <w:rPr>
          <w:rFonts w:asciiTheme="minorHAnsi" w:hAnsiTheme="minorHAnsi"/>
          <w:lang w:val="bg-BG"/>
        </w:rPr>
        <w:t>Освен това</w:t>
      </w:r>
      <w:r w:rsidRPr="00DC2206">
        <w:rPr>
          <w:rFonts w:asciiTheme="minorHAnsi" w:hAnsiTheme="minorHAnsi"/>
          <w:lang w:val="bg-BG"/>
        </w:rPr>
        <w:t xml:space="preserve">, </w:t>
      </w:r>
      <w:r w:rsidR="00C335CD" w:rsidRPr="00DC2206">
        <w:rPr>
          <w:rFonts w:asciiTheme="minorHAnsi" w:hAnsiTheme="minorHAnsi"/>
          <w:lang w:val="bg-BG"/>
        </w:rPr>
        <w:t>за да бъде едно разследване ефективно</w:t>
      </w:r>
      <w:r w:rsidRPr="00DC2206">
        <w:rPr>
          <w:rFonts w:asciiTheme="minorHAnsi" w:hAnsiTheme="minorHAnsi"/>
          <w:lang w:val="bg-BG"/>
        </w:rPr>
        <w:t xml:space="preserve">, </w:t>
      </w:r>
      <w:r w:rsidR="00C335CD" w:rsidRPr="00DC2206">
        <w:rPr>
          <w:rFonts w:asciiTheme="minorHAnsi" w:hAnsiTheme="minorHAnsi"/>
          <w:lang w:val="bg-BG"/>
        </w:rPr>
        <w:t xml:space="preserve">лицата, отговарящи за извършването на разследването, трябва да бъдат независими и безпристрастни </w:t>
      </w:r>
      <w:r w:rsidR="0026783E">
        <w:rPr>
          <w:rFonts w:asciiTheme="minorHAnsi" w:hAnsiTheme="minorHAnsi"/>
          <w:lang w:val="bg-BG"/>
        </w:rPr>
        <w:t>–</w:t>
      </w:r>
      <w:r w:rsidRPr="00DC2206">
        <w:rPr>
          <w:rFonts w:asciiTheme="minorHAnsi" w:hAnsiTheme="minorHAnsi"/>
          <w:lang w:val="bg-BG"/>
        </w:rPr>
        <w:t xml:space="preserve"> </w:t>
      </w:r>
      <w:r w:rsidR="00C335CD" w:rsidRPr="00DC2206">
        <w:rPr>
          <w:rFonts w:asciiTheme="minorHAnsi" w:hAnsiTheme="minorHAnsi"/>
          <w:lang w:val="bg-BG"/>
        </w:rPr>
        <w:t>и</w:t>
      </w:r>
      <w:r w:rsidR="0026783E">
        <w:rPr>
          <w:rFonts w:asciiTheme="minorHAnsi" w:hAnsiTheme="minorHAnsi"/>
          <w:lang w:val="bg-BG"/>
        </w:rPr>
        <w:t xml:space="preserve"> </w:t>
      </w:r>
      <w:r w:rsidR="00C335CD" w:rsidRPr="00DC2206">
        <w:rPr>
          <w:rFonts w:asciiTheme="minorHAnsi" w:hAnsiTheme="minorHAnsi"/>
          <w:lang w:val="bg-BG"/>
        </w:rPr>
        <w:t>юридически и на практика</w:t>
      </w:r>
      <w:r w:rsidRPr="00DC2206">
        <w:rPr>
          <w:rFonts w:asciiTheme="minorHAnsi" w:hAnsiTheme="minorHAnsi"/>
          <w:lang w:val="bg-BG"/>
        </w:rPr>
        <w:t xml:space="preserve">. </w:t>
      </w:r>
      <w:r w:rsidR="00C335CD" w:rsidRPr="00DC2206">
        <w:rPr>
          <w:rFonts w:asciiTheme="minorHAnsi" w:hAnsiTheme="minorHAnsi"/>
          <w:lang w:val="bg-BG"/>
        </w:rPr>
        <w:t xml:space="preserve">Това означава не само липса на йерархична или институционална връзка със замесените в събитията, но и практическа </w:t>
      </w:r>
      <w:r w:rsidR="00A0730F" w:rsidRPr="00DC2206">
        <w:rPr>
          <w:rFonts w:asciiTheme="minorHAnsi" w:hAnsiTheme="minorHAnsi"/>
          <w:lang w:val="bg-BG"/>
        </w:rPr>
        <w:t>независимост</w:t>
      </w:r>
      <w:r w:rsidR="00B71421" w:rsidRPr="00DC2206">
        <w:rPr>
          <w:rStyle w:val="FootnoteReference"/>
          <w:rFonts w:asciiTheme="minorHAnsi" w:hAnsiTheme="minorHAnsi"/>
          <w:lang w:val="bg-BG"/>
        </w:rPr>
        <w:footnoteReference w:id="43"/>
      </w:r>
      <w:r w:rsidRPr="00DC2206">
        <w:rPr>
          <w:rFonts w:asciiTheme="minorHAnsi" w:hAnsiTheme="minorHAnsi"/>
          <w:lang w:val="bg-BG"/>
        </w:rPr>
        <w:t>.</w:t>
      </w:r>
    </w:p>
    <w:p w14:paraId="62E093A2" w14:textId="77777777" w:rsidR="00B71421" w:rsidRPr="00DC2206" w:rsidRDefault="00B71421" w:rsidP="00732D5B">
      <w:pPr>
        <w:tabs>
          <w:tab w:val="left" w:pos="549"/>
        </w:tabs>
        <w:ind w:left="709" w:hanging="709"/>
        <w:jc w:val="both"/>
        <w:rPr>
          <w:rFonts w:asciiTheme="minorHAnsi" w:hAnsiTheme="minorHAnsi"/>
          <w:lang w:val="bg-BG"/>
        </w:rPr>
      </w:pPr>
    </w:p>
    <w:p w14:paraId="5C8CA24A" w14:textId="77777777" w:rsidR="00C61601" w:rsidRPr="00DC2206" w:rsidRDefault="00521963" w:rsidP="00B71421">
      <w:pPr>
        <w:ind w:left="709" w:hanging="709"/>
        <w:jc w:val="both"/>
        <w:rPr>
          <w:rFonts w:asciiTheme="minorHAnsi" w:hAnsiTheme="minorHAnsi"/>
          <w:lang w:val="bg-BG"/>
        </w:rPr>
      </w:pPr>
      <w:r w:rsidRPr="00DC2206">
        <w:rPr>
          <w:rFonts w:asciiTheme="minorHAnsi" w:hAnsiTheme="minorHAnsi"/>
          <w:lang w:val="bg-BG"/>
        </w:rPr>
        <w:t>32.</w:t>
      </w:r>
      <w:r w:rsidRPr="00DC2206">
        <w:rPr>
          <w:rFonts w:asciiTheme="minorHAnsi" w:hAnsiTheme="minorHAnsi"/>
          <w:lang w:val="bg-BG"/>
        </w:rPr>
        <w:tab/>
      </w:r>
      <w:r w:rsidR="00C335CD" w:rsidRPr="00DC2206">
        <w:rPr>
          <w:rFonts w:asciiTheme="minorHAnsi" w:hAnsiTheme="minorHAnsi"/>
          <w:lang w:val="bg-BG"/>
        </w:rPr>
        <w:t>Трябва да има достатъчен елемент на обществено наблюдение върху разследването или резултатите от него, за да се осигури отчетността на практика както и на теория</w:t>
      </w:r>
      <w:r w:rsidRPr="00DC2206">
        <w:rPr>
          <w:rFonts w:asciiTheme="minorHAnsi" w:hAnsiTheme="minorHAnsi"/>
          <w:lang w:val="bg-BG"/>
        </w:rPr>
        <w:t xml:space="preserve">, </w:t>
      </w:r>
      <w:r w:rsidR="00C335CD" w:rsidRPr="00DC2206">
        <w:rPr>
          <w:rFonts w:asciiTheme="minorHAnsi" w:hAnsiTheme="minorHAnsi"/>
          <w:lang w:val="bg-BG"/>
        </w:rPr>
        <w:t>за да се поддържа общественото доверие в спазването от органите на властта на върховенството на закона и за да се предотврати каквато и да е поява на тайно съглашение за или търпимост към незаконни действия</w:t>
      </w:r>
      <w:r w:rsidR="00B71421" w:rsidRPr="00DC2206">
        <w:rPr>
          <w:rStyle w:val="FootnoteReference"/>
          <w:rFonts w:asciiTheme="minorHAnsi" w:hAnsiTheme="minorHAnsi"/>
          <w:lang w:val="bg-BG"/>
        </w:rPr>
        <w:footnoteReference w:id="44"/>
      </w:r>
      <w:r w:rsidRPr="00DC2206">
        <w:rPr>
          <w:rFonts w:asciiTheme="minorHAnsi" w:hAnsiTheme="minorHAnsi"/>
          <w:lang w:val="bg-BG"/>
        </w:rPr>
        <w:t>.</w:t>
      </w:r>
    </w:p>
    <w:p w14:paraId="1A3AD511" w14:textId="77777777" w:rsidR="00B71421" w:rsidRPr="00DC2206" w:rsidRDefault="00B71421" w:rsidP="00B71421">
      <w:pPr>
        <w:ind w:left="709" w:hanging="709"/>
        <w:jc w:val="both"/>
        <w:rPr>
          <w:rFonts w:asciiTheme="minorHAnsi" w:hAnsiTheme="minorHAnsi"/>
          <w:lang w:val="bg-BG"/>
        </w:rPr>
      </w:pPr>
    </w:p>
    <w:p w14:paraId="5E0C9B08" w14:textId="77777777" w:rsidR="00C61601" w:rsidRPr="00DC2206" w:rsidRDefault="00521963" w:rsidP="00B71421">
      <w:pPr>
        <w:ind w:left="709" w:hanging="709"/>
        <w:jc w:val="both"/>
        <w:rPr>
          <w:rFonts w:asciiTheme="minorHAnsi" w:hAnsiTheme="minorHAnsi"/>
          <w:lang w:val="bg-BG"/>
        </w:rPr>
      </w:pPr>
      <w:r w:rsidRPr="00DC2206">
        <w:rPr>
          <w:rFonts w:asciiTheme="minorHAnsi" w:hAnsiTheme="minorHAnsi"/>
          <w:lang w:val="bg-BG"/>
        </w:rPr>
        <w:t>33.</w:t>
      </w:r>
      <w:r w:rsidRPr="00DC2206">
        <w:rPr>
          <w:rFonts w:asciiTheme="minorHAnsi" w:hAnsiTheme="minorHAnsi"/>
          <w:lang w:val="bg-BG"/>
        </w:rPr>
        <w:tab/>
      </w:r>
      <w:r w:rsidR="003764B8" w:rsidRPr="00DC2206">
        <w:rPr>
          <w:rFonts w:asciiTheme="minorHAnsi" w:hAnsiTheme="minorHAnsi"/>
          <w:lang w:val="bg-BG"/>
        </w:rPr>
        <w:t xml:space="preserve">Общите процесуални гаранции, приложими в държавите членки, включват разпоредби, гарантиращи институционалната или функционалната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3764B8" w:rsidRPr="00DC2206">
        <w:rPr>
          <w:rFonts w:asciiTheme="minorHAnsi" w:hAnsiTheme="minorHAnsi"/>
          <w:lang w:val="bg-BG"/>
        </w:rPr>
        <w:t xml:space="preserve">на </w:t>
      </w:r>
      <w:r w:rsidR="00A0730F" w:rsidRPr="00DC2206">
        <w:rPr>
          <w:rFonts w:asciiTheme="minorHAnsi" w:hAnsiTheme="minorHAnsi"/>
          <w:lang w:val="bg-BG"/>
        </w:rPr>
        <w:t>прокурори</w:t>
      </w:r>
      <w:r w:rsidR="003764B8" w:rsidRPr="00DC2206">
        <w:rPr>
          <w:rFonts w:asciiTheme="minorHAnsi" w:hAnsiTheme="minorHAnsi"/>
          <w:lang w:val="bg-BG"/>
        </w:rPr>
        <w:t>те</w:t>
      </w:r>
      <w:r w:rsidRPr="00DC2206">
        <w:rPr>
          <w:rFonts w:asciiTheme="minorHAnsi" w:hAnsiTheme="minorHAnsi"/>
          <w:lang w:val="bg-BG"/>
        </w:rPr>
        <w:t xml:space="preserve">, </w:t>
      </w:r>
      <w:r w:rsidR="003764B8" w:rsidRPr="00DC2206">
        <w:rPr>
          <w:rFonts w:asciiTheme="minorHAnsi" w:hAnsiTheme="minorHAnsi"/>
          <w:lang w:val="bg-BG"/>
        </w:rPr>
        <w:t xml:space="preserve">независимо дали са членове на </w:t>
      </w:r>
      <w:r w:rsidR="00A0730F" w:rsidRPr="00DC2206">
        <w:rPr>
          <w:rFonts w:asciiTheme="minorHAnsi" w:hAnsiTheme="minorHAnsi"/>
          <w:lang w:val="bg-BG"/>
        </w:rPr>
        <w:t>съдебната власт</w:t>
      </w:r>
      <w:r w:rsidRPr="00DC2206">
        <w:rPr>
          <w:rFonts w:asciiTheme="minorHAnsi" w:hAnsiTheme="minorHAnsi"/>
          <w:lang w:val="bg-BG"/>
        </w:rPr>
        <w:t xml:space="preserve"> </w:t>
      </w:r>
      <w:r w:rsidR="003764B8" w:rsidRPr="00DC2206">
        <w:rPr>
          <w:rFonts w:asciiTheme="minorHAnsi" w:hAnsiTheme="minorHAnsi"/>
          <w:lang w:val="bg-BG"/>
        </w:rPr>
        <w:t>или държавни служители</w:t>
      </w:r>
      <w:r w:rsidR="00B71421" w:rsidRPr="00DC2206">
        <w:rPr>
          <w:rStyle w:val="FootnoteReference"/>
          <w:rFonts w:asciiTheme="minorHAnsi" w:hAnsiTheme="minorHAnsi"/>
          <w:lang w:val="bg-BG"/>
        </w:rPr>
        <w:footnoteReference w:id="45"/>
      </w:r>
      <w:r w:rsidRPr="00DC2206">
        <w:rPr>
          <w:rFonts w:asciiTheme="minorHAnsi" w:hAnsiTheme="minorHAnsi"/>
          <w:lang w:val="bg-BG"/>
        </w:rPr>
        <w:t xml:space="preserve">. </w:t>
      </w:r>
      <w:r w:rsidR="003764B8" w:rsidRPr="00DC2206">
        <w:rPr>
          <w:rFonts w:asciiTheme="minorHAnsi" w:hAnsiTheme="minorHAnsi"/>
          <w:lang w:val="bg-BG"/>
        </w:rPr>
        <w:t>Освен това</w:t>
      </w:r>
      <w:r w:rsidRPr="00DC2206">
        <w:rPr>
          <w:rFonts w:asciiTheme="minorHAnsi" w:hAnsiTheme="minorHAnsi"/>
          <w:lang w:val="bg-BG"/>
        </w:rPr>
        <w:t xml:space="preserve">, </w:t>
      </w:r>
      <w:r w:rsidR="003764B8" w:rsidRPr="00DC2206">
        <w:rPr>
          <w:rFonts w:asciiTheme="minorHAnsi" w:hAnsiTheme="minorHAnsi"/>
          <w:lang w:val="bg-BG"/>
        </w:rPr>
        <w:t>в някои държавни членки</w:t>
      </w:r>
      <w:r w:rsidRPr="00DC2206">
        <w:rPr>
          <w:rFonts w:asciiTheme="minorHAnsi" w:hAnsiTheme="minorHAnsi"/>
          <w:lang w:val="bg-BG"/>
        </w:rPr>
        <w:t xml:space="preserve">, </w:t>
      </w:r>
      <w:r w:rsidR="00A0730F" w:rsidRPr="00DC2206">
        <w:rPr>
          <w:rFonts w:asciiTheme="minorHAnsi" w:hAnsiTheme="minorHAnsi"/>
          <w:lang w:val="bg-BG"/>
        </w:rPr>
        <w:t>прокурори</w:t>
      </w:r>
      <w:r w:rsidR="003764B8" w:rsidRPr="00DC2206">
        <w:rPr>
          <w:rFonts w:asciiTheme="minorHAnsi" w:hAnsiTheme="minorHAnsi"/>
          <w:lang w:val="bg-BG"/>
        </w:rPr>
        <w:t>те са защитени от нерегламентиран натиск чрез допълнителни гаранции, като задължението да бъдат наказателно преследвани всички престъпления, с изключение на малозначителните</w:t>
      </w:r>
      <w:r w:rsidR="00B71421" w:rsidRPr="00DC2206">
        <w:rPr>
          <w:rStyle w:val="FootnoteReference"/>
          <w:rFonts w:asciiTheme="minorHAnsi" w:hAnsiTheme="minorHAnsi"/>
          <w:lang w:val="bg-BG"/>
        </w:rPr>
        <w:footnoteReference w:id="46"/>
      </w:r>
      <w:r w:rsidRPr="00DC2206">
        <w:rPr>
          <w:rFonts w:asciiTheme="minorHAnsi" w:hAnsiTheme="minorHAnsi"/>
          <w:lang w:val="bg-BG"/>
        </w:rPr>
        <w:t xml:space="preserve"> (</w:t>
      </w:r>
      <w:r w:rsidR="003764B8" w:rsidRPr="00DC2206">
        <w:rPr>
          <w:rFonts w:asciiTheme="minorHAnsi" w:hAnsiTheme="minorHAnsi"/>
          <w:lang w:val="bg-BG"/>
        </w:rPr>
        <w:t>въз основа на необходимостта да се спазва принципът на законност</w:t>
      </w:r>
      <w:r w:rsidRPr="00DC2206">
        <w:rPr>
          <w:rFonts w:asciiTheme="minorHAnsi" w:hAnsiTheme="minorHAnsi"/>
          <w:lang w:val="bg-BG"/>
        </w:rPr>
        <w:t xml:space="preserve">). </w:t>
      </w:r>
      <w:r w:rsidR="003764B8" w:rsidRPr="00DC2206">
        <w:rPr>
          <w:rFonts w:asciiTheme="minorHAnsi" w:hAnsiTheme="minorHAnsi"/>
          <w:lang w:val="bg-BG"/>
        </w:rPr>
        <w:t>В някои други държави членки</w:t>
      </w:r>
      <w:r w:rsidRPr="00DC2206">
        <w:rPr>
          <w:rFonts w:asciiTheme="minorHAnsi" w:hAnsiTheme="minorHAnsi"/>
          <w:lang w:val="bg-BG"/>
        </w:rPr>
        <w:t xml:space="preserve">, </w:t>
      </w:r>
      <w:r w:rsidR="003764B8" w:rsidRPr="00DC2206">
        <w:rPr>
          <w:rFonts w:asciiTheme="minorHAnsi" w:hAnsiTheme="minorHAnsi"/>
          <w:lang w:val="bg-BG"/>
        </w:rPr>
        <w:t>които признават принципа на преценка по кои случаи да се осъществява наказателно преследване</w:t>
      </w:r>
      <w:r w:rsidRPr="00DC2206">
        <w:rPr>
          <w:rFonts w:asciiTheme="minorHAnsi" w:hAnsiTheme="minorHAnsi"/>
          <w:lang w:val="bg-BG"/>
        </w:rPr>
        <w:t xml:space="preserve">, </w:t>
      </w:r>
      <w:r w:rsidR="003764B8" w:rsidRPr="00DC2206">
        <w:rPr>
          <w:rFonts w:asciiTheme="minorHAnsi" w:hAnsiTheme="minorHAnsi"/>
          <w:lang w:val="bg-BG"/>
        </w:rPr>
        <w:t>се отдава значение на прозрачността на официалните насоки</w:t>
      </w:r>
      <w:r w:rsidR="00B71421" w:rsidRPr="00DC2206">
        <w:rPr>
          <w:rStyle w:val="FootnoteReference"/>
          <w:rFonts w:asciiTheme="minorHAnsi" w:hAnsiTheme="minorHAnsi"/>
          <w:lang w:val="bg-BG"/>
        </w:rPr>
        <w:footnoteReference w:id="47"/>
      </w:r>
      <w:r w:rsidRPr="00DC2206">
        <w:rPr>
          <w:rFonts w:asciiTheme="minorHAnsi" w:hAnsiTheme="minorHAnsi"/>
          <w:lang w:val="bg-BG"/>
        </w:rPr>
        <w:t>.</w:t>
      </w:r>
    </w:p>
    <w:p w14:paraId="24A4620B" w14:textId="77777777" w:rsidR="00B71421" w:rsidRPr="00DC2206" w:rsidRDefault="00B71421" w:rsidP="00732D5B">
      <w:pPr>
        <w:tabs>
          <w:tab w:val="left" w:pos="549"/>
        </w:tabs>
        <w:ind w:left="709" w:hanging="709"/>
        <w:jc w:val="both"/>
        <w:rPr>
          <w:rFonts w:asciiTheme="minorHAnsi" w:hAnsiTheme="minorHAnsi"/>
          <w:lang w:val="bg-BG"/>
        </w:rPr>
      </w:pPr>
    </w:p>
    <w:p w14:paraId="5151F532" w14:textId="77777777" w:rsidR="00C61601" w:rsidRPr="00DC2206" w:rsidRDefault="00521963" w:rsidP="00B71421">
      <w:pPr>
        <w:ind w:left="709" w:hanging="709"/>
        <w:jc w:val="both"/>
        <w:rPr>
          <w:rFonts w:asciiTheme="minorHAnsi" w:hAnsiTheme="minorHAnsi"/>
          <w:lang w:val="bg-BG"/>
        </w:rPr>
      </w:pPr>
      <w:r w:rsidRPr="00DC2206">
        <w:rPr>
          <w:rFonts w:asciiTheme="minorHAnsi" w:hAnsiTheme="minorHAnsi"/>
          <w:lang w:val="bg-BG"/>
        </w:rPr>
        <w:lastRenderedPageBreak/>
        <w:t>34.</w:t>
      </w:r>
      <w:r w:rsidRPr="00DC2206">
        <w:rPr>
          <w:rFonts w:asciiTheme="minorHAnsi" w:hAnsiTheme="minorHAnsi"/>
          <w:lang w:val="bg-BG"/>
        </w:rPr>
        <w:tab/>
      </w:r>
      <w:r w:rsidR="003764B8" w:rsidRPr="00DC2206">
        <w:rPr>
          <w:rFonts w:asciiTheme="minorHAnsi" w:hAnsiTheme="minorHAnsi"/>
          <w:lang w:val="bg-BG"/>
        </w:rPr>
        <w:t>Системите на прокуратурата в някои държави членки са структурирани йерархично с право на по-</w:t>
      </w:r>
      <w:r w:rsidR="00AD0F37">
        <w:rPr>
          <w:rFonts w:asciiTheme="minorHAnsi" w:hAnsiTheme="minorHAnsi"/>
          <w:lang w:val="bg-BG"/>
        </w:rPr>
        <w:t>горестоящ</w:t>
      </w:r>
      <w:r w:rsidR="003764B8" w:rsidRPr="00DC2206">
        <w:rPr>
          <w:rFonts w:asciiTheme="minorHAnsi" w:hAnsiTheme="minorHAnsi"/>
          <w:lang w:val="bg-BG"/>
        </w:rPr>
        <w:t xml:space="preserve">ите </w:t>
      </w:r>
      <w:r w:rsidR="00A0730F" w:rsidRPr="00DC2206">
        <w:rPr>
          <w:rFonts w:asciiTheme="minorHAnsi" w:hAnsiTheme="minorHAnsi"/>
          <w:lang w:val="bg-BG"/>
        </w:rPr>
        <w:t>прокурори</w:t>
      </w:r>
      <w:r w:rsidRPr="00DC2206">
        <w:rPr>
          <w:rFonts w:asciiTheme="minorHAnsi" w:hAnsiTheme="minorHAnsi"/>
          <w:lang w:val="bg-BG"/>
        </w:rPr>
        <w:t xml:space="preserve"> </w:t>
      </w:r>
      <w:r w:rsidR="003764B8" w:rsidRPr="00DC2206">
        <w:rPr>
          <w:rFonts w:asciiTheme="minorHAnsi" w:hAnsiTheme="minorHAnsi"/>
          <w:lang w:val="bg-BG"/>
        </w:rPr>
        <w:t xml:space="preserve">да дават разпореждания и </w:t>
      </w:r>
      <w:r w:rsidR="005326DE">
        <w:rPr>
          <w:rFonts w:asciiTheme="minorHAnsi" w:hAnsiTheme="minorHAnsi"/>
          <w:lang w:val="bg-BG"/>
        </w:rPr>
        <w:t>указания</w:t>
      </w:r>
      <w:r w:rsidR="003764B8" w:rsidRPr="00DC2206">
        <w:rPr>
          <w:rFonts w:asciiTheme="minorHAnsi" w:hAnsiTheme="minorHAnsi"/>
          <w:lang w:val="bg-BG"/>
        </w:rPr>
        <w:t xml:space="preserve"> на по-низшестоящите </w:t>
      </w:r>
      <w:r w:rsidR="00A0730F" w:rsidRPr="00DC2206">
        <w:rPr>
          <w:rFonts w:asciiTheme="minorHAnsi" w:hAnsiTheme="minorHAnsi"/>
          <w:lang w:val="bg-BG"/>
        </w:rPr>
        <w:t>прокурори</w:t>
      </w:r>
      <w:r w:rsidRPr="00DC2206">
        <w:rPr>
          <w:rFonts w:asciiTheme="minorHAnsi" w:hAnsiTheme="minorHAnsi"/>
          <w:lang w:val="bg-BG"/>
        </w:rPr>
        <w:t xml:space="preserve">. </w:t>
      </w:r>
      <w:r w:rsidR="003764B8" w:rsidRPr="00DC2206">
        <w:rPr>
          <w:rFonts w:asciiTheme="minorHAnsi" w:hAnsiTheme="minorHAnsi"/>
          <w:lang w:val="bg-BG"/>
        </w:rPr>
        <w:t>Въпреки тази структура</w:t>
      </w:r>
      <w:r w:rsidRPr="00DC2206">
        <w:rPr>
          <w:rFonts w:asciiTheme="minorHAnsi" w:hAnsiTheme="minorHAnsi"/>
          <w:lang w:val="bg-BG"/>
        </w:rPr>
        <w:t xml:space="preserve">, </w:t>
      </w:r>
      <w:r w:rsidR="003764B8" w:rsidRPr="00DC2206">
        <w:rPr>
          <w:rFonts w:asciiTheme="minorHAnsi" w:hAnsiTheme="minorHAnsi"/>
          <w:lang w:val="bg-BG"/>
        </w:rPr>
        <w:t xml:space="preserve">в правните системи на държавите членки са въведени редица гаранции, за да се осигури ефективността и </w:t>
      </w:r>
      <w:r w:rsidR="00A0730F" w:rsidRPr="00DC2206">
        <w:rPr>
          <w:rFonts w:asciiTheme="minorHAnsi" w:hAnsiTheme="minorHAnsi"/>
          <w:lang w:val="bg-BG"/>
        </w:rPr>
        <w:t>независимост</w:t>
      </w:r>
      <w:r w:rsidR="003764B8" w:rsidRPr="00DC2206">
        <w:rPr>
          <w:rFonts w:asciiTheme="minorHAnsi" w:hAnsiTheme="minorHAnsi"/>
          <w:lang w:val="bg-BG"/>
        </w:rPr>
        <w:t>та</w:t>
      </w:r>
      <w:r w:rsidRPr="00DC2206">
        <w:rPr>
          <w:rFonts w:asciiTheme="minorHAnsi" w:hAnsiTheme="minorHAnsi"/>
          <w:lang w:val="bg-BG"/>
        </w:rPr>
        <w:t xml:space="preserve"> </w:t>
      </w:r>
      <w:r w:rsidR="003764B8" w:rsidRPr="00DC2206">
        <w:rPr>
          <w:rFonts w:asciiTheme="minorHAnsi" w:hAnsiTheme="minorHAnsi"/>
          <w:lang w:val="bg-BG"/>
        </w:rPr>
        <w:t xml:space="preserve">на органите, отговарящи за наказателните разследвания, спрямо </w:t>
      </w:r>
      <w:r w:rsidR="00AD0F37">
        <w:rPr>
          <w:rFonts w:asciiTheme="minorHAnsi" w:hAnsiTheme="minorHAnsi"/>
          <w:lang w:val="bg-BG"/>
        </w:rPr>
        <w:t>горестоящ</w:t>
      </w:r>
      <w:r w:rsidR="003764B8" w:rsidRPr="00DC2206">
        <w:rPr>
          <w:rFonts w:asciiTheme="minorHAnsi" w:hAnsiTheme="minorHAnsi"/>
          <w:lang w:val="bg-BG"/>
        </w:rPr>
        <w:t xml:space="preserve">ите </w:t>
      </w:r>
      <w:r w:rsidR="00A0730F" w:rsidRPr="00DC2206">
        <w:rPr>
          <w:rFonts w:asciiTheme="minorHAnsi" w:hAnsiTheme="minorHAnsi"/>
          <w:lang w:val="bg-BG"/>
        </w:rPr>
        <w:t>прокурори</w:t>
      </w:r>
      <w:r w:rsidRPr="00DC2206">
        <w:rPr>
          <w:rFonts w:asciiTheme="minorHAnsi" w:hAnsiTheme="minorHAnsi"/>
          <w:lang w:val="bg-BG"/>
        </w:rPr>
        <w:t xml:space="preserve">. </w:t>
      </w:r>
      <w:r w:rsidR="003764B8" w:rsidRPr="00DC2206">
        <w:rPr>
          <w:rFonts w:asciiTheme="minorHAnsi" w:hAnsiTheme="minorHAnsi"/>
          <w:lang w:val="bg-BG"/>
        </w:rPr>
        <w:t>Сред тези гаранции са</w:t>
      </w:r>
      <w:r w:rsidRPr="00DC2206">
        <w:rPr>
          <w:rFonts w:asciiTheme="minorHAnsi" w:hAnsiTheme="minorHAnsi"/>
          <w:lang w:val="bg-BG"/>
        </w:rPr>
        <w:t>:</w:t>
      </w:r>
    </w:p>
    <w:p w14:paraId="503857A7" w14:textId="77777777" w:rsidR="008561A8" w:rsidRPr="00DC2206" w:rsidRDefault="008561A8" w:rsidP="008561A8">
      <w:pPr>
        <w:pStyle w:val="1"/>
      </w:pPr>
    </w:p>
    <w:p w14:paraId="1C878F5E" w14:textId="77777777" w:rsidR="00C61601" w:rsidRPr="00DC2206" w:rsidRDefault="00521963" w:rsidP="008561A8">
      <w:pPr>
        <w:pStyle w:val="1"/>
      </w:pPr>
      <w:r w:rsidRPr="00DC2206">
        <w:t>-</w:t>
      </w:r>
      <w:r w:rsidRPr="00DC2206">
        <w:tab/>
      </w:r>
      <w:r w:rsidR="000F1085" w:rsidRPr="00DC2206">
        <w:t>прехвърляне на делото на друг субект в или извън системата на прокуратурата</w:t>
      </w:r>
      <w:r w:rsidRPr="00DC2206">
        <w:t>;</w:t>
      </w:r>
    </w:p>
    <w:p w14:paraId="1793B9A1" w14:textId="77777777" w:rsidR="00C61601" w:rsidRPr="00DC2206" w:rsidRDefault="00521963" w:rsidP="008561A8">
      <w:pPr>
        <w:pStyle w:val="1"/>
      </w:pPr>
      <w:r w:rsidRPr="00DC2206">
        <w:t>-</w:t>
      </w:r>
      <w:r w:rsidRPr="00DC2206">
        <w:tab/>
      </w:r>
      <w:r w:rsidR="000F1085" w:rsidRPr="00DC2206">
        <w:t xml:space="preserve">специални процедури за разследване в случаи, включващи подозрение срещу </w:t>
      </w:r>
      <w:r w:rsidR="00AD0F37">
        <w:t>горестоящ</w:t>
      </w:r>
      <w:r w:rsidR="000F1085" w:rsidRPr="00DC2206">
        <w:t xml:space="preserve">и </w:t>
      </w:r>
      <w:r w:rsidR="00A0730F" w:rsidRPr="00DC2206">
        <w:t>прокурори</w:t>
      </w:r>
      <w:r w:rsidRPr="00DC2206">
        <w:t>;</w:t>
      </w:r>
    </w:p>
    <w:p w14:paraId="19451CF9" w14:textId="77777777" w:rsidR="00C61601" w:rsidRPr="00DC2206" w:rsidRDefault="00521963" w:rsidP="008561A8">
      <w:pPr>
        <w:pStyle w:val="1"/>
      </w:pPr>
      <w:r w:rsidRPr="00DC2206">
        <w:t>-</w:t>
      </w:r>
      <w:r w:rsidRPr="00DC2206">
        <w:tab/>
      </w:r>
      <w:r w:rsidR="000F1085" w:rsidRPr="00DC2206">
        <w:t xml:space="preserve">временно отстраняване на заподозрения прокурор </w:t>
      </w:r>
      <w:r w:rsidRPr="00DC2206">
        <w:t>(</w:t>
      </w:r>
      <w:r w:rsidR="000F1085" w:rsidRPr="00DC2206">
        <w:t>в случая на най-</w:t>
      </w:r>
      <w:r w:rsidR="00AD0F37">
        <w:t>горестоящ</w:t>
      </w:r>
      <w:r w:rsidR="000F1085" w:rsidRPr="00DC2206">
        <w:t xml:space="preserve">ия прокурор, това решение би било взето от политическите органи, отговорни за неговото </w:t>
      </w:r>
      <w:r w:rsidR="00AD1FEF" w:rsidRPr="00DC2206">
        <w:t>назначаване</w:t>
      </w:r>
      <w:r w:rsidRPr="00DC2206">
        <w:t xml:space="preserve">); </w:t>
      </w:r>
      <w:r w:rsidR="000F1085" w:rsidRPr="00DC2206">
        <w:t>и</w:t>
      </w:r>
    </w:p>
    <w:p w14:paraId="0B753AE0" w14:textId="77777777" w:rsidR="00C61601" w:rsidRPr="00DC2206" w:rsidRDefault="00521963" w:rsidP="008561A8">
      <w:pPr>
        <w:pStyle w:val="1"/>
      </w:pPr>
      <w:r w:rsidRPr="00DC2206">
        <w:rPr>
          <w:lang w:eastAsia="bg-BG" w:bidi="bg-BG"/>
        </w:rPr>
        <w:t>-</w:t>
      </w:r>
      <w:r w:rsidR="003764B8" w:rsidRPr="00DC2206">
        <w:rPr>
          <w:lang w:eastAsia="bg-BG" w:bidi="bg-BG"/>
        </w:rPr>
        <w:tab/>
      </w:r>
      <w:r w:rsidR="000F1085" w:rsidRPr="00DC2206">
        <w:t xml:space="preserve">общи гаранции, като гаранциите, осигуряващи функционална </w:t>
      </w:r>
      <w:r w:rsidR="00A0730F" w:rsidRPr="00DC2206">
        <w:t>независимост</w:t>
      </w:r>
      <w:r w:rsidRPr="00DC2206">
        <w:t xml:space="preserve"> </w:t>
      </w:r>
      <w:r w:rsidR="000F1085" w:rsidRPr="00DC2206">
        <w:t xml:space="preserve">на </w:t>
      </w:r>
      <w:r w:rsidR="00A0730F" w:rsidRPr="00DC2206">
        <w:t>прокурори</w:t>
      </w:r>
      <w:r w:rsidR="000F1085" w:rsidRPr="00DC2206">
        <w:t>те от тяхната йерархия и съдебен контрол на актовете на прокуратурата</w:t>
      </w:r>
      <w:r w:rsidR="008561A8" w:rsidRPr="00DC2206">
        <w:rPr>
          <w:rStyle w:val="FootnoteReference"/>
        </w:rPr>
        <w:footnoteReference w:id="48"/>
      </w:r>
      <w:r w:rsidRPr="00DC2206">
        <w:t>.</w:t>
      </w:r>
    </w:p>
    <w:p w14:paraId="2B60629E" w14:textId="77777777" w:rsidR="00B71421" w:rsidRPr="00DC2206" w:rsidRDefault="00B71421" w:rsidP="00732D5B">
      <w:pPr>
        <w:ind w:left="709" w:hanging="709"/>
        <w:jc w:val="both"/>
        <w:rPr>
          <w:rFonts w:asciiTheme="minorHAnsi" w:hAnsiTheme="minorHAnsi"/>
          <w:lang w:val="bg-BG"/>
        </w:rPr>
      </w:pPr>
    </w:p>
    <w:p w14:paraId="2BB40691"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35.</w:t>
      </w:r>
      <w:r w:rsidR="00B71421" w:rsidRPr="00DC2206">
        <w:rPr>
          <w:rFonts w:asciiTheme="minorHAnsi" w:hAnsiTheme="minorHAnsi"/>
          <w:lang w:val="bg-BG"/>
        </w:rPr>
        <w:tab/>
      </w:r>
      <w:r w:rsidR="000F1085" w:rsidRPr="00DC2206">
        <w:rPr>
          <w:rFonts w:asciiTheme="minorHAnsi" w:hAnsiTheme="minorHAnsi"/>
          <w:lang w:val="bg-BG"/>
        </w:rPr>
        <w:t>През</w:t>
      </w:r>
      <w:r w:rsidRPr="00DC2206">
        <w:rPr>
          <w:rFonts w:asciiTheme="minorHAnsi" w:hAnsiTheme="minorHAnsi"/>
          <w:lang w:val="bg-BG"/>
        </w:rPr>
        <w:t xml:space="preserve"> 2020</w:t>
      </w:r>
      <w:r w:rsidR="000F1085" w:rsidRPr="00DC2206">
        <w:rPr>
          <w:rFonts w:asciiTheme="minorHAnsi" w:hAnsiTheme="minorHAnsi"/>
          <w:lang w:val="bg-BG"/>
        </w:rPr>
        <w:t> г.</w:t>
      </w:r>
      <w:r w:rsidRPr="00DC2206">
        <w:rPr>
          <w:rFonts w:asciiTheme="minorHAnsi" w:hAnsiTheme="minorHAnsi"/>
          <w:lang w:val="bg-BG"/>
        </w:rPr>
        <w:t xml:space="preserve">, </w:t>
      </w:r>
      <w:r w:rsidR="001C1676" w:rsidRPr="00DC2206">
        <w:rPr>
          <w:rFonts w:asciiTheme="minorHAnsi" w:hAnsiTheme="minorHAnsi"/>
          <w:lang w:val="bg-BG"/>
        </w:rPr>
        <w:t>ЕСПЧ</w:t>
      </w:r>
      <w:r w:rsidRPr="00DC2206">
        <w:rPr>
          <w:rFonts w:asciiTheme="minorHAnsi" w:hAnsiTheme="minorHAnsi"/>
          <w:lang w:val="bg-BG"/>
        </w:rPr>
        <w:t xml:space="preserve"> </w:t>
      </w:r>
      <w:r w:rsidR="000F1085" w:rsidRPr="00DC2206">
        <w:rPr>
          <w:rFonts w:asciiTheme="minorHAnsi" w:hAnsiTheme="minorHAnsi"/>
          <w:lang w:val="bg-BG"/>
        </w:rPr>
        <w:t xml:space="preserve">изрично </w:t>
      </w:r>
      <w:r w:rsidR="0026783E">
        <w:rPr>
          <w:rFonts w:asciiTheme="minorHAnsi" w:hAnsiTheme="minorHAnsi"/>
          <w:lang w:val="bg-BG"/>
        </w:rPr>
        <w:t>се спира на</w:t>
      </w:r>
      <w:r w:rsidR="000F1085" w:rsidRPr="00DC2206">
        <w:rPr>
          <w:rFonts w:asciiTheme="minorHAnsi" w:hAnsiTheme="minorHAnsi"/>
          <w:lang w:val="bg-BG"/>
        </w:rPr>
        <w:t xml:space="preserve">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0F1085" w:rsidRPr="00DC2206">
        <w:rPr>
          <w:rFonts w:asciiTheme="minorHAnsi" w:hAnsiTheme="minorHAnsi"/>
          <w:lang w:val="bg-BG"/>
        </w:rPr>
        <w:t xml:space="preserve">на </w:t>
      </w:r>
      <w:r w:rsidR="00A0730F" w:rsidRPr="00DC2206">
        <w:rPr>
          <w:rFonts w:asciiTheme="minorHAnsi" w:hAnsiTheme="minorHAnsi"/>
          <w:lang w:val="bg-BG"/>
        </w:rPr>
        <w:t>прокурори</w:t>
      </w:r>
      <w:r w:rsidR="000F1085" w:rsidRPr="00DC2206">
        <w:rPr>
          <w:rFonts w:asciiTheme="minorHAnsi" w:hAnsiTheme="minorHAnsi"/>
          <w:lang w:val="bg-BG"/>
        </w:rPr>
        <w:t>те</w:t>
      </w:r>
      <w:r w:rsidRPr="00DC2206">
        <w:rPr>
          <w:rFonts w:asciiTheme="minorHAnsi" w:hAnsiTheme="minorHAnsi"/>
          <w:lang w:val="bg-BG"/>
        </w:rPr>
        <w:t xml:space="preserve">, </w:t>
      </w:r>
      <w:r w:rsidR="000F1085" w:rsidRPr="00DC2206">
        <w:rPr>
          <w:rFonts w:asciiTheme="minorHAnsi" w:hAnsiTheme="minorHAnsi"/>
          <w:lang w:val="bg-BG"/>
        </w:rPr>
        <w:t xml:space="preserve">като посочва, че отстраняването от длъжност на главен прокурор и причините, обосноваващи го в този конкретен случай, трудно могат да бъдат </w:t>
      </w:r>
      <w:r w:rsidR="0026783E">
        <w:rPr>
          <w:rFonts w:asciiTheme="minorHAnsi" w:hAnsiTheme="minorHAnsi"/>
          <w:lang w:val="bg-BG"/>
        </w:rPr>
        <w:t xml:space="preserve">счетени за съответстващи </w:t>
      </w:r>
      <w:r w:rsidR="000F1085" w:rsidRPr="00DC2206">
        <w:rPr>
          <w:rFonts w:asciiTheme="minorHAnsi" w:hAnsiTheme="minorHAnsi"/>
          <w:lang w:val="bg-BG"/>
        </w:rPr>
        <w:t xml:space="preserve">с конкретното </w:t>
      </w:r>
      <w:r w:rsidR="0026783E">
        <w:rPr>
          <w:rFonts w:asciiTheme="minorHAnsi" w:hAnsiTheme="minorHAnsi"/>
          <w:lang w:val="bg-BG"/>
        </w:rPr>
        <w:t xml:space="preserve">отчитане </w:t>
      </w:r>
      <w:r w:rsidR="000F1085" w:rsidRPr="00DC2206">
        <w:rPr>
          <w:rFonts w:asciiTheme="minorHAnsi" w:hAnsiTheme="minorHAnsi"/>
          <w:lang w:val="bg-BG"/>
        </w:rPr>
        <w:t xml:space="preserve">на естеството на съдебната функция като независим клон на държавната власт и на принципа на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0F1085" w:rsidRPr="00DC2206">
        <w:rPr>
          <w:rFonts w:asciiTheme="minorHAnsi" w:hAnsiTheme="minorHAnsi"/>
          <w:lang w:val="bg-BG"/>
        </w:rPr>
        <w:t xml:space="preserve">на </w:t>
      </w:r>
      <w:r w:rsidR="00A0730F" w:rsidRPr="00DC2206">
        <w:rPr>
          <w:rFonts w:asciiTheme="minorHAnsi" w:hAnsiTheme="minorHAnsi"/>
          <w:lang w:val="bg-BG"/>
        </w:rPr>
        <w:t>прокурори</w:t>
      </w:r>
      <w:r w:rsidR="000F1085" w:rsidRPr="00DC2206">
        <w:rPr>
          <w:rFonts w:asciiTheme="minorHAnsi" w:hAnsiTheme="minorHAnsi"/>
          <w:lang w:val="bg-BG"/>
        </w:rPr>
        <w:t>те</w:t>
      </w:r>
      <w:r w:rsidRPr="00DC2206">
        <w:rPr>
          <w:rFonts w:asciiTheme="minorHAnsi" w:hAnsiTheme="minorHAnsi"/>
          <w:lang w:val="bg-BG"/>
        </w:rPr>
        <w:t xml:space="preserve">, </w:t>
      </w:r>
      <w:r w:rsidR="000F1085" w:rsidRPr="00DC2206">
        <w:rPr>
          <w:rFonts w:asciiTheme="minorHAnsi" w:hAnsiTheme="minorHAnsi"/>
          <w:lang w:val="bg-BG"/>
        </w:rPr>
        <w:t>която –</w:t>
      </w:r>
      <w:r w:rsidRPr="00DC2206">
        <w:rPr>
          <w:rFonts w:asciiTheme="minorHAnsi" w:hAnsiTheme="minorHAnsi"/>
          <w:lang w:val="bg-BG"/>
        </w:rPr>
        <w:t xml:space="preserve"> </w:t>
      </w:r>
      <w:r w:rsidR="000F1085" w:rsidRPr="00DC2206">
        <w:rPr>
          <w:rFonts w:asciiTheme="minorHAnsi" w:hAnsiTheme="minorHAnsi"/>
          <w:lang w:val="bg-BG"/>
        </w:rPr>
        <w:t>според Съвета на Европа и относимите международни инструменти –</w:t>
      </w:r>
      <w:r w:rsidRPr="00DC2206">
        <w:rPr>
          <w:rFonts w:asciiTheme="minorHAnsi" w:hAnsiTheme="minorHAnsi"/>
          <w:lang w:val="bg-BG"/>
        </w:rPr>
        <w:t xml:space="preserve"> </w:t>
      </w:r>
      <w:r w:rsidR="000F1085" w:rsidRPr="00DC2206">
        <w:rPr>
          <w:rFonts w:asciiTheme="minorHAnsi" w:hAnsiTheme="minorHAnsi"/>
          <w:lang w:val="bg-BG"/>
        </w:rPr>
        <w:t xml:space="preserve">е ключов елемент за поддържането на съдебната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0F1085" w:rsidRPr="00DC2206">
        <w:rPr>
          <w:rFonts w:asciiTheme="minorHAnsi" w:hAnsiTheme="minorHAnsi"/>
          <w:lang w:val="bg-BG"/>
        </w:rPr>
        <w:t>На фона на това</w:t>
      </w:r>
      <w:r w:rsidRPr="00DC2206">
        <w:rPr>
          <w:rFonts w:asciiTheme="minorHAnsi" w:hAnsiTheme="minorHAnsi"/>
          <w:lang w:val="bg-BG"/>
        </w:rPr>
        <w:t xml:space="preserve">, </w:t>
      </w:r>
      <w:r w:rsidR="000F1085" w:rsidRPr="00DC2206">
        <w:rPr>
          <w:rFonts w:asciiTheme="minorHAnsi" w:hAnsiTheme="minorHAnsi"/>
          <w:lang w:val="bg-BG"/>
        </w:rPr>
        <w:t xml:space="preserve">изглежда, че преждевременното отстраняване на жалбоподателя от длъжността й на главен прокурор </w:t>
      </w:r>
      <w:r w:rsidR="00DE0C65" w:rsidRPr="00DC2206">
        <w:rPr>
          <w:rFonts w:asciiTheme="minorHAnsi" w:hAnsiTheme="minorHAnsi"/>
          <w:lang w:val="bg-BG"/>
        </w:rPr>
        <w:t xml:space="preserve">е накърнило самата цел на поддържането на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DE0C65" w:rsidRPr="00DC2206">
        <w:rPr>
          <w:rFonts w:asciiTheme="minorHAnsi" w:hAnsiTheme="minorHAnsi"/>
          <w:lang w:val="bg-BG"/>
        </w:rPr>
        <w:t xml:space="preserve">на </w:t>
      </w:r>
      <w:r w:rsidR="00A0730F" w:rsidRPr="00DC2206">
        <w:rPr>
          <w:rFonts w:asciiTheme="minorHAnsi" w:hAnsiTheme="minorHAnsi"/>
          <w:lang w:val="bg-BG"/>
        </w:rPr>
        <w:t>съдебната власт</w:t>
      </w:r>
      <w:r w:rsidR="008561A8" w:rsidRPr="00DC2206">
        <w:rPr>
          <w:rStyle w:val="FootnoteReference"/>
          <w:rFonts w:asciiTheme="minorHAnsi" w:hAnsiTheme="minorHAnsi"/>
          <w:lang w:val="bg-BG"/>
        </w:rPr>
        <w:footnoteReference w:id="49"/>
      </w:r>
      <w:r w:rsidRPr="00DC2206">
        <w:rPr>
          <w:rFonts w:asciiTheme="minorHAnsi" w:hAnsiTheme="minorHAnsi"/>
          <w:lang w:val="bg-BG"/>
        </w:rPr>
        <w:t>.</w:t>
      </w:r>
    </w:p>
    <w:p w14:paraId="346CA0DF" w14:textId="77777777" w:rsidR="00B71421" w:rsidRPr="00DC2206" w:rsidRDefault="00B71421" w:rsidP="00732D5B">
      <w:pPr>
        <w:ind w:left="709" w:hanging="709"/>
        <w:jc w:val="both"/>
        <w:rPr>
          <w:rFonts w:asciiTheme="minorHAnsi" w:hAnsiTheme="minorHAnsi"/>
          <w:lang w:val="bg-BG"/>
        </w:rPr>
      </w:pPr>
    </w:p>
    <w:p w14:paraId="46646DB1"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36.</w:t>
      </w:r>
      <w:r w:rsidR="00B71421" w:rsidRPr="00DC2206">
        <w:rPr>
          <w:rFonts w:asciiTheme="minorHAnsi" w:hAnsiTheme="minorHAnsi"/>
          <w:lang w:val="bg-BG"/>
        </w:rPr>
        <w:tab/>
      </w:r>
      <w:r w:rsidR="001C1676" w:rsidRPr="00DC2206">
        <w:rPr>
          <w:rFonts w:asciiTheme="minorHAnsi" w:hAnsiTheme="minorHAnsi"/>
          <w:lang w:val="bg-BG"/>
        </w:rPr>
        <w:t>ЕСПЧ</w:t>
      </w:r>
      <w:r w:rsidRPr="00DC2206">
        <w:rPr>
          <w:rFonts w:asciiTheme="minorHAnsi" w:hAnsiTheme="minorHAnsi"/>
          <w:lang w:val="bg-BG"/>
        </w:rPr>
        <w:t xml:space="preserve"> </w:t>
      </w:r>
      <w:r w:rsidR="00DE0C65" w:rsidRPr="00DC2206">
        <w:rPr>
          <w:rFonts w:asciiTheme="minorHAnsi" w:hAnsiTheme="minorHAnsi"/>
          <w:lang w:val="bg-BG"/>
        </w:rPr>
        <w:t xml:space="preserve">посочва, че изпълнителната власт на държавата не може да отстранява главни </w:t>
      </w:r>
      <w:r w:rsidR="00A0730F" w:rsidRPr="00DC2206">
        <w:rPr>
          <w:rFonts w:asciiTheme="minorHAnsi" w:hAnsiTheme="minorHAnsi"/>
          <w:lang w:val="bg-BG"/>
        </w:rPr>
        <w:t>прокурори</w:t>
      </w:r>
      <w:r w:rsidR="00DE0C65" w:rsidRPr="00DC2206">
        <w:rPr>
          <w:rFonts w:asciiTheme="minorHAnsi" w:hAnsiTheme="minorHAnsi"/>
          <w:lang w:val="bg-BG"/>
        </w:rPr>
        <w:t xml:space="preserve"> без независим съдебен контрол</w:t>
      </w:r>
      <w:r w:rsidR="008561A8" w:rsidRPr="00DC2206">
        <w:rPr>
          <w:rStyle w:val="FootnoteReference"/>
          <w:rFonts w:asciiTheme="minorHAnsi" w:hAnsiTheme="minorHAnsi"/>
          <w:lang w:val="bg-BG"/>
        </w:rPr>
        <w:footnoteReference w:id="50"/>
      </w:r>
      <w:r w:rsidRPr="00DC2206">
        <w:rPr>
          <w:rFonts w:asciiTheme="minorHAnsi" w:hAnsiTheme="minorHAnsi"/>
          <w:lang w:val="bg-BG"/>
        </w:rPr>
        <w:t xml:space="preserve"> </w:t>
      </w:r>
      <w:r w:rsidR="00DE0C65" w:rsidRPr="00DC2206">
        <w:rPr>
          <w:rFonts w:asciiTheme="minorHAnsi" w:hAnsiTheme="minorHAnsi"/>
          <w:lang w:val="bg-BG"/>
        </w:rPr>
        <w:t>и също така отбелязва, че преждевременното прекратяване на мандата на жалбоподателя е било особено тежка санкция, която несъмнено е имала „охлаждащо действие</w:t>
      </w:r>
      <w:r w:rsidRPr="00DC2206">
        <w:rPr>
          <w:rFonts w:asciiTheme="minorHAnsi" w:hAnsiTheme="minorHAnsi"/>
          <w:lang w:val="bg-BG"/>
        </w:rPr>
        <w:t>”</w:t>
      </w:r>
      <w:r w:rsidR="00DE0C65" w:rsidRPr="00DC2206">
        <w:rPr>
          <w:rFonts w:asciiTheme="minorHAnsi" w:hAnsiTheme="minorHAnsi"/>
          <w:lang w:val="bg-BG"/>
        </w:rPr>
        <w:t xml:space="preserve">, в смисъл такъв, че трябва да е възпряла не само нея, но и другите </w:t>
      </w:r>
      <w:r w:rsidR="00A0730F" w:rsidRPr="00DC2206">
        <w:rPr>
          <w:rFonts w:asciiTheme="minorHAnsi" w:hAnsiTheme="minorHAnsi"/>
          <w:lang w:val="bg-BG"/>
        </w:rPr>
        <w:t>прокурори</w:t>
      </w:r>
      <w:r w:rsidRPr="00DC2206">
        <w:rPr>
          <w:rFonts w:asciiTheme="minorHAnsi" w:hAnsiTheme="minorHAnsi"/>
          <w:lang w:val="bg-BG"/>
        </w:rPr>
        <w:t xml:space="preserve"> </w:t>
      </w:r>
      <w:r w:rsidR="00DE0C65" w:rsidRPr="00DC2206">
        <w:rPr>
          <w:rFonts w:asciiTheme="minorHAnsi" w:hAnsiTheme="minorHAnsi"/>
          <w:lang w:val="bg-BG"/>
        </w:rPr>
        <w:t xml:space="preserve">и съдии в бъдеще от участие в публичен дебат </w:t>
      </w:r>
      <w:r w:rsidR="00CD3FDB">
        <w:rPr>
          <w:rFonts w:asciiTheme="minorHAnsi" w:hAnsiTheme="minorHAnsi"/>
          <w:lang w:val="bg-BG"/>
        </w:rPr>
        <w:t>по</w:t>
      </w:r>
      <w:r w:rsidR="00DE0C65" w:rsidRPr="00DC2206">
        <w:rPr>
          <w:rFonts w:asciiTheme="minorHAnsi" w:hAnsiTheme="minorHAnsi"/>
          <w:lang w:val="bg-BG"/>
        </w:rPr>
        <w:t xml:space="preserve"> законодателните реформи, засягащи </w:t>
      </w:r>
      <w:r w:rsidR="00A0730F" w:rsidRPr="00DC2206">
        <w:rPr>
          <w:rFonts w:asciiTheme="minorHAnsi" w:hAnsiTheme="minorHAnsi"/>
          <w:lang w:val="bg-BG"/>
        </w:rPr>
        <w:t>съдебната власт</w:t>
      </w:r>
      <w:r w:rsidR="00DE0C65" w:rsidRPr="00DC2206">
        <w:rPr>
          <w:rFonts w:asciiTheme="minorHAnsi" w:hAnsiTheme="minorHAnsi"/>
          <w:lang w:val="bg-BG"/>
        </w:rPr>
        <w:t xml:space="preserve">, и, по-общо, по въпроси, касаещи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DE0C65" w:rsidRPr="00DC2206">
        <w:rPr>
          <w:rFonts w:asciiTheme="minorHAnsi" w:hAnsiTheme="minorHAnsi"/>
          <w:lang w:val="bg-BG"/>
        </w:rPr>
        <w:t xml:space="preserve">на </w:t>
      </w:r>
      <w:r w:rsidR="00A0730F" w:rsidRPr="00DC2206">
        <w:rPr>
          <w:rFonts w:asciiTheme="minorHAnsi" w:hAnsiTheme="minorHAnsi"/>
          <w:lang w:val="bg-BG"/>
        </w:rPr>
        <w:t>съдебната власт</w:t>
      </w:r>
      <w:r w:rsidR="008561A8" w:rsidRPr="00DC2206">
        <w:rPr>
          <w:rStyle w:val="FootnoteReference"/>
          <w:rFonts w:asciiTheme="minorHAnsi" w:hAnsiTheme="minorHAnsi"/>
          <w:lang w:val="bg-BG"/>
        </w:rPr>
        <w:footnoteReference w:id="51"/>
      </w:r>
      <w:r w:rsidRPr="00DC2206">
        <w:rPr>
          <w:rFonts w:asciiTheme="minorHAnsi" w:hAnsiTheme="minorHAnsi"/>
          <w:lang w:val="bg-BG"/>
        </w:rPr>
        <w:t xml:space="preserve">. </w:t>
      </w:r>
      <w:r w:rsidR="00DE0C65" w:rsidRPr="00DC2206">
        <w:rPr>
          <w:rFonts w:asciiTheme="minorHAnsi" w:hAnsiTheme="minorHAnsi"/>
          <w:lang w:val="bg-BG"/>
        </w:rPr>
        <w:t>По този начин</w:t>
      </w:r>
      <w:r w:rsidRPr="00DC2206">
        <w:rPr>
          <w:rFonts w:asciiTheme="minorHAnsi" w:hAnsiTheme="minorHAnsi"/>
          <w:lang w:val="bg-BG"/>
        </w:rPr>
        <w:t xml:space="preserve">, </w:t>
      </w:r>
      <w:r w:rsidR="001C1676" w:rsidRPr="00DC2206">
        <w:rPr>
          <w:rFonts w:asciiTheme="minorHAnsi" w:hAnsiTheme="minorHAnsi"/>
          <w:lang w:val="bg-BG"/>
        </w:rPr>
        <w:t>ЕСПЧ</w:t>
      </w:r>
      <w:r w:rsidRPr="00DC2206">
        <w:rPr>
          <w:rFonts w:asciiTheme="minorHAnsi" w:hAnsiTheme="minorHAnsi"/>
          <w:lang w:val="bg-BG"/>
        </w:rPr>
        <w:t xml:space="preserve"> </w:t>
      </w:r>
      <w:r w:rsidR="00DE0C65" w:rsidRPr="00DC2206">
        <w:rPr>
          <w:rFonts w:asciiTheme="minorHAnsi" w:hAnsiTheme="minorHAnsi"/>
          <w:lang w:val="bg-BG"/>
        </w:rPr>
        <w:t>потвърждава отново</w:t>
      </w:r>
      <w:r w:rsidRPr="00DC2206">
        <w:rPr>
          <w:rFonts w:asciiTheme="minorHAnsi" w:hAnsiTheme="minorHAnsi"/>
          <w:lang w:val="bg-BG"/>
        </w:rPr>
        <w:t xml:space="preserve">, </w:t>
      </w:r>
      <w:r w:rsidR="00DE0C65" w:rsidRPr="00DC2206">
        <w:rPr>
          <w:rFonts w:asciiTheme="minorHAnsi" w:hAnsiTheme="minorHAnsi"/>
          <w:lang w:val="bg-BG"/>
        </w:rPr>
        <w:t>наред с другото</w:t>
      </w:r>
      <w:r w:rsidRPr="00DC2206">
        <w:rPr>
          <w:rFonts w:asciiTheme="minorHAnsi" w:hAnsiTheme="minorHAnsi"/>
          <w:lang w:val="bg-BG"/>
        </w:rPr>
        <w:t xml:space="preserve">, </w:t>
      </w:r>
      <w:r w:rsidR="00DE0C65" w:rsidRPr="00DC2206">
        <w:rPr>
          <w:rFonts w:asciiTheme="minorHAnsi" w:hAnsiTheme="minorHAnsi"/>
          <w:lang w:val="bg-BG"/>
        </w:rPr>
        <w:t xml:space="preserve">свободата на изразяване за </w:t>
      </w:r>
      <w:r w:rsidR="00A0730F" w:rsidRPr="00DC2206">
        <w:rPr>
          <w:rFonts w:asciiTheme="minorHAnsi" w:hAnsiTheme="minorHAnsi"/>
          <w:lang w:val="bg-BG"/>
        </w:rPr>
        <w:t>прокурори</w:t>
      </w:r>
      <w:r w:rsidR="00DE0C65" w:rsidRPr="00DC2206">
        <w:rPr>
          <w:rFonts w:asciiTheme="minorHAnsi" w:hAnsiTheme="minorHAnsi"/>
          <w:lang w:val="bg-BG"/>
        </w:rPr>
        <w:t xml:space="preserve">те по отношение на законодателни реформи, които може да окажат въздействие върху </w:t>
      </w:r>
      <w:r w:rsidR="00A0730F" w:rsidRPr="00DC2206">
        <w:rPr>
          <w:rFonts w:asciiTheme="minorHAnsi" w:hAnsiTheme="minorHAnsi"/>
          <w:lang w:val="bg-BG"/>
        </w:rPr>
        <w:t>съдебната власт</w:t>
      </w:r>
      <w:r w:rsidRPr="00DC2206">
        <w:rPr>
          <w:rFonts w:asciiTheme="minorHAnsi" w:hAnsiTheme="minorHAnsi"/>
          <w:lang w:val="bg-BG"/>
        </w:rPr>
        <w:t xml:space="preserve"> </w:t>
      </w:r>
      <w:r w:rsidR="00DE0C65" w:rsidRPr="00DC2206">
        <w:rPr>
          <w:rFonts w:asciiTheme="minorHAnsi" w:hAnsiTheme="minorHAnsi"/>
          <w:lang w:val="bg-BG"/>
        </w:rPr>
        <w:t xml:space="preserve">и нейната </w:t>
      </w:r>
      <w:r w:rsidR="00A0730F" w:rsidRPr="00DC2206">
        <w:rPr>
          <w:rFonts w:asciiTheme="minorHAnsi" w:hAnsiTheme="minorHAnsi"/>
          <w:lang w:val="bg-BG"/>
        </w:rPr>
        <w:t>независимост</w:t>
      </w:r>
      <w:r w:rsidRPr="00DC2206">
        <w:rPr>
          <w:rFonts w:asciiTheme="minorHAnsi" w:hAnsiTheme="minorHAnsi"/>
          <w:lang w:val="bg-BG"/>
        </w:rPr>
        <w:t>.</w:t>
      </w:r>
    </w:p>
    <w:p w14:paraId="15D1019C" w14:textId="77777777" w:rsidR="00B71421" w:rsidRPr="00DC2206" w:rsidRDefault="00B71421" w:rsidP="00732D5B">
      <w:pPr>
        <w:tabs>
          <w:tab w:val="left" w:pos="352"/>
        </w:tabs>
        <w:ind w:left="709" w:hanging="709"/>
        <w:jc w:val="both"/>
        <w:outlineLvl w:val="1"/>
        <w:rPr>
          <w:rFonts w:asciiTheme="minorHAnsi" w:hAnsiTheme="minorHAnsi"/>
          <w:lang w:val="bg-BG"/>
        </w:rPr>
      </w:pPr>
      <w:bookmarkStart w:id="1" w:name="bookmark2"/>
    </w:p>
    <w:p w14:paraId="0E377D24" w14:textId="77777777" w:rsidR="00C61601" w:rsidRPr="00DC2206" w:rsidRDefault="00B71421" w:rsidP="00732D5B">
      <w:pPr>
        <w:tabs>
          <w:tab w:val="left" w:pos="352"/>
        </w:tabs>
        <w:ind w:left="709" w:hanging="709"/>
        <w:jc w:val="both"/>
        <w:outlineLvl w:val="1"/>
        <w:rPr>
          <w:rFonts w:asciiTheme="minorHAnsi" w:hAnsiTheme="minorHAnsi"/>
          <w:b/>
          <w:lang w:val="bg-BG"/>
        </w:rPr>
      </w:pPr>
      <w:r w:rsidRPr="00DC2206">
        <w:rPr>
          <w:rFonts w:asciiTheme="minorHAnsi" w:hAnsiTheme="minorHAnsi"/>
          <w:b/>
          <w:lang w:val="bg-BG"/>
        </w:rPr>
        <w:t>В</w:t>
      </w:r>
      <w:r w:rsidR="00521963" w:rsidRPr="00DC2206">
        <w:rPr>
          <w:rFonts w:asciiTheme="minorHAnsi" w:hAnsiTheme="minorHAnsi"/>
          <w:b/>
          <w:lang w:val="bg-BG"/>
        </w:rPr>
        <w:t>.</w:t>
      </w:r>
      <w:r w:rsidR="000F1085" w:rsidRPr="00DC2206">
        <w:rPr>
          <w:rFonts w:asciiTheme="minorHAnsi" w:hAnsiTheme="minorHAnsi"/>
          <w:b/>
          <w:lang w:val="bg-BG"/>
        </w:rPr>
        <w:t> </w:t>
      </w:r>
      <w:r w:rsidR="00DE0C65" w:rsidRPr="00DC2206">
        <w:rPr>
          <w:rFonts w:asciiTheme="minorHAnsi" w:hAnsiTheme="minorHAnsi"/>
          <w:b/>
          <w:lang w:val="bg-BG"/>
        </w:rPr>
        <w:t xml:space="preserve">Съдебна практика на </w:t>
      </w:r>
      <w:r w:rsidR="001C1676" w:rsidRPr="00DC2206">
        <w:rPr>
          <w:rFonts w:asciiTheme="minorHAnsi" w:hAnsiTheme="minorHAnsi"/>
          <w:b/>
          <w:lang w:val="bg-BG"/>
        </w:rPr>
        <w:t>Съда на Европейския съюз</w:t>
      </w:r>
      <w:r w:rsidR="00521963" w:rsidRPr="00DC2206">
        <w:rPr>
          <w:rFonts w:asciiTheme="minorHAnsi" w:hAnsiTheme="minorHAnsi"/>
          <w:b/>
          <w:lang w:val="bg-BG"/>
        </w:rPr>
        <w:t xml:space="preserve"> (</w:t>
      </w:r>
      <w:r w:rsidR="001C1676" w:rsidRPr="00DC2206">
        <w:rPr>
          <w:rFonts w:asciiTheme="minorHAnsi" w:hAnsiTheme="minorHAnsi"/>
          <w:b/>
          <w:lang w:val="bg-BG"/>
        </w:rPr>
        <w:t>СЕС</w:t>
      </w:r>
      <w:r w:rsidR="00521963" w:rsidRPr="00DC2206">
        <w:rPr>
          <w:rFonts w:asciiTheme="minorHAnsi" w:hAnsiTheme="minorHAnsi"/>
          <w:b/>
          <w:lang w:val="bg-BG"/>
        </w:rPr>
        <w:t>)</w:t>
      </w:r>
      <w:bookmarkEnd w:id="1"/>
    </w:p>
    <w:p w14:paraId="01C87BCA" w14:textId="77777777" w:rsidR="00B71421" w:rsidRPr="00DC2206" w:rsidRDefault="00B71421" w:rsidP="00732D5B">
      <w:pPr>
        <w:tabs>
          <w:tab w:val="right" w:pos="9068"/>
        </w:tabs>
        <w:ind w:left="709" w:hanging="709"/>
        <w:jc w:val="both"/>
        <w:rPr>
          <w:rFonts w:asciiTheme="minorHAnsi" w:hAnsiTheme="minorHAnsi"/>
          <w:lang w:val="bg-BG"/>
        </w:rPr>
      </w:pPr>
    </w:p>
    <w:p w14:paraId="0341A038" w14:textId="77777777" w:rsidR="00C61601" w:rsidRPr="00DC2206" w:rsidRDefault="00521963" w:rsidP="00732D5B">
      <w:pPr>
        <w:tabs>
          <w:tab w:val="right" w:pos="9068"/>
        </w:tabs>
        <w:ind w:left="709" w:hanging="709"/>
        <w:jc w:val="both"/>
        <w:rPr>
          <w:rFonts w:asciiTheme="minorHAnsi" w:hAnsiTheme="minorHAnsi"/>
          <w:lang w:val="bg-BG"/>
        </w:rPr>
      </w:pPr>
      <w:r w:rsidRPr="00DC2206">
        <w:rPr>
          <w:rFonts w:asciiTheme="minorHAnsi" w:hAnsiTheme="minorHAnsi"/>
          <w:lang w:val="bg-BG"/>
        </w:rPr>
        <w:t>37.</w:t>
      </w:r>
      <w:r w:rsidRPr="00DC2206">
        <w:rPr>
          <w:rFonts w:asciiTheme="minorHAnsi" w:hAnsiTheme="minorHAnsi"/>
          <w:lang w:val="bg-BG"/>
        </w:rPr>
        <w:tab/>
      </w:r>
      <w:r w:rsidR="00DE0C65" w:rsidRPr="00DC2206">
        <w:rPr>
          <w:rFonts w:asciiTheme="minorHAnsi" w:hAnsiTheme="minorHAnsi"/>
          <w:lang w:val="bg-BG"/>
        </w:rPr>
        <w:t>Съдът на Европейския съюз посочва, че член </w:t>
      </w:r>
      <w:r w:rsidRPr="00DC2206">
        <w:rPr>
          <w:rFonts w:asciiTheme="minorHAnsi" w:hAnsiTheme="minorHAnsi"/>
          <w:lang w:val="bg-BG"/>
        </w:rPr>
        <w:t xml:space="preserve">19 </w:t>
      </w:r>
      <w:r w:rsidR="00DE0C65" w:rsidRPr="00DC2206">
        <w:rPr>
          <w:rFonts w:asciiTheme="minorHAnsi" w:hAnsiTheme="minorHAnsi"/>
          <w:lang w:val="bg-BG"/>
        </w:rPr>
        <w:t xml:space="preserve">от Договора за Европейския съюз съдържа задължение да се осигури съдебна </w:t>
      </w:r>
      <w:r w:rsidR="00A0730F" w:rsidRPr="00DC2206">
        <w:rPr>
          <w:rFonts w:asciiTheme="minorHAnsi" w:hAnsiTheme="minorHAnsi"/>
          <w:lang w:val="bg-BG"/>
        </w:rPr>
        <w:t>независимост</w:t>
      </w:r>
      <w:r w:rsidR="00DE0C65" w:rsidRPr="00DC2206">
        <w:rPr>
          <w:rFonts w:asciiTheme="minorHAnsi" w:hAnsiTheme="minorHAnsi"/>
          <w:lang w:val="bg-BG"/>
        </w:rPr>
        <w:t xml:space="preserve"> и подчертава, че гаранцията за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DE0C65" w:rsidRPr="00DC2206">
        <w:rPr>
          <w:rFonts w:asciiTheme="minorHAnsi" w:hAnsiTheme="minorHAnsi"/>
          <w:lang w:val="bg-BG"/>
        </w:rPr>
        <w:t>която е присъща на задачата по правораздаване</w:t>
      </w:r>
      <w:r w:rsidRPr="00DC2206">
        <w:rPr>
          <w:rFonts w:asciiTheme="minorHAnsi" w:hAnsiTheme="minorHAnsi"/>
          <w:lang w:val="bg-BG"/>
        </w:rPr>
        <w:t xml:space="preserve">, </w:t>
      </w:r>
      <w:r w:rsidR="00DE0C65" w:rsidRPr="00DC2206">
        <w:rPr>
          <w:rFonts w:asciiTheme="minorHAnsi" w:hAnsiTheme="minorHAnsi"/>
          <w:lang w:val="bg-BG"/>
        </w:rPr>
        <w:t>се изисква не само на равнището на ЕС, но и на равнището на държавите членки, що се отнася до националните съдилища</w:t>
      </w:r>
      <w:r w:rsidRPr="00DC2206">
        <w:rPr>
          <w:rFonts w:asciiTheme="minorHAnsi" w:hAnsiTheme="minorHAnsi"/>
          <w:lang w:val="bg-BG"/>
        </w:rPr>
        <w:t xml:space="preserve">. </w:t>
      </w:r>
      <w:r w:rsidR="00DE0C65" w:rsidRPr="00DC2206">
        <w:rPr>
          <w:rFonts w:asciiTheme="minorHAnsi" w:hAnsiTheme="minorHAnsi"/>
          <w:lang w:val="bg-BG"/>
        </w:rPr>
        <w:t xml:space="preserve">Концепцията за съдебна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DE0C65" w:rsidRPr="00DC2206">
        <w:rPr>
          <w:rFonts w:asciiTheme="minorHAnsi" w:hAnsiTheme="minorHAnsi"/>
          <w:lang w:val="bg-BG"/>
        </w:rPr>
        <w:t>предполага, по-специално</w:t>
      </w:r>
      <w:r w:rsidRPr="00DC2206">
        <w:rPr>
          <w:rFonts w:asciiTheme="minorHAnsi" w:hAnsiTheme="minorHAnsi"/>
          <w:lang w:val="bg-BG"/>
        </w:rPr>
        <w:t xml:space="preserve">, </w:t>
      </w:r>
      <w:r w:rsidR="00DE0C65" w:rsidRPr="00DC2206">
        <w:rPr>
          <w:rFonts w:asciiTheme="minorHAnsi" w:hAnsiTheme="minorHAnsi"/>
          <w:lang w:val="bg-BG"/>
        </w:rPr>
        <w:t xml:space="preserve">че </w:t>
      </w:r>
      <w:r w:rsidR="00DE0C65" w:rsidRPr="00DC2206">
        <w:rPr>
          <w:rFonts w:asciiTheme="minorHAnsi" w:hAnsiTheme="minorHAnsi"/>
          <w:lang w:val="bg-BG"/>
        </w:rPr>
        <w:lastRenderedPageBreak/>
        <w:t>съответният орган упражнява своите съдебни функции изцяло автономно</w:t>
      </w:r>
      <w:r w:rsidRPr="00DC2206">
        <w:rPr>
          <w:rFonts w:asciiTheme="minorHAnsi" w:hAnsiTheme="minorHAnsi"/>
          <w:lang w:val="bg-BG"/>
        </w:rPr>
        <w:t xml:space="preserve">, </w:t>
      </w:r>
      <w:r w:rsidR="00DE0C65" w:rsidRPr="00DC2206">
        <w:rPr>
          <w:rFonts w:asciiTheme="minorHAnsi" w:hAnsiTheme="minorHAnsi"/>
          <w:lang w:val="bg-BG"/>
        </w:rPr>
        <w:t>без да бъде подлага</w:t>
      </w:r>
      <w:r w:rsidR="004012E1">
        <w:rPr>
          <w:rFonts w:asciiTheme="minorHAnsi" w:hAnsiTheme="minorHAnsi"/>
          <w:lang w:val="bg-BG"/>
        </w:rPr>
        <w:t>н</w:t>
      </w:r>
      <w:r w:rsidR="00DE0C65" w:rsidRPr="00DC2206">
        <w:rPr>
          <w:rFonts w:asciiTheme="minorHAnsi" w:hAnsiTheme="minorHAnsi"/>
          <w:lang w:val="bg-BG"/>
        </w:rPr>
        <w:t xml:space="preserve"> на никакво йерархично ограничение или да бъде подчинен на никой друг орган и без да приема заповеди или </w:t>
      </w:r>
      <w:r w:rsidR="00BE08F5">
        <w:rPr>
          <w:rFonts w:asciiTheme="minorHAnsi" w:hAnsiTheme="minorHAnsi"/>
          <w:lang w:val="bg-BG"/>
        </w:rPr>
        <w:t>указания</w:t>
      </w:r>
      <w:r w:rsidR="00DE0C65" w:rsidRPr="00DC2206">
        <w:rPr>
          <w:rFonts w:asciiTheme="minorHAnsi" w:hAnsiTheme="minorHAnsi"/>
          <w:lang w:val="bg-BG"/>
        </w:rPr>
        <w:t xml:space="preserve"> от какъвто и да е друг източник</w:t>
      </w:r>
      <w:r w:rsidRPr="00DC2206">
        <w:rPr>
          <w:rFonts w:asciiTheme="minorHAnsi" w:hAnsiTheme="minorHAnsi"/>
          <w:lang w:val="bg-BG"/>
        </w:rPr>
        <w:t xml:space="preserve">, </w:t>
      </w:r>
      <w:r w:rsidR="00DE0C65" w:rsidRPr="00DC2206">
        <w:rPr>
          <w:rFonts w:asciiTheme="minorHAnsi" w:hAnsiTheme="minorHAnsi"/>
          <w:lang w:val="bg-BG"/>
        </w:rPr>
        <w:t>и че по този начин е защитен от външни намеси или натиск, които могат да накърнят независимата преценка на членовете му и да повлияят на техните решения</w:t>
      </w:r>
      <w:r w:rsidR="008561A8" w:rsidRPr="00DC2206">
        <w:rPr>
          <w:rStyle w:val="FootnoteReference"/>
          <w:rFonts w:asciiTheme="minorHAnsi" w:hAnsiTheme="minorHAnsi"/>
          <w:lang w:val="bg-BG"/>
        </w:rPr>
        <w:footnoteReference w:id="52"/>
      </w:r>
      <w:r w:rsidRPr="00DC2206">
        <w:rPr>
          <w:rFonts w:asciiTheme="minorHAnsi" w:hAnsiTheme="minorHAnsi"/>
          <w:lang w:val="bg-BG"/>
        </w:rPr>
        <w:t>.</w:t>
      </w:r>
    </w:p>
    <w:p w14:paraId="07AC41CB" w14:textId="77777777" w:rsidR="008561A8" w:rsidRPr="00DC2206" w:rsidRDefault="008561A8" w:rsidP="00732D5B">
      <w:pPr>
        <w:ind w:left="709" w:hanging="709"/>
        <w:jc w:val="both"/>
        <w:rPr>
          <w:rFonts w:asciiTheme="minorHAnsi" w:hAnsiTheme="minorHAnsi"/>
          <w:lang w:val="bg-BG"/>
        </w:rPr>
      </w:pPr>
    </w:p>
    <w:p w14:paraId="7664AAC2"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38.</w:t>
      </w:r>
      <w:r w:rsidR="008561A8" w:rsidRPr="00DC2206">
        <w:rPr>
          <w:rFonts w:asciiTheme="minorHAnsi" w:hAnsiTheme="minorHAnsi"/>
          <w:lang w:val="bg-BG"/>
        </w:rPr>
        <w:tab/>
      </w:r>
      <w:r w:rsidR="001C1676" w:rsidRPr="00DC2206">
        <w:rPr>
          <w:rFonts w:asciiTheme="minorHAnsi" w:hAnsiTheme="minorHAnsi"/>
          <w:lang w:val="bg-BG"/>
        </w:rPr>
        <w:t>СЕС</w:t>
      </w:r>
      <w:r w:rsidRPr="00DC2206">
        <w:rPr>
          <w:rFonts w:asciiTheme="minorHAnsi" w:hAnsiTheme="minorHAnsi"/>
          <w:lang w:val="bg-BG"/>
        </w:rPr>
        <w:t xml:space="preserve"> </w:t>
      </w:r>
      <w:r w:rsidR="003C7200" w:rsidRPr="00DC2206">
        <w:rPr>
          <w:rFonts w:asciiTheme="minorHAnsi" w:hAnsiTheme="minorHAnsi"/>
          <w:lang w:val="bg-BG"/>
        </w:rPr>
        <w:t xml:space="preserve">подчертава също така, че гаранциите за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3C7200" w:rsidRPr="00DC2206">
        <w:rPr>
          <w:rFonts w:asciiTheme="minorHAnsi" w:hAnsiTheme="minorHAnsi"/>
          <w:lang w:val="bg-BG"/>
        </w:rPr>
        <w:t xml:space="preserve">и </w:t>
      </w:r>
      <w:r w:rsidR="00AD1FEF" w:rsidRPr="00DC2206">
        <w:rPr>
          <w:rFonts w:asciiTheme="minorHAnsi" w:hAnsiTheme="minorHAnsi"/>
          <w:lang w:val="bg-BG"/>
        </w:rPr>
        <w:t>безпристрастност</w:t>
      </w:r>
      <w:r w:rsidRPr="00DC2206">
        <w:rPr>
          <w:rFonts w:asciiTheme="minorHAnsi" w:hAnsiTheme="minorHAnsi"/>
          <w:lang w:val="bg-BG"/>
        </w:rPr>
        <w:t xml:space="preserve"> </w:t>
      </w:r>
      <w:r w:rsidR="003C7200" w:rsidRPr="00DC2206">
        <w:rPr>
          <w:rFonts w:asciiTheme="minorHAnsi" w:hAnsiTheme="minorHAnsi"/>
          <w:lang w:val="bg-BG"/>
        </w:rPr>
        <w:t>изискват правила</w:t>
      </w:r>
      <w:r w:rsidRPr="00DC2206">
        <w:rPr>
          <w:rFonts w:asciiTheme="minorHAnsi" w:hAnsiTheme="minorHAnsi"/>
          <w:lang w:val="bg-BG"/>
        </w:rPr>
        <w:t xml:space="preserve">, </w:t>
      </w:r>
      <w:r w:rsidR="003C7200" w:rsidRPr="00DC2206">
        <w:rPr>
          <w:rFonts w:asciiTheme="minorHAnsi" w:hAnsiTheme="minorHAnsi"/>
          <w:lang w:val="bg-BG"/>
        </w:rPr>
        <w:t xml:space="preserve">по-специално по отношение на състава на съдебния орган и </w:t>
      </w:r>
      <w:r w:rsidR="00AD1FEF" w:rsidRPr="00DC2206">
        <w:rPr>
          <w:rFonts w:asciiTheme="minorHAnsi" w:hAnsiTheme="minorHAnsi"/>
          <w:lang w:val="bg-BG"/>
        </w:rPr>
        <w:t>назначаване</w:t>
      </w:r>
      <w:r w:rsidR="003C7200" w:rsidRPr="00DC2206">
        <w:rPr>
          <w:rFonts w:asciiTheme="minorHAnsi" w:hAnsiTheme="minorHAnsi"/>
          <w:lang w:val="bg-BG"/>
        </w:rPr>
        <w:t>то</w:t>
      </w:r>
      <w:r w:rsidRPr="00DC2206">
        <w:rPr>
          <w:rFonts w:asciiTheme="minorHAnsi" w:hAnsiTheme="minorHAnsi"/>
          <w:lang w:val="bg-BG"/>
        </w:rPr>
        <w:t xml:space="preserve">, </w:t>
      </w:r>
      <w:r w:rsidR="003C7200" w:rsidRPr="00DC2206">
        <w:rPr>
          <w:rFonts w:asciiTheme="minorHAnsi" w:hAnsiTheme="minorHAnsi"/>
          <w:lang w:val="bg-BG"/>
        </w:rPr>
        <w:t>стажа и основанията за въздържане</w:t>
      </w:r>
      <w:r w:rsidRPr="00DC2206">
        <w:rPr>
          <w:rFonts w:asciiTheme="minorHAnsi" w:hAnsiTheme="minorHAnsi"/>
          <w:lang w:val="bg-BG"/>
        </w:rPr>
        <w:t xml:space="preserve">, </w:t>
      </w:r>
      <w:r w:rsidR="003C7200" w:rsidRPr="00DC2206">
        <w:rPr>
          <w:rFonts w:asciiTheme="minorHAnsi" w:hAnsiTheme="minorHAnsi"/>
          <w:lang w:val="bg-BG"/>
        </w:rPr>
        <w:t>отхвърляне и уволнение на неговите членове</w:t>
      </w:r>
      <w:r w:rsidRPr="00DC2206">
        <w:rPr>
          <w:rFonts w:asciiTheme="minorHAnsi" w:hAnsiTheme="minorHAnsi"/>
          <w:lang w:val="bg-BG"/>
        </w:rPr>
        <w:t xml:space="preserve">, </w:t>
      </w:r>
      <w:r w:rsidR="003C7200" w:rsidRPr="00DC2206">
        <w:rPr>
          <w:rFonts w:asciiTheme="minorHAnsi" w:hAnsiTheme="minorHAnsi"/>
          <w:lang w:val="bg-BG"/>
        </w:rPr>
        <w:t xml:space="preserve">за да бъде разсеяно всяко основателно съмнение в съзнанието на хората относно </w:t>
      </w:r>
      <w:r w:rsidR="004012E1">
        <w:rPr>
          <w:rFonts w:asciiTheme="minorHAnsi" w:hAnsiTheme="minorHAnsi"/>
          <w:lang w:val="bg-BG"/>
        </w:rPr>
        <w:t>неприкосновеността</w:t>
      </w:r>
      <w:r w:rsidR="003C7200" w:rsidRPr="00DC2206">
        <w:rPr>
          <w:rFonts w:asciiTheme="minorHAnsi" w:hAnsiTheme="minorHAnsi"/>
          <w:lang w:val="bg-BG"/>
        </w:rPr>
        <w:t xml:space="preserve"> на този орган </w:t>
      </w:r>
      <w:r w:rsidR="004012E1">
        <w:rPr>
          <w:rFonts w:asciiTheme="minorHAnsi" w:hAnsiTheme="minorHAnsi"/>
          <w:lang w:val="bg-BG"/>
        </w:rPr>
        <w:t>от</w:t>
      </w:r>
      <w:r w:rsidR="003C7200" w:rsidRPr="00DC2206">
        <w:rPr>
          <w:rFonts w:asciiTheme="minorHAnsi" w:hAnsiTheme="minorHAnsi"/>
          <w:lang w:val="bg-BG"/>
        </w:rPr>
        <w:t xml:space="preserve"> външни фактори и неутралността му по отношение на интересите, изложени пред него</w:t>
      </w:r>
      <w:r w:rsidRPr="00DC2206">
        <w:rPr>
          <w:rFonts w:asciiTheme="minorHAnsi" w:hAnsiTheme="minorHAnsi"/>
          <w:lang w:val="bg-BG"/>
        </w:rPr>
        <w:t xml:space="preserve">. </w:t>
      </w:r>
      <w:r w:rsidR="003C7200" w:rsidRPr="00DC2206">
        <w:rPr>
          <w:rFonts w:asciiTheme="minorHAnsi" w:hAnsiTheme="minorHAnsi"/>
          <w:lang w:val="bg-BG"/>
        </w:rPr>
        <w:t xml:space="preserve">За да се вземе предвид условието относно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3C7200" w:rsidRPr="00DC2206">
        <w:rPr>
          <w:rFonts w:asciiTheme="minorHAnsi" w:hAnsiTheme="minorHAnsi"/>
          <w:lang w:val="bg-BG"/>
        </w:rPr>
        <w:t>на съответния орган</w:t>
      </w:r>
      <w:r w:rsidRPr="00DC2206">
        <w:rPr>
          <w:rFonts w:asciiTheme="minorHAnsi" w:hAnsiTheme="minorHAnsi"/>
          <w:lang w:val="bg-BG"/>
        </w:rPr>
        <w:t xml:space="preserve">, </w:t>
      </w:r>
      <w:r w:rsidR="001C1676" w:rsidRPr="00DC2206">
        <w:rPr>
          <w:rFonts w:asciiTheme="minorHAnsi" w:hAnsiTheme="minorHAnsi"/>
          <w:lang w:val="bg-BG"/>
        </w:rPr>
        <w:t>съдебната практика</w:t>
      </w:r>
      <w:r w:rsidRPr="00DC2206">
        <w:rPr>
          <w:rFonts w:asciiTheme="minorHAnsi" w:hAnsiTheme="minorHAnsi"/>
          <w:lang w:val="bg-BG"/>
        </w:rPr>
        <w:t xml:space="preserve"> </w:t>
      </w:r>
      <w:r w:rsidR="003C7200" w:rsidRPr="00DC2206">
        <w:rPr>
          <w:rFonts w:asciiTheme="minorHAnsi" w:hAnsiTheme="minorHAnsi"/>
          <w:lang w:val="bg-BG"/>
        </w:rPr>
        <w:t>изисква</w:t>
      </w:r>
      <w:r w:rsidRPr="00DC2206">
        <w:rPr>
          <w:rFonts w:asciiTheme="minorHAnsi" w:hAnsiTheme="minorHAnsi"/>
          <w:lang w:val="bg-BG"/>
        </w:rPr>
        <w:t xml:space="preserve">, </w:t>
      </w:r>
      <w:r w:rsidR="003C7200" w:rsidRPr="00DC2206">
        <w:rPr>
          <w:rFonts w:asciiTheme="minorHAnsi" w:hAnsiTheme="minorHAnsi"/>
          <w:lang w:val="bg-BG"/>
        </w:rPr>
        <w:t>наред с другото</w:t>
      </w:r>
      <w:r w:rsidRPr="00DC2206">
        <w:rPr>
          <w:rFonts w:asciiTheme="minorHAnsi" w:hAnsiTheme="minorHAnsi"/>
          <w:lang w:val="bg-BG"/>
        </w:rPr>
        <w:t xml:space="preserve">, </w:t>
      </w:r>
      <w:r w:rsidR="003C7200" w:rsidRPr="00DC2206">
        <w:rPr>
          <w:rFonts w:asciiTheme="minorHAnsi" w:hAnsiTheme="minorHAnsi"/>
          <w:lang w:val="bg-BG"/>
        </w:rPr>
        <w:t xml:space="preserve">уволненията на неговите членове да се определят </w:t>
      </w:r>
      <w:r w:rsidR="00F618F7">
        <w:rPr>
          <w:rFonts w:asciiTheme="minorHAnsi" w:hAnsiTheme="minorHAnsi"/>
          <w:lang w:val="bg-BG"/>
        </w:rPr>
        <w:t>с</w:t>
      </w:r>
      <w:r w:rsidR="003C7200" w:rsidRPr="00DC2206">
        <w:rPr>
          <w:rFonts w:asciiTheme="minorHAnsi" w:hAnsiTheme="minorHAnsi"/>
          <w:lang w:val="bg-BG"/>
        </w:rPr>
        <w:t xml:space="preserve"> изрични законодателни разпоредби</w:t>
      </w:r>
      <w:r w:rsidR="008561A8" w:rsidRPr="00DC2206">
        <w:rPr>
          <w:rStyle w:val="FootnoteReference"/>
          <w:rFonts w:asciiTheme="minorHAnsi" w:hAnsiTheme="minorHAnsi"/>
          <w:lang w:val="bg-BG"/>
        </w:rPr>
        <w:footnoteReference w:id="53"/>
      </w:r>
      <w:r w:rsidRPr="00DC2206">
        <w:rPr>
          <w:rFonts w:asciiTheme="minorHAnsi" w:hAnsiTheme="minorHAnsi"/>
          <w:lang w:val="bg-BG"/>
        </w:rPr>
        <w:t>.</w:t>
      </w:r>
    </w:p>
    <w:p w14:paraId="0EF7B887" w14:textId="77777777" w:rsidR="008561A8" w:rsidRPr="00DC2206" w:rsidRDefault="008561A8" w:rsidP="00732D5B">
      <w:pPr>
        <w:ind w:left="709" w:hanging="709"/>
        <w:jc w:val="both"/>
        <w:rPr>
          <w:rFonts w:asciiTheme="minorHAnsi" w:hAnsiTheme="minorHAnsi"/>
          <w:lang w:val="bg-BG"/>
        </w:rPr>
      </w:pPr>
    </w:p>
    <w:p w14:paraId="506ED19B"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eastAsia="bg-BG" w:bidi="bg-BG"/>
        </w:rPr>
        <w:t>39.</w:t>
      </w:r>
      <w:r w:rsidR="008561A8" w:rsidRPr="00DC2206">
        <w:rPr>
          <w:rFonts w:asciiTheme="minorHAnsi" w:hAnsiTheme="minorHAnsi"/>
          <w:lang w:val="bg-BG" w:eastAsia="bg-BG" w:bidi="bg-BG"/>
        </w:rPr>
        <w:tab/>
      </w:r>
      <w:r w:rsidR="001C1676" w:rsidRPr="00DC2206">
        <w:rPr>
          <w:rFonts w:asciiTheme="minorHAnsi" w:hAnsiTheme="minorHAnsi"/>
          <w:lang w:val="bg-BG"/>
        </w:rPr>
        <w:t>СЕС</w:t>
      </w:r>
      <w:r w:rsidRPr="00DC2206">
        <w:rPr>
          <w:rFonts w:asciiTheme="minorHAnsi" w:hAnsiTheme="minorHAnsi"/>
          <w:lang w:val="bg-BG"/>
        </w:rPr>
        <w:t xml:space="preserve"> </w:t>
      </w:r>
      <w:r w:rsidR="003C7200" w:rsidRPr="00DC2206">
        <w:rPr>
          <w:rFonts w:asciiTheme="minorHAnsi" w:hAnsiTheme="minorHAnsi"/>
          <w:lang w:val="bg-BG"/>
        </w:rPr>
        <w:t>посочва</w:t>
      </w:r>
      <w:r w:rsidRPr="00DC2206">
        <w:rPr>
          <w:rFonts w:asciiTheme="minorHAnsi" w:hAnsiTheme="minorHAnsi"/>
          <w:lang w:val="bg-BG"/>
        </w:rPr>
        <w:t xml:space="preserve">, </w:t>
      </w:r>
      <w:r w:rsidR="003C7200" w:rsidRPr="00DC2206">
        <w:rPr>
          <w:rFonts w:asciiTheme="minorHAnsi" w:hAnsiTheme="minorHAnsi"/>
          <w:lang w:val="bg-BG"/>
        </w:rPr>
        <w:t xml:space="preserve">по отношение на </w:t>
      </w:r>
      <w:r w:rsidR="00A0730F" w:rsidRPr="00DC2206">
        <w:rPr>
          <w:rFonts w:asciiTheme="minorHAnsi" w:hAnsiTheme="minorHAnsi"/>
          <w:lang w:val="bg-BG"/>
        </w:rPr>
        <w:t>прокурори</w:t>
      </w:r>
      <w:r w:rsidR="003C7200" w:rsidRPr="00DC2206">
        <w:rPr>
          <w:rFonts w:asciiTheme="minorHAnsi" w:hAnsiTheme="minorHAnsi"/>
          <w:lang w:val="bg-BG"/>
        </w:rPr>
        <w:t xml:space="preserve">те и като тълкува концепцията за „издаващ съдебен орган” </w:t>
      </w:r>
      <w:r w:rsidR="00F618F7">
        <w:rPr>
          <w:rFonts w:asciiTheme="minorHAnsi" w:hAnsiTheme="minorHAnsi"/>
          <w:lang w:val="bg-BG"/>
        </w:rPr>
        <w:t>във връзка с</w:t>
      </w:r>
      <w:r w:rsidR="003C7200" w:rsidRPr="00DC2206">
        <w:rPr>
          <w:rFonts w:asciiTheme="minorHAnsi" w:hAnsiTheme="minorHAnsi"/>
          <w:lang w:val="bg-BG"/>
        </w:rPr>
        <w:t xml:space="preserve"> </w:t>
      </w:r>
      <w:r w:rsidR="00FA36D1" w:rsidRPr="00DC2206">
        <w:rPr>
          <w:rFonts w:asciiTheme="minorHAnsi" w:hAnsiTheme="minorHAnsi"/>
          <w:lang w:val="bg-BG"/>
        </w:rPr>
        <w:t>Европейска заповед</w:t>
      </w:r>
      <w:r w:rsidR="00BE08F5">
        <w:rPr>
          <w:rFonts w:asciiTheme="minorHAnsi" w:hAnsiTheme="minorHAnsi"/>
          <w:lang w:val="bg-BG"/>
        </w:rPr>
        <w:t xml:space="preserve"> за арест</w:t>
      </w:r>
      <w:r w:rsidR="008561A8" w:rsidRPr="00DC2206">
        <w:rPr>
          <w:rStyle w:val="FootnoteReference"/>
          <w:rFonts w:asciiTheme="minorHAnsi" w:hAnsiTheme="minorHAnsi"/>
          <w:lang w:val="bg-BG"/>
        </w:rPr>
        <w:footnoteReference w:id="54"/>
      </w:r>
      <w:r w:rsidRPr="00DC2206">
        <w:rPr>
          <w:rFonts w:asciiTheme="minorHAnsi" w:hAnsiTheme="minorHAnsi"/>
          <w:lang w:val="bg-BG"/>
        </w:rPr>
        <w:t xml:space="preserve">, </w:t>
      </w:r>
      <w:r w:rsidR="00FA36D1" w:rsidRPr="00DC2206">
        <w:rPr>
          <w:rFonts w:asciiTheme="minorHAnsi" w:hAnsiTheme="minorHAnsi"/>
          <w:lang w:val="bg-BG"/>
        </w:rPr>
        <w:t>че член </w:t>
      </w:r>
      <w:r w:rsidRPr="00DC2206">
        <w:rPr>
          <w:rFonts w:asciiTheme="minorHAnsi" w:hAnsiTheme="minorHAnsi"/>
          <w:lang w:val="bg-BG"/>
        </w:rPr>
        <w:t xml:space="preserve">64 </w:t>
      </w:r>
      <w:r w:rsidR="00FA36D1" w:rsidRPr="00DC2206">
        <w:rPr>
          <w:rFonts w:asciiTheme="minorHAnsi" w:hAnsiTheme="minorHAnsi"/>
          <w:lang w:val="bg-BG"/>
        </w:rPr>
        <w:t xml:space="preserve">от френската Конституция гарантира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FA36D1" w:rsidRPr="00DC2206">
        <w:rPr>
          <w:rFonts w:asciiTheme="minorHAnsi" w:hAnsiTheme="minorHAnsi"/>
          <w:lang w:val="bg-BG"/>
        </w:rPr>
        <w:t>на съдебните органи</w:t>
      </w:r>
      <w:r w:rsidRPr="00DC2206">
        <w:rPr>
          <w:rFonts w:asciiTheme="minorHAnsi" w:hAnsiTheme="minorHAnsi"/>
          <w:lang w:val="bg-BG"/>
        </w:rPr>
        <w:t xml:space="preserve">, </w:t>
      </w:r>
      <w:r w:rsidR="00FA36D1" w:rsidRPr="00DC2206">
        <w:rPr>
          <w:rFonts w:asciiTheme="minorHAnsi" w:hAnsiTheme="minorHAnsi"/>
          <w:lang w:val="bg-BG"/>
        </w:rPr>
        <w:t xml:space="preserve">която включва съдиите и </w:t>
      </w:r>
      <w:r w:rsidR="00A0730F" w:rsidRPr="00DC2206">
        <w:rPr>
          <w:rFonts w:asciiTheme="minorHAnsi" w:hAnsiTheme="minorHAnsi"/>
          <w:lang w:val="bg-BG"/>
        </w:rPr>
        <w:t>прокурори</w:t>
      </w:r>
      <w:r w:rsidR="00FA36D1" w:rsidRPr="00DC2206">
        <w:rPr>
          <w:rFonts w:asciiTheme="minorHAnsi" w:hAnsiTheme="minorHAnsi"/>
          <w:lang w:val="bg-BG"/>
        </w:rPr>
        <w:t>те</w:t>
      </w:r>
      <w:r w:rsidRPr="00DC2206">
        <w:rPr>
          <w:rFonts w:asciiTheme="minorHAnsi" w:hAnsiTheme="minorHAnsi"/>
          <w:lang w:val="bg-BG"/>
        </w:rPr>
        <w:t xml:space="preserve">, </w:t>
      </w:r>
      <w:r w:rsidR="00FA36D1" w:rsidRPr="00DC2206">
        <w:rPr>
          <w:rFonts w:asciiTheme="minorHAnsi" w:hAnsiTheme="minorHAnsi"/>
          <w:lang w:val="bg-BG"/>
        </w:rPr>
        <w:t>и че прокуратурата изпълнява своите задължения обективно</w:t>
      </w:r>
      <w:r w:rsidRPr="00DC2206">
        <w:rPr>
          <w:rFonts w:asciiTheme="minorHAnsi" w:hAnsiTheme="minorHAnsi"/>
          <w:lang w:val="bg-BG"/>
        </w:rPr>
        <w:t xml:space="preserve">, </w:t>
      </w:r>
      <w:r w:rsidR="00FA36D1" w:rsidRPr="00DC2206">
        <w:rPr>
          <w:rFonts w:asciiTheme="minorHAnsi" w:hAnsiTheme="minorHAnsi"/>
          <w:lang w:val="bg-BG"/>
        </w:rPr>
        <w:t xml:space="preserve">без никакви </w:t>
      </w:r>
      <w:r w:rsidR="005326DE">
        <w:rPr>
          <w:rFonts w:asciiTheme="minorHAnsi" w:hAnsiTheme="minorHAnsi"/>
          <w:lang w:val="bg-BG"/>
        </w:rPr>
        <w:t>указания</w:t>
      </w:r>
      <w:r w:rsidR="00FA36D1" w:rsidRPr="00DC2206">
        <w:rPr>
          <w:rFonts w:asciiTheme="minorHAnsi" w:hAnsiTheme="minorHAnsi"/>
          <w:lang w:val="bg-BG"/>
        </w:rPr>
        <w:t xml:space="preserve"> по конкретно дело от изпълнителната власт, тъй като министърът на правосъдието може да издава само общи </w:t>
      </w:r>
      <w:r w:rsidR="005326DE">
        <w:rPr>
          <w:rFonts w:asciiTheme="minorHAnsi" w:hAnsiTheme="minorHAnsi"/>
          <w:lang w:val="bg-BG"/>
        </w:rPr>
        <w:t>указания</w:t>
      </w:r>
      <w:r w:rsidR="00FA36D1" w:rsidRPr="00DC2206">
        <w:rPr>
          <w:rFonts w:asciiTheme="minorHAnsi" w:hAnsiTheme="minorHAnsi"/>
          <w:lang w:val="bg-BG"/>
        </w:rPr>
        <w:t xml:space="preserve">, засягащи наказателната правосъдна политика, на </w:t>
      </w:r>
      <w:r w:rsidR="00A0730F" w:rsidRPr="00DC2206">
        <w:rPr>
          <w:rFonts w:asciiTheme="minorHAnsi" w:hAnsiTheme="minorHAnsi"/>
          <w:lang w:val="bg-BG"/>
        </w:rPr>
        <w:t>прокурори</w:t>
      </w:r>
      <w:r w:rsidR="00FA36D1" w:rsidRPr="00DC2206">
        <w:rPr>
          <w:rFonts w:asciiTheme="minorHAnsi" w:hAnsiTheme="minorHAnsi"/>
          <w:lang w:val="bg-BG"/>
        </w:rPr>
        <w:t>те, за да гарантира, че политиката се прилага последователно на цялата територия</w:t>
      </w:r>
      <w:r w:rsidRPr="00DC2206">
        <w:rPr>
          <w:rFonts w:asciiTheme="minorHAnsi" w:hAnsiTheme="minorHAnsi"/>
          <w:lang w:val="bg-BG"/>
        </w:rPr>
        <w:t xml:space="preserve">. </w:t>
      </w:r>
      <w:r w:rsidR="00FA36D1" w:rsidRPr="00DC2206">
        <w:rPr>
          <w:rFonts w:asciiTheme="minorHAnsi" w:hAnsiTheme="minorHAnsi"/>
          <w:lang w:val="bg-BG"/>
        </w:rPr>
        <w:t>Според това правителство</w:t>
      </w:r>
      <w:r w:rsidRPr="00DC2206">
        <w:rPr>
          <w:rFonts w:asciiTheme="minorHAnsi" w:hAnsiTheme="minorHAnsi"/>
          <w:lang w:val="bg-BG"/>
        </w:rPr>
        <w:t xml:space="preserve">, </w:t>
      </w:r>
      <w:r w:rsidR="00FA36D1" w:rsidRPr="00DC2206">
        <w:rPr>
          <w:rFonts w:asciiTheme="minorHAnsi" w:hAnsiTheme="minorHAnsi"/>
          <w:lang w:val="bg-BG"/>
        </w:rPr>
        <w:t xml:space="preserve">тези общи </w:t>
      </w:r>
      <w:r w:rsidR="005326DE">
        <w:rPr>
          <w:rFonts w:asciiTheme="minorHAnsi" w:hAnsiTheme="minorHAnsi"/>
          <w:lang w:val="bg-BG"/>
        </w:rPr>
        <w:t>указания</w:t>
      </w:r>
      <w:r w:rsidR="00FA36D1" w:rsidRPr="00DC2206">
        <w:rPr>
          <w:rFonts w:asciiTheme="minorHAnsi" w:hAnsiTheme="minorHAnsi"/>
          <w:lang w:val="bg-BG"/>
        </w:rPr>
        <w:t xml:space="preserve"> при никакви обстоятелства не могат да имат за свой ефект възпиране на даден прокурор да упражнява своето право на преценка относно пропорционалността на издаването на европейска заповед за арест</w:t>
      </w:r>
      <w:r w:rsidRPr="00DC2206">
        <w:rPr>
          <w:rFonts w:asciiTheme="minorHAnsi" w:hAnsiTheme="minorHAnsi"/>
          <w:lang w:val="bg-BG"/>
        </w:rPr>
        <w:t xml:space="preserve">. </w:t>
      </w:r>
      <w:r w:rsidR="00FA36D1" w:rsidRPr="00DC2206">
        <w:rPr>
          <w:rFonts w:asciiTheme="minorHAnsi" w:hAnsiTheme="minorHAnsi"/>
          <w:lang w:val="bg-BG"/>
        </w:rPr>
        <w:t>Освен това</w:t>
      </w:r>
      <w:r w:rsidRPr="00DC2206">
        <w:rPr>
          <w:rFonts w:asciiTheme="minorHAnsi" w:hAnsiTheme="minorHAnsi"/>
          <w:lang w:val="bg-BG"/>
        </w:rPr>
        <w:t xml:space="preserve">, </w:t>
      </w:r>
      <w:r w:rsidR="00FA36D1" w:rsidRPr="00DC2206">
        <w:rPr>
          <w:rFonts w:asciiTheme="minorHAnsi" w:hAnsiTheme="minorHAnsi"/>
          <w:lang w:val="bg-BG"/>
        </w:rPr>
        <w:t xml:space="preserve">прокуратурата провежда разследвания и гарантира, че законът се прилага в съответствие с принципа на </w:t>
      </w:r>
      <w:r w:rsidR="00AD1FEF" w:rsidRPr="00DC2206">
        <w:rPr>
          <w:rFonts w:asciiTheme="minorHAnsi" w:hAnsiTheme="minorHAnsi"/>
          <w:lang w:val="bg-BG"/>
        </w:rPr>
        <w:t>безпристрастност</w:t>
      </w:r>
      <w:r w:rsidR="008561A8" w:rsidRPr="00DC2206">
        <w:rPr>
          <w:rStyle w:val="FootnoteReference"/>
          <w:rFonts w:asciiTheme="minorHAnsi" w:hAnsiTheme="minorHAnsi"/>
          <w:lang w:val="bg-BG"/>
        </w:rPr>
        <w:footnoteReference w:id="55"/>
      </w:r>
      <w:r w:rsidRPr="00DC2206">
        <w:rPr>
          <w:rFonts w:asciiTheme="minorHAnsi" w:hAnsiTheme="minorHAnsi"/>
          <w:lang w:val="bg-BG"/>
        </w:rPr>
        <w:t>.</w:t>
      </w:r>
    </w:p>
    <w:p w14:paraId="466C1AD9" w14:textId="77777777" w:rsidR="008561A8" w:rsidRPr="00DC2206" w:rsidRDefault="008561A8" w:rsidP="00732D5B">
      <w:pPr>
        <w:ind w:left="709" w:hanging="709"/>
        <w:jc w:val="both"/>
        <w:rPr>
          <w:rFonts w:asciiTheme="minorHAnsi" w:hAnsiTheme="minorHAnsi"/>
          <w:lang w:val="bg-BG"/>
        </w:rPr>
      </w:pPr>
    </w:p>
    <w:p w14:paraId="3C4ED41E"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40.</w:t>
      </w:r>
      <w:r w:rsidR="008561A8" w:rsidRPr="00DC2206">
        <w:rPr>
          <w:rFonts w:asciiTheme="minorHAnsi" w:hAnsiTheme="minorHAnsi"/>
          <w:lang w:val="bg-BG"/>
        </w:rPr>
        <w:tab/>
      </w:r>
      <w:r w:rsidR="00B910DC" w:rsidRPr="00DC2206">
        <w:rPr>
          <w:rFonts w:asciiTheme="minorHAnsi" w:hAnsiTheme="minorHAnsi"/>
          <w:lang w:val="bg-BG"/>
        </w:rPr>
        <w:t>По този начин</w:t>
      </w:r>
      <w:r w:rsidRPr="00DC2206">
        <w:rPr>
          <w:rFonts w:asciiTheme="minorHAnsi" w:hAnsiTheme="minorHAnsi"/>
          <w:lang w:val="bg-BG"/>
        </w:rPr>
        <w:t xml:space="preserve">, </w:t>
      </w:r>
      <w:r w:rsidR="001C1676" w:rsidRPr="00DC2206">
        <w:rPr>
          <w:rFonts w:asciiTheme="minorHAnsi" w:hAnsiTheme="minorHAnsi"/>
          <w:lang w:val="bg-BG"/>
        </w:rPr>
        <w:t>СЕС</w:t>
      </w:r>
      <w:r w:rsidRPr="00DC2206">
        <w:rPr>
          <w:rFonts w:asciiTheme="minorHAnsi" w:hAnsiTheme="minorHAnsi"/>
          <w:lang w:val="bg-BG"/>
        </w:rPr>
        <w:t xml:space="preserve"> </w:t>
      </w:r>
      <w:r w:rsidR="00B910DC" w:rsidRPr="00DC2206">
        <w:rPr>
          <w:rFonts w:asciiTheme="minorHAnsi" w:hAnsiTheme="minorHAnsi"/>
          <w:lang w:val="bg-BG"/>
        </w:rPr>
        <w:t xml:space="preserve">подчертава няколко критерия, които да бъдат преценени, ако конкретен прокурор </w:t>
      </w:r>
      <w:r w:rsidR="00297E6A" w:rsidRPr="00DC2206">
        <w:rPr>
          <w:rFonts w:asciiTheme="minorHAnsi" w:hAnsiTheme="minorHAnsi"/>
          <w:lang w:val="bg-BG"/>
        </w:rPr>
        <w:t xml:space="preserve">ще се разглежда като издаващ съдебен орган </w:t>
      </w:r>
      <w:r w:rsidR="00F618F7">
        <w:rPr>
          <w:rFonts w:asciiTheme="minorHAnsi" w:hAnsiTheme="minorHAnsi"/>
          <w:lang w:val="bg-BG"/>
        </w:rPr>
        <w:t>във връзка с</w:t>
      </w:r>
      <w:r w:rsidR="00297E6A" w:rsidRPr="00DC2206">
        <w:rPr>
          <w:rFonts w:asciiTheme="minorHAnsi" w:hAnsiTheme="minorHAnsi"/>
          <w:lang w:val="bg-BG"/>
        </w:rPr>
        <w:t xml:space="preserve"> европейска заповед за арест</w:t>
      </w:r>
      <w:r w:rsidRPr="00DC2206">
        <w:rPr>
          <w:rFonts w:asciiTheme="minorHAnsi" w:hAnsiTheme="minorHAnsi"/>
          <w:lang w:val="bg-BG"/>
        </w:rPr>
        <w:t>:</w:t>
      </w:r>
    </w:p>
    <w:p w14:paraId="372C6235" w14:textId="77777777" w:rsidR="003C7200" w:rsidRPr="00DC2206" w:rsidRDefault="003C7200" w:rsidP="008561A8">
      <w:pPr>
        <w:pStyle w:val="1"/>
      </w:pPr>
    </w:p>
    <w:p w14:paraId="3CC066E4" w14:textId="77777777" w:rsidR="00C61601" w:rsidRPr="00DC2206" w:rsidRDefault="003C7200" w:rsidP="003C7200">
      <w:pPr>
        <w:pStyle w:val="1"/>
        <w:ind w:left="1134"/>
      </w:pPr>
      <w:r w:rsidRPr="00DC2206">
        <w:t>•</w:t>
      </w:r>
      <w:r w:rsidRPr="00DC2206">
        <w:tab/>
      </w:r>
      <w:r w:rsidR="00297E6A" w:rsidRPr="00DC2206">
        <w:t>участва в правораздаването</w:t>
      </w:r>
      <w:r w:rsidR="00521963" w:rsidRPr="00DC2206">
        <w:t>;</w:t>
      </w:r>
    </w:p>
    <w:p w14:paraId="3C38184A" w14:textId="77777777" w:rsidR="00C61601" w:rsidRPr="00DC2206" w:rsidRDefault="003C7200" w:rsidP="003C7200">
      <w:pPr>
        <w:pStyle w:val="1"/>
        <w:ind w:left="1134"/>
      </w:pPr>
      <w:r w:rsidRPr="00DC2206">
        <w:t>•</w:t>
      </w:r>
      <w:r w:rsidRPr="00DC2206">
        <w:tab/>
      </w:r>
      <w:r w:rsidR="00457BFF" w:rsidRPr="00DC2206">
        <w:t>дей</w:t>
      </w:r>
      <w:r w:rsidR="00297E6A" w:rsidRPr="00DC2206">
        <w:t>ства обективно</w:t>
      </w:r>
      <w:r w:rsidR="00521963" w:rsidRPr="00DC2206">
        <w:t>;</w:t>
      </w:r>
    </w:p>
    <w:p w14:paraId="4F089218" w14:textId="77777777" w:rsidR="00C61601" w:rsidRPr="00DC2206" w:rsidRDefault="003C7200" w:rsidP="003C7200">
      <w:pPr>
        <w:pStyle w:val="1"/>
        <w:ind w:left="1134"/>
      </w:pPr>
      <w:r w:rsidRPr="00DC2206">
        <w:t>•</w:t>
      </w:r>
      <w:r w:rsidRPr="00DC2206">
        <w:tab/>
      </w:r>
      <w:r w:rsidR="00297E6A" w:rsidRPr="00DC2206">
        <w:t>независим</w:t>
      </w:r>
      <w:r w:rsidR="00457BFF" w:rsidRPr="00DC2206">
        <w:t xml:space="preserve"> е</w:t>
      </w:r>
      <w:r w:rsidR="00521963" w:rsidRPr="00DC2206">
        <w:t>;</w:t>
      </w:r>
    </w:p>
    <w:p w14:paraId="16D979F0" w14:textId="77777777" w:rsidR="00C61601" w:rsidRPr="00DC2206" w:rsidRDefault="003C7200" w:rsidP="003C7200">
      <w:pPr>
        <w:pStyle w:val="1"/>
        <w:ind w:left="1134"/>
      </w:pPr>
      <w:r w:rsidRPr="00DC2206">
        <w:t>•</w:t>
      </w:r>
      <w:r w:rsidRPr="00DC2206">
        <w:tab/>
      </w:r>
      <w:r w:rsidR="00297E6A" w:rsidRPr="00DC2206">
        <w:t>подлежи на съдебно наблюдение и контрол</w:t>
      </w:r>
      <w:r w:rsidR="008561A8" w:rsidRPr="00DC2206">
        <w:rPr>
          <w:rStyle w:val="FootnoteReference"/>
        </w:rPr>
        <w:footnoteReference w:id="56"/>
      </w:r>
      <w:r w:rsidR="00521963" w:rsidRPr="00DC2206">
        <w:t>.</w:t>
      </w:r>
    </w:p>
    <w:p w14:paraId="3027B026" w14:textId="77777777" w:rsidR="008561A8" w:rsidRPr="00DC2206" w:rsidRDefault="008561A8" w:rsidP="00732D5B">
      <w:pPr>
        <w:tabs>
          <w:tab w:val="center" w:pos="4273"/>
          <w:tab w:val="left" w:pos="7706"/>
          <w:tab w:val="center" w:pos="8362"/>
        </w:tabs>
        <w:ind w:left="709" w:hanging="709"/>
        <w:jc w:val="both"/>
        <w:rPr>
          <w:rFonts w:asciiTheme="minorHAnsi" w:hAnsiTheme="minorHAnsi"/>
          <w:lang w:val="bg-BG"/>
        </w:rPr>
      </w:pPr>
    </w:p>
    <w:p w14:paraId="7D9D71F9" w14:textId="77777777" w:rsidR="00C61601" w:rsidRPr="00DC2206" w:rsidRDefault="00521963" w:rsidP="008561A8">
      <w:pPr>
        <w:ind w:left="709" w:hanging="709"/>
        <w:jc w:val="both"/>
        <w:rPr>
          <w:rFonts w:asciiTheme="minorHAnsi" w:hAnsiTheme="minorHAnsi"/>
          <w:lang w:val="bg-BG"/>
        </w:rPr>
      </w:pPr>
      <w:r w:rsidRPr="00DC2206">
        <w:rPr>
          <w:rFonts w:asciiTheme="minorHAnsi" w:hAnsiTheme="minorHAnsi"/>
          <w:lang w:val="bg-BG"/>
        </w:rPr>
        <w:t xml:space="preserve">41. </w:t>
      </w:r>
      <w:r w:rsidR="008561A8" w:rsidRPr="00DC2206">
        <w:rPr>
          <w:rFonts w:asciiTheme="minorHAnsi" w:hAnsiTheme="minorHAnsi"/>
          <w:lang w:val="bg-BG"/>
        </w:rPr>
        <w:tab/>
      </w:r>
      <w:r w:rsidR="00297E6A" w:rsidRPr="00DC2206">
        <w:rPr>
          <w:rFonts w:asciiTheme="minorHAnsi" w:hAnsiTheme="minorHAnsi"/>
          <w:lang w:val="bg-BG"/>
        </w:rPr>
        <w:t>Щ</w:t>
      </w:r>
      <w:r w:rsidR="00F618F7">
        <w:rPr>
          <w:rFonts w:asciiTheme="minorHAnsi" w:hAnsiTheme="minorHAnsi"/>
          <w:lang w:val="bg-BG"/>
        </w:rPr>
        <w:t>о</w:t>
      </w:r>
      <w:r w:rsidR="00297E6A" w:rsidRPr="00DC2206">
        <w:rPr>
          <w:rFonts w:asciiTheme="minorHAnsi" w:hAnsiTheme="minorHAnsi"/>
          <w:lang w:val="bg-BG"/>
        </w:rPr>
        <w:t xml:space="preserve"> се отнася до третия критерий</w:t>
      </w:r>
      <w:r w:rsidRPr="00DC2206">
        <w:rPr>
          <w:rFonts w:asciiTheme="minorHAnsi" w:hAnsiTheme="minorHAnsi"/>
          <w:lang w:val="bg-BG"/>
        </w:rPr>
        <w:t xml:space="preserve">, </w:t>
      </w:r>
      <w:r w:rsidR="00297E6A" w:rsidRPr="00DC2206">
        <w:rPr>
          <w:rFonts w:asciiTheme="minorHAnsi" w:hAnsiTheme="minorHAnsi"/>
          <w:lang w:val="bg-BG"/>
        </w:rPr>
        <w:t xml:space="preserve">той изисква законоустановени правила и институционална рамка, които са в състояние да гарантират, че издаващият съдебен орган </w:t>
      </w:r>
      <w:r w:rsidR="00297E6A" w:rsidRPr="00DC2206">
        <w:rPr>
          <w:rFonts w:asciiTheme="minorHAnsi" w:hAnsiTheme="minorHAnsi"/>
          <w:lang w:val="bg-BG"/>
        </w:rPr>
        <w:lastRenderedPageBreak/>
        <w:t>не е изложен</w:t>
      </w:r>
      <w:r w:rsidRPr="00DC2206">
        <w:rPr>
          <w:rFonts w:asciiTheme="minorHAnsi" w:hAnsiTheme="minorHAnsi"/>
          <w:lang w:val="bg-BG"/>
        </w:rPr>
        <w:t>,</w:t>
      </w:r>
      <w:r w:rsidR="008561A8" w:rsidRPr="00DC2206">
        <w:rPr>
          <w:rFonts w:asciiTheme="minorHAnsi" w:hAnsiTheme="minorHAnsi"/>
          <w:lang w:val="bg-BG"/>
        </w:rPr>
        <w:t xml:space="preserve"> </w:t>
      </w:r>
      <w:r w:rsidR="00297E6A" w:rsidRPr="00DC2206">
        <w:rPr>
          <w:rFonts w:asciiTheme="minorHAnsi" w:hAnsiTheme="minorHAnsi"/>
          <w:lang w:val="bg-BG"/>
        </w:rPr>
        <w:t>при приемането на решение да издаде такава заповед за арест</w:t>
      </w:r>
      <w:r w:rsidRPr="00DC2206">
        <w:rPr>
          <w:rFonts w:asciiTheme="minorHAnsi" w:hAnsiTheme="minorHAnsi"/>
          <w:lang w:val="bg-BG"/>
        </w:rPr>
        <w:t>,</w:t>
      </w:r>
      <w:r w:rsidR="008561A8" w:rsidRPr="00DC2206">
        <w:rPr>
          <w:rFonts w:asciiTheme="minorHAnsi" w:hAnsiTheme="minorHAnsi"/>
          <w:lang w:val="bg-BG"/>
        </w:rPr>
        <w:t xml:space="preserve"> </w:t>
      </w:r>
      <w:r w:rsidR="00297E6A" w:rsidRPr="00DC2206">
        <w:rPr>
          <w:rFonts w:asciiTheme="minorHAnsi" w:hAnsiTheme="minorHAnsi"/>
          <w:lang w:val="bg-BG"/>
        </w:rPr>
        <w:t xml:space="preserve">на никакъв риск от това да </w:t>
      </w:r>
      <w:r w:rsidR="003550A1">
        <w:rPr>
          <w:rFonts w:asciiTheme="minorHAnsi" w:hAnsiTheme="minorHAnsi"/>
          <w:lang w:val="bg-BG"/>
        </w:rPr>
        <w:t>получи</w:t>
      </w:r>
      <w:r w:rsidRPr="00DC2206">
        <w:rPr>
          <w:rFonts w:asciiTheme="minorHAnsi" w:hAnsiTheme="minorHAnsi"/>
          <w:lang w:val="bg-BG"/>
        </w:rPr>
        <w:t>,</w:t>
      </w:r>
      <w:r w:rsidR="008561A8" w:rsidRPr="00DC2206">
        <w:rPr>
          <w:rFonts w:asciiTheme="minorHAnsi" w:hAnsiTheme="minorHAnsi"/>
          <w:lang w:val="bg-BG"/>
        </w:rPr>
        <w:t xml:space="preserve"> </w:t>
      </w:r>
      <w:r w:rsidR="00297E6A" w:rsidRPr="00DC2206">
        <w:rPr>
          <w:rFonts w:asciiTheme="minorHAnsi" w:hAnsiTheme="minorHAnsi"/>
          <w:lang w:val="bg-BG"/>
        </w:rPr>
        <w:t>наред с другото</w:t>
      </w:r>
      <w:r w:rsidRPr="00DC2206">
        <w:rPr>
          <w:rFonts w:asciiTheme="minorHAnsi" w:hAnsiTheme="minorHAnsi"/>
          <w:lang w:val="bg-BG"/>
        </w:rPr>
        <w:t>,</w:t>
      </w:r>
      <w:r w:rsidR="008561A8" w:rsidRPr="00DC2206">
        <w:rPr>
          <w:rFonts w:asciiTheme="minorHAnsi" w:hAnsiTheme="minorHAnsi"/>
          <w:lang w:val="bg-BG"/>
        </w:rPr>
        <w:t xml:space="preserve"> </w:t>
      </w:r>
      <w:r w:rsidR="005326DE">
        <w:rPr>
          <w:rFonts w:asciiTheme="minorHAnsi" w:hAnsiTheme="minorHAnsi"/>
          <w:lang w:val="bg-BG"/>
        </w:rPr>
        <w:t>указание</w:t>
      </w:r>
      <w:r w:rsidR="00297E6A" w:rsidRPr="00DC2206">
        <w:rPr>
          <w:rFonts w:asciiTheme="minorHAnsi" w:hAnsiTheme="minorHAnsi"/>
          <w:lang w:val="bg-BG"/>
        </w:rPr>
        <w:t xml:space="preserve"> по конкретно дело от изпълнителната власт</w:t>
      </w:r>
      <w:r w:rsidR="008561A8" w:rsidRPr="00DC2206">
        <w:rPr>
          <w:rStyle w:val="FootnoteReference"/>
          <w:rFonts w:asciiTheme="minorHAnsi" w:hAnsiTheme="minorHAnsi"/>
          <w:lang w:val="bg-BG"/>
        </w:rPr>
        <w:footnoteReference w:id="57"/>
      </w:r>
      <w:r w:rsidRPr="00DC2206">
        <w:rPr>
          <w:rFonts w:asciiTheme="minorHAnsi" w:hAnsiTheme="minorHAnsi"/>
          <w:lang w:val="bg-BG"/>
        </w:rPr>
        <w:t>.</w:t>
      </w:r>
    </w:p>
    <w:p w14:paraId="1C2A6B4C" w14:textId="77777777" w:rsidR="008561A8" w:rsidRPr="00DC2206" w:rsidRDefault="008561A8" w:rsidP="00732D5B">
      <w:pPr>
        <w:ind w:left="709" w:hanging="709"/>
        <w:jc w:val="both"/>
        <w:rPr>
          <w:rFonts w:asciiTheme="minorHAnsi" w:hAnsiTheme="minorHAnsi"/>
          <w:lang w:val="bg-BG"/>
        </w:rPr>
      </w:pPr>
    </w:p>
    <w:p w14:paraId="2263169B"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42.</w:t>
      </w:r>
      <w:r w:rsidR="008561A8" w:rsidRPr="00DC2206">
        <w:rPr>
          <w:rFonts w:asciiTheme="minorHAnsi" w:hAnsiTheme="minorHAnsi"/>
          <w:lang w:val="bg-BG"/>
        </w:rPr>
        <w:tab/>
      </w:r>
      <w:r w:rsidR="00297E6A" w:rsidRPr="00DC2206">
        <w:rPr>
          <w:rFonts w:asciiTheme="minorHAnsi" w:hAnsiTheme="minorHAnsi"/>
          <w:lang w:val="bg-BG"/>
        </w:rPr>
        <w:t>Следователно</w:t>
      </w:r>
      <w:r w:rsidRPr="00DC2206">
        <w:rPr>
          <w:rFonts w:asciiTheme="minorHAnsi" w:hAnsiTheme="minorHAnsi"/>
          <w:lang w:val="bg-BG"/>
        </w:rPr>
        <w:t xml:space="preserve">, </w:t>
      </w:r>
      <w:r w:rsidR="00A0730F" w:rsidRPr="00DC2206">
        <w:rPr>
          <w:rFonts w:asciiTheme="minorHAnsi" w:hAnsiTheme="minorHAnsi"/>
          <w:lang w:val="bg-BG"/>
        </w:rPr>
        <w:t>прокурори</w:t>
      </w:r>
      <w:r w:rsidRPr="00DC2206">
        <w:rPr>
          <w:rFonts w:asciiTheme="minorHAnsi" w:hAnsiTheme="minorHAnsi"/>
          <w:lang w:val="bg-BG"/>
        </w:rPr>
        <w:t xml:space="preserve"> </w:t>
      </w:r>
      <w:r w:rsidR="00297E6A" w:rsidRPr="00DC2206">
        <w:rPr>
          <w:rFonts w:asciiTheme="minorHAnsi" w:hAnsiTheme="minorHAnsi"/>
          <w:lang w:val="bg-BG"/>
        </w:rPr>
        <w:t xml:space="preserve">от държавите членки, които са отговорни за провеждането на </w:t>
      </w:r>
      <w:r w:rsidR="00FD5275" w:rsidRPr="00DC2206">
        <w:rPr>
          <w:rFonts w:asciiTheme="minorHAnsi" w:hAnsiTheme="minorHAnsi"/>
          <w:lang w:val="bg-BG"/>
        </w:rPr>
        <w:t xml:space="preserve">наказателни преследвания и които действат по нарежданията и под надзора на техните </w:t>
      </w:r>
      <w:r w:rsidR="00AD0F37">
        <w:rPr>
          <w:rFonts w:asciiTheme="minorHAnsi" w:hAnsiTheme="minorHAnsi"/>
          <w:lang w:val="bg-BG"/>
        </w:rPr>
        <w:t>горестоящ</w:t>
      </w:r>
      <w:r w:rsidR="00FD5275" w:rsidRPr="00DC2206">
        <w:rPr>
          <w:rFonts w:asciiTheme="minorHAnsi" w:hAnsiTheme="minorHAnsi"/>
          <w:lang w:val="bg-BG"/>
        </w:rPr>
        <w:t xml:space="preserve">и в йерархията, са обхванати от термина „издаващ съдебен орган” по смисъла на тази разпоредба, при условие че техният статут им предоставя гаранция за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FD5275" w:rsidRPr="00DC2206">
        <w:rPr>
          <w:rFonts w:asciiTheme="minorHAnsi" w:hAnsiTheme="minorHAnsi"/>
          <w:lang w:val="bg-BG"/>
        </w:rPr>
        <w:t>по-специално спрямо изпълнителната власт</w:t>
      </w:r>
      <w:r w:rsidRPr="00DC2206">
        <w:rPr>
          <w:rFonts w:asciiTheme="minorHAnsi" w:hAnsiTheme="minorHAnsi"/>
          <w:lang w:val="bg-BG"/>
        </w:rPr>
        <w:t xml:space="preserve">, </w:t>
      </w:r>
      <w:r w:rsidR="00FD5275" w:rsidRPr="00DC2206">
        <w:rPr>
          <w:rFonts w:asciiTheme="minorHAnsi" w:hAnsiTheme="minorHAnsi"/>
          <w:lang w:val="bg-BG"/>
        </w:rPr>
        <w:t>във връзка с издаването на европейска заповед за арест</w:t>
      </w:r>
      <w:r w:rsidR="008561A8" w:rsidRPr="00DC2206">
        <w:rPr>
          <w:rStyle w:val="FootnoteReference"/>
          <w:rFonts w:asciiTheme="minorHAnsi" w:hAnsiTheme="minorHAnsi"/>
          <w:lang w:val="bg-BG"/>
        </w:rPr>
        <w:footnoteReference w:id="58"/>
      </w:r>
      <w:r w:rsidRPr="00DC2206">
        <w:rPr>
          <w:rFonts w:asciiTheme="minorHAnsi" w:hAnsiTheme="minorHAnsi"/>
          <w:lang w:val="bg-BG"/>
        </w:rPr>
        <w:t xml:space="preserve">. </w:t>
      </w:r>
      <w:r w:rsidR="00FD5275" w:rsidRPr="00DC2206">
        <w:rPr>
          <w:rFonts w:asciiTheme="minorHAnsi" w:hAnsiTheme="minorHAnsi"/>
          <w:lang w:val="bg-BG"/>
        </w:rPr>
        <w:t xml:space="preserve">В допълнение към </w:t>
      </w:r>
      <w:r w:rsidR="00A0730F" w:rsidRPr="00DC2206">
        <w:rPr>
          <w:rFonts w:asciiTheme="minorHAnsi" w:hAnsiTheme="minorHAnsi"/>
          <w:lang w:val="bg-BG"/>
        </w:rPr>
        <w:t>автономия</w:t>
      </w:r>
      <w:r w:rsidR="00FD5275" w:rsidRPr="00DC2206">
        <w:rPr>
          <w:rFonts w:asciiTheme="minorHAnsi" w:hAnsiTheme="minorHAnsi"/>
          <w:lang w:val="bg-BG"/>
        </w:rPr>
        <w:t xml:space="preserve">та и </w:t>
      </w:r>
      <w:r w:rsidR="00A0730F" w:rsidRPr="00DC2206">
        <w:rPr>
          <w:rFonts w:asciiTheme="minorHAnsi" w:hAnsiTheme="minorHAnsi"/>
          <w:lang w:val="bg-BG"/>
        </w:rPr>
        <w:t>независимост</w:t>
      </w:r>
      <w:r w:rsidR="00FD5275" w:rsidRPr="00DC2206">
        <w:rPr>
          <w:rFonts w:asciiTheme="minorHAnsi" w:hAnsiTheme="minorHAnsi"/>
          <w:lang w:val="bg-BG"/>
        </w:rPr>
        <w:t xml:space="preserve">та на </w:t>
      </w:r>
      <w:r w:rsidR="00A0730F" w:rsidRPr="00DC2206">
        <w:rPr>
          <w:rFonts w:asciiTheme="minorHAnsi" w:hAnsiTheme="minorHAnsi"/>
          <w:lang w:val="bg-BG"/>
        </w:rPr>
        <w:t>прокурори</w:t>
      </w:r>
      <w:r w:rsidR="00FD5275" w:rsidRPr="00DC2206">
        <w:rPr>
          <w:rFonts w:asciiTheme="minorHAnsi" w:hAnsiTheme="minorHAnsi"/>
          <w:lang w:val="bg-BG"/>
        </w:rPr>
        <w:t>те</w:t>
      </w:r>
      <w:r w:rsidRPr="00DC2206">
        <w:rPr>
          <w:rFonts w:asciiTheme="minorHAnsi" w:hAnsiTheme="minorHAnsi"/>
          <w:lang w:val="bg-BG"/>
        </w:rPr>
        <w:t xml:space="preserve">, </w:t>
      </w:r>
      <w:r w:rsidR="00FD5275" w:rsidRPr="00DC2206">
        <w:rPr>
          <w:rFonts w:asciiTheme="minorHAnsi" w:hAnsiTheme="minorHAnsi"/>
          <w:lang w:val="bg-BG"/>
        </w:rPr>
        <w:t>техните решения за издаване на европейска заповед за арест трябва да подлежат на съдебен контрол</w:t>
      </w:r>
      <w:r w:rsidR="008561A8" w:rsidRPr="00DC2206">
        <w:rPr>
          <w:rStyle w:val="FootnoteReference"/>
          <w:rFonts w:asciiTheme="minorHAnsi" w:hAnsiTheme="minorHAnsi"/>
          <w:lang w:val="bg-BG"/>
        </w:rPr>
        <w:footnoteReference w:id="59"/>
      </w:r>
      <w:r w:rsidRPr="00DC2206">
        <w:rPr>
          <w:rFonts w:asciiTheme="minorHAnsi" w:hAnsiTheme="minorHAnsi"/>
          <w:lang w:val="bg-BG"/>
        </w:rPr>
        <w:t>.</w:t>
      </w:r>
    </w:p>
    <w:p w14:paraId="4E670389" w14:textId="77777777" w:rsidR="008561A8" w:rsidRPr="00DC2206" w:rsidRDefault="008561A8" w:rsidP="00732D5B">
      <w:pPr>
        <w:ind w:left="709" w:hanging="709"/>
        <w:jc w:val="both"/>
        <w:rPr>
          <w:rFonts w:asciiTheme="minorHAnsi" w:hAnsiTheme="minorHAnsi"/>
          <w:lang w:val="bg-BG"/>
        </w:rPr>
      </w:pPr>
    </w:p>
    <w:p w14:paraId="60FF86B2" w14:textId="77777777" w:rsidR="00C61601" w:rsidRPr="00DC2206" w:rsidRDefault="00CD3FDB" w:rsidP="00732D5B">
      <w:pPr>
        <w:tabs>
          <w:tab w:val="left" w:pos="347"/>
        </w:tabs>
        <w:ind w:left="709" w:hanging="709"/>
        <w:jc w:val="both"/>
        <w:outlineLvl w:val="1"/>
        <w:rPr>
          <w:rFonts w:asciiTheme="minorHAnsi" w:hAnsiTheme="minorHAnsi"/>
          <w:b/>
          <w:lang w:val="bg-BG"/>
        </w:rPr>
      </w:pPr>
      <w:bookmarkStart w:id="2" w:name="bookmark3"/>
      <w:r>
        <w:rPr>
          <w:rFonts w:asciiTheme="minorHAnsi" w:hAnsiTheme="minorHAnsi"/>
          <w:b/>
          <w:lang w:val="en-GB"/>
        </w:rPr>
        <w:t>Г</w:t>
      </w:r>
      <w:r w:rsidR="00521963" w:rsidRPr="00DC2206">
        <w:rPr>
          <w:rFonts w:asciiTheme="minorHAnsi" w:hAnsiTheme="minorHAnsi"/>
          <w:b/>
          <w:lang w:val="bg-BG"/>
        </w:rPr>
        <w:t>.</w:t>
      </w:r>
      <w:r w:rsidR="00297E6A" w:rsidRPr="00DC2206">
        <w:rPr>
          <w:rFonts w:asciiTheme="minorHAnsi" w:hAnsiTheme="minorHAnsi"/>
          <w:b/>
          <w:lang w:val="bg-BG"/>
        </w:rPr>
        <w:t> Съдебна практика на Интерамериканския съд по правата на човека</w:t>
      </w:r>
      <w:bookmarkEnd w:id="2"/>
    </w:p>
    <w:p w14:paraId="45DF3208" w14:textId="77777777" w:rsidR="008561A8" w:rsidRPr="00DC2206" w:rsidRDefault="008561A8" w:rsidP="00732D5B">
      <w:pPr>
        <w:ind w:left="709" w:hanging="709"/>
        <w:jc w:val="both"/>
        <w:rPr>
          <w:rFonts w:asciiTheme="minorHAnsi" w:hAnsiTheme="minorHAnsi"/>
          <w:lang w:val="bg-BG"/>
        </w:rPr>
      </w:pPr>
    </w:p>
    <w:p w14:paraId="1E8F2ECE"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43.</w:t>
      </w:r>
      <w:r w:rsidR="008561A8" w:rsidRPr="00DC2206">
        <w:rPr>
          <w:rFonts w:asciiTheme="minorHAnsi" w:hAnsiTheme="minorHAnsi"/>
          <w:lang w:val="bg-BG"/>
        </w:rPr>
        <w:tab/>
      </w:r>
      <w:r w:rsidR="00A0730F" w:rsidRPr="00DC2206">
        <w:rPr>
          <w:rFonts w:asciiTheme="minorHAnsi" w:hAnsiTheme="minorHAnsi"/>
          <w:lang w:val="bg-BG"/>
        </w:rPr>
        <w:t>Независимост</w:t>
      </w:r>
      <w:r w:rsidR="00FD5275" w:rsidRPr="00DC2206">
        <w:rPr>
          <w:rFonts w:asciiTheme="minorHAnsi" w:hAnsiTheme="minorHAnsi"/>
          <w:lang w:val="bg-BG"/>
        </w:rPr>
        <w:t>та</w:t>
      </w:r>
      <w:r w:rsidRPr="00DC2206">
        <w:rPr>
          <w:rFonts w:asciiTheme="minorHAnsi" w:hAnsiTheme="minorHAnsi"/>
          <w:lang w:val="bg-BG"/>
        </w:rPr>
        <w:t xml:space="preserve"> </w:t>
      </w:r>
      <w:r w:rsidR="00971AA6" w:rsidRPr="00DC2206">
        <w:rPr>
          <w:rFonts w:asciiTheme="minorHAnsi" w:hAnsiTheme="minorHAnsi"/>
          <w:lang w:val="bg-BG"/>
        </w:rPr>
        <w:t>на съдиите е гарантирана в член </w:t>
      </w:r>
      <w:r w:rsidRPr="00DC2206">
        <w:rPr>
          <w:rFonts w:asciiTheme="minorHAnsi" w:hAnsiTheme="minorHAnsi"/>
          <w:lang w:val="bg-BG"/>
        </w:rPr>
        <w:t xml:space="preserve">8 </w:t>
      </w:r>
      <w:r w:rsidR="00971AA6" w:rsidRPr="00DC2206">
        <w:rPr>
          <w:rFonts w:asciiTheme="minorHAnsi" w:hAnsiTheme="minorHAnsi"/>
          <w:lang w:val="bg-BG"/>
        </w:rPr>
        <w:t>от Американската конвенция за правата на човека</w:t>
      </w:r>
      <w:r w:rsidRPr="00DC2206">
        <w:rPr>
          <w:rFonts w:asciiTheme="minorHAnsi" w:hAnsiTheme="minorHAnsi"/>
          <w:lang w:val="bg-BG"/>
        </w:rPr>
        <w:t xml:space="preserve">. </w:t>
      </w:r>
      <w:r w:rsidR="00971AA6" w:rsidRPr="00DC2206">
        <w:rPr>
          <w:rFonts w:asciiTheme="minorHAnsi" w:hAnsiTheme="minorHAnsi"/>
          <w:lang w:val="bg-BG"/>
        </w:rPr>
        <w:t xml:space="preserve">Юриспруденцията на Интерамериканския съд за правата на човека </w:t>
      </w:r>
      <w:r w:rsidRPr="00DC2206">
        <w:rPr>
          <w:rFonts w:asciiTheme="minorHAnsi" w:hAnsiTheme="minorHAnsi"/>
          <w:lang w:val="bg-BG"/>
        </w:rPr>
        <w:t xml:space="preserve"> </w:t>
      </w:r>
      <w:r w:rsidR="00971AA6" w:rsidRPr="00DC2206">
        <w:rPr>
          <w:rFonts w:asciiTheme="minorHAnsi" w:hAnsiTheme="minorHAnsi"/>
          <w:lang w:val="bg-BG"/>
        </w:rPr>
        <w:t xml:space="preserve">следва също критериите на </w:t>
      </w:r>
      <w:r w:rsidR="001C1676" w:rsidRPr="00DC2206">
        <w:rPr>
          <w:rFonts w:asciiTheme="minorHAnsi" w:hAnsiTheme="minorHAnsi"/>
          <w:lang w:val="bg-BG"/>
        </w:rPr>
        <w:t>ЕСПЧ</w:t>
      </w:r>
      <w:r w:rsidRPr="00DC2206">
        <w:rPr>
          <w:rFonts w:asciiTheme="minorHAnsi" w:hAnsiTheme="minorHAnsi"/>
          <w:lang w:val="bg-BG"/>
        </w:rPr>
        <w:t xml:space="preserve"> </w:t>
      </w:r>
      <w:r w:rsidR="00971AA6" w:rsidRPr="00DC2206">
        <w:rPr>
          <w:rFonts w:asciiTheme="minorHAnsi" w:hAnsiTheme="minorHAnsi"/>
          <w:lang w:val="bg-BG"/>
        </w:rPr>
        <w:t xml:space="preserve">по отношение на </w:t>
      </w:r>
      <w:r w:rsidR="00A0730F" w:rsidRPr="00DC2206">
        <w:rPr>
          <w:rFonts w:asciiTheme="minorHAnsi" w:hAnsiTheme="minorHAnsi"/>
          <w:lang w:val="bg-BG"/>
        </w:rPr>
        <w:t>независимост</w:t>
      </w:r>
      <w:r w:rsidR="00971AA6" w:rsidRPr="00DC2206">
        <w:rPr>
          <w:rFonts w:asciiTheme="minorHAnsi" w:hAnsiTheme="minorHAnsi"/>
          <w:lang w:val="bg-BG"/>
        </w:rPr>
        <w:t>та на съдиите</w:t>
      </w:r>
      <w:r w:rsidR="00EC0198" w:rsidRPr="00DC2206">
        <w:rPr>
          <w:rFonts w:asciiTheme="minorHAnsi" w:hAnsiTheme="minorHAnsi"/>
          <w:lang w:val="bg-BG"/>
        </w:rPr>
        <w:t>, като</w:t>
      </w:r>
      <w:r w:rsidR="00971AA6" w:rsidRPr="00DC2206">
        <w:rPr>
          <w:rFonts w:asciiTheme="minorHAnsi" w:hAnsiTheme="minorHAnsi"/>
          <w:lang w:val="bg-BG"/>
        </w:rPr>
        <w:t xml:space="preserve">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EC0198" w:rsidRPr="00DC2206">
        <w:rPr>
          <w:rFonts w:asciiTheme="minorHAnsi" w:hAnsiTheme="minorHAnsi"/>
          <w:lang w:val="bg-BG"/>
        </w:rPr>
        <w:t xml:space="preserve">на всеки съдия предполага, че има подходящ процес на </w:t>
      </w:r>
      <w:r w:rsidR="00AD1FEF" w:rsidRPr="00DC2206">
        <w:rPr>
          <w:rFonts w:asciiTheme="minorHAnsi" w:hAnsiTheme="minorHAnsi"/>
          <w:lang w:val="bg-BG"/>
        </w:rPr>
        <w:t>назначаване</w:t>
      </w:r>
      <w:r w:rsidRPr="00DC2206">
        <w:rPr>
          <w:rFonts w:asciiTheme="minorHAnsi" w:hAnsiTheme="minorHAnsi"/>
          <w:lang w:val="bg-BG"/>
        </w:rPr>
        <w:t xml:space="preserve">, </w:t>
      </w:r>
      <w:r w:rsidR="00EC0198" w:rsidRPr="00DC2206">
        <w:rPr>
          <w:rFonts w:asciiTheme="minorHAnsi" w:hAnsiTheme="minorHAnsi"/>
          <w:lang w:val="bg-BG"/>
        </w:rPr>
        <w:t>фиксиран мандат на длъжността и гаранция срещу външен натиск</w:t>
      </w:r>
      <w:r w:rsidR="008561A8" w:rsidRPr="00DC2206">
        <w:rPr>
          <w:rStyle w:val="FootnoteReference"/>
          <w:rFonts w:asciiTheme="minorHAnsi" w:hAnsiTheme="minorHAnsi"/>
          <w:lang w:val="bg-BG"/>
        </w:rPr>
        <w:footnoteReference w:id="60"/>
      </w:r>
      <w:r w:rsidRPr="00DC2206">
        <w:rPr>
          <w:rFonts w:asciiTheme="minorHAnsi" w:hAnsiTheme="minorHAnsi"/>
          <w:lang w:val="bg-BG"/>
        </w:rPr>
        <w:t>.</w:t>
      </w:r>
    </w:p>
    <w:p w14:paraId="76035CC4" w14:textId="77777777" w:rsidR="008561A8" w:rsidRPr="00DC2206" w:rsidRDefault="008561A8" w:rsidP="008561A8">
      <w:pPr>
        <w:ind w:left="709" w:hanging="709"/>
        <w:jc w:val="both"/>
        <w:rPr>
          <w:rFonts w:asciiTheme="minorHAnsi" w:hAnsiTheme="minorHAnsi"/>
          <w:lang w:val="bg-BG" w:eastAsia="bg-BG" w:bidi="bg-BG"/>
        </w:rPr>
      </w:pPr>
    </w:p>
    <w:p w14:paraId="7A0AB36D" w14:textId="77777777" w:rsidR="00C61601" w:rsidRPr="00DC2206" w:rsidRDefault="00521963" w:rsidP="008561A8">
      <w:pPr>
        <w:ind w:left="709" w:hanging="709"/>
        <w:jc w:val="both"/>
        <w:rPr>
          <w:rFonts w:asciiTheme="minorHAnsi" w:hAnsiTheme="minorHAnsi"/>
          <w:lang w:val="bg-BG"/>
        </w:rPr>
      </w:pPr>
      <w:r w:rsidRPr="00DC2206">
        <w:rPr>
          <w:rFonts w:asciiTheme="minorHAnsi" w:hAnsiTheme="minorHAnsi"/>
          <w:lang w:val="bg-BG" w:eastAsia="bg-BG" w:bidi="bg-BG"/>
        </w:rPr>
        <w:t>44.</w:t>
      </w:r>
      <w:r w:rsidR="008561A8" w:rsidRPr="00DC2206">
        <w:rPr>
          <w:rFonts w:asciiTheme="minorHAnsi" w:hAnsiTheme="minorHAnsi"/>
          <w:lang w:val="bg-BG" w:eastAsia="bg-BG" w:bidi="bg-BG"/>
        </w:rPr>
        <w:tab/>
      </w:r>
      <w:r w:rsidR="001C5385" w:rsidRPr="00DC2206">
        <w:rPr>
          <w:rFonts w:asciiTheme="minorHAnsi" w:hAnsiTheme="minorHAnsi"/>
          <w:lang w:val="bg-BG"/>
        </w:rPr>
        <w:t xml:space="preserve">Плътно следвайки юриспруденцията на </w:t>
      </w:r>
      <w:r w:rsidR="001C1676" w:rsidRPr="00DC2206">
        <w:rPr>
          <w:rFonts w:asciiTheme="minorHAnsi" w:hAnsiTheme="minorHAnsi"/>
          <w:lang w:val="bg-BG"/>
        </w:rPr>
        <w:t>ЕСПЧ</w:t>
      </w:r>
      <w:r w:rsidRPr="00DC2206">
        <w:rPr>
          <w:rFonts w:asciiTheme="minorHAnsi" w:hAnsiTheme="minorHAnsi"/>
          <w:lang w:val="bg-BG"/>
        </w:rPr>
        <w:t xml:space="preserve">, </w:t>
      </w:r>
      <w:r w:rsidR="001C5385" w:rsidRPr="00DC2206">
        <w:rPr>
          <w:rFonts w:asciiTheme="minorHAnsi" w:hAnsiTheme="minorHAnsi"/>
          <w:lang w:val="bg-BG"/>
        </w:rPr>
        <w:t xml:space="preserve">Интерамериканският съд заявява, че една от главните цели на разделението на публичните власти е да се гарантира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1C5385" w:rsidRPr="00DC2206">
        <w:rPr>
          <w:rFonts w:asciiTheme="minorHAnsi" w:hAnsiTheme="minorHAnsi"/>
          <w:lang w:val="bg-BG"/>
        </w:rPr>
        <w:t>на съдиите</w:t>
      </w:r>
      <w:r w:rsidR="008561A8" w:rsidRPr="00DC2206">
        <w:rPr>
          <w:rStyle w:val="FootnoteReference"/>
          <w:rFonts w:asciiTheme="minorHAnsi" w:hAnsiTheme="minorHAnsi"/>
          <w:lang w:val="bg-BG"/>
        </w:rPr>
        <w:footnoteReference w:id="61"/>
      </w:r>
      <w:r w:rsidRPr="00DC2206">
        <w:rPr>
          <w:rFonts w:asciiTheme="minorHAnsi" w:hAnsiTheme="minorHAnsi"/>
          <w:lang w:val="bg-BG"/>
        </w:rPr>
        <w:t>.</w:t>
      </w:r>
    </w:p>
    <w:p w14:paraId="07924FEB" w14:textId="77777777" w:rsidR="008561A8" w:rsidRPr="00DC2206" w:rsidRDefault="008561A8" w:rsidP="008561A8">
      <w:pPr>
        <w:ind w:left="709" w:hanging="709"/>
        <w:jc w:val="both"/>
        <w:rPr>
          <w:rFonts w:asciiTheme="minorHAnsi" w:hAnsiTheme="minorHAnsi"/>
          <w:lang w:val="bg-BG"/>
        </w:rPr>
      </w:pPr>
    </w:p>
    <w:p w14:paraId="13108C77" w14:textId="77777777" w:rsidR="00C61601" w:rsidRPr="00DC2206" w:rsidRDefault="00521963" w:rsidP="008561A8">
      <w:pPr>
        <w:ind w:left="709" w:hanging="709"/>
        <w:jc w:val="both"/>
        <w:rPr>
          <w:rFonts w:asciiTheme="minorHAnsi" w:hAnsiTheme="minorHAnsi"/>
          <w:lang w:val="bg-BG"/>
        </w:rPr>
      </w:pPr>
      <w:r w:rsidRPr="00DC2206">
        <w:rPr>
          <w:rFonts w:asciiTheme="minorHAnsi" w:hAnsiTheme="minorHAnsi"/>
          <w:lang w:val="bg-BG"/>
        </w:rPr>
        <w:t>45.</w:t>
      </w:r>
      <w:r w:rsidRPr="00DC2206">
        <w:rPr>
          <w:rFonts w:asciiTheme="minorHAnsi" w:hAnsiTheme="minorHAnsi"/>
          <w:lang w:val="bg-BG"/>
        </w:rPr>
        <w:tab/>
      </w:r>
      <w:r w:rsidR="001C5385" w:rsidRPr="00DC2206">
        <w:rPr>
          <w:rFonts w:asciiTheme="minorHAnsi" w:hAnsiTheme="minorHAnsi"/>
          <w:lang w:val="bg-BG"/>
        </w:rPr>
        <w:t>Интерамериканският</w:t>
      </w:r>
      <w:r w:rsidRPr="00DC2206">
        <w:rPr>
          <w:rFonts w:asciiTheme="minorHAnsi" w:hAnsiTheme="minorHAnsi"/>
          <w:lang w:val="bg-BG"/>
        </w:rPr>
        <w:t xml:space="preserve"> </w:t>
      </w:r>
      <w:r w:rsidR="001C5385" w:rsidRPr="00DC2206">
        <w:rPr>
          <w:rFonts w:asciiTheme="minorHAnsi" w:hAnsiTheme="minorHAnsi"/>
          <w:lang w:val="bg-BG"/>
        </w:rPr>
        <w:t>съд постановява, че изискванията, свързани с достъп до съд</w:t>
      </w:r>
      <w:r w:rsidRPr="00DC2206">
        <w:rPr>
          <w:rFonts w:asciiTheme="minorHAnsi" w:hAnsiTheme="minorHAnsi"/>
          <w:lang w:val="bg-BG"/>
        </w:rPr>
        <w:t xml:space="preserve">, </w:t>
      </w:r>
      <w:r w:rsidR="001C5385" w:rsidRPr="00DC2206">
        <w:rPr>
          <w:rFonts w:asciiTheme="minorHAnsi" w:hAnsiTheme="minorHAnsi"/>
          <w:lang w:val="bg-BG"/>
        </w:rPr>
        <w:t xml:space="preserve">заедно с критериите за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1C5385" w:rsidRPr="00DC2206">
        <w:rPr>
          <w:rFonts w:asciiTheme="minorHAnsi" w:hAnsiTheme="minorHAnsi"/>
          <w:lang w:val="bg-BG"/>
        </w:rPr>
        <w:t xml:space="preserve">и </w:t>
      </w:r>
      <w:r w:rsidR="00AD1FEF" w:rsidRPr="00DC2206">
        <w:rPr>
          <w:rFonts w:asciiTheme="minorHAnsi" w:hAnsiTheme="minorHAnsi"/>
          <w:lang w:val="bg-BG"/>
        </w:rPr>
        <w:t>безпристрастност</w:t>
      </w:r>
      <w:r w:rsidRPr="00DC2206">
        <w:rPr>
          <w:rFonts w:asciiTheme="minorHAnsi" w:hAnsiTheme="minorHAnsi"/>
          <w:lang w:val="bg-BG"/>
        </w:rPr>
        <w:t xml:space="preserve">, </w:t>
      </w:r>
      <w:r w:rsidR="001C5385" w:rsidRPr="00DC2206">
        <w:rPr>
          <w:rFonts w:asciiTheme="minorHAnsi" w:hAnsiTheme="minorHAnsi"/>
          <w:lang w:val="bg-BG"/>
        </w:rPr>
        <w:t>също се простират и спрямо несъдебни органи, отговарящи за разследването преди съдебното производство</w:t>
      </w:r>
      <w:r w:rsidRPr="00DC2206">
        <w:rPr>
          <w:rFonts w:asciiTheme="minorHAnsi" w:hAnsiTheme="minorHAnsi"/>
          <w:lang w:val="bg-BG"/>
        </w:rPr>
        <w:t xml:space="preserve">, </w:t>
      </w:r>
      <w:r w:rsidR="001C5385" w:rsidRPr="00DC2206">
        <w:rPr>
          <w:rFonts w:asciiTheme="minorHAnsi" w:hAnsiTheme="minorHAnsi"/>
          <w:lang w:val="bg-BG"/>
        </w:rPr>
        <w:t>показвайки, че разследванията на нарушения на права на човека не само трябва да бъдат извършвани в рамките на разумен срок, но трябва да бъдат и независими и безпристрастни</w:t>
      </w:r>
      <w:r w:rsidR="008561A8" w:rsidRPr="00DC2206">
        <w:rPr>
          <w:rStyle w:val="FootnoteReference"/>
          <w:rFonts w:asciiTheme="minorHAnsi" w:hAnsiTheme="minorHAnsi"/>
          <w:lang w:val="bg-BG"/>
        </w:rPr>
        <w:footnoteReference w:id="62"/>
      </w:r>
      <w:r w:rsidRPr="00DC2206">
        <w:rPr>
          <w:rFonts w:asciiTheme="minorHAnsi" w:hAnsiTheme="minorHAnsi"/>
          <w:lang w:val="bg-BG"/>
        </w:rPr>
        <w:t>.</w:t>
      </w:r>
    </w:p>
    <w:p w14:paraId="7CE97D81" w14:textId="77777777" w:rsidR="008561A8" w:rsidRPr="00DC2206" w:rsidRDefault="008561A8" w:rsidP="008561A8">
      <w:pPr>
        <w:ind w:left="709" w:hanging="709"/>
        <w:jc w:val="both"/>
        <w:rPr>
          <w:rFonts w:asciiTheme="minorHAnsi" w:hAnsiTheme="minorHAnsi"/>
          <w:lang w:val="bg-BG"/>
        </w:rPr>
      </w:pPr>
    </w:p>
    <w:p w14:paraId="2480BA9F" w14:textId="77777777" w:rsidR="00C61601" w:rsidRPr="00DC2206" w:rsidRDefault="00521963" w:rsidP="008561A8">
      <w:pPr>
        <w:ind w:left="709" w:hanging="709"/>
        <w:jc w:val="both"/>
        <w:rPr>
          <w:rFonts w:asciiTheme="minorHAnsi" w:hAnsiTheme="minorHAnsi"/>
          <w:lang w:val="bg-BG"/>
        </w:rPr>
      </w:pPr>
      <w:r w:rsidRPr="00DC2206">
        <w:rPr>
          <w:rFonts w:asciiTheme="minorHAnsi" w:hAnsiTheme="minorHAnsi"/>
          <w:lang w:val="bg-BG"/>
        </w:rPr>
        <w:t>46.</w:t>
      </w:r>
      <w:r w:rsidRPr="00DC2206">
        <w:rPr>
          <w:rFonts w:asciiTheme="minorHAnsi" w:hAnsiTheme="minorHAnsi"/>
          <w:lang w:val="bg-BG"/>
        </w:rPr>
        <w:tab/>
      </w:r>
      <w:r w:rsidR="001C5385" w:rsidRPr="00DC2206">
        <w:rPr>
          <w:rFonts w:asciiTheme="minorHAnsi" w:hAnsiTheme="minorHAnsi"/>
          <w:lang w:val="bg-BG"/>
        </w:rPr>
        <w:t>Освен това съдът постановява, че е особено важно компетентните органи да предприемат всички разумни мерки, за да гарантират необходим</w:t>
      </w:r>
      <w:r w:rsidR="004933A9" w:rsidRPr="00DC2206">
        <w:rPr>
          <w:rFonts w:asciiTheme="minorHAnsi" w:hAnsiTheme="minorHAnsi"/>
          <w:lang w:val="bg-BG"/>
        </w:rPr>
        <w:t xml:space="preserve">ия доказателствен материал, за да извършат разследването и да бъдат независими – както юридически, така и фактически – от </w:t>
      </w:r>
      <w:r w:rsidR="003550A1">
        <w:rPr>
          <w:rFonts w:asciiTheme="minorHAnsi" w:hAnsiTheme="minorHAnsi"/>
          <w:lang w:val="bg-BG"/>
        </w:rPr>
        <w:t>длъжностните</w:t>
      </w:r>
      <w:r w:rsidR="004933A9" w:rsidRPr="00DC2206">
        <w:rPr>
          <w:rFonts w:asciiTheme="minorHAnsi" w:hAnsiTheme="minorHAnsi"/>
          <w:lang w:val="bg-BG"/>
        </w:rPr>
        <w:t xml:space="preserve"> лица, участващи във фактите по делото</w:t>
      </w:r>
      <w:r w:rsidRPr="00DC2206">
        <w:rPr>
          <w:rFonts w:asciiTheme="minorHAnsi" w:hAnsiTheme="minorHAnsi"/>
          <w:lang w:val="bg-BG"/>
        </w:rPr>
        <w:t xml:space="preserve">. </w:t>
      </w:r>
      <w:r w:rsidR="004933A9" w:rsidRPr="00DC2206">
        <w:rPr>
          <w:rFonts w:asciiTheme="minorHAnsi" w:hAnsiTheme="minorHAnsi"/>
          <w:lang w:val="bg-BG"/>
        </w:rPr>
        <w:t xml:space="preserve">Гореизложеното изисква не само йерархическа или институционална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4933A9" w:rsidRPr="00DC2206">
        <w:rPr>
          <w:rFonts w:asciiTheme="minorHAnsi" w:hAnsiTheme="minorHAnsi"/>
          <w:lang w:val="bg-BG"/>
        </w:rPr>
        <w:t xml:space="preserve">но и реална </w:t>
      </w:r>
      <w:r w:rsidR="00A0730F" w:rsidRPr="00DC2206">
        <w:rPr>
          <w:rFonts w:asciiTheme="minorHAnsi" w:hAnsiTheme="minorHAnsi"/>
          <w:lang w:val="bg-BG"/>
        </w:rPr>
        <w:t>независимост</w:t>
      </w:r>
      <w:r w:rsidR="008561A8" w:rsidRPr="00DC2206">
        <w:rPr>
          <w:rStyle w:val="FootnoteReference"/>
          <w:rFonts w:asciiTheme="minorHAnsi" w:hAnsiTheme="minorHAnsi"/>
          <w:lang w:val="bg-BG"/>
        </w:rPr>
        <w:footnoteReference w:id="63"/>
      </w:r>
      <w:r w:rsidRPr="00DC2206">
        <w:rPr>
          <w:rFonts w:asciiTheme="minorHAnsi" w:hAnsiTheme="minorHAnsi"/>
          <w:lang w:val="bg-BG"/>
        </w:rPr>
        <w:t>.</w:t>
      </w:r>
    </w:p>
    <w:p w14:paraId="798429DE" w14:textId="77777777" w:rsidR="008561A8" w:rsidRPr="00DC2206" w:rsidRDefault="008561A8" w:rsidP="008561A8">
      <w:pPr>
        <w:ind w:left="709" w:hanging="709"/>
        <w:jc w:val="both"/>
        <w:rPr>
          <w:rFonts w:asciiTheme="minorHAnsi" w:hAnsiTheme="minorHAnsi"/>
          <w:lang w:val="bg-BG"/>
        </w:rPr>
      </w:pPr>
    </w:p>
    <w:p w14:paraId="5E472E1F" w14:textId="77777777" w:rsidR="00C61601" w:rsidRPr="00DC2206" w:rsidRDefault="00521963" w:rsidP="008561A8">
      <w:pPr>
        <w:ind w:left="709" w:hanging="709"/>
        <w:jc w:val="both"/>
        <w:rPr>
          <w:rFonts w:asciiTheme="minorHAnsi" w:hAnsiTheme="minorHAnsi"/>
          <w:lang w:val="bg-BG"/>
        </w:rPr>
      </w:pPr>
      <w:r w:rsidRPr="00DC2206">
        <w:rPr>
          <w:rFonts w:asciiTheme="minorHAnsi" w:hAnsiTheme="minorHAnsi"/>
          <w:lang w:val="bg-BG"/>
        </w:rPr>
        <w:t>47.</w:t>
      </w:r>
      <w:r w:rsidRPr="00DC2206">
        <w:rPr>
          <w:rFonts w:asciiTheme="minorHAnsi" w:hAnsiTheme="minorHAnsi"/>
          <w:lang w:val="bg-BG"/>
        </w:rPr>
        <w:tab/>
      </w:r>
      <w:r w:rsidR="00A0730F" w:rsidRPr="00DC2206">
        <w:rPr>
          <w:rFonts w:asciiTheme="minorHAnsi" w:hAnsiTheme="minorHAnsi"/>
          <w:lang w:val="bg-BG"/>
        </w:rPr>
        <w:t>Независимост</w:t>
      </w:r>
      <w:r w:rsidR="004933A9" w:rsidRPr="00DC2206">
        <w:rPr>
          <w:rFonts w:asciiTheme="minorHAnsi" w:hAnsiTheme="minorHAnsi"/>
          <w:lang w:val="bg-BG"/>
        </w:rPr>
        <w:t xml:space="preserve">та </w:t>
      </w:r>
      <w:r w:rsidRPr="00DC2206">
        <w:rPr>
          <w:rFonts w:asciiTheme="minorHAnsi" w:hAnsiTheme="minorHAnsi"/>
          <w:i/>
          <w:lang w:val="bg-BG"/>
        </w:rPr>
        <w:t>de jure</w:t>
      </w:r>
      <w:r w:rsidRPr="00DC2206">
        <w:rPr>
          <w:rFonts w:asciiTheme="minorHAnsi" w:hAnsiTheme="minorHAnsi"/>
          <w:lang w:val="bg-BG"/>
        </w:rPr>
        <w:t xml:space="preserve"> </w:t>
      </w:r>
      <w:r w:rsidR="004933A9" w:rsidRPr="00DC2206">
        <w:rPr>
          <w:rFonts w:asciiTheme="minorHAnsi" w:hAnsiTheme="minorHAnsi"/>
          <w:lang w:val="bg-BG"/>
        </w:rPr>
        <w:t xml:space="preserve">и </w:t>
      </w:r>
      <w:r w:rsidRPr="00DC2206">
        <w:rPr>
          <w:rFonts w:asciiTheme="minorHAnsi" w:hAnsiTheme="minorHAnsi"/>
          <w:i/>
          <w:lang w:val="bg-BG"/>
        </w:rPr>
        <w:t>de facto</w:t>
      </w:r>
      <w:r w:rsidRPr="00DC2206">
        <w:rPr>
          <w:rFonts w:asciiTheme="minorHAnsi" w:hAnsiTheme="minorHAnsi"/>
          <w:lang w:val="bg-BG"/>
        </w:rPr>
        <w:t xml:space="preserve"> </w:t>
      </w:r>
      <w:r w:rsidR="004933A9" w:rsidRPr="00DC2206">
        <w:rPr>
          <w:rFonts w:asciiTheme="minorHAnsi" w:hAnsiTheme="minorHAnsi"/>
          <w:lang w:val="bg-BG"/>
        </w:rPr>
        <w:t>обхваща двойно измерение</w:t>
      </w:r>
      <w:r w:rsidRPr="00DC2206">
        <w:rPr>
          <w:rFonts w:asciiTheme="minorHAnsi" w:hAnsiTheme="minorHAnsi"/>
          <w:lang w:val="bg-BG"/>
        </w:rPr>
        <w:t xml:space="preserve">: </w:t>
      </w:r>
      <w:r w:rsidR="004933A9" w:rsidRPr="00DC2206">
        <w:rPr>
          <w:rFonts w:asciiTheme="minorHAnsi" w:hAnsiTheme="minorHAnsi"/>
          <w:lang w:val="bg-BG"/>
        </w:rPr>
        <w:t>първото е институционално или системно</w:t>
      </w:r>
      <w:r w:rsidRPr="00DC2206">
        <w:rPr>
          <w:rFonts w:asciiTheme="minorHAnsi" w:hAnsiTheme="minorHAnsi"/>
          <w:lang w:val="bg-BG"/>
        </w:rPr>
        <w:t xml:space="preserve">, </w:t>
      </w:r>
      <w:r w:rsidR="004933A9" w:rsidRPr="00DC2206">
        <w:rPr>
          <w:rFonts w:asciiTheme="minorHAnsi" w:hAnsiTheme="minorHAnsi"/>
          <w:lang w:val="bg-BG"/>
        </w:rPr>
        <w:t>докато второто е функционално</w:t>
      </w:r>
      <w:r w:rsidRPr="00DC2206">
        <w:rPr>
          <w:rFonts w:asciiTheme="minorHAnsi" w:hAnsiTheme="minorHAnsi"/>
          <w:lang w:val="bg-BG"/>
        </w:rPr>
        <w:t xml:space="preserve">, </w:t>
      </w:r>
      <w:r w:rsidR="004933A9" w:rsidRPr="00DC2206">
        <w:rPr>
          <w:rFonts w:asciiTheme="minorHAnsi" w:hAnsiTheme="minorHAnsi"/>
          <w:lang w:val="bg-BG"/>
        </w:rPr>
        <w:t xml:space="preserve">отнасящо се до индивидуалната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4933A9" w:rsidRPr="00DC2206">
        <w:rPr>
          <w:rFonts w:asciiTheme="minorHAnsi" w:hAnsiTheme="minorHAnsi"/>
          <w:lang w:val="bg-BG"/>
        </w:rPr>
        <w:t>на служителите в съдебната система при изпълнението на техните функции</w:t>
      </w:r>
      <w:r w:rsidR="008561A8" w:rsidRPr="00DC2206">
        <w:rPr>
          <w:rStyle w:val="FootnoteReference"/>
          <w:rFonts w:asciiTheme="minorHAnsi" w:hAnsiTheme="minorHAnsi"/>
          <w:lang w:val="bg-BG"/>
        </w:rPr>
        <w:footnoteReference w:id="64"/>
      </w:r>
      <w:r w:rsidRPr="00DC2206">
        <w:rPr>
          <w:rFonts w:asciiTheme="minorHAnsi" w:hAnsiTheme="minorHAnsi"/>
          <w:lang w:val="bg-BG"/>
        </w:rPr>
        <w:t>.</w:t>
      </w:r>
    </w:p>
    <w:p w14:paraId="6BC13A7E" w14:textId="77777777" w:rsidR="008561A8" w:rsidRPr="00DC2206" w:rsidRDefault="008561A8" w:rsidP="008561A8">
      <w:pPr>
        <w:ind w:left="709" w:hanging="709"/>
        <w:jc w:val="both"/>
        <w:rPr>
          <w:rFonts w:asciiTheme="minorHAnsi" w:hAnsiTheme="minorHAnsi"/>
          <w:lang w:val="bg-BG"/>
        </w:rPr>
      </w:pPr>
    </w:p>
    <w:p w14:paraId="6EEDEECE" w14:textId="77777777" w:rsidR="00C61601" w:rsidRPr="00DC2206" w:rsidRDefault="00521963" w:rsidP="008561A8">
      <w:pPr>
        <w:ind w:left="709" w:hanging="709"/>
        <w:jc w:val="both"/>
        <w:rPr>
          <w:rFonts w:asciiTheme="minorHAnsi" w:hAnsiTheme="minorHAnsi"/>
          <w:lang w:val="bg-BG"/>
        </w:rPr>
      </w:pPr>
      <w:r w:rsidRPr="00DC2206">
        <w:rPr>
          <w:rFonts w:asciiTheme="minorHAnsi" w:hAnsiTheme="minorHAnsi"/>
          <w:lang w:val="bg-BG"/>
        </w:rPr>
        <w:t>48.</w:t>
      </w:r>
      <w:r w:rsidRPr="00DC2206">
        <w:rPr>
          <w:rFonts w:asciiTheme="minorHAnsi" w:hAnsiTheme="minorHAnsi"/>
          <w:lang w:val="bg-BG"/>
        </w:rPr>
        <w:tab/>
      </w:r>
      <w:r w:rsidR="001C5385" w:rsidRPr="00DC2206">
        <w:rPr>
          <w:rFonts w:asciiTheme="minorHAnsi" w:hAnsiTheme="minorHAnsi"/>
          <w:lang w:val="bg-BG"/>
        </w:rPr>
        <w:t>Интерамериканският</w:t>
      </w:r>
      <w:r w:rsidRPr="00DC2206">
        <w:rPr>
          <w:rFonts w:asciiTheme="minorHAnsi" w:hAnsiTheme="minorHAnsi"/>
          <w:lang w:val="bg-BG"/>
        </w:rPr>
        <w:t xml:space="preserve"> </w:t>
      </w:r>
      <w:r w:rsidR="004933A9" w:rsidRPr="00DC2206">
        <w:rPr>
          <w:rFonts w:asciiTheme="minorHAnsi" w:hAnsiTheme="minorHAnsi"/>
          <w:lang w:val="bg-BG"/>
        </w:rPr>
        <w:t xml:space="preserve">съд постановява още, че засилени гаранции за </w:t>
      </w:r>
      <w:r w:rsidR="00A0730F" w:rsidRPr="00DC2206">
        <w:rPr>
          <w:rFonts w:asciiTheme="minorHAnsi" w:hAnsiTheme="minorHAnsi"/>
          <w:lang w:val="bg-BG"/>
        </w:rPr>
        <w:t>независимост</w:t>
      </w:r>
      <w:r w:rsidR="004933A9" w:rsidRPr="00DC2206">
        <w:rPr>
          <w:rFonts w:asciiTheme="minorHAnsi" w:hAnsiTheme="minorHAnsi"/>
          <w:lang w:val="bg-BG"/>
        </w:rPr>
        <w:t>, прилагащи се спрямо съдии</w:t>
      </w:r>
      <w:r w:rsidRPr="00DC2206">
        <w:rPr>
          <w:rFonts w:asciiTheme="minorHAnsi" w:hAnsiTheme="minorHAnsi"/>
          <w:lang w:val="bg-BG"/>
        </w:rPr>
        <w:t xml:space="preserve">, </w:t>
      </w:r>
      <w:r w:rsidR="004933A9" w:rsidRPr="00DC2206">
        <w:rPr>
          <w:rFonts w:asciiTheme="minorHAnsi" w:hAnsiTheme="minorHAnsi"/>
          <w:lang w:val="bg-BG"/>
        </w:rPr>
        <w:t xml:space="preserve">с оглед на необходимата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4933A9" w:rsidRPr="00DC2206">
        <w:rPr>
          <w:rFonts w:asciiTheme="minorHAnsi" w:hAnsiTheme="minorHAnsi"/>
          <w:lang w:val="bg-BG"/>
        </w:rPr>
        <w:t xml:space="preserve">на съдебната власт, която е от съществено значение за упражняването на съдебните функции, следва да се прилагат и спрямо </w:t>
      </w:r>
      <w:r w:rsidR="00A0730F" w:rsidRPr="00DC2206">
        <w:rPr>
          <w:rFonts w:asciiTheme="minorHAnsi" w:hAnsiTheme="minorHAnsi"/>
          <w:lang w:val="bg-BG"/>
        </w:rPr>
        <w:t>прокурори</w:t>
      </w:r>
      <w:r w:rsidR="004933A9" w:rsidRPr="00DC2206">
        <w:rPr>
          <w:rFonts w:asciiTheme="minorHAnsi" w:hAnsiTheme="minorHAnsi"/>
          <w:lang w:val="bg-BG"/>
        </w:rPr>
        <w:t>те въз основа на характера на задълженията, изпълнявани от тях</w:t>
      </w:r>
      <w:r w:rsidR="008561A8" w:rsidRPr="00DC2206">
        <w:rPr>
          <w:rStyle w:val="FootnoteReference"/>
          <w:rFonts w:asciiTheme="minorHAnsi" w:hAnsiTheme="minorHAnsi"/>
          <w:lang w:val="bg-BG"/>
        </w:rPr>
        <w:footnoteReference w:id="65"/>
      </w:r>
      <w:r w:rsidRPr="00DC2206">
        <w:rPr>
          <w:rFonts w:asciiTheme="minorHAnsi" w:hAnsiTheme="minorHAnsi"/>
          <w:lang w:val="bg-BG"/>
        </w:rPr>
        <w:t>.</w:t>
      </w:r>
    </w:p>
    <w:p w14:paraId="38EF3891" w14:textId="77777777" w:rsidR="008561A8" w:rsidRPr="00DC2206" w:rsidRDefault="008561A8" w:rsidP="00732D5B">
      <w:pPr>
        <w:tabs>
          <w:tab w:val="left" w:pos="533"/>
        </w:tabs>
        <w:ind w:left="709" w:hanging="709"/>
        <w:jc w:val="both"/>
        <w:rPr>
          <w:rFonts w:asciiTheme="minorHAnsi" w:hAnsiTheme="minorHAnsi"/>
          <w:lang w:val="bg-BG"/>
        </w:rPr>
      </w:pPr>
    </w:p>
    <w:p w14:paraId="4C59E386" w14:textId="77777777" w:rsidR="00C61601" w:rsidRPr="00DC2206" w:rsidRDefault="00521963" w:rsidP="008561A8">
      <w:pPr>
        <w:ind w:left="709" w:hanging="709"/>
        <w:jc w:val="both"/>
        <w:rPr>
          <w:rFonts w:asciiTheme="minorHAnsi" w:hAnsiTheme="minorHAnsi"/>
          <w:lang w:val="bg-BG"/>
        </w:rPr>
      </w:pPr>
      <w:r w:rsidRPr="00DC2206">
        <w:rPr>
          <w:rFonts w:asciiTheme="minorHAnsi" w:hAnsiTheme="minorHAnsi"/>
          <w:lang w:val="bg-BG"/>
        </w:rPr>
        <w:t>49.</w:t>
      </w:r>
      <w:r w:rsidR="008561A8" w:rsidRPr="00DC2206">
        <w:rPr>
          <w:rFonts w:asciiTheme="minorHAnsi" w:hAnsiTheme="minorHAnsi"/>
          <w:lang w:val="bg-BG"/>
        </w:rPr>
        <w:tab/>
      </w:r>
      <w:r w:rsidR="00FE4E94" w:rsidRPr="00DC2206">
        <w:rPr>
          <w:rFonts w:asciiTheme="minorHAnsi" w:hAnsiTheme="minorHAnsi"/>
          <w:lang w:val="bg-BG"/>
        </w:rPr>
        <w:t xml:space="preserve">Като разглежда конкретните задължения на </w:t>
      </w:r>
      <w:r w:rsidR="00A0730F" w:rsidRPr="00DC2206">
        <w:rPr>
          <w:rFonts w:asciiTheme="minorHAnsi" w:hAnsiTheme="minorHAnsi"/>
          <w:lang w:val="bg-BG"/>
        </w:rPr>
        <w:t>прокурори</w:t>
      </w:r>
      <w:r w:rsidR="00FE4E94" w:rsidRPr="00DC2206">
        <w:rPr>
          <w:rFonts w:asciiTheme="minorHAnsi" w:hAnsiTheme="minorHAnsi"/>
          <w:lang w:val="bg-BG"/>
        </w:rPr>
        <w:t>те</w:t>
      </w:r>
      <w:r w:rsidRPr="00DC2206">
        <w:rPr>
          <w:rFonts w:asciiTheme="minorHAnsi" w:hAnsiTheme="minorHAnsi"/>
          <w:lang w:val="bg-BG"/>
        </w:rPr>
        <w:t xml:space="preserve">, </w:t>
      </w:r>
      <w:r w:rsidR="00FE4E94" w:rsidRPr="00DC2206">
        <w:rPr>
          <w:rFonts w:asciiTheme="minorHAnsi" w:hAnsiTheme="minorHAnsi"/>
          <w:lang w:val="bg-BG"/>
        </w:rPr>
        <w:t>Съдът подчертава задължението на държавата да провежда независимо и обективно разследване по отношение на нарушения на правата на човека и престъпления по принцип</w:t>
      </w:r>
      <w:r w:rsidRPr="00DC2206">
        <w:rPr>
          <w:rFonts w:asciiTheme="minorHAnsi" w:hAnsiTheme="minorHAnsi"/>
          <w:lang w:val="bg-BG"/>
        </w:rPr>
        <w:t xml:space="preserve">, </w:t>
      </w:r>
      <w:r w:rsidR="00FE4E94" w:rsidRPr="00DC2206">
        <w:rPr>
          <w:rFonts w:asciiTheme="minorHAnsi" w:hAnsiTheme="minorHAnsi"/>
          <w:lang w:val="bg-BG"/>
        </w:rPr>
        <w:t xml:space="preserve">подчертавайки, че </w:t>
      </w:r>
      <w:r w:rsidR="00457BFF" w:rsidRPr="00DC2206">
        <w:rPr>
          <w:rFonts w:asciiTheme="minorHAnsi" w:hAnsiTheme="minorHAnsi"/>
          <w:lang w:val="bg-BG"/>
        </w:rPr>
        <w:t>органите, отговарящи за разследването</w:t>
      </w:r>
      <w:r w:rsidR="00FE4E94" w:rsidRPr="00DC2206">
        <w:rPr>
          <w:rFonts w:asciiTheme="minorHAnsi" w:hAnsiTheme="minorHAnsi"/>
          <w:lang w:val="bg-BG"/>
        </w:rPr>
        <w:t>, трябва да бъдат независими</w:t>
      </w:r>
      <w:r w:rsidRPr="00DC2206">
        <w:rPr>
          <w:rFonts w:asciiTheme="minorHAnsi" w:hAnsiTheme="minorHAnsi"/>
          <w:lang w:val="bg-BG"/>
        </w:rPr>
        <w:t xml:space="preserve">, </w:t>
      </w:r>
      <w:r w:rsidRPr="00DC2206">
        <w:rPr>
          <w:rFonts w:asciiTheme="minorHAnsi" w:hAnsiTheme="minorHAnsi"/>
          <w:i/>
          <w:lang w:val="bg-BG"/>
        </w:rPr>
        <w:t>de jure</w:t>
      </w:r>
      <w:r w:rsidRPr="00DC2206">
        <w:rPr>
          <w:rFonts w:asciiTheme="minorHAnsi" w:hAnsiTheme="minorHAnsi"/>
          <w:lang w:val="bg-BG"/>
        </w:rPr>
        <w:t xml:space="preserve"> </w:t>
      </w:r>
      <w:r w:rsidR="00FE4E94" w:rsidRPr="00DC2206">
        <w:rPr>
          <w:rFonts w:asciiTheme="minorHAnsi" w:hAnsiTheme="minorHAnsi"/>
          <w:lang w:val="bg-BG"/>
        </w:rPr>
        <w:t xml:space="preserve">и </w:t>
      </w:r>
      <w:r w:rsidRPr="00DC2206">
        <w:rPr>
          <w:rFonts w:asciiTheme="minorHAnsi" w:hAnsiTheme="minorHAnsi"/>
          <w:i/>
          <w:lang w:val="bg-BG"/>
        </w:rPr>
        <w:t>de facto</w:t>
      </w:r>
      <w:r w:rsidRPr="00DC2206">
        <w:rPr>
          <w:rFonts w:asciiTheme="minorHAnsi" w:hAnsiTheme="minorHAnsi"/>
          <w:lang w:val="bg-BG"/>
        </w:rPr>
        <w:t xml:space="preserve">, </w:t>
      </w:r>
      <w:r w:rsidR="00FE4E94" w:rsidRPr="00DC2206">
        <w:rPr>
          <w:rFonts w:asciiTheme="minorHAnsi" w:hAnsiTheme="minorHAnsi"/>
          <w:lang w:val="bg-BG"/>
        </w:rPr>
        <w:t xml:space="preserve">което изисква не само йерархична или институционална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FE4E94" w:rsidRPr="00DC2206">
        <w:rPr>
          <w:rFonts w:asciiTheme="minorHAnsi" w:hAnsiTheme="minorHAnsi"/>
          <w:lang w:val="bg-BG"/>
        </w:rPr>
        <w:t xml:space="preserve">но и действителна </w:t>
      </w:r>
      <w:r w:rsidR="00A0730F" w:rsidRPr="00DC2206">
        <w:rPr>
          <w:rFonts w:asciiTheme="minorHAnsi" w:hAnsiTheme="minorHAnsi"/>
          <w:lang w:val="bg-BG"/>
        </w:rPr>
        <w:t>независимост</w:t>
      </w:r>
      <w:r w:rsidR="008561A8" w:rsidRPr="00DC2206">
        <w:rPr>
          <w:rStyle w:val="FootnoteReference"/>
          <w:rFonts w:asciiTheme="minorHAnsi" w:hAnsiTheme="minorHAnsi"/>
          <w:lang w:val="bg-BG"/>
        </w:rPr>
        <w:footnoteReference w:id="66"/>
      </w:r>
      <w:r w:rsidRPr="00DC2206">
        <w:rPr>
          <w:rFonts w:asciiTheme="minorHAnsi" w:hAnsiTheme="minorHAnsi"/>
          <w:lang w:val="bg-BG"/>
        </w:rPr>
        <w:t>.</w:t>
      </w:r>
    </w:p>
    <w:p w14:paraId="2F7A6525" w14:textId="77777777" w:rsidR="008561A8" w:rsidRPr="00DC2206" w:rsidRDefault="008561A8" w:rsidP="00732D5B">
      <w:pPr>
        <w:ind w:left="709" w:hanging="709"/>
        <w:jc w:val="both"/>
        <w:rPr>
          <w:rFonts w:asciiTheme="minorHAnsi" w:hAnsiTheme="minorHAnsi"/>
          <w:lang w:val="bg-BG"/>
        </w:rPr>
      </w:pPr>
    </w:p>
    <w:p w14:paraId="058711A4" w14:textId="34E1125A" w:rsidR="00C61601" w:rsidRPr="00DC2206" w:rsidRDefault="00521963" w:rsidP="008561A8">
      <w:pPr>
        <w:ind w:left="709" w:hanging="709"/>
        <w:jc w:val="both"/>
        <w:rPr>
          <w:rFonts w:asciiTheme="minorHAnsi" w:hAnsiTheme="minorHAnsi"/>
          <w:lang w:val="bg-BG"/>
        </w:rPr>
      </w:pPr>
      <w:r w:rsidRPr="00DC2206">
        <w:rPr>
          <w:rFonts w:asciiTheme="minorHAnsi" w:hAnsiTheme="minorHAnsi"/>
          <w:lang w:val="bg-BG"/>
        </w:rPr>
        <w:t>50.</w:t>
      </w:r>
      <w:r w:rsidR="008561A8" w:rsidRPr="00DC2206">
        <w:rPr>
          <w:rFonts w:asciiTheme="minorHAnsi" w:hAnsiTheme="minorHAnsi"/>
          <w:lang w:val="bg-BG"/>
        </w:rPr>
        <w:tab/>
      </w:r>
      <w:r w:rsidR="00FE4E94" w:rsidRPr="00DC2206">
        <w:rPr>
          <w:rFonts w:asciiTheme="minorHAnsi" w:hAnsiTheme="minorHAnsi"/>
          <w:lang w:val="bg-BG"/>
        </w:rPr>
        <w:t>Съдът</w:t>
      </w:r>
      <w:r w:rsidR="000219E5" w:rsidRPr="00DC2206">
        <w:rPr>
          <w:rFonts w:asciiTheme="minorHAnsi" w:hAnsiTheme="minorHAnsi"/>
          <w:lang w:val="bg-BG"/>
        </w:rPr>
        <w:t xml:space="preserve"> добавя, че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0219E5" w:rsidRPr="00DC2206">
        <w:rPr>
          <w:rFonts w:asciiTheme="minorHAnsi" w:hAnsiTheme="minorHAnsi"/>
          <w:lang w:val="bg-BG"/>
        </w:rPr>
        <w:t xml:space="preserve">на </w:t>
      </w:r>
      <w:r w:rsidR="00A0730F" w:rsidRPr="00DC2206">
        <w:rPr>
          <w:rFonts w:asciiTheme="minorHAnsi" w:hAnsiTheme="minorHAnsi"/>
          <w:lang w:val="bg-BG"/>
        </w:rPr>
        <w:t>прокурори</w:t>
      </w:r>
      <w:r w:rsidR="000219E5" w:rsidRPr="00DC2206">
        <w:rPr>
          <w:rFonts w:asciiTheme="minorHAnsi" w:hAnsiTheme="minorHAnsi"/>
          <w:lang w:val="bg-BG"/>
        </w:rPr>
        <w:t>те гарантира, че те няма да бъдат обект на политически натиск или нерегламентирано възпрепятстване в действията им</w:t>
      </w:r>
      <w:r w:rsidRPr="00DC2206">
        <w:rPr>
          <w:rFonts w:asciiTheme="minorHAnsi" w:hAnsiTheme="minorHAnsi"/>
          <w:lang w:val="bg-BG"/>
        </w:rPr>
        <w:t xml:space="preserve">, </w:t>
      </w:r>
      <w:r w:rsidR="003550A1">
        <w:rPr>
          <w:rFonts w:asciiTheme="minorHAnsi" w:hAnsiTheme="minorHAnsi"/>
          <w:lang w:val="bg-BG"/>
        </w:rPr>
        <w:t xml:space="preserve">както и </w:t>
      </w:r>
      <w:r w:rsidR="000219E5" w:rsidRPr="00DC2206">
        <w:rPr>
          <w:rFonts w:asciiTheme="minorHAnsi" w:hAnsiTheme="minorHAnsi"/>
          <w:lang w:val="bg-BG"/>
        </w:rPr>
        <w:t xml:space="preserve">че </w:t>
      </w:r>
      <w:r w:rsidR="003550A1">
        <w:rPr>
          <w:rFonts w:asciiTheme="minorHAnsi" w:hAnsiTheme="minorHAnsi"/>
          <w:lang w:val="bg-BG"/>
        </w:rPr>
        <w:t xml:space="preserve">няма да </w:t>
      </w:r>
      <w:r w:rsidR="000219E5" w:rsidRPr="00DC2206">
        <w:rPr>
          <w:rFonts w:asciiTheme="minorHAnsi" w:hAnsiTheme="minorHAnsi"/>
          <w:lang w:val="bg-BG"/>
        </w:rPr>
        <w:t xml:space="preserve">понесат </w:t>
      </w:r>
      <w:r w:rsidR="00AA3C4A" w:rsidRPr="00DC2206">
        <w:rPr>
          <w:rFonts w:asciiTheme="minorHAnsi" w:hAnsiTheme="minorHAnsi"/>
          <w:lang w:val="bg-BG"/>
        </w:rPr>
        <w:t>репресии</w:t>
      </w:r>
      <w:r w:rsidR="000219E5" w:rsidRPr="00DC2206">
        <w:rPr>
          <w:rFonts w:asciiTheme="minorHAnsi" w:hAnsiTheme="minorHAnsi"/>
          <w:lang w:val="bg-BG"/>
        </w:rPr>
        <w:t xml:space="preserve"> за обективно взетите от тях решения</w:t>
      </w:r>
      <w:r w:rsidRPr="00DC2206">
        <w:rPr>
          <w:rFonts w:asciiTheme="minorHAnsi" w:hAnsiTheme="minorHAnsi"/>
          <w:lang w:val="bg-BG"/>
        </w:rPr>
        <w:t xml:space="preserve">. </w:t>
      </w:r>
      <w:r w:rsidR="000219E5" w:rsidRPr="00DC2206">
        <w:rPr>
          <w:rFonts w:asciiTheme="minorHAnsi" w:hAnsiTheme="minorHAnsi"/>
          <w:lang w:val="bg-BG"/>
        </w:rPr>
        <w:t>Това изисква гаранция за стабилност и фиксиран мандат на позициите им</w:t>
      </w:r>
      <w:r w:rsidRPr="00DC2206">
        <w:rPr>
          <w:rFonts w:asciiTheme="minorHAnsi" w:hAnsiTheme="minorHAnsi"/>
          <w:lang w:val="bg-BG"/>
        </w:rPr>
        <w:t xml:space="preserve">. </w:t>
      </w:r>
      <w:r w:rsidR="00A96428" w:rsidRPr="00DC2206">
        <w:rPr>
          <w:rFonts w:asciiTheme="minorHAnsi" w:hAnsiTheme="minorHAnsi"/>
          <w:lang w:val="bg-BG"/>
        </w:rPr>
        <w:t xml:space="preserve">Поради това, конкретните гаранции за </w:t>
      </w:r>
      <w:r w:rsidR="00A0730F" w:rsidRPr="00DC2206">
        <w:rPr>
          <w:rFonts w:asciiTheme="minorHAnsi" w:hAnsiTheme="minorHAnsi"/>
          <w:lang w:val="bg-BG"/>
        </w:rPr>
        <w:t>прокурори</w:t>
      </w:r>
      <w:r w:rsidR="00A96428" w:rsidRPr="00DC2206">
        <w:rPr>
          <w:rFonts w:asciiTheme="minorHAnsi" w:hAnsiTheme="minorHAnsi"/>
          <w:lang w:val="bg-BG"/>
        </w:rPr>
        <w:t>те</w:t>
      </w:r>
      <w:r w:rsidRPr="00DC2206">
        <w:rPr>
          <w:rFonts w:asciiTheme="minorHAnsi" w:hAnsiTheme="minorHAnsi"/>
          <w:lang w:val="bg-BG"/>
        </w:rPr>
        <w:t xml:space="preserve">, </w:t>
      </w:r>
      <w:r w:rsidR="00A96428" w:rsidRPr="00DC2206">
        <w:rPr>
          <w:rFonts w:asciiTheme="minorHAnsi" w:hAnsiTheme="minorHAnsi"/>
          <w:lang w:val="bg-BG"/>
        </w:rPr>
        <w:t>при равносилно прилагане на механизмите за защита, признати за съдиите</w:t>
      </w:r>
      <w:r w:rsidRPr="00DC2206">
        <w:rPr>
          <w:rFonts w:asciiTheme="minorHAnsi" w:hAnsiTheme="minorHAnsi"/>
          <w:lang w:val="bg-BG"/>
        </w:rPr>
        <w:t xml:space="preserve">, </w:t>
      </w:r>
      <w:r w:rsidR="00A96428" w:rsidRPr="00DC2206">
        <w:rPr>
          <w:rFonts w:asciiTheme="minorHAnsi" w:hAnsiTheme="minorHAnsi"/>
          <w:lang w:val="bg-BG"/>
        </w:rPr>
        <w:t>водят до следното</w:t>
      </w:r>
      <w:r w:rsidRPr="00DC2206">
        <w:rPr>
          <w:rFonts w:asciiTheme="minorHAnsi" w:hAnsiTheme="minorHAnsi"/>
          <w:lang w:val="bg-BG"/>
        </w:rPr>
        <w:t>: (i)</w:t>
      </w:r>
      <w:r w:rsidR="00A96428" w:rsidRPr="00DC2206">
        <w:rPr>
          <w:rFonts w:asciiTheme="minorHAnsi" w:hAnsiTheme="minorHAnsi"/>
          <w:lang w:val="bg-BG"/>
        </w:rPr>
        <w:t> </w:t>
      </w:r>
      <w:r w:rsidR="008D292D" w:rsidRPr="008D292D">
        <w:rPr>
          <w:rFonts w:asciiTheme="minorHAnsi" w:hAnsiTheme="minorHAnsi"/>
          <w:lang w:val="bg-BG"/>
        </w:rPr>
        <w:t>напускането/освобождаването от длъжност</w:t>
      </w:r>
      <w:r w:rsidR="00A96428" w:rsidRPr="00DC2206">
        <w:rPr>
          <w:rFonts w:asciiTheme="minorHAnsi" w:hAnsiTheme="minorHAnsi"/>
          <w:lang w:val="bg-BG"/>
        </w:rPr>
        <w:t xml:space="preserve"> трябва да се подчинява изключително на позволените основания</w:t>
      </w:r>
      <w:r w:rsidRPr="00DC2206">
        <w:rPr>
          <w:rFonts w:asciiTheme="minorHAnsi" w:hAnsiTheme="minorHAnsi"/>
          <w:lang w:val="bg-BG"/>
        </w:rPr>
        <w:t xml:space="preserve">, </w:t>
      </w:r>
      <w:r w:rsidR="00A96428" w:rsidRPr="00DC2206">
        <w:rPr>
          <w:rFonts w:asciiTheme="minorHAnsi" w:hAnsiTheme="minorHAnsi"/>
          <w:lang w:val="bg-BG"/>
        </w:rPr>
        <w:t>било то чрез производство, което е в съответствие с правото на справедлив процес или тъй като мандатът, за който лицето е назначено, е изтекъл</w:t>
      </w:r>
      <w:r w:rsidRPr="00DC2206">
        <w:rPr>
          <w:rFonts w:asciiTheme="minorHAnsi" w:hAnsiTheme="minorHAnsi"/>
          <w:lang w:val="bg-BG"/>
        </w:rPr>
        <w:t>; (ii)</w:t>
      </w:r>
      <w:r w:rsidR="00A96428" w:rsidRPr="00DC2206">
        <w:rPr>
          <w:rFonts w:asciiTheme="minorHAnsi" w:hAnsiTheme="minorHAnsi"/>
          <w:lang w:val="bg-BG"/>
        </w:rPr>
        <w:t> </w:t>
      </w:r>
      <w:r w:rsidR="00A0730F" w:rsidRPr="00DC2206">
        <w:rPr>
          <w:rFonts w:asciiTheme="minorHAnsi" w:hAnsiTheme="minorHAnsi"/>
          <w:lang w:val="bg-BG"/>
        </w:rPr>
        <w:t>прокурори</w:t>
      </w:r>
      <w:r w:rsidR="00A96428" w:rsidRPr="00DC2206">
        <w:rPr>
          <w:rFonts w:asciiTheme="minorHAnsi" w:hAnsiTheme="minorHAnsi"/>
          <w:lang w:val="bg-BG"/>
        </w:rPr>
        <w:t>те могат да бъдат отстранявани само за тежки дисциплинарни нарушения или поради неспособност</w:t>
      </w:r>
      <w:r w:rsidRPr="00DC2206">
        <w:rPr>
          <w:rFonts w:asciiTheme="minorHAnsi" w:hAnsiTheme="minorHAnsi"/>
          <w:lang w:val="bg-BG"/>
        </w:rPr>
        <w:t xml:space="preserve">, </w:t>
      </w:r>
      <w:r w:rsidR="00A96428" w:rsidRPr="00DC2206">
        <w:rPr>
          <w:rFonts w:asciiTheme="minorHAnsi" w:hAnsiTheme="minorHAnsi"/>
          <w:lang w:val="bg-BG"/>
        </w:rPr>
        <w:t xml:space="preserve">и </w:t>
      </w:r>
      <w:r w:rsidRPr="00DC2206">
        <w:rPr>
          <w:rFonts w:asciiTheme="minorHAnsi" w:hAnsiTheme="minorHAnsi"/>
          <w:lang w:val="bg-BG"/>
        </w:rPr>
        <w:t>(iii)</w:t>
      </w:r>
      <w:r w:rsidR="00A96428" w:rsidRPr="00DC2206">
        <w:rPr>
          <w:rFonts w:asciiTheme="minorHAnsi" w:hAnsiTheme="minorHAnsi"/>
          <w:lang w:val="bg-BG"/>
        </w:rPr>
        <w:t xml:space="preserve"> всички производства срещу </w:t>
      </w:r>
      <w:r w:rsidR="00A0730F" w:rsidRPr="00DC2206">
        <w:rPr>
          <w:rFonts w:asciiTheme="minorHAnsi" w:hAnsiTheme="minorHAnsi"/>
          <w:lang w:val="bg-BG"/>
        </w:rPr>
        <w:t>прокурори</w:t>
      </w:r>
      <w:r w:rsidRPr="00DC2206">
        <w:rPr>
          <w:rFonts w:asciiTheme="minorHAnsi" w:hAnsiTheme="minorHAnsi"/>
          <w:lang w:val="bg-BG"/>
        </w:rPr>
        <w:t xml:space="preserve"> </w:t>
      </w:r>
      <w:r w:rsidR="00A96428" w:rsidRPr="00DC2206">
        <w:rPr>
          <w:rFonts w:asciiTheme="minorHAnsi" w:hAnsiTheme="minorHAnsi"/>
          <w:lang w:val="bg-BG"/>
        </w:rPr>
        <w:t xml:space="preserve">трябва да бъдат в съответствие със справедливи процедури, които гарантират обективност и </w:t>
      </w:r>
      <w:r w:rsidR="00AD1FEF" w:rsidRPr="00DC2206">
        <w:rPr>
          <w:rFonts w:asciiTheme="minorHAnsi" w:hAnsiTheme="minorHAnsi"/>
          <w:lang w:val="bg-BG"/>
        </w:rPr>
        <w:t>безпристрастност</w:t>
      </w:r>
      <w:r w:rsidRPr="00DC2206">
        <w:rPr>
          <w:rFonts w:asciiTheme="minorHAnsi" w:hAnsiTheme="minorHAnsi"/>
          <w:lang w:val="bg-BG"/>
        </w:rPr>
        <w:t xml:space="preserve"> </w:t>
      </w:r>
      <w:r w:rsidR="00A96428" w:rsidRPr="00DC2206">
        <w:rPr>
          <w:rFonts w:asciiTheme="minorHAnsi" w:hAnsiTheme="minorHAnsi"/>
          <w:lang w:val="bg-BG"/>
        </w:rPr>
        <w:t>съгласно Конституцията или закона</w:t>
      </w:r>
      <w:r w:rsidRPr="00DC2206">
        <w:rPr>
          <w:rFonts w:asciiTheme="minorHAnsi" w:hAnsiTheme="minorHAnsi"/>
          <w:lang w:val="bg-BG"/>
        </w:rPr>
        <w:t xml:space="preserve">, </w:t>
      </w:r>
      <w:r w:rsidR="00A96428" w:rsidRPr="00DC2206">
        <w:rPr>
          <w:rFonts w:asciiTheme="minorHAnsi" w:hAnsiTheme="minorHAnsi"/>
          <w:lang w:val="bg-BG"/>
        </w:rPr>
        <w:t xml:space="preserve">с оглед на това, че свободното уволнение на </w:t>
      </w:r>
      <w:r w:rsidR="00A0730F" w:rsidRPr="00DC2206">
        <w:rPr>
          <w:rFonts w:asciiTheme="minorHAnsi" w:hAnsiTheme="minorHAnsi"/>
          <w:lang w:val="bg-BG"/>
        </w:rPr>
        <w:t>прокурори</w:t>
      </w:r>
      <w:r w:rsidRPr="00DC2206">
        <w:rPr>
          <w:rFonts w:asciiTheme="minorHAnsi" w:hAnsiTheme="minorHAnsi"/>
          <w:lang w:val="bg-BG"/>
        </w:rPr>
        <w:t xml:space="preserve"> </w:t>
      </w:r>
      <w:r w:rsidR="00A96428" w:rsidRPr="00DC2206">
        <w:rPr>
          <w:rFonts w:asciiTheme="minorHAnsi" w:hAnsiTheme="minorHAnsi"/>
          <w:lang w:val="bg-BG"/>
        </w:rPr>
        <w:t xml:space="preserve">подхранва обективно съмнение по отношение на действителната възможност те да изпълняват задълженията си без страх от </w:t>
      </w:r>
      <w:r w:rsidR="00AA3C4A" w:rsidRPr="00DC2206">
        <w:rPr>
          <w:rFonts w:asciiTheme="minorHAnsi" w:hAnsiTheme="minorHAnsi"/>
          <w:lang w:val="bg-BG"/>
        </w:rPr>
        <w:t>репресии</w:t>
      </w:r>
      <w:r w:rsidR="008561A8" w:rsidRPr="00DC2206">
        <w:rPr>
          <w:rStyle w:val="FootnoteReference"/>
          <w:rFonts w:asciiTheme="minorHAnsi" w:hAnsiTheme="minorHAnsi"/>
          <w:lang w:val="bg-BG"/>
        </w:rPr>
        <w:footnoteReference w:id="67"/>
      </w:r>
      <w:r w:rsidRPr="00DC2206">
        <w:rPr>
          <w:rFonts w:asciiTheme="minorHAnsi" w:hAnsiTheme="minorHAnsi"/>
          <w:lang w:val="bg-BG"/>
        </w:rPr>
        <w:t>.</w:t>
      </w:r>
    </w:p>
    <w:p w14:paraId="29BC61D9" w14:textId="77777777" w:rsidR="008561A8" w:rsidRPr="00DC2206" w:rsidRDefault="008561A8" w:rsidP="00732D5B">
      <w:pPr>
        <w:tabs>
          <w:tab w:val="right" w:pos="9071"/>
          <w:tab w:val="left" w:pos="333"/>
        </w:tabs>
        <w:ind w:left="709" w:hanging="709"/>
        <w:jc w:val="both"/>
        <w:outlineLvl w:val="1"/>
        <w:rPr>
          <w:rFonts w:asciiTheme="minorHAnsi" w:hAnsiTheme="minorHAnsi"/>
          <w:lang w:val="bg-BG"/>
        </w:rPr>
      </w:pPr>
      <w:bookmarkStart w:id="3" w:name="bookmark4"/>
    </w:p>
    <w:p w14:paraId="3B028E2F" w14:textId="77777777" w:rsidR="00C61601" w:rsidRPr="00DC2206" w:rsidRDefault="00FE4E94" w:rsidP="00A96428">
      <w:pPr>
        <w:tabs>
          <w:tab w:val="right" w:pos="9071"/>
          <w:tab w:val="left" w:pos="333"/>
        </w:tabs>
        <w:jc w:val="both"/>
        <w:outlineLvl w:val="1"/>
        <w:rPr>
          <w:rFonts w:asciiTheme="minorHAnsi" w:hAnsiTheme="minorHAnsi"/>
          <w:b/>
          <w:lang w:val="bg-BG"/>
        </w:rPr>
      </w:pPr>
      <w:r w:rsidRPr="00DC2206">
        <w:rPr>
          <w:rFonts w:asciiTheme="minorHAnsi" w:hAnsiTheme="minorHAnsi"/>
          <w:b/>
          <w:lang w:val="bg-BG"/>
        </w:rPr>
        <w:t>Д</w:t>
      </w:r>
      <w:r w:rsidR="00521963" w:rsidRPr="00DC2206">
        <w:rPr>
          <w:rFonts w:asciiTheme="minorHAnsi" w:hAnsiTheme="minorHAnsi"/>
          <w:b/>
          <w:lang w:val="bg-BG"/>
        </w:rPr>
        <w:t>.</w:t>
      </w:r>
      <w:r w:rsidRPr="00DC2206">
        <w:rPr>
          <w:rFonts w:asciiTheme="minorHAnsi" w:hAnsiTheme="minorHAnsi"/>
          <w:b/>
          <w:lang w:val="bg-BG"/>
        </w:rPr>
        <w:t> </w:t>
      </w:r>
      <w:r w:rsidR="00A96428" w:rsidRPr="00DC2206">
        <w:rPr>
          <w:rFonts w:asciiTheme="minorHAnsi" w:hAnsiTheme="minorHAnsi"/>
          <w:b/>
          <w:lang w:val="bg-BG"/>
        </w:rPr>
        <w:t xml:space="preserve">Въздействие на решенията на </w:t>
      </w:r>
      <w:r w:rsidR="00CD379A" w:rsidRPr="00DC2206">
        <w:rPr>
          <w:rFonts w:asciiTheme="minorHAnsi" w:hAnsiTheme="minorHAnsi"/>
          <w:b/>
          <w:lang w:val="bg-BG"/>
        </w:rPr>
        <w:t>международни</w:t>
      </w:r>
      <w:r w:rsidR="00A96428" w:rsidRPr="00DC2206">
        <w:rPr>
          <w:rFonts w:asciiTheme="minorHAnsi" w:hAnsiTheme="minorHAnsi"/>
          <w:b/>
          <w:lang w:val="bg-BG"/>
        </w:rPr>
        <w:t>те</w:t>
      </w:r>
      <w:r w:rsidR="00CD379A" w:rsidRPr="00DC2206">
        <w:rPr>
          <w:rFonts w:asciiTheme="minorHAnsi" w:hAnsiTheme="minorHAnsi"/>
          <w:b/>
          <w:lang w:val="bg-BG"/>
        </w:rPr>
        <w:t xml:space="preserve"> съдилища</w:t>
      </w:r>
      <w:r w:rsidR="00A96428" w:rsidRPr="00DC2206">
        <w:rPr>
          <w:rFonts w:asciiTheme="minorHAnsi" w:hAnsiTheme="minorHAnsi"/>
          <w:b/>
          <w:lang w:val="bg-BG"/>
        </w:rPr>
        <w:t xml:space="preserve"> върху практическата </w:t>
      </w:r>
      <w:r w:rsidR="00A0730F" w:rsidRPr="00DC2206">
        <w:rPr>
          <w:rFonts w:asciiTheme="minorHAnsi" w:hAnsiTheme="minorHAnsi"/>
          <w:b/>
          <w:lang w:val="bg-BG"/>
        </w:rPr>
        <w:t>независимост</w:t>
      </w:r>
      <w:r w:rsidR="00521963" w:rsidRPr="00DC2206">
        <w:rPr>
          <w:rFonts w:asciiTheme="minorHAnsi" w:hAnsiTheme="minorHAnsi"/>
          <w:b/>
          <w:lang w:val="bg-BG"/>
        </w:rPr>
        <w:t xml:space="preserve"> </w:t>
      </w:r>
      <w:r w:rsidR="00A96428" w:rsidRPr="00DC2206">
        <w:rPr>
          <w:rFonts w:asciiTheme="minorHAnsi" w:hAnsiTheme="minorHAnsi"/>
          <w:b/>
          <w:lang w:val="bg-BG"/>
        </w:rPr>
        <w:t xml:space="preserve">на </w:t>
      </w:r>
      <w:r w:rsidR="00A0730F" w:rsidRPr="00DC2206">
        <w:rPr>
          <w:rFonts w:asciiTheme="minorHAnsi" w:hAnsiTheme="minorHAnsi"/>
          <w:b/>
          <w:lang w:val="bg-BG"/>
        </w:rPr>
        <w:t>прокурори</w:t>
      </w:r>
      <w:bookmarkEnd w:id="3"/>
      <w:r w:rsidR="00A96428" w:rsidRPr="00DC2206">
        <w:rPr>
          <w:rFonts w:asciiTheme="minorHAnsi" w:hAnsiTheme="minorHAnsi"/>
          <w:b/>
          <w:lang w:val="bg-BG"/>
        </w:rPr>
        <w:t>те</w:t>
      </w:r>
    </w:p>
    <w:p w14:paraId="6C157E6F" w14:textId="77777777" w:rsidR="008561A8" w:rsidRPr="00DC2206" w:rsidRDefault="008561A8" w:rsidP="00732D5B">
      <w:pPr>
        <w:tabs>
          <w:tab w:val="right" w:pos="9071"/>
          <w:tab w:val="left" w:pos="333"/>
        </w:tabs>
        <w:ind w:left="709" w:hanging="709"/>
        <w:jc w:val="both"/>
        <w:outlineLvl w:val="1"/>
        <w:rPr>
          <w:rFonts w:asciiTheme="minorHAnsi" w:hAnsiTheme="minorHAnsi"/>
          <w:lang w:val="bg-BG"/>
        </w:rPr>
      </w:pPr>
    </w:p>
    <w:p w14:paraId="0FA04E9B" w14:textId="77777777" w:rsidR="00C61601" w:rsidRPr="00DC2206" w:rsidRDefault="00521963" w:rsidP="008561A8">
      <w:pPr>
        <w:ind w:left="709" w:hanging="709"/>
        <w:jc w:val="both"/>
        <w:rPr>
          <w:rFonts w:asciiTheme="minorHAnsi" w:hAnsiTheme="minorHAnsi"/>
          <w:lang w:val="bg-BG"/>
        </w:rPr>
      </w:pPr>
      <w:r w:rsidRPr="00DC2206">
        <w:rPr>
          <w:rFonts w:asciiTheme="minorHAnsi" w:hAnsiTheme="minorHAnsi"/>
          <w:lang w:val="bg-BG"/>
        </w:rPr>
        <w:t>51.</w:t>
      </w:r>
      <w:r w:rsidR="008561A8" w:rsidRPr="00DC2206">
        <w:rPr>
          <w:rFonts w:asciiTheme="minorHAnsi" w:hAnsiTheme="minorHAnsi"/>
          <w:lang w:val="bg-BG"/>
        </w:rPr>
        <w:tab/>
      </w:r>
      <w:r w:rsidR="00A96428" w:rsidRPr="00DC2206">
        <w:rPr>
          <w:rFonts w:asciiTheme="minorHAnsi" w:hAnsiTheme="minorHAnsi"/>
          <w:lang w:val="bg-BG"/>
        </w:rPr>
        <w:t xml:space="preserve">Горепосочените решения на </w:t>
      </w:r>
      <w:r w:rsidR="00CD379A" w:rsidRPr="00DC2206">
        <w:rPr>
          <w:rFonts w:asciiTheme="minorHAnsi" w:hAnsiTheme="minorHAnsi"/>
          <w:lang w:val="bg-BG"/>
        </w:rPr>
        <w:t>международни съдилища</w:t>
      </w:r>
      <w:r w:rsidRPr="00DC2206">
        <w:rPr>
          <w:rFonts w:asciiTheme="minorHAnsi" w:hAnsiTheme="minorHAnsi"/>
          <w:lang w:val="bg-BG"/>
        </w:rPr>
        <w:t xml:space="preserve"> </w:t>
      </w:r>
      <w:r w:rsidR="00A96428" w:rsidRPr="00DC2206">
        <w:rPr>
          <w:rFonts w:asciiTheme="minorHAnsi" w:hAnsiTheme="minorHAnsi"/>
          <w:lang w:val="bg-BG"/>
        </w:rPr>
        <w:t>предоставя</w:t>
      </w:r>
      <w:r w:rsidR="00C74BD4">
        <w:rPr>
          <w:rFonts w:asciiTheme="minorHAnsi" w:hAnsiTheme="minorHAnsi"/>
          <w:lang w:val="bg-BG"/>
        </w:rPr>
        <w:t>т</w:t>
      </w:r>
      <w:r w:rsidR="00A96428" w:rsidRPr="00DC2206">
        <w:rPr>
          <w:rFonts w:asciiTheme="minorHAnsi" w:hAnsiTheme="minorHAnsi"/>
          <w:lang w:val="bg-BG"/>
        </w:rPr>
        <w:t xml:space="preserve"> полезни елементи по отношение на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A96428" w:rsidRPr="00DC2206">
        <w:rPr>
          <w:rFonts w:asciiTheme="minorHAnsi" w:hAnsiTheme="minorHAnsi"/>
          <w:lang w:val="bg-BG"/>
        </w:rPr>
        <w:t xml:space="preserve">на </w:t>
      </w:r>
      <w:r w:rsidR="00A0730F" w:rsidRPr="00DC2206">
        <w:rPr>
          <w:rFonts w:asciiTheme="minorHAnsi" w:hAnsiTheme="minorHAnsi"/>
          <w:lang w:val="bg-BG"/>
        </w:rPr>
        <w:t>съдебната власт</w:t>
      </w:r>
      <w:r w:rsidRPr="00DC2206">
        <w:rPr>
          <w:rFonts w:asciiTheme="minorHAnsi" w:hAnsiTheme="minorHAnsi"/>
          <w:lang w:val="bg-BG"/>
        </w:rPr>
        <w:t xml:space="preserve"> </w:t>
      </w:r>
      <w:r w:rsidR="00A96428" w:rsidRPr="00DC2206">
        <w:rPr>
          <w:rFonts w:asciiTheme="minorHAnsi" w:hAnsiTheme="minorHAnsi"/>
          <w:lang w:val="bg-BG"/>
        </w:rPr>
        <w:t xml:space="preserve">като цяло и, по-специално,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A96428" w:rsidRPr="00DC2206">
        <w:rPr>
          <w:rFonts w:asciiTheme="minorHAnsi" w:hAnsiTheme="minorHAnsi"/>
          <w:lang w:val="bg-BG"/>
        </w:rPr>
        <w:t xml:space="preserve">на </w:t>
      </w:r>
      <w:r w:rsidR="00A0730F" w:rsidRPr="00DC2206">
        <w:rPr>
          <w:rFonts w:asciiTheme="minorHAnsi" w:hAnsiTheme="minorHAnsi"/>
          <w:lang w:val="bg-BG"/>
        </w:rPr>
        <w:t>прокурори</w:t>
      </w:r>
      <w:r w:rsidR="00A96428" w:rsidRPr="00DC2206">
        <w:rPr>
          <w:rFonts w:asciiTheme="minorHAnsi" w:hAnsiTheme="minorHAnsi"/>
          <w:lang w:val="bg-BG"/>
        </w:rPr>
        <w:t>те</w:t>
      </w:r>
      <w:r w:rsidRPr="00DC2206">
        <w:rPr>
          <w:rFonts w:asciiTheme="minorHAnsi" w:hAnsiTheme="minorHAnsi"/>
          <w:lang w:val="bg-BG"/>
        </w:rPr>
        <w:t xml:space="preserve">. </w:t>
      </w:r>
      <w:r w:rsidR="00A96428" w:rsidRPr="00DC2206">
        <w:rPr>
          <w:rFonts w:asciiTheme="minorHAnsi" w:hAnsiTheme="minorHAnsi"/>
          <w:lang w:val="bg-BG"/>
        </w:rPr>
        <w:t>Както е обяснено по-горе</w:t>
      </w:r>
      <w:r w:rsidRPr="00DC2206">
        <w:rPr>
          <w:rFonts w:asciiTheme="minorHAnsi" w:hAnsiTheme="minorHAnsi"/>
          <w:lang w:val="bg-BG"/>
        </w:rPr>
        <w:t xml:space="preserve">, </w:t>
      </w:r>
      <w:r w:rsidR="00A96428" w:rsidRPr="00DC2206">
        <w:rPr>
          <w:rFonts w:asciiTheme="minorHAnsi" w:hAnsiTheme="minorHAnsi"/>
          <w:lang w:val="bg-BG"/>
        </w:rPr>
        <w:t xml:space="preserve">гаранциите, предвидени за </w:t>
      </w:r>
      <w:r w:rsidR="00A0730F" w:rsidRPr="00DC2206">
        <w:rPr>
          <w:rFonts w:asciiTheme="minorHAnsi" w:hAnsiTheme="minorHAnsi"/>
          <w:lang w:val="bg-BG"/>
        </w:rPr>
        <w:t>съдебната власт</w:t>
      </w:r>
      <w:r w:rsidR="00A96428" w:rsidRPr="00DC2206">
        <w:rPr>
          <w:rFonts w:asciiTheme="minorHAnsi" w:hAnsiTheme="minorHAnsi"/>
          <w:lang w:val="bg-BG"/>
        </w:rPr>
        <w:t xml:space="preserve">, могат да бъдат приложими и в известна степен за </w:t>
      </w:r>
      <w:r w:rsidR="00A1456B" w:rsidRPr="00DC2206">
        <w:rPr>
          <w:rFonts w:asciiTheme="minorHAnsi" w:hAnsiTheme="minorHAnsi"/>
          <w:lang w:val="bg-BG"/>
        </w:rPr>
        <w:t>прокуратури</w:t>
      </w:r>
      <w:r w:rsidR="00A96428" w:rsidRPr="00DC2206">
        <w:rPr>
          <w:rFonts w:asciiTheme="minorHAnsi" w:hAnsiTheme="minorHAnsi"/>
          <w:lang w:val="bg-BG"/>
        </w:rPr>
        <w:t>те</w:t>
      </w:r>
      <w:r w:rsidRPr="00DC2206">
        <w:rPr>
          <w:rFonts w:asciiTheme="minorHAnsi" w:hAnsiTheme="minorHAnsi"/>
          <w:lang w:val="bg-BG"/>
        </w:rPr>
        <w:t xml:space="preserve"> </w:t>
      </w:r>
      <w:r w:rsidR="00A96428" w:rsidRPr="00DC2206">
        <w:rPr>
          <w:rFonts w:asciiTheme="minorHAnsi" w:hAnsiTheme="minorHAnsi"/>
          <w:lang w:val="bg-BG"/>
        </w:rPr>
        <w:t xml:space="preserve">и </w:t>
      </w:r>
      <w:r w:rsidR="00A0730F" w:rsidRPr="00DC2206">
        <w:rPr>
          <w:rFonts w:asciiTheme="minorHAnsi" w:hAnsiTheme="minorHAnsi"/>
          <w:lang w:val="bg-BG"/>
        </w:rPr>
        <w:t>прокурори</w:t>
      </w:r>
      <w:r w:rsidR="00A96428" w:rsidRPr="00DC2206">
        <w:rPr>
          <w:rFonts w:asciiTheme="minorHAnsi" w:hAnsiTheme="minorHAnsi"/>
          <w:lang w:val="bg-BG"/>
        </w:rPr>
        <w:t>те</w:t>
      </w:r>
      <w:r w:rsidRPr="00DC2206">
        <w:rPr>
          <w:rFonts w:asciiTheme="minorHAnsi" w:hAnsiTheme="minorHAnsi"/>
          <w:lang w:val="bg-BG"/>
        </w:rPr>
        <w:t>.</w:t>
      </w:r>
    </w:p>
    <w:p w14:paraId="13F4418A" w14:textId="77777777" w:rsidR="008561A8" w:rsidRPr="00DC2206" w:rsidRDefault="008561A8" w:rsidP="008561A8">
      <w:pPr>
        <w:tabs>
          <w:tab w:val="right" w:pos="9071"/>
        </w:tabs>
        <w:ind w:left="709" w:hanging="709"/>
        <w:jc w:val="both"/>
        <w:rPr>
          <w:rFonts w:asciiTheme="minorHAnsi" w:hAnsiTheme="minorHAnsi"/>
          <w:lang w:val="bg-BG"/>
        </w:rPr>
      </w:pPr>
    </w:p>
    <w:p w14:paraId="1C830B93" w14:textId="77777777" w:rsidR="00C61601" w:rsidRPr="00DC2206" w:rsidRDefault="00521963" w:rsidP="008561A8">
      <w:pPr>
        <w:tabs>
          <w:tab w:val="right" w:pos="9071"/>
        </w:tabs>
        <w:ind w:left="709" w:hanging="709"/>
        <w:jc w:val="both"/>
        <w:rPr>
          <w:rFonts w:asciiTheme="minorHAnsi" w:hAnsiTheme="minorHAnsi"/>
          <w:lang w:val="bg-BG"/>
        </w:rPr>
      </w:pPr>
      <w:r w:rsidRPr="00DC2206">
        <w:rPr>
          <w:rFonts w:asciiTheme="minorHAnsi" w:hAnsiTheme="minorHAnsi"/>
          <w:lang w:val="bg-BG"/>
        </w:rPr>
        <w:t>52.</w:t>
      </w:r>
      <w:r w:rsidR="008561A8" w:rsidRPr="00DC2206">
        <w:rPr>
          <w:rFonts w:asciiTheme="minorHAnsi" w:hAnsiTheme="minorHAnsi"/>
          <w:lang w:val="bg-BG"/>
        </w:rPr>
        <w:tab/>
      </w:r>
      <w:r w:rsidR="00A96428" w:rsidRPr="00DC2206">
        <w:rPr>
          <w:rFonts w:asciiTheme="minorHAnsi" w:hAnsiTheme="minorHAnsi"/>
          <w:lang w:val="bg-BG"/>
        </w:rPr>
        <w:t xml:space="preserve">По този начин, разнообразните елементи на </w:t>
      </w:r>
      <w:r w:rsidR="00A0730F" w:rsidRPr="00DC2206">
        <w:rPr>
          <w:rFonts w:asciiTheme="minorHAnsi" w:hAnsiTheme="minorHAnsi"/>
          <w:lang w:val="bg-BG"/>
        </w:rPr>
        <w:t>независимост</w:t>
      </w:r>
      <w:r w:rsidR="00A96428" w:rsidRPr="00DC2206">
        <w:rPr>
          <w:rFonts w:asciiTheme="minorHAnsi" w:hAnsiTheme="minorHAnsi"/>
          <w:lang w:val="bg-BG"/>
        </w:rPr>
        <w:t xml:space="preserve">та, подчертани в тези решения, могат да бъдат използвани за засилване на институционалната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A96428" w:rsidRPr="00DC2206">
        <w:rPr>
          <w:rFonts w:asciiTheme="minorHAnsi" w:hAnsiTheme="minorHAnsi"/>
          <w:lang w:val="bg-BG"/>
        </w:rPr>
        <w:t xml:space="preserve">на </w:t>
      </w:r>
      <w:r w:rsidR="00A1456B" w:rsidRPr="00DC2206">
        <w:rPr>
          <w:rFonts w:asciiTheme="minorHAnsi" w:hAnsiTheme="minorHAnsi"/>
          <w:lang w:val="bg-BG"/>
        </w:rPr>
        <w:t>прокуратури</w:t>
      </w:r>
      <w:r w:rsidR="00A96428" w:rsidRPr="00DC2206">
        <w:rPr>
          <w:rFonts w:asciiTheme="minorHAnsi" w:hAnsiTheme="minorHAnsi"/>
          <w:lang w:val="bg-BG"/>
        </w:rPr>
        <w:t>те</w:t>
      </w:r>
      <w:r w:rsidRPr="00DC2206">
        <w:rPr>
          <w:rFonts w:asciiTheme="minorHAnsi" w:hAnsiTheme="minorHAnsi"/>
          <w:lang w:val="bg-BG"/>
        </w:rPr>
        <w:t xml:space="preserve">, </w:t>
      </w:r>
      <w:r w:rsidR="00A96428" w:rsidRPr="00DC2206">
        <w:rPr>
          <w:rFonts w:asciiTheme="minorHAnsi" w:hAnsiTheme="minorHAnsi"/>
          <w:lang w:val="bg-BG"/>
        </w:rPr>
        <w:t xml:space="preserve">както и функционалната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A96428" w:rsidRPr="00DC2206">
        <w:rPr>
          <w:rFonts w:asciiTheme="minorHAnsi" w:hAnsiTheme="minorHAnsi"/>
          <w:lang w:val="bg-BG"/>
        </w:rPr>
        <w:t xml:space="preserve">на отделните </w:t>
      </w:r>
      <w:r w:rsidR="00A0730F" w:rsidRPr="00DC2206">
        <w:rPr>
          <w:rFonts w:asciiTheme="minorHAnsi" w:hAnsiTheme="minorHAnsi"/>
          <w:lang w:val="bg-BG"/>
        </w:rPr>
        <w:t>прокурори</w:t>
      </w:r>
      <w:r w:rsidRPr="00DC2206">
        <w:rPr>
          <w:rFonts w:asciiTheme="minorHAnsi" w:hAnsiTheme="minorHAnsi"/>
          <w:lang w:val="bg-BG"/>
        </w:rPr>
        <w:t xml:space="preserve">, </w:t>
      </w:r>
      <w:r w:rsidR="00A96428" w:rsidRPr="00DC2206">
        <w:rPr>
          <w:rFonts w:asciiTheme="minorHAnsi" w:hAnsiTheme="minorHAnsi"/>
          <w:lang w:val="bg-BG"/>
        </w:rPr>
        <w:t xml:space="preserve">по отношение по-специално на законодателната рамка за организационната </w:t>
      </w:r>
      <w:r w:rsidR="00A0730F" w:rsidRPr="00DC2206">
        <w:rPr>
          <w:rFonts w:asciiTheme="minorHAnsi" w:hAnsiTheme="minorHAnsi"/>
          <w:lang w:val="bg-BG"/>
        </w:rPr>
        <w:t>автономия</w:t>
      </w:r>
      <w:r w:rsidR="008561A8" w:rsidRPr="00DC2206">
        <w:rPr>
          <w:rFonts w:asciiTheme="minorHAnsi" w:hAnsiTheme="minorHAnsi"/>
          <w:lang w:val="bg-BG"/>
        </w:rPr>
        <w:t xml:space="preserve"> </w:t>
      </w:r>
      <w:r w:rsidR="00A96428" w:rsidRPr="00DC2206">
        <w:rPr>
          <w:rFonts w:asciiTheme="minorHAnsi" w:hAnsiTheme="minorHAnsi"/>
          <w:lang w:val="bg-BG"/>
        </w:rPr>
        <w:t xml:space="preserve">на </w:t>
      </w:r>
      <w:r w:rsidR="00A0730F" w:rsidRPr="00DC2206">
        <w:rPr>
          <w:rFonts w:asciiTheme="minorHAnsi" w:hAnsiTheme="minorHAnsi"/>
          <w:lang w:val="bg-BG"/>
        </w:rPr>
        <w:lastRenderedPageBreak/>
        <w:t>прокуратурите</w:t>
      </w:r>
      <w:r w:rsidRPr="00DC2206">
        <w:rPr>
          <w:rFonts w:asciiTheme="minorHAnsi" w:hAnsiTheme="minorHAnsi"/>
          <w:lang w:val="bg-BG"/>
        </w:rPr>
        <w:t xml:space="preserve">, </w:t>
      </w:r>
      <w:r w:rsidR="00A96428" w:rsidRPr="00DC2206">
        <w:rPr>
          <w:rFonts w:asciiTheme="minorHAnsi" w:hAnsiTheme="minorHAnsi"/>
          <w:lang w:val="bg-BG"/>
        </w:rPr>
        <w:t xml:space="preserve">процеса на </w:t>
      </w:r>
      <w:r w:rsidR="00AD1FEF" w:rsidRPr="00DC2206">
        <w:rPr>
          <w:rFonts w:asciiTheme="minorHAnsi" w:hAnsiTheme="minorHAnsi"/>
          <w:lang w:val="bg-BG"/>
        </w:rPr>
        <w:t>назначаване</w:t>
      </w:r>
      <w:r w:rsidRPr="00DC2206">
        <w:rPr>
          <w:rFonts w:asciiTheme="minorHAnsi" w:hAnsiTheme="minorHAnsi"/>
          <w:lang w:val="bg-BG"/>
        </w:rPr>
        <w:t xml:space="preserve">, </w:t>
      </w:r>
      <w:r w:rsidR="0006181B">
        <w:rPr>
          <w:rFonts w:asciiTheme="minorHAnsi" w:hAnsiTheme="minorHAnsi"/>
          <w:lang w:val="bg-BG"/>
        </w:rPr>
        <w:t>оцен</w:t>
      </w:r>
      <w:r w:rsidR="00A96428" w:rsidRPr="00DC2206">
        <w:rPr>
          <w:rFonts w:asciiTheme="minorHAnsi" w:hAnsiTheme="minorHAnsi"/>
          <w:lang w:val="bg-BG"/>
        </w:rPr>
        <w:t>к</w:t>
      </w:r>
      <w:r w:rsidR="0006181B">
        <w:rPr>
          <w:rFonts w:asciiTheme="minorHAnsi" w:hAnsiTheme="minorHAnsi"/>
          <w:lang w:val="bg-BG"/>
        </w:rPr>
        <w:t>а</w:t>
      </w:r>
      <w:r w:rsidR="00A96428" w:rsidRPr="00DC2206">
        <w:rPr>
          <w:rFonts w:asciiTheme="minorHAnsi" w:hAnsiTheme="minorHAnsi"/>
          <w:lang w:val="bg-BG"/>
        </w:rPr>
        <w:t xml:space="preserve">та и уволнението на </w:t>
      </w:r>
      <w:r w:rsidR="00A0730F" w:rsidRPr="00DC2206">
        <w:rPr>
          <w:rFonts w:asciiTheme="minorHAnsi" w:hAnsiTheme="minorHAnsi"/>
          <w:lang w:val="bg-BG"/>
        </w:rPr>
        <w:t>прокурори</w:t>
      </w:r>
      <w:r w:rsidRPr="00DC2206">
        <w:rPr>
          <w:rFonts w:asciiTheme="minorHAnsi" w:hAnsiTheme="minorHAnsi"/>
          <w:lang w:val="bg-BG"/>
        </w:rPr>
        <w:t xml:space="preserve">, </w:t>
      </w:r>
      <w:r w:rsidR="00A96428" w:rsidRPr="00DC2206">
        <w:rPr>
          <w:rFonts w:asciiTheme="minorHAnsi" w:hAnsiTheme="minorHAnsi"/>
          <w:lang w:val="bg-BG"/>
        </w:rPr>
        <w:t>техния мандат</w:t>
      </w:r>
      <w:r w:rsidRPr="00DC2206">
        <w:rPr>
          <w:rFonts w:asciiTheme="minorHAnsi" w:hAnsiTheme="minorHAnsi"/>
          <w:lang w:val="bg-BG"/>
        </w:rPr>
        <w:t xml:space="preserve">, </w:t>
      </w:r>
      <w:r w:rsidR="00A96428" w:rsidRPr="00DC2206">
        <w:rPr>
          <w:rFonts w:asciiTheme="minorHAnsi" w:hAnsiTheme="minorHAnsi"/>
          <w:lang w:val="bg-BG"/>
        </w:rPr>
        <w:t xml:space="preserve">ненамесата в работата на </w:t>
      </w:r>
      <w:r w:rsidR="00A0730F" w:rsidRPr="00DC2206">
        <w:rPr>
          <w:rFonts w:asciiTheme="minorHAnsi" w:hAnsiTheme="minorHAnsi"/>
          <w:lang w:val="bg-BG"/>
        </w:rPr>
        <w:t>прокурори</w:t>
      </w:r>
      <w:r w:rsidR="00A96428" w:rsidRPr="00DC2206">
        <w:rPr>
          <w:rFonts w:asciiTheme="minorHAnsi" w:hAnsiTheme="minorHAnsi"/>
          <w:lang w:val="bg-BG"/>
        </w:rPr>
        <w:t>те и други важни аспекти</w:t>
      </w:r>
      <w:r w:rsidRPr="00DC2206">
        <w:rPr>
          <w:rFonts w:asciiTheme="minorHAnsi" w:hAnsiTheme="minorHAnsi"/>
          <w:lang w:val="bg-BG"/>
        </w:rPr>
        <w:t>.</w:t>
      </w:r>
    </w:p>
    <w:p w14:paraId="6A5FC1F8" w14:textId="77777777" w:rsidR="008561A8" w:rsidRPr="00DC2206" w:rsidRDefault="008561A8" w:rsidP="008561A8">
      <w:pPr>
        <w:ind w:left="709" w:hanging="709"/>
        <w:jc w:val="both"/>
        <w:rPr>
          <w:rFonts w:asciiTheme="minorHAnsi" w:hAnsiTheme="minorHAnsi"/>
          <w:lang w:val="bg-BG"/>
        </w:rPr>
      </w:pPr>
    </w:p>
    <w:p w14:paraId="76A13071" w14:textId="77777777" w:rsidR="00C61601" w:rsidRPr="00DC2206" w:rsidRDefault="00521963" w:rsidP="008561A8">
      <w:pPr>
        <w:ind w:left="709" w:hanging="709"/>
        <w:jc w:val="both"/>
        <w:rPr>
          <w:rFonts w:asciiTheme="minorHAnsi" w:hAnsiTheme="minorHAnsi"/>
          <w:lang w:val="bg-BG"/>
        </w:rPr>
      </w:pPr>
      <w:r w:rsidRPr="00DC2206">
        <w:rPr>
          <w:rFonts w:asciiTheme="minorHAnsi" w:hAnsiTheme="minorHAnsi"/>
          <w:lang w:val="bg-BG"/>
        </w:rPr>
        <w:t>53.</w:t>
      </w:r>
      <w:r w:rsidRPr="00DC2206">
        <w:rPr>
          <w:rFonts w:asciiTheme="minorHAnsi" w:hAnsiTheme="minorHAnsi"/>
          <w:lang w:val="bg-BG"/>
        </w:rPr>
        <w:tab/>
      </w:r>
      <w:r w:rsidR="00A96428" w:rsidRPr="00DC2206">
        <w:rPr>
          <w:rFonts w:asciiTheme="minorHAnsi" w:hAnsiTheme="minorHAnsi"/>
          <w:lang w:val="bg-BG"/>
        </w:rPr>
        <w:t xml:space="preserve">Основната добавена стойност на </w:t>
      </w:r>
      <w:r w:rsidR="001C1676" w:rsidRPr="00DC2206">
        <w:rPr>
          <w:rFonts w:asciiTheme="minorHAnsi" w:hAnsiTheme="minorHAnsi"/>
          <w:lang w:val="bg-BG"/>
        </w:rPr>
        <w:t>съдебната практика</w:t>
      </w:r>
      <w:r w:rsidRPr="00DC2206">
        <w:rPr>
          <w:rFonts w:asciiTheme="minorHAnsi" w:hAnsiTheme="minorHAnsi"/>
          <w:lang w:val="bg-BG"/>
        </w:rPr>
        <w:t xml:space="preserve"> </w:t>
      </w:r>
      <w:r w:rsidR="00A96428" w:rsidRPr="00DC2206">
        <w:rPr>
          <w:rFonts w:asciiTheme="minorHAnsi" w:hAnsiTheme="minorHAnsi"/>
          <w:lang w:val="bg-BG"/>
        </w:rPr>
        <w:t xml:space="preserve">на </w:t>
      </w:r>
      <w:r w:rsidR="001C1676" w:rsidRPr="00DC2206">
        <w:rPr>
          <w:rFonts w:asciiTheme="minorHAnsi" w:hAnsiTheme="minorHAnsi"/>
          <w:lang w:val="bg-BG"/>
        </w:rPr>
        <w:t>ЕСПЧ</w:t>
      </w:r>
      <w:r w:rsidRPr="00DC2206">
        <w:rPr>
          <w:rFonts w:asciiTheme="minorHAnsi" w:hAnsiTheme="minorHAnsi"/>
          <w:lang w:val="bg-BG"/>
        </w:rPr>
        <w:t xml:space="preserve"> </w:t>
      </w:r>
      <w:r w:rsidR="00A96428" w:rsidRPr="00DC2206">
        <w:rPr>
          <w:rFonts w:asciiTheme="minorHAnsi" w:hAnsiTheme="minorHAnsi"/>
          <w:lang w:val="bg-BG"/>
        </w:rPr>
        <w:t>е нейната обвързваща сила</w:t>
      </w:r>
      <w:r w:rsidRPr="00DC2206">
        <w:rPr>
          <w:rFonts w:asciiTheme="minorHAnsi" w:hAnsiTheme="minorHAnsi"/>
          <w:lang w:val="bg-BG"/>
        </w:rPr>
        <w:t xml:space="preserve">. </w:t>
      </w:r>
      <w:r w:rsidR="00A96428" w:rsidRPr="00DC2206">
        <w:rPr>
          <w:rFonts w:asciiTheme="minorHAnsi" w:hAnsiTheme="minorHAnsi"/>
          <w:lang w:val="bg-BG"/>
        </w:rPr>
        <w:t xml:space="preserve">Решенията на </w:t>
      </w:r>
      <w:r w:rsidR="001C1676" w:rsidRPr="00DC2206">
        <w:rPr>
          <w:rFonts w:asciiTheme="minorHAnsi" w:hAnsiTheme="minorHAnsi"/>
          <w:lang w:val="bg-BG"/>
        </w:rPr>
        <w:t>ЕСПЧ</w:t>
      </w:r>
      <w:r w:rsidRPr="00DC2206">
        <w:rPr>
          <w:rFonts w:asciiTheme="minorHAnsi" w:hAnsiTheme="minorHAnsi"/>
          <w:lang w:val="bg-BG"/>
        </w:rPr>
        <w:t xml:space="preserve">, </w:t>
      </w:r>
      <w:r w:rsidR="00A96428" w:rsidRPr="00DC2206">
        <w:rPr>
          <w:rFonts w:asciiTheme="minorHAnsi" w:hAnsiTheme="minorHAnsi"/>
          <w:lang w:val="bg-BG"/>
        </w:rPr>
        <w:t xml:space="preserve">в които са установени нарушения на </w:t>
      </w:r>
      <w:r w:rsidR="001C1676" w:rsidRPr="00DC2206">
        <w:rPr>
          <w:rFonts w:asciiTheme="minorHAnsi" w:hAnsiTheme="minorHAnsi"/>
          <w:lang w:val="bg-BG"/>
        </w:rPr>
        <w:t>ЕКПЧ</w:t>
      </w:r>
      <w:r w:rsidRPr="00DC2206">
        <w:rPr>
          <w:rFonts w:asciiTheme="minorHAnsi" w:hAnsiTheme="minorHAnsi"/>
          <w:lang w:val="bg-BG"/>
        </w:rPr>
        <w:t xml:space="preserve">, </w:t>
      </w:r>
      <w:r w:rsidR="00A96428" w:rsidRPr="00DC2206">
        <w:rPr>
          <w:rFonts w:asciiTheme="minorHAnsi" w:hAnsiTheme="minorHAnsi"/>
          <w:lang w:val="bg-BG"/>
        </w:rPr>
        <w:t>налагат на държавата ответник правно задължение не просто да плати на заинтересуваните лица определени суми като справедливо обезщетение</w:t>
      </w:r>
      <w:r w:rsidRPr="00DC2206">
        <w:rPr>
          <w:rFonts w:asciiTheme="minorHAnsi" w:hAnsiTheme="minorHAnsi"/>
          <w:lang w:val="bg-BG"/>
        </w:rPr>
        <w:t xml:space="preserve">, </w:t>
      </w:r>
      <w:r w:rsidR="00A96428" w:rsidRPr="00DC2206">
        <w:rPr>
          <w:rFonts w:asciiTheme="minorHAnsi" w:hAnsiTheme="minorHAnsi"/>
          <w:lang w:val="bg-BG"/>
        </w:rPr>
        <w:t>но и да установи</w:t>
      </w:r>
      <w:r w:rsidRPr="00DC2206">
        <w:rPr>
          <w:rFonts w:asciiTheme="minorHAnsi" w:hAnsiTheme="minorHAnsi"/>
          <w:lang w:val="bg-BG"/>
        </w:rPr>
        <w:t xml:space="preserve">, </w:t>
      </w:r>
      <w:r w:rsidR="00A96428" w:rsidRPr="00DC2206">
        <w:rPr>
          <w:rFonts w:asciiTheme="minorHAnsi" w:hAnsiTheme="minorHAnsi"/>
          <w:lang w:val="bg-BG"/>
        </w:rPr>
        <w:t xml:space="preserve">под надзора на </w:t>
      </w:r>
      <w:r w:rsidR="00732D5B" w:rsidRPr="00DC2206">
        <w:rPr>
          <w:rFonts w:asciiTheme="minorHAnsi" w:hAnsiTheme="minorHAnsi"/>
          <w:lang w:val="bg-BG"/>
        </w:rPr>
        <w:t>Комитета на министрите</w:t>
      </w:r>
      <w:r w:rsidRPr="00DC2206">
        <w:rPr>
          <w:rFonts w:asciiTheme="minorHAnsi" w:hAnsiTheme="minorHAnsi"/>
          <w:lang w:val="bg-BG"/>
        </w:rPr>
        <w:t xml:space="preserve"> </w:t>
      </w:r>
      <w:r w:rsidR="00A96428" w:rsidRPr="00DC2206">
        <w:rPr>
          <w:rFonts w:asciiTheme="minorHAnsi" w:hAnsiTheme="minorHAnsi"/>
          <w:lang w:val="bg-BG"/>
        </w:rPr>
        <w:t>на Съвета на Европа</w:t>
      </w:r>
      <w:r w:rsidRPr="00DC2206">
        <w:rPr>
          <w:rFonts w:asciiTheme="minorHAnsi" w:hAnsiTheme="minorHAnsi"/>
          <w:lang w:val="bg-BG"/>
        </w:rPr>
        <w:t xml:space="preserve">, </w:t>
      </w:r>
      <w:r w:rsidR="00A96428" w:rsidRPr="00DC2206">
        <w:rPr>
          <w:rFonts w:asciiTheme="minorHAnsi" w:hAnsiTheme="minorHAnsi"/>
          <w:lang w:val="bg-BG"/>
        </w:rPr>
        <w:t xml:space="preserve">общи мерки, които да бъдат приети в нейния национален правен ред, за да сложи край на нарушенията, установени от Съда, и за да </w:t>
      </w:r>
      <w:r w:rsidR="001D268C" w:rsidRPr="00DC2206">
        <w:rPr>
          <w:rFonts w:asciiTheme="minorHAnsi" w:hAnsiTheme="minorHAnsi"/>
          <w:lang w:val="bg-BG"/>
        </w:rPr>
        <w:t>поправи доколкото е възможно ефектите от тях</w:t>
      </w:r>
      <w:r w:rsidR="008561A8" w:rsidRPr="00DC2206">
        <w:rPr>
          <w:rStyle w:val="FootnoteReference"/>
          <w:rFonts w:asciiTheme="minorHAnsi" w:hAnsiTheme="minorHAnsi"/>
          <w:lang w:val="bg-BG"/>
        </w:rPr>
        <w:footnoteReference w:id="68"/>
      </w:r>
      <w:r w:rsidRPr="00DC2206">
        <w:rPr>
          <w:rFonts w:asciiTheme="minorHAnsi" w:hAnsiTheme="minorHAnsi"/>
          <w:lang w:val="bg-BG"/>
        </w:rPr>
        <w:t>.</w:t>
      </w:r>
    </w:p>
    <w:p w14:paraId="20CC47BA" w14:textId="77777777" w:rsidR="008561A8" w:rsidRPr="00DC2206" w:rsidRDefault="008561A8" w:rsidP="008561A8">
      <w:pPr>
        <w:ind w:left="709" w:hanging="709"/>
        <w:jc w:val="both"/>
        <w:rPr>
          <w:rFonts w:asciiTheme="minorHAnsi" w:hAnsiTheme="minorHAnsi"/>
          <w:lang w:val="bg-BG"/>
        </w:rPr>
      </w:pPr>
    </w:p>
    <w:p w14:paraId="57E87AF8" w14:textId="77777777" w:rsidR="00C61601" w:rsidRPr="00DC2206" w:rsidRDefault="00521963" w:rsidP="008561A8">
      <w:pPr>
        <w:ind w:left="709" w:hanging="709"/>
        <w:jc w:val="both"/>
        <w:rPr>
          <w:rFonts w:asciiTheme="minorHAnsi" w:hAnsiTheme="minorHAnsi"/>
          <w:lang w:val="bg-BG"/>
        </w:rPr>
      </w:pPr>
      <w:r w:rsidRPr="00DC2206">
        <w:rPr>
          <w:rFonts w:asciiTheme="minorHAnsi" w:hAnsiTheme="minorHAnsi"/>
          <w:lang w:val="bg-BG"/>
        </w:rPr>
        <w:t>54.</w:t>
      </w:r>
      <w:r w:rsidRPr="00DC2206">
        <w:rPr>
          <w:rFonts w:asciiTheme="minorHAnsi" w:hAnsiTheme="minorHAnsi"/>
          <w:lang w:val="bg-BG"/>
        </w:rPr>
        <w:tab/>
      </w:r>
      <w:r w:rsidR="001D268C" w:rsidRPr="00DC2206">
        <w:rPr>
          <w:rFonts w:asciiTheme="minorHAnsi" w:hAnsiTheme="minorHAnsi"/>
          <w:lang w:val="bg-BG"/>
        </w:rPr>
        <w:t>По този начин</w:t>
      </w:r>
      <w:r w:rsidRPr="00DC2206">
        <w:rPr>
          <w:rFonts w:asciiTheme="minorHAnsi" w:hAnsiTheme="minorHAnsi"/>
          <w:lang w:val="bg-BG"/>
        </w:rPr>
        <w:t xml:space="preserve">, </w:t>
      </w:r>
      <w:r w:rsidR="00AD1FEF" w:rsidRPr="00DC2206">
        <w:rPr>
          <w:rFonts w:asciiTheme="minorHAnsi" w:hAnsiTheme="minorHAnsi"/>
          <w:lang w:val="bg-BG"/>
        </w:rPr>
        <w:t>изискване</w:t>
      </w:r>
      <w:r w:rsidR="001D268C" w:rsidRPr="00DC2206">
        <w:rPr>
          <w:rFonts w:asciiTheme="minorHAnsi" w:hAnsiTheme="minorHAnsi"/>
          <w:lang w:val="bg-BG"/>
        </w:rPr>
        <w:t xml:space="preserve">то за предприемане на общи мерки, за да бъде поставен край на нарушенията, е задължително и се надзирава от </w:t>
      </w:r>
      <w:r w:rsidR="00732D5B" w:rsidRPr="00DC2206">
        <w:rPr>
          <w:rFonts w:asciiTheme="minorHAnsi" w:hAnsiTheme="minorHAnsi"/>
          <w:lang w:val="bg-BG"/>
        </w:rPr>
        <w:t>Комитета на министрите</w:t>
      </w:r>
      <w:r w:rsidRPr="00DC2206">
        <w:rPr>
          <w:rFonts w:asciiTheme="minorHAnsi" w:hAnsiTheme="minorHAnsi"/>
          <w:lang w:val="bg-BG"/>
        </w:rPr>
        <w:t xml:space="preserve">. </w:t>
      </w:r>
      <w:r w:rsidR="001D268C" w:rsidRPr="00DC2206">
        <w:rPr>
          <w:rFonts w:asciiTheme="minorHAnsi" w:hAnsiTheme="minorHAnsi"/>
          <w:lang w:val="bg-BG"/>
        </w:rPr>
        <w:t xml:space="preserve">Тези общи </w:t>
      </w:r>
      <w:r w:rsidR="00C74BD4">
        <w:rPr>
          <w:rFonts w:asciiTheme="minorHAnsi" w:hAnsiTheme="minorHAnsi"/>
          <w:lang w:val="bg-BG"/>
        </w:rPr>
        <w:t xml:space="preserve">мерки </w:t>
      </w:r>
      <w:r w:rsidR="001D268C" w:rsidRPr="00DC2206">
        <w:rPr>
          <w:rFonts w:asciiTheme="minorHAnsi" w:hAnsiTheme="minorHAnsi"/>
          <w:lang w:val="bg-BG"/>
        </w:rPr>
        <w:t>могат да включ</w:t>
      </w:r>
      <w:r w:rsidR="00C74BD4">
        <w:rPr>
          <w:rFonts w:asciiTheme="minorHAnsi" w:hAnsiTheme="minorHAnsi"/>
          <w:lang w:val="bg-BG"/>
        </w:rPr>
        <w:t>в</w:t>
      </w:r>
      <w:r w:rsidR="001D268C" w:rsidRPr="00DC2206">
        <w:rPr>
          <w:rFonts w:asciiTheme="minorHAnsi" w:hAnsiTheme="minorHAnsi"/>
          <w:lang w:val="bg-BG"/>
        </w:rPr>
        <w:t>ат ново или изменено законодателство</w:t>
      </w:r>
      <w:r w:rsidRPr="00DC2206">
        <w:rPr>
          <w:rFonts w:asciiTheme="minorHAnsi" w:hAnsiTheme="minorHAnsi"/>
          <w:lang w:val="bg-BG"/>
        </w:rPr>
        <w:t xml:space="preserve">, </w:t>
      </w:r>
      <w:r w:rsidR="001D268C" w:rsidRPr="00DC2206">
        <w:rPr>
          <w:rFonts w:asciiTheme="minorHAnsi" w:hAnsiTheme="minorHAnsi"/>
          <w:lang w:val="bg-BG"/>
        </w:rPr>
        <w:t>нови институции</w:t>
      </w:r>
      <w:r w:rsidRPr="00DC2206">
        <w:rPr>
          <w:rFonts w:asciiTheme="minorHAnsi" w:hAnsiTheme="minorHAnsi"/>
          <w:lang w:val="bg-BG"/>
        </w:rPr>
        <w:t xml:space="preserve">, </w:t>
      </w:r>
      <w:r w:rsidR="001D268C" w:rsidRPr="00DC2206">
        <w:rPr>
          <w:rFonts w:asciiTheme="minorHAnsi" w:hAnsiTheme="minorHAnsi"/>
          <w:lang w:val="bg-BG"/>
        </w:rPr>
        <w:t>механизми</w:t>
      </w:r>
      <w:r w:rsidRPr="00DC2206">
        <w:rPr>
          <w:rFonts w:asciiTheme="minorHAnsi" w:hAnsiTheme="minorHAnsi"/>
          <w:lang w:val="bg-BG"/>
        </w:rPr>
        <w:t xml:space="preserve">, </w:t>
      </w:r>
      <w:r w:rsidR="001D268C" w:rsidRPr="00DC2206">
        <w:rPr>
          <w:rFonts w:asciiTheme="minorHAnsi" w:hAnsiTheme="minorHAnsi"/>
          <w:lang w:val="bg-BG"/>
        </w:rPr>
        <w:t>процедури</w:t>
      </w:r>
      <w:r w:rsidRPr="00DC2206">
        <w:rPr>
          <w:rFonts w:asciiTheme="minorHAnsi" w:hAnsiTheme="minorHAnsi"/>
          <w:lang w:val="bg-BG"/>
        </w:rPr>
        <w:t xml:space="preserve">, </w:t>
      </w:r>
      <w:r w:rsidR="001D268C" w:rsidRPr="00DC2206">
        <w:rPr>
          <w:rFonts w:asciiTheme="minorHAnsi" w:hAnsiTheme="minorHAnsi"/>
          <w:lang w:val="bg-BG"/>
        </w:rPr>
        <w:t xml:space="preserve">нови критерии за </w:t>
      </w:r>
      <w:r w:rsidR="00AD1FEF" w:rsidRPr="00DC2206">
        <w:rPr>
          <w:rFonts w:asciiTheme="minorHAnsi" w:hAnsiTheme="minorHAnsi"/>
          <w:lang w:val="bg-BG"/>
        </w:rPr>
        <w:t>назначаване</w:t>
      </w:r>
      <w:r w:rsidRPr="00DC2206">
        <w:rPr>
          <w:rFonts w:asciiTheme="minorHAnsi" w:hAnsiTheme="minorHAnsi"/>
          <w:lang w:val="bg-BG"/>
        </w:rPr>
        <w:t xml:space="preserve">, </w:t>
      </w:r>
      <w:r w:rsidR="001D268C" w:rsidRPr="00DC2206">
        <w:rPr>
          <w:rFonts w:asciiTheme="minorHAnsi" w:hAnsiTheme="minorHAnsi"/>
          <w:lang w:val="bg-BG"/>
        </w:rPr>
        <w:t>преместване</w:t>
      </w:r>
      <w:r w:rsidRPr="00DC2206">
        <w:rPr>
          <w:rFonts w:asciiTheme="minorHAnsi" w:hAnsiTheme="minorHAnsi"/>
          <w:lang w:val="bg-BG"/>
        </w:rPr>
        <w:t xml:space="preserve">, </w:t>
      </w:r>
      <w:r w:rsidR="001D268C" w:rsidRPr="00DC2206">
        <w:rPr>
          <w:rFonts w:asciiTheme="minorHAnsi" w:hAnsiTheme="minorHAnsi"/>
          <w:lang w:val="bg-BG"/>
        </w:rPr>
        <w:t>повишаване</w:t>
      </w:r>
      <w:r w:rsidRPr="00DC2206">
        <w:rPr>
          <w:rFonts w:asciiTheme="minorHAnsi" w:hAnsiTheme="minorHAnsi"/>
          <w:lang w:val="bg-BG"/>
        </w:rPr>
        <w:t xml:space="preserve">, </w:t>
      </w:r>
      <w:r w:rsidR="001D268C" w:rsidRPr="00DC2206">
        <w:rPr>
          <w:rFonts w:asciiTheme="minorHAnsi" w:hAnsiTheme="minorHAnsi"/>
          <w:lang w:val="bg-BG"/>
        </w:rPr>
        <w:t>оценка</w:t>
      </w:r>
      <w:r w:rsidRPr="00DC2206">
        <w:rPr>
          <w:rFonts w:asciiTheme="minorHAnsi" w:hAnsiTheme="minorHAnsi"/>
          <w:lang w:val="bg-BG"/>
        </w:rPr>
        <w:t xml:space="preserve">, </w:t>
      </w:r>
      <w:r w:rsidR="001D268C" w:rsidRPr="00DC2206">
        <w:rPr>
          <w:rFonts w:asciiTheme="minorHAnsi" w:hAnsiTheme="minorHAnsi"/>
          <w:lang w:val="bg-BG"/>
        </w:rPr>
        <w:t xml:space="preserve">уволнение на </w:t>
      </w:r>
      <w:r w:rsidR="00A0730F" w:rsidRPr="00DC2206">
        <w:rPr>
          <w:rFonts w:asciiTheme="minorHAnsi" w:hAnsiTheme="minorHAnsi"/>
          <w:lang w:val="bg-BG"/>
        </w:rPr>
        <w:t>прокурори</w:t>
      </w:r>
      <w:r w:rsidRPr="00DC2206">
        <w:rPr>
          <w:rFonts w:asciiTheme="minorHAnsi" w:hAnsiTheme="minorHAnsi"/>
          <w:lang w:val="bg-BG"/>
        </w:rPr>
        <w:t xml:space="preserve">, </w:t>
      </w:r>
      <w:r w:rsidR="001D268C" w:rsidRPr="00DC2206">
        <w:rPr>
          <w:rFonts w:asciiTheme="minorHAnsi" w:hAnsiTheme="minorHAnsi"/>
          <w:lang w:val="bg-BG"/>
        </w:rPr>
        <w:t xml:space="preserve">нови гаранции в хода на дисциплинарните производства срещу </w:t>
      </w:r>
      <w:r w:rsidR="00A0730F" w:rsidRPr="00DC2206">
        <w:rPr>
          <w:rFonts w:asciiTheme="minorHAnsi" w:hAnsiTheme="minorHAnsi"/>
          <w:lang w:val="bg-BG"/>
        </w:rPr>
        <w:t>прокурори</w:t>
      </w:r>
      <w:r w:rsidRPr="00DC2206">
        <w:rPr>
          <w:rFonts w:asciiTheme="minorHAnsi" w:hAnsiTheme="minorHAnsi"/>
          <w:lang w:val="bg-BG"/>
        </w:rPr>
        <w:t xml:space="preserve">, </w:t>
      </w:r>
      <w:r w:rsidR="001D268C" w:rsidRPr="00DC2206">
        <w:rPr>
          <w:rFonts w:asciiTheme="minorHAnsi" w:hAnsiTheme="minorHAnsi"/>
          <w:lang w:val="bg-BG"/>
        </w:rPr>
        <w:t>разработването на етични стандарти и други мерки</w:t>
      </w:r>
      <w:r w:rsidRPr="00DC2206">
        <w:rPr>
          <w:rFonts w:asciiTheme="minorHAnsi" w:hAnsiTheme="minorHAnsi"/>
          <w:lang w:val="bg-BG"/>
        </w:rPr>
        <w:t>.</w:t>
      </w:r>
    </w:p>
    <w:p w14:paraId="0CC2521D" w14:textId="77777777" w:rsidR="008561A8" w:rsidRPr="00DC2206" w:rsidRDefault="008561A8" w:rsidP="008561A8">
      <w:pPr>
        <w:ind w:left="709" w:hanging="709"/>
        <w:jc w:val="both"/>
        <w:rPr>
          <w:rFonts w:asciiTheme="minorHAnsi" w:hAnsiTheme="minorHAnsi"/>
          <w:lang w:val="bg-BG"/>
        </w:rPr>
      </w:pPr>
    </w:p>
    <w:p w14:paraId="15D4EA18" w14:textId="77777777" w:rsidR="00C61601" w:rsidRPr="00DC2206" w:rsidRDefault="00521963" w:rsidP="008561A8">
      <w:pPr>
        <w:ind w:left="709" w:hanging="709"/>
        <w:jc w:val="both"/>
        <w:rPr>
          <w:rFonts w:asciiTheme="minorHAnsi" w:hAnsiTheme="minorHAnsi"/>
          <w:lang w:val="bg-BG"/>
        </w:rPr>
      </w:pPr>
      <w:r w:rsidRPr="00DC2206">
        <w:rPr>
          <w:rFonts w:asciiTheme="minorHAnsi" w:hAnsiTheme="minorHAnsi"/>
          <w:lang w:val="bg-BG"/>
        </w:rPr>
        <w:t>55.</w:t>
      </w:r>
      <w:r w:rsidRPr="00DC2206">
        <w:rPr>
          <w:rFonts w:asciiTheme="minorHAnsi" w:hAnsiTheme="minorHAnsi"/>
          <w:lang w:val="bg-BG"/>
        </w:rPr>
        <w:tab/>
      </w:r>
      <w:r w:rsidR="00F50895" w:rsidRPr="00DC2206">
        <w:rPr>
          <w:rFonts w:asciiTheme="minorHAnsi" w:hAnsiTheme="minorHAnsi"/>
          <w:lang w:val="bg-BG"/>
        </w:rPr>
        <w:t xml:space="preserve">Поради тази причина </w:t>
      </w:r>
      <w:r w:rsidR="00B90749" w:rsidRPr="00DC2206">
        <w:rPr>
          <w:rFonts w:asciiTheme="minorHAnsi" w:hAnsiTheme="minorHAnsi"/>
          <w:lang w:val="bg-BG"/>
        </w:rPr>
        <w:t>КСЕП</w:t>
      </w:r>
      <w:r w:rsidRPr="00DC2206">
        <w:rPr>
          <w:rFonts w:asciiTheme="minorHAnsi" w:hAnsiTheme="minorHAnsi"/>
          <w:lang w:val="bg-BG"/>
        </w:rPr>
        <w:t xml:space="preserve"> </w:t>
      </w:r>
      <w:r w:rsidR="00F50895" w:rsidRPr="00DC2206">
        <w:rPr>
          <w:rFonts w:asciiTheme="minorHAnsi" w:hAnsiTheme="minorHAnsi"/>
          <w:lang w:val="bg-BG"/>
        </w:rPr>
        <w:t xml:space="preserve">счете за важно да изготви </w:t>
      </w:r>
      <w:r w:rsidR="00AD7714" w:rsidRPr="00DC2206">
        <w:rPr>
          <w:rFonts w:asciiTheme="minorHAnsi" w:hAnsiTheme="minorHAnsi"/>
          <w:lang w:val="bg-BG"/>
        </w:rPr>
        <w:t>настоящото Становище</w:t>
      </w:r>
      <w:r w:rsidR="00F50895" w:rsidRPr="00DC2206">
        <w:rPr>
          <w:rFonts w:asciiTheme="minorHAnsi" w:hAnsiTheme="minorHAnsi"/>
          <w:lang w:val="bg-BG"/>
        </w:rPr>
        <w:t xml:space="preserve">, което изрично показва елементите на </w:t>
      </w:r>
      <w:r w:rsidR="00A0730F" w:rsidRPr="00DC2206">
        <w:rPr>
          <w:rFonts w:asciiTheme="minorHAnsi" w:hAnsiTheme="minorHAnsi"/>
          <w:lang w:val="bg-BG"/>
        </w:rPr>
        <w:t>независимост</w:t>
      </w:r>
      <w:r w:rsidR="00F50895" w:rsidRPr="00DC2206">
        <w:rPr>
          <w:rFonts w:asciiTheme="minorHAnsi" w:hAnsiTheme="minorHAnsi"/>
          <w:lang w:val="bg-BG"/>
        </w:rPr>
        <w:t xml:space="preserve">та на </w:t>
      </w:r>
      <w:r w:rsidR="00A0730F" w:rsidRPr="00DC2206">
        <w:rPr>
          <w:rFonts w:asciiTheme="minorHAnsi" w:hAnsiTheme="minorHAnsi"/>
          <w:lang w:val="bg-BG"/>
        </w:rPr>
        <w:t>прокурори</w:t>
      </w:r>
      <w:r w:rsidR="00F50895" w:rsidRPr="00DC2206">
        <w:rPr>
          <w:rFonts w:asciiTheme="minorHAnsi" w:hAnsiTheme="minorHAnsi"/>
          <w:lang w:val="bg-BG"/>
        </w:rPr>
        <w:t xml:space="preserve">те, развити в съдебната практика на </w:t>
      </w:r>
      <w:r w:rsidR="001C1676" w:rsidRPr="00DC2206">
        <w:rPr>
          <w:rFonts w:asciiTheme="minorHAnsi" w:hAnsiTheme="minorHAnsi"/>
          <w:lang w:val="bg-BG"/>
        </w:rPr>
        <w:t>ЕСПЧ</w:t>
      </w:r>
      <w:r w:rsidR="00F50895" w:rsidRPr="00DC2206">
        <w:rPr>
          <w:rFonts w:asciiTheme="minorHAnsi" w:hAnsiTheme="minorHAnsi"/>
          <w:lang w:val="bg-BG"/>
        </w:rPr>
        <w:t>, които могат да бъда</w:t>
      </w:r>
      <w:r w:rsidR="00C74BD4">
        <w:rPr>
          <w:rFonts w:asciiTheme="minorHAnsi" w:hAnsiTheme="minorHAnsi"/>
          <w:lang w:val="bg-BG"/>
        </w:rPr>
        <w:t>т</w:t>
      </w:r>
      <w:r w:rsidR="00F50895" w:rsidRPr="00DC2206">
        <w:rPr>
          <w:rFonts w:asciiTheme="minorHAnsi" w:hAnsiTheme="minorHAnsi"/>
          <w:lang w:val="bg-BG"/>
        </w:rPr>
        <w:t xml:space="preserve"> практически реализирани в рамките на задължителни общи мерки</w:t>
      </w:r>
      <w:r w:rsidRPr="00DC2206">
        <w:rPr>
          <w:rFonts w:asciiTheme="minorHAnsi" w:hAnsiTheme="minorHAnsi"/>
          <w:lang w:val="bg-BG"/>
        </w:rPr>
        <w:t>.</w:t>
      </w:r>
    </w:p>
    <w:p w14:paraId="2425601B" w14:textId="77777777" w:rsidR="008561A8" w:rsidRPr="00DC2206" w:rsidRDefault="008561A8" w:rsidP="008561A8">
      <w:pPr>
        <w:ind w:left="709" w:hanging="709"/>
        <w:jc w:val="both"/>
        <w:rPr>
          <w:rFonts w:asciiTheme="minorHAnsi" w:hAnsiTheme="minorHAnsi"/>
          <w:lang w:val="bg-BG"/>
        </w:rPr>
      </w:pPr>
    </w:p>
    <w:p w14:paraId="48E4A6ED" w14:textId="77777777" w:rsidR="00C61601" w:rsidRPr="00DC2206" w:rsidRDefault="00521963" w:rsidP="008561A8">
      <w:pPr>
        <w:ind w:left="709" w:hanging="709"/>
        <w:jc w:val="both"/>
        <w:rPr>
          <w:rFonts w:asciiTheme="minorHAnsi" w:hAnsiTheme="minorHAnsi"/>
          <w:lang w:val="bg-BG"/>
        </w:rPr>
      </w:pPr>
      <w:r w:rsidRPr="00DC2206">
        <w:rPr>
          <w:rFonts w:asciiTheme="minorHAnsi" w:hAnsiTheme="minorHAnsi"/>
          <w:lang w:val="bg-BG"/>
        </w:rPr>
        <w:t>56.</w:t>
      </w:r>
      <w:r w:rsidRPr="00DC2206">
        <w:rPr>
          <w:rFonts w:asciiTheme="minorHAnsi" w:hAnsiTheme="minorHAnsi"/>
          <w:lang w:val="bg-BG"/>
        </w:rPr>
        <w:tab/>
      </w:r>
      <w:r w:rsidR="00D20348" w:rsidRPr="00DC2206">
        <w:rPr>
          <w:rFonts w:asciiTheme="minorHAnsi" w:hAnsiTheme="minorHAnsi"/>
          <w:lang w:val="bg-BG"/>
        </w:rPr>
        <w:t>В същото време</w:t>
      </w:r>
      <w:r w:rsidRPr="00DC2206">
        <w:rPr>
          <w:rFonts w:asciiTheme="minorHAnsi" w:hAnsiTheme="minorHAnsi"/>
          <w:lang w:val="bg-BG"/>
        </w:rPr>
        <w:t xml:space="preserve">, </w:t>
      </w:r>
      <w:r w:rsidR="00D20348" w:rsidRPr="00DC2206">
        <w:rPr>
          <w:rFonts w:asciiTheme="minorHAnsi" w:hAnsiTheme="minorHAnsi"/>
          <w:lang w:val="bg-BG"/>
        </w:rPr>
        <w:t xml:space="preserve">съществуват важни консултативни инструменти, разработени от Съвета на Европа, които предоставят задълбочени насоки по отношение на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D20348" w:rsidRPr="00DC2206">
        <w:rPr>
          <w:rFonts w:asciiTheme="minorHAnsi" w:hAnsiTheme="minorHAnsi"/>
          <w:lang w:val="bg-BG"/>
        </w:rPr>
        <w:t xml:space="preserve">на </w:t>
      </w:r>
      <w:r w:rsidR="00A0730F" w:rsidRPr="00DC2206">
        <w:rPr>
          <w:rFonts w:asciiTheme="minorHAnsi" w:hAnsiTheme="minorHAnsi"/>
          <w:lang w:val="bg-BG"/>
        </w:rPr>
        <w:t>прокурори</w:t>
      </w:r>
      <w:r w:rsidR="00D20348" w:rsidRPr="00DC2206">
        <w:rPr>
          <w:rFonts w:asciiTheme="minorHAnsi" w:hAnsiTheme="minorHAnsi"/>
          <w:lang w:val="bg-BG"/>
        </w:rPr>
        <w:t>те във всички посочени по-горе аспекти</w:t>
      </w:r>
      <w:r w:rsidRPr="00DC2206">
        <w:rPr>
          <w:rFonts w:asciiTheme="minorHAnsi" w:hAnsiTheme="minorHAnsi"/>
          <w:lang w:val="bg-BG"/>
        </w:rPr>
        <w:t>.</w:t>
      </w:r>
      <w:r w:rsidR="00D20348" w:rsidRPr="00DC2206">
        <w:rPr>
          <w:rFonts w:asciiTheme="minorHAnsi" w:hAnsiTheme="minorHAnsi"/>
          <w:lang w:val="bg-BG"/>
        </w:rPr>
        <w:t xml:space="preserve"> Тези инструменти включват по-специално предходните Становища на </w:t>
      </w:r>
      <w:r w:rsidR="00B90749" w:rsidRPr="00DC2206">
        <w:rPr>
          <w:rFonts w:asciiTheme="minorHAnsi" w:hAnsiTheme="minorHAnsi"/>
          <w:lang w:val="bg-BG"/>
        </w:rPr>
        <w:t>КСЕП</w:t>
      </w:r>
      <w:r w:rsidRPr="00DC2206">
        <w:rPr>
          <w:rFonts w:asciiTheme="minorHAnsi" w:hAnsiTheme="minorHAnsi"/>
          <w:lang w:val="bg-BG"/>
        </w:rPr>
        <w:t xml:space="preserve"> </w:t>
      </w:r>
      <w:r w:rsidR="00D20348" w:rsidRPr="00DC2206">
        <w:rPr>
          <w:rFonts w:asciiTheme="minorHAnsi" w:hAnsiTheme="minorHAnsi"/>
          <w:lang w:val="bg-BG"/>
        </w:rPr>
        <w:t>и Докладите на Венецианската комисия, имащи отношение към наказателното разследване</w:t>
      </w:r>
      <w:r w:rsidR="007D0DFD" w:rsidRPr="00DC2206">
        <w:rPr>
          <w:rFonts w:asciiTheme="minorHAnsi" w:hAnsiTheme="minorHAnsi"/>
          <w:lang w:val="bg-BG"/>
        </w:rPr>
        <w:t>. Комитетът на министрите акт</w:t>
      </w:r>
      <w:r w:rsidR="00DC2206" w:rsidRPr="00DC2206">
        <w:rPr>
          <w:rFonts w:asciiTheme="minorHAnsi" w:hAnsiTheme="minorHAnsi"/>
          <w:lang w:val="bg-BG"/>
        </w:rPr>
        <w:t>и</w:t>
      </w:r>
      <w:r w:rsidR="007D0DFD" w:rsidRPr="00DC2206">
        <w:rPr>
          <w:rFonts w:asciiTheme="minorHAnsi" w:hAnsiTheme="minorHAnsi"/>
          <w:lang w:val="bg-BG"/>
        </w:rPr>
        <w:t>вно се застъпва за изпълнение на препоръките, съдържащи се в тези инструменти, в държавите членки и те често се реализират на практика на национално ниво</w:t>
      </w:r>
      <w:r w:rsidRPr="00DC2206">
        <w:rPr>
          <w:rFonts w:asciiTheme="minorHAnsi" w:hAnsiTheme="minorHAnsi"/>
          <w:lang w:val="bg-BG"/>
        </w:rPr>
        <w:t xml:space="preserve">. </w:t>
      </w:r>
      <w:r w:rsidR="007D0DFD" w:rsidRPr="00DC2206">
        <w:rPr>
          <w:rFonts w:asciiTheme="minorHAnsi" w:hAnsiTheme="minorHAnsi"/>
          <w:lang w:val="bg-BG"/>
        </w:rPr>
        <w:t xml:space="preserve">Те служат като база за реформи </w:t>
      </w:r>
      <w:r w:rsidR="00C74BD4">
        <w:rPr>
          <w:rFonts w:asciiTheme="minorHAnsi" w:hAnsiTheme="minorHAnsi"/>
          <w:lang w:val="bg-BG"/>
        </w:rPr>
        <w:t xml:space="preserve">в </w:t>
      </w:r>
      <w:r w:rsidR="00C74BD4" w:rsidRPr="00DC2206">
        <w:rPr>
          <w:rFonts w:asciiTheme="minorHAnsi" w:hAnsiTheme="minorHAnsi"/>
          <w:lang w:val="bg-BG"/>
        </w:rPr>
        <w:t>съд</w:t>
      </w:r>
      <w:r w:rsidR="00C74BD4">
        <w:rPr>
          <w:rFonts w:asciiTheme="minorHAnsi" w:hAnsiTheme="minorHAnsi"/>
          <w:lang w:val="bg-BG"/>
        </w:rPr>
        <w:t>а и прокуратурата</w:t>
      </w:r>
      <w:r w:rsidR="00C74BD4" w:rsidRPr="00DC2206">
        <w:rPr>
          <w:rFonts w:asciiTheme="minorHAnsi" w:hAnsiTheme="minorHAnsi"/>
          <w:lang w:val="bg-BG"/>
        </w:rPr>
        <w:t xml:space="preserve"> </w:t>
      </w:r>
      <w:r w:rsidR="007D0DFD" w:rsidRPr="00DC2206">
        <w:rPr>
          <w:rFonts w:asciiTheme="minorHAnsi" w:hAnsiTheme="minorHAnsi"/>
          <w:lang w:val="bg-BG"/>
        </w:rPr>
        <w:t xml:space="preserve">в държавите членки и дейностите по </w:t>
      </w:r>
      <w:r w:rsidR="00DC2206" w:rsidRPr="00DC2206">
        <w:rPr>
          <w:rFonts w:asciiTheme="minorHAnsi" w:hAnsiTheme="minorHAnsi"/>
          <w:lang w:val="bg-BG"/>
        </w:rPr>
        <w:t>сътрудничество</w:t>
      </w:r>
      <w:r w:rsidR="007D0DFD" w:rsidRPr="00DC2206">
        <w:rPr>
          <w:rFonts w:asciiTheme="minorHAnsi" w:hAnsiTheme="minorHAnsi"/>
          <w:lang w:val="bg-BG"/>
        </w:rPr>
        <w:t xml:space="preserve"> на Съв</w:t>
      </w:r>
      <w:r w:rsidR="00C74BD4">
        <w:rPr>
          <w:rFonts w:asciiTheme="minorHAnsi" w:hAnsiTheme="minorHAnsi"/>
          <w:lang w:val="bg-BG"/>
        </w:rPr>
        <w:t>ета на Европа – както двустранно</w:t>
      </w:r>
      <w:r w:rsidR="007D0DFD" w:rsidRPr="00DC2206">
        <w:rPr>
          <w:rFonts w:asciiTheme="minorHAnsi" w:hAnsiTheme="minorHAnsi"/>
          <w:lang w:val="bg-BG"/>
        </w:rPr>
        <w:t>, така</w:t>
      </w:r>
      <w:r w:rsidR="00C74BD4">
        <w:rPr>
          <w:rFonts w:asciiTheme="minorHAnsi" w:hAnsiTheme="minorHAnsi"/>
          <w:lang w:val="bg-BG"/>
        </w:rPr>
        <w:t xml:space="preserve"> и многостранно</w:t>
      </w:r>
      <w:r w:rsidR="007D0DFD" w:rsidRPr="00DC2206">
        <w:rPr>
          <w:rFonts w:asciiTheme="minorHAnsi" w:hAnsiTheme="minorHAnsi"/>
          <w:lang w:val="bg-BG"/>
        </w:rPr>
        <w:t xml:space="preserve"> – вземат предвид тези консултативни инструменти</w:t>
      </w:r>
      <w:r w:rsidRPr="00DC2206">
        <w:rPr>
          <w:rFonts w:asciiTheme="minorHAnsi" w:hAnsiTheme="minorHAnsi"/>
          <w:lang w:val="bg-BG"/>
        </w:rPr>
        <w:t xml:space="preserve">, </w:t>
      </w:r>
      <w:r w:rsidR="007D0DFD" w:rsidRPr="00DC2206">
        <w:rPr>
          <w:rFonts w:asciiTheme="minorHAnsi" w:hAnsiTheme="minorHAnsi"/>
          <w:lang w:val="bg-BG"/>
        </w:rPr>
        <w:t xml:space="preserve">наред със </w:t>
      </w:r>
      <w:r w:rsidR="001C1676" w:rsidRPr="00DC2206">
        <w:rPr>
          <w:rFonts w:asciiTheme="minorHAnsi" w:hAnsiTheme="minorHAnsi"/>
          <w:lang w:val="bg-BG"/>
        </w:rPr>
        <w:t>съдебната практика</w:t>
      </w:r>
      <w:r w:rsidRPr="00DC2206">
        <w:rPr>
          <w:rFonts w:asciiTheme="minorHAnsi" w:hAnsiTheme="minorHAnsi"/>
          <w:lang w:val="bg-BG"/>
        </w:rPr>
        <w:t xml:space="preserve"> </w:t>
      </w:r>
      <w:r w:rsidR="007D0DFD" w:rsidRPr="00DC2206">
        <w:rPr>
          <w:rFonts w:asciiTheme="minorHAnsi" w:hAnsiTheme="minorHAnsi"/>
          <w:lang w:val="bg-BG"/>
        </w:rPr>
        <w:t xml:space="preserve">на </w:t>
      </w:r>
      <w:r w:rsidR="001C1676" w:rsidRPr="00DC2206">
        <w:rPr>
          <w:rFonts w:asciiTheme="minorHAnsi" w:hAnsiTheme="minorHAnsi"/>
          <w:lang w:val="bg-BG"/>
        </w:rPr>
        <w:t>ЕСПЧ</w:t>
      </w:r>
      <w:r w:rsidRPr="00DC2206">
        <w:rPr>
          <w:rFonts w:asciiTheme="minorHAnsi" w:hAnsiTheme="minorHAnsi"/>
          <w:lang w:val="bg-BG"/>
        </w:rPr>
        <w:t>.</w:t>
      </w:r>
    </w:p>
    <w:p w14:paraId="06E4B801" w14:textId="77777777" w:rsidR="008561A8" w:rsidRPr="00DC2206" w:rsidRDefault="008561A8" w:rsidP="00732D5B">
      <w:pPr>
        <w:ind w:left="709" w:hanging="709"/>
        <w:jc w:val="both"/>
        <w:rPr>
          <w:rFonts w:asciiTheme="minorHAnsi" w:hAnsiTheme="minorHAnsi"/>
          <w:vertAlign w:val="superscript"/>
          <w:lang w:val="bg-BG"/>
        </w:rPr>
      </w:pPr>
    </w:p>
    <w:p w14:paraId="0F73B30B"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eastAsia="bg-BG" w:bidi="bg-BG"/>
        </w:rPr>
        <w:t>57.</w:t>
      </w:r>
      <w:r w:rsidR="008561A8" w:rsidRPr="00DC2206">
        <w:rPr>
          <w:rFonts w:asciiTheme="minorHAnsi" w:hAnsiTheme="minorHAnsi"/>
          <w:lang w:val="bg-BG" w:eastAsia="bg-BG" w:bidi="bg-BG"/>
        </w:rPr>
        <w:tab/>
      </w:r>
      <w:r w:rsidR="00B90749" w:rsidRPr="00DC2206">
        <w:rPr>
          <w:rFonts w:asciiTheme="minorHAnsi" w:hAnsiTheme="minorHAnsi"/>
          <w:lang w:val="bg-BG"/>
        </w:rPr>
        <w:t>КСЕП</w:t>
      </w:r>
      <w:r w:rsidRPr="00DC2206">
        <w:rPr>
          <w:rFonts w:asciiTheme="minorHAnsi" w:hAnsiTheme="minorHAnsi"/>
          <w:lang w:val="bg-BG"/>
        </w:rPr>
        <w:t xml:space="preserve"> </w:t>
      </w:r>
      <w:r w:rsidR="007D0DFD" w:rsidRPr="00DC2206">
        <w:rPr>
          <w:rFonts w:asciiTheme="minorHAnsi" w:hAnsiTheme="minorHAnsi"/>
          <w:lang w:val="bg-BG"/>
        </w:rPr>
        <w:t xml:space="preserve">отбелязва, че някои решения на </w:t>
      </w:r>
      <w:r w:rsidR="001C1676" w:rsidRPr="00DC2206">
        <w:rPr>
          <w:rFonts w:asciiTheme="minorHAnsi" w:hAnsiTheme="minorHAnsi"/>
          <w:lang w:val="bg-BG"/>
        </w:rPr>
        <w:t>ЕСПЧ</w:t>
      </w:r>
      <w:r w:rsidRPr="00DC2206">
        <w:rPr>
          <w:rFonts w:asciiTheme="minorHAnsi" w:hAnsiTheme="minorHAnsi"/>
          <w:lang w:val="bg-BG"/>
        </w:rPr>
        <w:t xml:space="preserve">, </w:t>
      </w:r>
      <w:r w:rsidR="007D0DFD" w:rsidRPr="00DC2206">
        <w:rPr>
          <w:rFonts w:asciiTheme="minorHAnsi" w:hAnsiTheme="minorHAnsi"/>
          <w:lang w:val="bg-BG"/>
        </w:rPr>
        <w:t xml:space="preserve">например, решенията, в които Съдът изрично разглежда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06181B">
        <w:rPr>
          <w:rFonts w:asciiTheme="minorHAnsi" w:hAnsiTheme="minorHAnsi"/>
          <w:lang w:val="bg-BG"/>
        </w:rPr>
        <w:t>на</w:t>
      </w:r>
      <w:r w:rsidRPr="00DC2206">
        <w:rPr>
          <w:rFonts w:asciiTheme="minorHAnsi" w:hAnsiTheme="minorHAnsi"/>
          <w:lang w:val="bg-BG"/>
        </w:rPr>
        <w:t xml:space="preserve"> </w:t>
      </w:r>
      <w:r w:rsidR="00A0730F" w:rsidRPr="00DC2206">
        <w:rPr>
          <w:rFonts w:asciiTheme="minorHAnsi" w:hAnsiTheme="minorHAnsi"/>
          <w:lang w:val="bg-BG"/>
        </w:rPr>
        <w:t>прокурори</w:t>
      </w:r>
      <w:r w:rsidR="007D0DFD" w:rsidRPr="00DC2206">
        <w:rPr>
          <w:rFonts w:asciiTheme="minorHAnsi" w:hAnsiTheme="minorHAnsi"/>
          <w:lang w:val="bg-BG"/>
        </w:rPr>
        <w:t>те</w:t>
      </w:r>
      <w:r w:rsidR="008561A8" w:rsidRPr="00DC2206">
        <w:rPr>
          <w:rStyle w:val="FootnoteReference"/>
          <w:rFonts w:asciiTheme="minorHAnsi" w:hAnsiTheme="minorHAnsi"/>
          <w:lang w:val="bg-BG"/>
        </w:rPr>
        <w:footnoteReference w:id="69"/>
      </w:r>
      <w:r w:rsidRPr="00DC2206">
        <w:rPr>
          <w:rFonts w:asciiTheme="minorHAnsi" w:hAnsiTheme="minorHAnsi"/>
          <w:lang w:val="bg-BG"/>
        </w:rPr>
        <w:t xml:space="preserve">, </w:t>
      </w:r>
      <w:r w:rsidR="007D0DFD" w:rsidRPr="00DC2206">
        <w:rPr>
          <w:rFonts w:asciiTheme="minorHAnsi" w:hAnsiTheme="minorHAnsi"/>
          <w:lang w:val="bg-BG"/>
        </w:rPr>
        <w:t xml:space="preserve">включват препращания към Становищата на </w:t>
      </w:r>
      <w:r w:rsidR="00B90749" w:rsidRPr="00DC2206">
        <w:rPr>
          <w:rFonts w:asciiTheme="minorHAnsi" w:hAnsiTheme="minorHAnsi"/>
          <w:lang w:val="bg-BG"/>
        </w:rPr>
        <w:t>КСЕП</w:t>
      </w:r>
      <w:r w:rsidR="008561A8" w:rsidRPr="00DC2206">
        <w:rPr>
          <w:rStyle w:val="FootnoteReference"/>
          <w:rFonts w:asciiTheme="minorHAnsi" w:hAnsiTheme="minorHAnsi"/>
          <w:lang w:val="bg-BG"/>
        </w:rPr>
        <w:footnoteReference w:id="70"/>
      </w:r>
      <w:r w:rsidRPr="00DC2206">
        <w:rPr>
          <w:rFonts w:asciiTheme="minorHAnsi" w:hAnsiTheme="minorHAnsi"/>
          <w:lang w:val="bg-BG"/>
        </w:rPr>
        <w:t xml:space="preserve">. </w:t>
      </w:r>
      <w:r w:rsidR="00B90749" w:rsidRPr="00DC2206">
        <w:rPr>
          <w:rFonts w:asciiTheme="minorHAnsi" w:hAnsiTheme="minorHAnsi"/>
          <w:lang w:val="bg-BG"/>
        </w:rPr>
        <w:t>КСЕП</w:t>
      </w:r>
      <w:r w:rsidRPr="00DC2206">
        <w:rPr>
          <w:rFonts w:asciiTheme="minorHAnsi" w:hAnsiTheme="minorHAnsi"/>
          <w:lang w:val="bg-BG"/>
        </w:rPr>
        <w:t xml:space="preserve"> </w:t>
      </w:r>
      <w:r w:rsidR="007D0DFD" w:rsidRPr="00DC2206">
        <w:rPr>
          <w:rFonts w:asciiTheme="minorHAnsi" w:hAnsiTheme="minorHAnsi"/>
          <w:lang w:val="bg-BG"/>
        </w:rPr>
        <w:t>също така приветства факта, че неговите консултативни инструменти са използвани, наред с други източници</w:t>
      </w:r>
      <w:r w:rsidRPr="00DC2206">
        <w:rPr>
          <w:rFonts w:asciiTheme="minorHAnsi" w:hAnsiTheme="minorHAnsi"/>
          <w:lang w:val="bg-BG"/>
        </w:rPr>
        <w:t xml:space="preserve">, </w:t>
      </w:r>
      <w:r w:rsidR="007D0DFD" w:rsidRPr="00DC2206">
        <w:rPr>
          <w:rFonts w:asciiTheme="minorHAnsi" w:hAnsiTheme="minorHAnsi"/>
          <w:lang w:val="bg-BG"/>
        </w:rPr>
        <w:t xml:space="preserve">от </w:t>
      </w:r>
      <w:r w:rsidR="001C1676" w:rsidRPr="00DC2206">
        <w:rPr>
          <w:rFonts w:asciiTheme="minorHAnsi" w:hAnsiTheme="minorHAnsi"/>
          <w:lang w:val="bg-BG"/>
        </w:rPr>
        <w:t>ЕСПЧ</w:t>
      </w:r>
      <w:r w:rsidRPr="00DC2206">
        <w:rPr>
          <w:rFonts w:asciiTheme="minorHAnsi" w:hAnsiTheme="minorHAnsi"/>
          <w:lang w:val="bg-BG"/>
        </w:rPr>
        <w:t xml:space="preserve"> </w:t>
      </w:r>
      <w:r w:rsidR="007D0DFD" w:rsidRPr="00DC2206">
        <w:rPr>
          <w:rFonts w:asciiTheme="minorHAnsi" w:hAnsiTheme="minorHAnsi"/>
          <w:lang w:val="bg-BG"/>
        </w:rPr>
        <w:t xml:space="preserve">при </w:t>
      </w:r>
      <w:r w:rsidR="00C74BD4">
        <w:rPr>
          <w:rFonts w:asciiTheme="minorHAnsi" w:hAnsiTheme="minorHAnsi"/>
          <w:lang w:val="bg-BG"/>
        </w:rPr>
        <w:t>изготвянето</w:t>
      </w:r>
      <w:r w:rsidR="007D0DFD" w:rsidRPr="00DC2206">
        <w:rPr>
          <w:rFonts w:asciiTheme="minorHAnsi" w:hAnsiTheme="minorHAnsi"/>
          <w:lang w:val="bg-BG"/>
        </w:rPr>
        <w:t xml:space="preserve"> на решения по </w:t>
      </w:r>
      <w:r w:rsidR="0006181B" w:rsidRPr="00DC2206">
        <w:rPr>
          <w:rFonts w:asciiTheme="minorHAnsi" w:hAnsiTheme="minorHAnsi"/>
          <w:lang w:val="bg-BG"/>
        </w:rPr>
        <w:t>конкретни</w:t>
      </w:r>
      <w:r w:rsidR="007D0DFD" w:rsidRPr="00DC2206">
        <w:rPr>
          <w:rFonts w:asciiTheme="minorHAnsi" w:hAnsiTheme="minorHAnsi"/>
          <w:lang w:val="bg-BG"/>
        </w:rPr>
        <w:t xml:space="preserve"> дела</w:t>
      </w:r>
      <w:r w:rsidRPr="00DC2206">
        <w:rPr>
          <w:rFonts w:asciiTheme="minorHAnsi" w:hAnsiTheme="minorHAnsi"/>
          <w:lang w:val="bg-BG"/>
        </w:rPr>
        <w:t>.</w:t>
      </w:r>
    </w:p>
    <w:p w14:paraId="64A854B5" w14:textId="77777777" w:rsidR="008561A8" w:rsidRPr="00DC2206" w:rsidRDefault="008561A8" w:rsidP="00732D5B">
      <w:pPr>
        <w:tabs>
          <w:tab w:val="left" w:pos="323"/>
        </w:tabs>
        <w:ind w:left="709" w:hanging="709"/>
        <w:jc w:val="both"/>
        <w:outlineLvl w:val="1"/>
        <w:rPr>
          <w:rFonts w:asciiTheme="minorHAnsi" w:hAnsiTheme="minorHAnsi"/>
          <w:lang w:val="bg-BG"/>
        </w:rPr>
      </w:pPr>
      <w:bookmarkStart w:id="4" w:name="bookmark5"/>
    </w:p>
    <w:p w14:paraId="28C687EF" w14:textId="77777777" w:rsidR="00C61601" w:rsidRPr="00DC2206" w:rsidRDefault="00A96428" w:rsidP="00A96428">
      <w:pPr>
        <w:jc w:val="both"/>
        <w:outlineLvl w:val="1"/>
        <w:rPr>
          <w:rFonts w:asciiTheme="minorHAnsi" w:hAnsiTheme="minorHAnsi"/>
          <w:b/>
          <w:lang w:val="bg-BG"/>
        </w:rPr>
      </w:pPr>
      <w:r w:rsidRPr="00DC2206">
        <w:rPr>
          <w:rFonts w:asciiTheme="minorHAnsi" w:hAnsiTheme="minorHAnsi"/>
          <w:b/>
          <w:lang w:val="bg-BG"/>
        </w:rPr>
        <w:t>Е</w:t>
      </w:r>
      <w:r w:rsidR="00521963" w:rsidRPr="00DC2206">
        <w:rPr>
          <w:rFonts w:asciiTheme="minorHAnsi" w:hAnsiTheme="minorHAnsi"/>
          <w:b/>
          <w:lang w:val="bg-BG"/>
        </w:rPr>
        <w:t>.</w:t>
      </w:r>
      <w:r w:rsidRPr="00DC2206">
        <w:rPr>
          <w:rFonts w:asciiTheme="minorHAnsi" w:hAnsiTheme="minorHAnsi"/>
          <w:b/>
          <w:lang w:val="bg-BG"/>
        </w:rPr>
        <w:t xml:space="preserve"> Решения на </w:t>
      </w:r>
      <w:r w:rsidR="00C74BD4">
        <w:rPr>
          <w:rFonts w:asciiTheme="minorHAnsi" w:hAnsiTheme="minorHAnsi"/>
          <w:b/>
          <w:lang w:val="bg-BG"/>
        </w:rPr>
        <w:t>националните съдилища, укрепващи</w:t>
      </w:r>
      <w:r w:rsidRPr="00DC2206">
        <w:rPr>
          <w:rFonts w:asciiTheme="minorHAnsi" w:hAnsiTheme="minorHAnsi"/>
          <w:b/>
          <w:lang w:val="bg-BG"/>
        </w:rPr>
        <w:t xml:space="preserve"> практическата </w:t>
      </w:r>
      <w:r w:rsidR="00A0730F" w:rsidRPr="00DC2206">
        <w:rPr>
          <w:rFonts w:asciiTheme="minorHAnsi" w:hAnsiTheme="minorHAnsi"/>
          <w:b/>
          <w:lang w:val="bg-BG"/>
        </w:rPr>
        <w:t>независимост</w:t>
      </w:r>
      <w:r w:rsidR="00521963" w:rsidRPr="00DC2206">
        <w:rPr>
          <w:rFonts w:asciiTheme="minorHAnsi" w:hAnsiTheme="minorHAnsi"/>
          <w:b/>
          <w:lang w:val="bg-BG"/>
        </w:rPr>
        <w:t xml:space="preserve"> </w:t>
      </w:r>
      <w:r w:rsidRPr="00DC2206">
        <w:rPr>
          <w:rFonts w:asciiTheme="minorHAnsi" w:hAnsiTheme="minorHAnsi"/>
          <w:b/>
          <w:lang w:val="bg-BG"/>
        </w:rPr>
        <w:t xml:space="preserve">на </w:t>
      </w:r>
      <w:r w:rsidR="00A0730F" w:rsidRPr="00DC2206">
        <w:rPr>
          <w:rFonts w:asciiTheme="minorHAnsi" w:hAnsiTheme="minorHAnsi"/>
          <w:b/>
          <w:lang w:val="bg-BG"/>
        </w:rPr>
        <w:t>прокурори</w:t>
      </w:r>
      <w:bookmarkEnd w:id="4"/>
      <w:r w:rsidRPr="00DC2206">
        <w:rPr>
          <w:rFonts w:asciiTheme="minorHAnsi" w:hAnsiTheme="minorHAnsi"/>
          <w:b/>
          <w:lang w:val="bg-BG"/>
        </w:rPr>
        <w:t>те</w:t>
      </w:r>
    </w:p>
    <w:p w14:paraId="6359B00B" w14:textId="77777777" w:rsidR="008561A8" w:rsidRPr="00DC2206" w:rsidRDefault="008561A8" w:rsidP="00732D5B">
      <w:pPr>
        <w:tabs>
          <w:tab w:val="left" w:pos="323"/>
        </w:tabs>
        <w:ind w:left="709" w:hanging="709"/>
        <w:jc w:val="both"/>
        <w:outlineLvl w:val="1"/>
        <w:rPr>
          <w:rFonts w:asciiTheme="minorHAnsi" w:hAnsiTheme="minorHAnsi"/>
          <w:lang w:val="bg-BG"/>
        </w:rPr>
      </w:pPr>
    </w:p>
    <w:p w14:paraId="02C37622" w14:textId="77777777" w:rsidR="00C61601" w:rsidRPr="00DC2206" w:rsidRDefault="00521963" w:rsidP="008561A8">
      <w:pPr>
        <w:ind w:left="709" w:hanging="709"/>
        <w:jc w:val="both"/>
        <w:rPr>
          <w:rFonts w:asciiTheme="minorHAnsi" w:hAnsiTheme="minorHAnsi"/>
          <w:lang w:val="bg-BG"/>
        </w:rPr>
      </w:pPr>
      <w:r w:rsidRPr="00DC2206">
        <w:rPr>
          <w:rFonts w:asciiTheme="minorHAnsi" w:hAnsiTheme="minorHAnsi"/>
          <w:lang w:val="bg-BG"/>
        </w:rPr>
        <w:t>58.</w:t>
      </w:r>
      <w:r w:rsidRPr="00DC2206">
        <w:rPr>
          <w:rFonts w:asciiTheme="minorHAnsi" w:hAnsiTheme="minorHAnsi"/>
          <w:lang w:val="bg-BG"/>
        </w:rPr>
        <w:tab/>
      </w:r>
      <w:r w:rsidR="007D0DFD" w:rsidRPr="00DC2206">
        <w:rPr>
          <w:rFonts w:asciiTheme="minorHAnsi" w:hAnsiTheme="minorHAnsi"/>
          <w:lang w:val="bg-BG"/>
        </w:rPr>
        <w:t xml:space="preserve">Както е подчертал </w:t>
      </w:r>
      <w:r w:rsidR="00B90749" w:rsidRPr="00DC2206">
        <w:rPr>
          <w:rFonts w:asciiTheme="minorHAnsi" w:hAnsiTheme="minorHAnsi"/>
          <w:lang w:val="bg-BG"/>
        </w:rPr>
        <w:t>КСЕП</w:t>
      </w:r>
      <w:r w:rsidRPr="00DC2206">
        <w:rPr>
          <w:rFonts w:asciiTheme="minorHAnsi" w:hAnsiTheme="minorHAnsi"/>
          <w:lang w:val="bg-BG"/>
        </w:rPr>
        <w:t xml:space="preserve">, </w:t>
      </w:r>
      <w:r w:rsidR="007D0DFD" w:rsidRPr="00DC2206">
        <w:rPr>
          <w:rFonts w:asciiTheme="minorHAnsi" w:hAnsiTheme="minorHAnsi"/>
          <w:lang w:val="bg-BG"/>
        </w:rPr>
        <w:t xml:space="preserve">държавите членки на Съвета на Европа имат различни правни системи, </w:t>
      </w:r>
      <w:r w:rsidR="0006181B" w:rsidRPr="00DC2206">
        <w:rPr>
          <w:rFonts w:asciiTheme="minorHAnsi" w:hAnsiTheme="minorHAnsi"/>
          <w:lang w:val="bg-BG"/>
        </w:rPr>
        <w:t>включително</w:t>
      </w:r>
      <w:r w:rsidR="007D0DFD" w:rsidRPr="00DC2206">
        <w:rPr>
          <w:rFonts w:asciiTheme="minorHAnsi" w:hAnsiTheme="minorHAnsi"/>
          <w:lang w:val="bg-BG"/>
        </w:rPr>
        <w:t xml:space="preserve"> разнообразни </w:t>
      </w:r>
      <w:r w:rsidR="00A1456B" w:rsidRPr="00DC2206">
        <w:rPr>
          <w:rFonts w:asciiTheme="minorHAnsi" w:hAnsiTheme="minorHAnsi"/>
          <w:lang w:val="bg-BG"/>
        </w:rPr>
        <w:t>прокуратури</w:t>
      </w:r>
      <w:r w:rsidRPr="00DC2206">
        <w:rPr>
          <w:rFonts w:asciiTheme="minorHAnsi" w:hAnsiTheme="minorHAnsi"/>
          <w:lang w:val="bg-BG"/>
        </w:rPr>
        <w:t xml:space="preserve">. </w:t>
      </w:r>
      <w:r w:rsidR="007D0DFD" w:rsidRPr="00DC2206">
        <w:rPr>
          <w:rFonts w:asciiTheme="minorHAnsi" w:hAnsiTheme="minorHAnsi"/>
          <w:lang w:val="bg-BG"/>
        </w:rPr>
        <w:t xml:space="preserve">Независимо обаче от системата на </w:t>
      </w:r>
      <w:r w:rsidR="007D0DFD" w:rsidRPr="00DC2206">
        <w:rPr>
          <w:rFonts w:asciiTheme="minorHAnsi" w:hAnsiTheme="minorHAnsi"/>
          <w:lang w:val="bg-BG"/>
        </w:rPr>
        <w:lastRenderedPageBreak/>
        <w:t>националната прокуратура</w:t>
      </w:r>
      <w:r w:rsidR="008561A8" w:rsidRPr="00DC2206">
        <w:rPr>
          <w:rStyle w:val="FootnoteReference"/>
          <w:rFonts w:asciiTheme="minorHAnsi" w:hAnsiTheme="minorHAnsi"/>
          <w:lang w:val="bg-BG"/>
        </w:rPr>
        <w:footnoteReference w:id="71"/>
      </w:r>
      <w:r w:rsidRPr="00DC2206">
        <w:rPr>
          <w:rFonts w:asciiTheme="minorHAnsi" w:hAnsiTheme="minorHAnsi"/>
          <w:lang w:val="bg-BG"/>
        </w:rPr>
        <w:t xml:space="preserve">, </w:t>
      </w:r>
      <w:r w:rsidR="007D0DFD" w:rsidRPr="00DC2206">
        <w:rPr>
          <w:rFonts w:asciiTheme="minorHAnsi" w:hAnsiTheme="minorHAnsi"/>
          <w:lang w:val="bg-BG"/>
        </w:rPr>
        <w:t>националните решения на Върховните съдилища</w:t>
      </w:r>
      <w:r w:rsidRPr="00DC2206">
        <w:rPr>
          <w:rFonts w:asciiTheme="minorHAnsi" w:hAnsiTheme="minorHAnsi"/>
          <w:lang w:val="bg-BG"/>
        </w:rPr>
        <w:t xml:space="preserve">, </w:t>
      </w:r>
      <w:r w:rsidR="007D0DFD" w:rsidRPr="00DC2206">
        <w:rPr>
          <w:rFonts w:asciiTheme="minorHAnsi" w:hAnsiTheme="minorHAnsi"/>
          <w:lang w:val="bg-BG"/>
        </w:rPr>
        <w:t>Касационните съдилища</w:t>
      </w:r>
      <w:r w:rsidRPr="00DC2206">
        <w:rPr>
          <w:rFonts w:asciiTheme="minorHAnsi" w:hAnsiTheme="minorHAnsi"/>
          <w:lang w:val="bg-BG"/>
        </w:rPr>
        <w:t xml:space="preserve">, </w:t>
      </w:r>
      <w:r w:rsidR="007D0DFD" w:rsidRPr="00DC2206">
        <w:rPr>
          <w:rFonts w:asciiTheme="minorHAnsi" w:hAnsiTheme="minorHAnsi"/>
          <w:lang w:val="bg-BG"/>
        </w:rPr>
        <w:t xml:space="preserve">Върховните административни съдилища и Конституционните съдилища в държавите членки са се справили с проблема за </w:t>
      </w:r>
      <w:r w:rsidR="00A0730F" w:rsidRPr="00DC2206">
        <w:rPr>
          <w:rFonts w:asciiTheme="minorHAnsi" w:hAnsiTheme="minorHAnsi"/>
          <w:lang w:val="bg-BG"/>
        </w:rPr>
        <w:t>независимост</w:t>
      </w:r>
      <w:r w:rsidR="007D0DFD" w:rsidRPr="00DC2206">
        <w:rPr>
          <w:rFonts w:asciiTheme="minorHAnsi" w:hAnsiTheme="minorHAnsi"/>
          <w:lang w:val="bg-BG"/>
        </w:rPr>
        <w:t>та</w:t>
      </w:r>
      <w:r w:rsidRPr="00DC2206">
        <w:rPr>
          <w:rFonts w:asciiTheme="minorHAnsi" w:hAnsiTheme="minorHAnsi"/>
          <w:lang w:val="bg-BG"/>
        </w:rPr>
        <w:t xml:space="preserve"> </w:t>
      </w:r>
      <w:r w:rsidR="007D0DFD" w:rsidRPr="00DC2206">
        <w:rPr>
          <w:rFonts w:asciiTheme="minorHAnsi" w:hAnsiTheme="minorHAnsi"/>
          <w:lang w:val="bg-BG"/>
        </w:rPr>
        <w:t xml:space="preserve">на </w:t>
      </w:r>
      <w:r w:rsidR="00A0730F" w:rsidRPr="00DC2206">
        <w:rPr>
          <w:rFonts w:asciiTheme="minorHAnsi" w:hAnsiTheme="minorHAnsi"/>
          <w:lang w:val="bg-BG"/>
        </w:rPr>
        <w:t>прокурори</w:t>
      </w:r>
      <w:r w:rsidR="007D0DFD" w:rsidRPr="00DC2206">
        <w:rPr>
          <w:rFonts w:asciiTheme="minorHAnsi" w:hAnsiTheme="minorHAnsi"/>
          <w:lang w:val="bg-BG"/>
        </w:rPr>
        <w:t>те и прокуратурите в различни контексти</w:t>
      </w:r>
      <w:r w:rsidRPr="00DC2206">
        <w:rPr>
          <w:rFonts w:asciiTheme="minorHAnsi" w:hAnsiTheme="minorHAnsi"/>
          <w:lang w:val="bg-BG"/>
        </w:rPr>
        <w:t>.</w:t>
      </w:r>
    </w:p>
    <w:p w14:paraId="1F97AB8E" w14:textId="77777777" w:rsidR="008561A8" w:rsidRPr="00DC2206" w:rsidRDefault="008561A8" w:rsidP="008561A8">
      <w:pPr>
        <w:ind w:left="709" w:hanging="709"/>
        <w:jc w:val="both"/>
        <w:rPr>
          <w:rFonts w:asciiTheme="minorHAnsi" w:hAnsiTheme="minorHAnsi"/>
          <w:lang w:val="bg-BG"/>
        </w:rPr>
      </w:pPr>
    </w:p>
    <w:p w14:paraId="189D18B8" w14:textId="77777777" w:rsidR="00C61601" w:rsidRPr="00DC2206" w:rsidRDefault="00521963" w:rsidP="008561A8">
      <w:pPr>
        <w:ind w:left="709" w:hanging="709"/>
        <w:jc w:val="both"/>
        <w:rPr>
          <w:rFonts w:asciiTheme="minorHAnsi" w:hAnsiTheme="minorHAnsi"/>
          <w:lang w:val="bg-BG"/>
        </w:rPr>
      </w:pPr>
      <w:r w:rsidRPr="00DC2206">
        <w:rPr>
          <w:rFonts w:asciiTheme="minorHAnsi" w:hAnsiTheme="minorHAnsi"/>
          <w:lang w:val="bg-BG"/>
        </w:rPr>
        <w:t>59.</w:t>
      </w:r>
      <w:r w:rsidRPr="00DC2206">
        <w:rPr>
          <w:rFonts w:asciiTheme="minorHAnsi" w:hAnsiTheme="minorHAnsi"/>
          <w:lang w:val="bg-BG"/>
        </w:rPr>
        <w:tab/>
      </w:r>
      <w:r w:rsidR="00F74A61" w:rsidRPr="00DC2206">
        <w:rPr>
          <w:rFonts w:asciiTheme="minorHAnsi" w:hAnsiTheme="minorHAnsi"/>
          <w:lang w:val="bg-BG"/>
        </w:rPr>
        <w:t xml:space="preserve">През годините тези решения са приемани в отговор на различни ситуации, пред които са се изправяли държавите членки във връзка със статута на </w:t>
      </w:r>
      <w:r w:rsidR="00A0730F" w:rsidRPr="00DC2206">
        <w:rPr>
          <w:rFonts w:asciiTheme="minorHAnsi" w:hAnsiTheme="minorHAnsi"/>
          <w:lang w:val="bg-BG"/>
        </w:rPr>
        <w:t>прокурори</w:t>
      </w:r>
      <w:r w:rsidR="00F74A61" w:rsidRPr="00DC2206">
        <w:rPr>
          <w:rFonts w:asciiTheme="minorHAnsi" w:hAnsiTheme="minorHAnsi"/>
          <w:lang w:val="bg-BG"/>
        </w:rPr>
        <w:t xml:space="preserve">те и различните аспекти на прокурорските професии и те са водени до голяма степен от </w:t>
      </w:r>
      <w:r w:rsidR="001C1676" w:rsidRPr="00DC2206">
        <w:rPr>
          <w:rFonts w:asciiTheme="minorHAnsi" w:hAnsiTheme="minorHAnsi"/>
          <w:lang w:val="bg-BG"/>
        </w:rPr>
        <w:t>съдебната практика</w:t>
      </w:r>
      <w:r w:rsidRPr="00DC2206">
        <w:rPr>
          <w:rFonts w:asciiTheme="minorHAnsi" w:hAnsiTheme="minorHAnsi"/>
          <w:lang w:val="bg-BG"/>
        </w:rPr>
        <w:t xml:space="preserve"> </w:t>
      </w:r>
      <w:r w:rsidR="00F74A61" w:rsidRPr="00DC2206">
        <w:rPr>
          <w:rFonts w:asciiTheme="minorHAnsi" w:hAnsiTheme="minorHAnsi"/>
          <w:lang w:val="bg-BG"/>
        </w:rPr>
        <w:t xml:space="preserve">на </w:t>
      </w:r>
      <w:r w:rsidR="001C1676" w:rsidRPr="00DC2206">
        <w:rPr>
          <w:rFonts w:asciiTheme="minorHAnsi" w:hAnsiTheme="minorHAnsi"/>
          <w:lang w:val="bg-BG"/>
        </w:rPr>
        <w:t>ЕСПЧ</w:t>
      </w:r>
      <w:r w:rsidRPr="00DC2206">
        <w:rPr>
          <w:rFonts w:asciiTheme="minorHAnsi" w:hAnsiTheme="minorHAnsi"/>
          <w:lang w:val="bg-BG"/>
        </w:rPr>
        <w:t xml:space="preserve">, </w:t>
      </w:r>
      <w:r w:rsidR="00F74A61" w:rsidRPr="00DC2206">
        <w:rPr>
          <w:rFonts w:asciiTheme="minorHAnsi" w:hAnsiTheme="minorHAnsi"/>
          <w:lang w:val="bg-BG"/>
        </w:rPr>
        <w:t xml:space="preserve">както и от </w:t>
      </w:r>
      <w:r w:rsidR="00A0730F" w:rsidRPr="00DC2206">
        <w:rPr>
          <w:rFonts w:asciiTheme="minorHAnsi" w:hAnsiTheme="minorHAnsi"/>
          <w:lang w:val="bg-BG"/>
        </w:rPr>
        <w:t>препоръки</w:t>
      </w:r>
      <w:r w:rsidR="00F74A61" w:rsidRPr="00DC2206">
        <w:rPr>
          <w:rFonts w:asciiTheme="minorHAnsi" w:hAnsiTheme="minorHAnsi"/>
          <w:lang w:val="bg-BG"/>
        </w:rPr>
        <w:t xml:space="preserve">те на </w:t>
      </w:r>
      <w:r w:rsidR="00732D5B" w:rsidRPr="00DC2206">
        <w:rPr>
          <w:rFonts w:asciiTheme="minorHAnsi" w:hAnsiTheme="minorHAnsi"/>
          <w:lang w:val="bg-BG"/>
        </w:rPr>
        <w:t>Комитета на министрите</w:t>
      </w:r>
      <w:r w:rsidRPr="00DC2206">
        <w:rPr>
          <w:rFonts w:asciiTheme="minorHAnsi" w:hAnsiTheme="minorHAnsi"/>
          <w:lang w:val="bg-BG"/>
        </w:rPr>
        <w:t xml:space="preserve"> </w:t>
      </w:r>
      <w:r w:rsidR="00F74A61" w:rsidRPr="00DC2206">
        <w:rPr>
          <w:rFonts w:asciiTheme="minorHAnsi" w:hAnsiTheme="minorHAnsi"/>
          <w:lang w:val="bg-BG"/>
        </w:rPr>
        <w:t xml:space="preserve">на Съвета на Европа и становищата на </w:t>
      </w:r>
      <w:r w:rsidR="00B90749" w:rsidRPr="00DC2206">
        <w:rPr>
          <w:rFonts w:asciiTheme="minorHAnsi" w:hAnsiTheme="minorHAnsi"/>
          <w:lang w:val="bg-BG"/>
        </w:rPr>
        <w:t>КСЕП</w:t>
      </w:r>
      <w:r w:rsidRPr="00DC2206">
        <w:rPr>
          <w:rFonts w:asciiTheme="minorHAnsi" w:hAnsiTheme="minorHAnsi"/>
          <w:lang w:val="bg-BG"/>
        </w:rPr>
        <w:t xml:space="preserve">, </w:t>
      </w:r>
      <w:r w:rsidR="00F74A61" w:rsidRPr="00DC2206">
        <w:rPr>
          <w:rFonts w:asciiTheme="minorHAnsi" w:hAnsiTheme="minorHAnsi"/>
          <w:lang w:val="bg-BG"/>
        </w:rPr>
        <w:t>КСЕС</w:t>
      </w:r>
      <w:r w:rsidRPr="00DC2206">
        <w:rPr>
          <w:rFonts w:asciiTheme="minorHAnsi" w:hAnsiTheme="minorHAnsi"/>
          <w:lang w:val="bg-BG"/>
        </w:rPr>
        <w:t xml:space="preserve">, </w:t>
      </w:r>
      <w:r w:rsidR="00F74A61" w:rsidRPr="00DC2206">
        <w:rPr>
          <w:rFonts w:asciiTheme="minorHAnsi" w:hAnsiTheme="minorHAnsi"/>
          <w:lang w:val="bg-BG"/>
        </w:rPr>
        <w:t>Венецианската комисия</w:t>
      </w:r>
      <w:r w:rsidRPr="00DC2206">
        <w:rPr>
          <w:rFonts w:asciiTheme="minorHAnsi" w:hAnsiTheme="minorHAnsi"/>
          <w:lang w:val="bg-BG"/>
        </w:rPr>
        <w:t xml:space="preserve">, GRECO </w:t>
      </w:r>
      <w:r w:rsidR="00F74A61" w:rsidRPr="00DC2206">
        <w:rPr>
          <w:rFonts w:asciiTheme="minorHAnsi" w:hAnsiTheme="minorHAnsi"/>
          <w:lang w:val="bg-BG"/>
        </w:rPr>
        <w:t>и други ключови органи на Съвета на Европа</w:t>
      </w:r>
      <w:r w:rsidRPr="00DC2206">
        <w:rPr>
          <w:rFonts w:asciiTheme="minorHAnsi" w:hAnsiTheme="minorHAnsi"/>
          <w:lang w:val="bg-BG"/>
        </w:rPr>
        <w:t>.</w:t>
      </w:r>
    </w:p>
    <w:p w14:paraId="5DCA02D0" w14:textId="77777777" w:rsidR="008561A8" w:rsidRPr="00DC2206" w:rsidRDefault="008561A8" w:rsidP="008561A8">
      <w:pPr>
        <w:ind w:left="709" w:hanging="709"/>
        <w:jc w:val="both"/>
        <w:rPr>
          <w:rFonts w:asciiTheme="minorHAnsi" w:hAnsiTheme="minorHAnsi"/>
          <w:lang w:val="bg-BG"/>
        </w:rPr>
      </w:pPr>
    </w:p>
    <w:p w14:paraId="29DAD9B4" w14:textId="77777777" w:rsidR="00C61601" w:rsidRPr="00DC2206" w:rsidRDefault="00521963" w:rsidP="008561A8">
      <w:pPr>
        <w:ind w:left="709" w:hanging="709"/>
        <w:jc w:val="both"/>
        <w:rPr>
          <w:rFonts w:asciiTheme="minorHAnsi" w:hAnsiTheme="minorHAnsi"/>
          <w:lang w:val="bg-BG"/>
        </w:rPr>
      </w:pPr>
      <w:r w:rsidRPr="00DC2206">
        <w:rPr>
          <w:rFonts w:asciiTheme="minorHAnsi" w:hAnsiTheme="minorHAnsi"/>
          <w:lang w:val="bg-BG"/>
        </w:rPr>
        <w:t>60.</w:t>
      </w:r>
      <w:r w:rsidRPr="00DC2206">
        <w:rPr>
          <w:rFonts w:asciiTheme="minorHAnsi" w:hAnsiTheme="minorHAnsi"/>
          <w:lang w:val="bg-BG"/>
        </w:rPr>
        <w:tab/>
      </w:r>
      <w:r w:rsidR="00DE7AC6" w:rsidRPr="00DC2206">
        <w:rPr>
          <w:rFonts w:asciiTheme="minorHAnsi" w:hAnsiTheme="minorHAnsi"/>
          <w:lang w:val="bg-BG"/>
        </w:rPr>
        <w:t xml:space="preserve">В отговорите си на въпросника за изготвянето на </w:t>
      </w:r>
      <w:r w:rsidR="00AD7714" w:rsidRPr="00DC2206">
        <w:rPr>
          <w:rFonts w:asciiTheme="minorHAnsi" w:hAnsiTheme="minorHAnsi"/>
          <w:lang w:val="bg-BG"/>
        </w:rPr>
        <w:t>настоящото Становище</w:t>
      </w:r>
      <w:r w:rsidRPr="00DC2206">
        <w:rPr>
          <w:rFonts w:asciiTheme="minorHAnsi" w:hAnsiTheme="minorHAnsi"/>
          <w:lang w:val="bg-BG"/>
        </w:rPr>
        <w:t xml:space="preserve">, </w:t>
      </w:r>
      <w:r w:rsidR="00DE7AC6" w:rsidRPr="00DC2206">
        <w:rPr>
          <w:rFonts w:asciiTheme="minorHAnsi" w:hAnsiTheme="minorHAnsi"/>
          <w:lang w:val="bg-BG"/>
        </w:rPr>
        <w:t xml:space="preserve">държавите членки посочват по-специално в какъв контекст тези най-висши съдебни органи на национално ниво вземат решения, с които укрепват прокурорската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DE7AC6" w:rsidRPr="00DC2206">
        <w:rPr>
          <w:rFonts w:asciiTheme="minorHAnsi" w:hAnsiTheme="minorHAnsi"/>
          <w:lang w:val="bg-BG"/>
        </w:rPr>
        <w:t xml:space="preserve">и </w:t>
      </w:r>
      <w:r w:rsidR="00AD1FEF" w:rsidRPr="00DC2206">
        <w:rPr>
          <w:rFonts w:asciiTheme="minorHAnsi" w:hAnsiTheme="minorHAnsi"/>
          <w:lang w:val="bg-BG"/>
        </w:rPr>
        <w:t>безпристрастност</w:t>
      </w:r>
      <w:r w:rsidRPr="00DC2206">
        <w:rPr>
          <w:rFonts w:asciiTheme="minorHAnsi" w:hAnsiTheme="minorHAnsi"/>
          <w:lang w:val="bg-BG"/>
        </w:rPr>
        <w:t xml:space="preserve">. </w:t>
      </w:r>
      <w:r w:rsidR="00DE7AC6" w:rsidRPr="00DC2206">
        <w:rPr>
          <w:rFonts w:asciiTheme="minorHAnsi" w:hAnsiTheme="minorHAnsi"/>
          <w:lang w:val="bg-BG"/>
        </w:rPr>
        <w:t>Най-относимите теми и аспекти, които са анализирани, са, както следва</w:t>
      </w:r>
      <w:r w:rsidRPr="00DC2206">
        <w:rPr>
          <w:rFonts w:asciiTheme="minorHAnsi" w:hAnsiTheme="minorHAnsi"/>
          <w:lang w:val="bg-BG"/>
        </w:rPr>
        <w:t xml:space="preserve">, </w:t>
      </w:r>
      <w:r w:rsidR="00DE7AC6" w:rsidRPr="00DC2206">
        <w:rPr>
          <w:rFonts w:asciiTheme="minorHAnsi" w:hAnsiTheme="minorHAnsi"/>
          <w:lang w:val="bg-BG"/>
        </w:rPr>
        <w:t>което показва широкия диапазон от обсъждани теми</w:t>
      </w:r>
      <w:r w:rsidRPr="00DC2206">
        <w:rPr>
          <w:rFonts w:asciiTheme="minorHAnsi" w:hAnsiTheme="minorHAnsi"/>
          <w:lang w:val="bg-BG"/>
        </w:rPr>
        <w:t>:</w:t>
      </w:r>
    </w:p>
    <w:p w14:paraId="4BDE96B2" w14:textId="77777777" w:rsidR="0077248E" w:rsidRPr="00DC2206" w:rsidRDefault="0077248E" w:rsidP="0077248E">
      <w:pPr>
        <w:pStyle w:val="1"/>
      </w:pPr>
    </w:p>
    <w:p w14:paraId="35480F5E" w14:textId="77777777" w:rsidR="00C61601" w:rsidRPr="00DC2206" w:rsidRDefault="00521963" w:rsidP="0077248E">
      <w:pPr>
        <w:pStyle w:val="1"/>
      </w:pPr>
      <w:r w:rsidRPr="00DC2206">
        <w:t>•</w:t>
      </w:r>
      <w:r w:rsidR="0077248E" w:rsidRPr="00DC2206">
        <w:tab/>
      </w:r>
      <w:r w:rsidR="00DE7AC6" w:rsidRPr="00DC2206">
        <w:t xml:space="preserve">Конституционен статут и </w:t>
      </w:r>
      <w:r w:rsidR="00A0730F" w:rsidRPr="00DC2206">
        <w:t>независимост</w:t>
      </w:r>
      <w:r w:rsidRPr="00DC2206">
        <w:t xml:space="preserve"> </w:t>
      </w:r>
      <w:r w:rsidR="00DE7AC6" w:rsidRPr="00DC2206">
        <w:t>на Прокуратурата</w:t>
      </w:r>
      <w:r w:rsidRPr="00DC2206">
        <w:t xml:space="preserve">, </w:t>
      </w:r>
      <w:r w:rsidR="00DE7AC6" w:rsidRPr="00DC2206">
        <w:t>позиция на Прокуратурата</w:t>
      </w:r>
      <w:r w:rsidRPr="00DC2206">
        <w:t xml:space="preserve">, </w:t>
      </w:r>
      <w:r w:rsidR="00A0730F" w:rsidRPr="00DC2206">
        <w:t>независимост</w:t>
      </w:r>
      <w:r w:rsidRPr="00DC2206">
        <w:t xml:space="preserve"> </w:t>
      </w:r>
      <w:r w:rsidR="00DE7AC6" w:rsidRPr="00DC2206">
        <w:t xml:space="preserve">на Прокуратурата и </w:t>
      </w:r>
      <w:r w:rsidR="00A0730F" w:rsidRPr="00DC2206">
        <w:t>прокурори</w:t>
      </w:r>
      <w:r w:rsidR="00DE7AC6" w:rsidRPr="00DC2206">
        <w:t>те</w:t>
      </w:r>
      <w:r w:rsidRPr="00DC2206">
        <w:t xml:space="preserve">, </w:t>
      </w:r>
      <w:r w:rsidR="00A0730F" w:rsidRPr="00DC2206">
        <w:t>автономия</w:t>
      </w:r>
      <w:r w:rsidRPr="00DC2206">
        <w:t xml:space="preserve">, </w:t>
      </w:r>
      <w:r w:rsidR="00DE7AC6" w:rsidRPr="00DC2206">
        <w:t>допустимост и граници на йерархията в рамките на прокуратурата</w:t>
      </w:r>
      <w:r w:rsidR="008561A8" w:rsidRPr="00DC2206">
        <w:rPr>
          <w:rStyle w:val="FootnoteReference"/>
        </w:rPr>
        <w:footnoteReference w:id="72"/>
      </w:r>
      <w:r w:rsidRPr="00DC2206">
        <w:t>;</w:t>
      </w:r>
    </w:p>
    <w:p w14:paraId="288267C9" w14:textId="77777777" w:rsidR="00CD3FDB" w:rsidRDefault="00CD3FDB" w:rsidP="0077248E">
      <w:pPr>
        <w:pStyle w:val="1"/>
      </w:pPr>
    </w:p>
    <w:p w14:paraId="2DD44D4E" w14:textId="77777777" w:rsidR="00C61601" w:rsidRPr="00DC2206" w:rsidRDefault="0077248E" w:rsidP="0077248E">
      <w:pPr>
        <w:pStyle w:val="1"/>
      </w:pPr>
      <w:r w:rsidRPr="00DC2206">
        <w:t>•</w:t>
      </w:r>
      <w:r w:rsidRPr="00DC2206">
        <w:tab/>
      </w:r>
      <w:r w:rsidR="00AD1FEF" w:rsidRPr="00DC2206">
        <w:t>Назначаване</w:t>
      </w:r>
      <w:r w:rsidR="00521963" w:rsidRPr="00DC2206">
        <w:t xml:space="preserve"> </w:t>
      </w:r>
      <w:r w:rsidR="00DE7AC6" w:rsidRPr="00DC2206">
        <w:t xml:space="preserve">и уволнение на </w:t>
      </w:r>
      <w:r w:rsidR="00A0730F" w:rsidRPr="00DC2206">
        <w:t>прокурори</w:t>
      </w:r>
      <w:r w:rsidR="00521963" w:rsidRPr="00DC2206">
        <w:t xml:space="preserve"> </w:t>
      </w:r>
      <w:r w:rsidR="00DE7AC6" w:rsidRPr="00DC2206">
        <w:t>и на Главния прокурор</w:t>
      </w:r>
      <w:r w:rsidR="00521963" w:rsidRPr="00DC2206">
        <w:t xml:space="preserve">, </w:t>
      </w:r>
      <w:r w:rsidR="00DE7AC6" w:rsidRPr="00DC2206">
        <w:t xml:space="preserve">прехвърлянето на </w:t>
      </w:r>
      <w:r w:rsidR="00A0730F" w:rsidRPr="008D292D">
        <w:t>прокурори</w:t>
      </w:r>
      <w:r w:rsidR="00BE08F5" w:rsidRPr="008D292D">
        <w:t xml:space="preserve"> </w:t>
      </w:r>
      <w:r w:rsidR="00BE08F5" w:rsidRPr="008D292D">
        <w:rPr>
          <w:lang w:val="en-US"/>
        </w:rPr>
        <w:t xml:space="preserve">– </w:t>
      </w:r>
      <w:r w:rsidR="00BE08F5" w:rsidRPr="008D292D">
        <w:t>административни ръководители</w:t>
      </w:r>
      <w:r w:rsidR="00BE08F5" w:rsidRPr="00DC2206">
        <w:rPr>
          <w:rStyle w:val="FootnoteReference"/>
        </w:rPr>
        <w:t xml:space="preserve"> </w:t>
      </w:r>
      <w:r w:rsidRPr="00DC2206">
        <w:rPr>
          <w:rStyle w:val="FootnoteReference"/>
        </w:rPr>
        <w:footnoteReference w:id="73"/>
      </w:r>
      <w:r w:rsidR="00521963" w:rsidRPr="00DC2206">
        <w:t>;</w:t>
      </w:r>
    </w:p>
    <w:p w14:paraId="44A68785" w14:textId="77777777" w:rsidR="00CD3FDB" w:rsidRDefault="00CD3FDB" w:rsidP="0077248E">
      <w:pPr>
        <w:pStyle w:val="1"/>
      </w:pPr>
    </w:p>
    <w:p w14:paraId="43A9DF85" w14:textId="77777777" w:rsidR="00C61601" w:rsidRPr="00DC2206" w:rsidRDefault="0077248E" w:rsidP="0077248E">
      <w:pPr>
        <w:pStyle w:val="1"/>
      </w:pPr>
      <w:r w:rsidRPr="00DC2206">
        <w:t>•</w:t>
      </w:r>
      <w:r w:rsidRPr="00DC2206">
        <w:tab/>
      </w:r>
      <w:r w:rsidR="005326DE">
        <w:t>Указания</w:t>
      </w:r>
      <w:r w:rsidR="00521963" w:rsidRPr="00DC2206">
        <w:t xml:space="preserve">, </w:t>
      </w:r>
      <w:r w:rsidR="00DE7AC6" w:rsidRPr="00DC2206">
        <w:t>намеса в дейността на прокуратурата и взаимоотношенията с изпълнителната власт и със законодателната власт</w:t>
      </w:r>
      <w:r w:rsidRPr="00DC2206">
        <w:rPr>
          <w:rStyle w:val="FootnoteReference"/>
        </w:rPr>
        <w:footnoteReference w:id="74"/>
      </w:r>
      <w:r w:rsidR="00521963" w:rsidRPr="00DC2206">
        <w:t>;</w:t>
      </w:r>
    </w:p>
    <w:p w14:paraId="66F0C1DD" w14:textId="77777777" w:rsidR="00CD3FDB" w:rsidRDefault="00CD3FDB" w:rsidP="0077248E">
      <w:pPr>
        <w:pStyle w:val="1"/>
      </w:pPr>
    </w:p>
    <w:p w14:paraId="3D4A1F3D" w14:textId="77777777" w:rsidR="00C61601" w:rsidRPr="00DC2206" w:rsidRDefault="0077248E" w:rsidP="0077248E">
      <w:pPr>
        <w:pStyle w:val="1"/>
      </w:pPr>
      <w:r w:rsidRPr="00DC2206">
        <w:t>•</w:t>
      </w:r>
      <w:r w:rsidRPr="00DC2206">
        <w:tab/>
      </w:r>
      <w:r w:rsidR="00DE7AC6" w:rsidRPr="00DC2206">
        <w:t>Заплати на прокурорите</w:t>
      </w:r>
      <w:r w:rsidR="00521963" w:rsidRPr="00DC2206">
        <w:t xml:space="preserve">, </w:t>
      </w:r>
      <w:r w:rsidR="00DE7AC6" w:rsidRPr="00DC2206">
        <w:t xml:space="preserve">ограничения на заплатите заради пандемията от </w:t>
      </w:r>
      <w:r w:rsidR="00521963" w:rsidRPr="00DC2206">
        <w:t xml:space="preserve">COVID - 19, </w:t>
      </w:r>
      <w:r w:rsidR="00DE7AC6" w:rsidRPr="00DC2206">
        <w:t>преизчисления на пенсиите</w:t>
      </w:r>
      <w:r w:rsidRPr="00DC2206">
        <w:rPr>
          <w:rStyle w:val="FootnoteReference"/>
        </w:rPr>
        <w:footnoteReference w:id="75"/>
      </w:r>
      <w:r w:rsidR="00521963" w:rsidRPr="00DC2206">
        <w:t>;</w:t>
      </w:r>
    </w:p>
    <w:p w14:paraId="5F9D4CD6" w14:textId="77777777" w:rsidR="00CD3FDB" w:rsidRDefault="00CD3FDB" w:rsidP="0077248E">
      <w:pPr>
        <w:pStyle w:val="1"/>
      </w:pPr>
    </w:p>
    <w:p w14:paraId="30999A3D" w14:textId="77777777" w:rsidR="00C61601" w:rsidRPr="00DC2206" w:rsidRDefault="0077248E" w:rsidP="0077248E">
      <w:pPr>
        <w:pStyle w:val="1"/>
      </w:pPr>
      <w:r w:rsidRPr="00DC2206">
        <w:t>•</w:t>
      </w:r>
      <w:r w:rsidRPr="00DC2206">
        <w:tab/>
      </w:r>
      <w:r w:rsidR="00D91D4D" w:rsidRPr="00DC2206">
        <w:t xml:space="preserve">Контрол на конституционността на някои разпоредби на Закона за прокуратурата </w:t>
      </w:r>
      <w:r w:rsidR="00521963" w:rsidRPr="00DC2206">
        <w:t>(</w:t>
      </w:r>
      <w:r w:rsidR="00D91D4D" w:rsidRPr="00DC2206">
        <w:t>т.е. нова процедура за избор</w:t>
      </w:r>
      <w:r w:rsidR="00521963" w:rsidRPr="00DC2206">
        <w:t xml:space="preserve">, </w:t>
      </w:r>
      <w:r w:rsidR="00AD1FEF" w:rsidRPr="00DC2206">
        <w:t>назначаване</w:t>
      </w:r>
      <w:r w:rsidR="00521963" w:rsidRPr="00DC2206">
        <w:t xml:space="preserve">, </w:t>
      </w:r>
      <w:r w:rsidR="00D91D4D" w:rsidRPr="00DC2206">
        <w:t xml:space="preserve">уволнение на Главен прокурор и състав на </w:t>
      </w:r>
      <w:r w:rsidR="00E13632" w:rsidRPr="00DC2206">
        <w:t>Висш прокурорски</w:t>
      </w:r>
      <w:r w:rsidR="00D91D4D" w:rsidRPr="00DC2206">
        <w:t xml:space="preserve"> съвет</w:t>
      </w:r>
      <w:r w:rsidR="00521963" w:rsidRPr="00DC2206">
        <w:t xml:space="preserve">, </w:t>
      </w:r>
      <w:r w:rsidR="00D91D4D" w:rsidRPr="00DC2206">
        <w:t>пенсионна уредба</w:t>
      </w:r>
      <w:r w:rsidR="00521963" w:rsidRPr="00DC2206">
        <w:t xml:space="preserve">) </w:t>
      </w:r>
      <w:r w:rsidR="00D91D4D" w:rsidRPr="00DC2206">
        <w:t>и други нормативни актове</w:t>
      </w:r>
      <w:r w:rsidRPr="00DC2206">
        <w:rPr>
          <w:rStyle w:val="FootnoteReference"/>
        </w:rPr>
        <w:footnoteReference w:id="76"/>
      </w:r>
      <w:r w:rsidR="00521963" w:rsidRPr="00DC2206">
        <w:t>;</w:t>
      </w:r>
    </w:p>
    <w:p w14:paraId="0FBEF09A" w14:textId="77777777" w:rsidR="00CD3FDB" w:rsidRDefault="00CD3FDB" w:rsidP="0077248E">
      <w:pPr>
        <w:pStyle w:val="1"/>
      </w:pPr>
    </w:p>
    <w:p w14:paraId="2B2100A4" w14:textId="77777777" w:rsidR="00C61601" w:rsidRPr="00DC2206" w:rsidRDefault="0077248E" w:rsidP="0077248E">
      <w:pPr>
        <w:pStyle w:val="1"/>
      </w:pPr>
      <w:r w:rsidRPr="00DC2206">
        <w:t>•</w:t>
      </w:r>
      <w:r w:rsidRPr="00DC2206">
        <w:tab/>
      </w:r>
      <w:r w:rsidR="00E13632" w:rsidRPr="00DC2206">
        <w:t xml:space="preserve">Отчитане на дейностите на </w:t>
      </w:r>
      <w:r w:rsidR="00DE7AC6" w:rsidRPr="00DC2206">
        <w:t>Прокуратурата</w:t>
      </w:r>
      <w:r w:rsidR="00521963" w:rsidRPr="00DC2206">
        <w:t xml:space="preserve"> </w:t>
      </w:r>
      <w:r w:rsidR="00E13632" w:rsidRPr="00DC2206">
        <w:t>от Главния прокурор пред Президента и Парламента или Правителството</w:t>
      </w:r>
      <w:r w:rsidR="00521963" w:rsidRPr="00DC2206">
        <w:t xml:space="preserve">, </w:t>
      </w:r>
      <w:r w:rsidR="00E13632" w:rsidRPr="00DC2206">
        <w:t>и пред Висшия съдебен съвет</w:t>
      </w:r>
      <w:r w:rsidR="00521963" w:rsidRPr="00DC2206">
        <w:t xml:space="preserve">; </w:t>
      </w:r>
      <w:r w:rsidR="00E13632" w:rsidRPr="00DC2206">
        <w:t>естество на докладите</w:t>
      </w:r>
      <w:r w:rsidRPr="00DC2206">
        <w:t xml:space="preserve">; </w:t>
      </w:r>
      <w:r w:rsidR="00E13632" w:rsidRPr="00DC2206">
        <w:t>предоставяне на информация за висящи случаи</w:t>
      </w:r>
      <w:r w:rsidRPr="00DC2206">
        <w:rPr>
          <w:rStyle w:val="FootnoteReference"/>
        </w:rPr>
        <w:footnoteReference w:id="77"/>
      </w:r>
      <w:r w:rsidRPr="00DC2206">
        <w:rPr>
          <w:vertAlign w:val="superscript"/>
        </w:rPr>
        <w:t xml:space="preserve"> </w:t>
      </w:r>
      <w:r w:rsidR="00E13632" w:rsidRPr="00DC2206">
        <w:t>и уволнение на Главния прокурор</w:t>
      </w:r>
      <w:r w:rsidR="00521963" w:rsidRPr="00DC2206">
        <w:t xml:space="preserve"> </w:t>
      </w:r>
      <w:r w:rsidR="00E13632" w:rsidRPr="00DC2206">
        <w:t>поради неодобрение на годишния доклад от Парламента</w:t>
      </w:r>
      <w:r w:rsidRPr="00DC2206">
        <w:rPr>
          <w:rStyle w:val="FootnoteReference"/>
        </w:rPr>
        <w:footnoteReference w:id="78"/>
      </w:r>
      <w:r w:rsidR="00521963" w:rsidRPr="00DC2206">
        <w:t>;</w:t>
      </w:r>
    </w:p>
    <w:p w14:paraId="2C224C00" w14:textId="77777777" w:rsidR="00CD3FDB" w:rsidRDefault="00CD3FDB" w:rsidP="0077248E">
      <w:pPr>
        <w:pStyle w:val="1"/>
      </w:pPr>
    </w:p>
    <w:p w14:paraId="3ACA6D39" w14:textId="77777777" w:rsidR="00C61601" w:rsidRPr="00DC2206" w:rsidRDefault="0077248E" w:rsidP="0077248E">
      <w:pPr>
        <w:pStyle w:val="1"/>
      </w:pPr>
      <w:r w:rsidRPr="00DC2206">
        <w:lastRenderedPageBreak/>
        <w:t>•</w:t>
      </w:r>
      <w:r w:rsidRPr="00DC2206">
        <w:tab/>
      </w:r>
      <w:r w:rsidR="00E13632" w:rsidRPr="00DC2206">
        <w:t>Учредяване на парламентарна комисия за разследване и установяване на политическа отговорност на публични длъжностни лица</w:t>
      </w:r>
      <w:r w:rsidR="00521963" w:rsidRPr="00DC2206">
        <w:t xml:space="preserve">, </w:t>
      </w:r>
      <w:r w:rsidR="00E13632" w:rsidRPr="00DC2206">
        <w:t xml:space="preserve">включително </w:t>
      </w:r>
      <w:r w:rsidR="00A0730F" w:rsidRPr="00DC2206">
        <w:t>прокурори</w:t>
      </w:r>
      <w:r w:rsidR="00521963" w:rsidRPr="00DC2206">
        <w:t xml:space="preserve"> </w:t>
      </w:r>
      <w:r w:rsidR="00E13632" w:rsidRPr="00DC2206">
        <w:t>и съдии</w:t>
      </w:r>
      <w:r w:rsidR="00521963" w:rsidRPr="00DC2206">
        <w:t xml:space="preserve">, </w:t>
      </w:r>
      <w:r w:rsidR="00615062" w:rsidRPr="00DC2206">
        <w:t>замесени в наказателното преследване и процеса по няколко дела на определен политик за корупционни престъпления</w:t>
      </w:r>
      <w:r w:rsidRPr="00DC2206">
        <w:rPr>
          <w:rStyle w:val="FootnoteReference"/>
        </w:rPr>
        <w:footnoteReference w:id="79"/>
      </w:r>
      <w:r w:rsidR="00521963" w:rsidRPr="00DC2206">
        <w:t>;</w:t>
      </w:r>
    </w:p>
    <w:p w14:paraId="02CCF9A7" w14:textId="77777777" w:rsidR="00CD3FDB" w:rsidRDefault="00CD3FDB" w:rsidP="0077248E">
      <w:pPr>
        <w:pStyle w:val="1"/>
      </w:pPr>
    </w:p>
    <w:p w14:paraId="0C923C42" w14:textId="77777777" w:rsidR="00C61601" w:rsidRPr="00DC2206" w:rsidRDefault="0077248E" w:rsidP="0077248E">
      <w:pPr>
        <w:pStyle w:val="1"/>
      </w:pPr>
      <w:r w:rsidRPr="00DC2206">
        <w:t>•</w:t>
      </w:r>
      <w:r w:rsidRPr="00DC2206">
        <w:tab/>
      </w:r>
      <w:r w:rsidR="00615062" w:rsidRPr="00DC2206">
        <w:t xml:space="preserve">Позицията на </w:t>
      </w:r>
      <w:r w:rsidR="00A0730F" w:rsidRPr="00DC2206">
        <w:t>прокурори</w:t>
      </w:r>
      <w:r w:rsidR="00615062" w:rsidRPr="00DC2206">
        <w:t xml:space="preserve">те в наказателното производство </w:t>
      </w:r>
      <w:r w:rsidR="00521963" w:rsidRPr="00DC2206">
        <w:t>(</w:t>
      </w:r>
      <w:r w:rsidR="00615062" w:rsidRPr="00DC2206">
        <w:t>упражняване на надзор върху законността на предварителното разследване</w:t>
      </w:r>
      <w:r w:rsidR="00521963" w:rsidRPr="00DC2206">
        <w:t xml:space="preserve">, </w:t>
      </w:r>
      <w:r w:rsidR="00615062" w:rsidRPr="00DC2206">
        <w:t>взаимоотношения между разследващия орган и прокурора</w:t>
      </w:r>
      <w:r w:rsidR="00521963" w:rsidRPr="00DC2206">
        <w:t xml:space="preserve">; </w:t>
      </w:r>
      <w:r w:rsidR="00615062" w:rsidRPr="00DC2206">
        <w:t>задължителни действия в областта на наказателното право</w:t>
      </w:r>
      <w:r w:rsidR="00521963" w:rsidRPr="00DC2206">
        <w:t>)</w:t>
      </w:r>
      <w:r w:rsidRPr="00DC2206">
        <w:rPr>
          <w:rStyle w:val="FootnoteReference"/>
        </w:rPr>
        <w:footnoteReference w:id="80"/>
      </w:r>
      <w:r w:rsidR="00521963" w:rsidRPr="00DC2206">
        <w:t>;</w:t>
      </w:r>
    </w:p>
    <w:p w14:paraId="611E797B" w14:textId="77777777" w:rsidR="00CD3FDB" w:rsidRDefault="00CD3FDB" w:rsidP="0077248E">
      <w:pPr>
        <w:pStyle w:val="1"/>
      </w:pPr>
    </w:p>
    <w:p w14:paraId="69275BC8" w14:textId="77777777" w:rsidR="00C61601" w:rsidRPr="00DC2206" w:rsidRDefault="0077248E" w:rsidP="0077248E">
      <w:pPr>
        <w:pStyle w:val="1"/>
      </w:pPr>
      <w:r w:rsidRPr="00DC2206">
        <w:t>•</w:t>
      </w:r>
      <w:r w:rsidRPr="00DC2206">
        <w:tab/>
      </w:r>
      <w:r w:rsidR="009A6BD5" w:rsidRPr="00DC2206">
        <w:t>Позицията на прокурора извън областта на наказателното право</w:t>
      </w:r>
      <w:r w:rsidRPr="00DC2206">
        <w:rPr>
          <w:rStyle w:val="FootnoteReference"/>
        </w:rPr>
        <w:footnoteReference w:id="81"/>
      </w:r>
      <w:r w:rsidR="00521963" w:rsidRPr="00DC2206">
        <w:t>.</w:t>
      </w:r>
    </w:p>
    <w:p w14:paraId="25F8FF18" w14:textId="77777777" w:rsidR="0077248E" w:rsidRPr="00DC2206" w:rsidRDefault="0077248E" w:rsidP="00732D5B">
      <w:pPr>
        <w:tabs>
          <w:tab w:val="left" w:pos="7510"/>
        </w:tabs>
        <w:ind w:left="709" w:hanging="709"/>
        <w:jc w:val="both"/>
        <w:rPr>
          <w:rFonts w:asciiTheme="minorHAnsi" w:hAnsiTheme="minorHAnsi"/>
          <w:lang w:val="bg-BG"/>
        </w:rPr>
      </w:pPr>
    </w:p>
    <w:p w14:paraId="5C5F03B9" w14:textId="77777777" w:rsidR="00C61601" w:rsidRPr="00DC2206" w:rsidRDefault="00521963" w:rsidP="00732D5B">
      <w:pPr>
        <w:tabs>
          <w:tab w:val="left" w:pos="7510"/>
        </w:tabs>
        <w:ind w:left="709" w:hanging="709"/>
        <w:jc w:val="both"/>
        <w:rPr>
          <w:rFonts w:asciiTheme="minorHAnsi" w:hAnsiTheme="minorHAnsi"/>
          <w:lang w:val="bg-BG"/>
        </w:rPr>
      </w:pPr>
      <w:r w:rsidRPr="00DC2206">
        <w:rPr>
          <w:rFonts w:asciiTheme="minorHAnsi" w:hAnsiTheme="minorHAnsi"/>
          <w:lang w:val="bg-BG"/>
        </w:rPr>
        <w:t>61.</w:t>
      </w:r>
      <w:r w:rsidR="0077248E" w:rsidRPr="00DC2206">
        <w:rPr>
          <w:rFonts w:asciiTheme="minorHAnsi" w:hAnsiTheme="minorHAnsi"/>
          <w:lang w:val="bg-BG"/>
        </w:rPr>
        <w:tab/>
      </w:r>
      <w:r w:rsidR="009A6BD5" w:rsidRPr="00DC2206">
        <w:rPr>
          <w:rFonts w:asciiTheme="minorHAnsi" w:hAnsiTheme="minorHAnsi"/>
          <w:lang w:val="bg-BG"/>
        </w:rPr>
        <w:t xml:space="preserve">Решенията на националните съдилища, с които се укрепва практическата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9A6BD5" w:rsidRPr="00DC2206">
        <w:rPr>
          <w:rFonts w:asciiTheme="minorHAnsi" w:hAnsiTheme="minorHAnsi"/>
          <w:lang w:val="bg-BG"/>
        </w:rPr>
        <w:t xml:space="preserve">на </w:t>
      </w:r>
      <w:r w:rsidR="00A0730F" w:rsidRPr="00DC2206">
        <w:rPr>
          <w:rFonts w:asciiTheme="minorHAnsi" w:hAnsiTheme="minorHAnsi"/>
          <w:lang w:val="bg-BG"/>
        </w:rPr>
        <w:t>прокурори</w:t>
      </w:r>
      <w:r w:rsidR="009A6BD5" w:rsidRPr="00DC2206">
        <w:rPr>
          <w:rFonts w:asciiTheme="minorHAnsi" w:hAnsiTheme="minorHAnsi"/>
          <w:lang w:val="bg-BG"/>
        </w:rPr>
        <w:t>те</w:t>
      </w:r>
      <w:r w:rsidR="004200A9">
        <w:rPr>
          <w:rFonts w:asciiTheme="minorHAnsi" w:hAnsiTheme="minorHAnsi"/>
          <w:lang w:val="bg-BG"/>
        </w:rPr>
        <w:t>,</w:t>
      </w:r>
      <w:r w:rsidRPr="00DC2206">
        <w:rPr>
          <w:rFonts w:asciiTheme="minorHAnsi" w:hAnsiTheme="minorHAnsi"/>
          <w:lang w:val="bg-BG"/>
        </w:rPr>
        <w:t xml:space="preserve"> </w:t>
      </w:r>
      <w:r w:rsidR="009A6BD5" w:rsidRPr="00DC2206">
        <w:rPr>
          <w:rFonts w:asciiTheme="minorHAnsi" w:hAnsiTheme="minorHAnsi"/>
          <w:lang w:val="bg-BG"/>
        </w:rPr>
        <w:t xml:space="preserve">са един от примерите за положително прогресивно въздействие на </w:t>
      </w:r>
      <w:r w:rsidR="001C1676" w:rsidRPr="00DC2206">
        <w:rPr>
          <w:rFonts w:asciiTheme="minorHAnsi" w:hAnsiTheme="minorHAnsi"/>
          <w:lang w:val="bg-BG"/>
        </w:rPr>
        <w:t>съдебната практика</w:t>
      </w:r>
      <w:r w:rsidRPr="00DC2206">
        <w:rPr>
          <w:rFonts w:asciiTheme="minorHAnsi" w:hAnsiTheme="minorHAnsi"/>
          <w:lang w:val="bg-BG"/>
        </w:rPr>
        <w:t xml:space="preserve"> </w:t>
      </w:r>
      <w:r w:rsidR="009A6BD5" w:rsidRPr="00DC2206">
        <w:rPr>
          <w:rFonts w:asciiTheme="minorHAnsi" w:hAnsiTheme="minorHAnsi"/>
          <w:lang w:val="bg-BG"/>
        </w:rPr>
        <w:t xml:space="preserve">на </w:t>
      </w:r>
      <w:r w:rsidR="00CD379A" w:rsidRPr="00DC2206">
        <w:rPr>
          <w:rFonts w:asciiTheme="minorHAnsi" w:hAnsiTheme="minorHAnsi"/>
          <w:lang w:val="bg-BG"/>
        </w:rPr>
        <w:t>международни</w:t>
      </w:r>
      <w:r w:rsidR="009A6BD5" w:rsidRPr="00DC2206">
        <w:rPr>
          <w:rFonts w:asciiTheme="minorHAnsi" w:hAnsiTheme="minorHAnsi"/>
          <w:lang w:val="bg-BG"/>
        </w:rPr>
        <w:t>те</w:t>
      </w:r>
      <w:r w:rsidR="00CD379A" w:rsidRPr="00DC2206">
        <w:rPr>
          <w:rFonts w:asciiTheme="minorHAnsi" w:hAnsiTheme="minorHAnsi"/>
          <w:lang w:val="bg-BG"/>
        </w:rPr>
        <w:t xml:space="preserve"> съдилища</w:t>
      </w:r>
      <w:r w:rsidR="005714A7">
        <w:rPr>
          <w:rFonts w:asciiTheme="minorHAnsi" w:hAnsiTheme="minorHAnsi"/>
          <w:lang w:val="bg-BG"/>
        </w:rPr>
        <w:t>, и</w:t>
      </w:r>
      <w:r w:rsidR="009A6BD5" w:rsidRPr="00DC2206">
        <w:rPr>
          <w:rFonts w:asciiTheme="minorHAnsi" w:hAnsiTheme="minorHAnsi"/>
          <w:lang w:val="bg-BG"/>
        </w:rPr>
        <w:t xml:space="preserve"> по-специално на </w:t>
      </w:r>
      <w:r w:rsidR="001C1676" w:rsidRPr="00DC2206">
        <w:rPr>
          <w:rFonts w:asciiTheme="minorHAnsi" w:hAnsiTheme="minorHAnsi"/>
          <w:lang w:val="bg-BG"/>
        </w:rPr>
        <w:t>ЕСПЧ</w:t>
      </w:r>
      <w:r w:rsidRPr="00DC2206">
        <w:rPr>
          <w:rFonts w:asciiTheme="minorHAnsi" w:hAnsiTheme="minorHAnsi"/>
          <w:lang w:val="bg-BG"/>
        </w:rPr>
        <w:t xml:space="preserve">, </w:t>
      </w:r>
      <w:r w:rsidR="009A6BD5" w:rsidRPr="00DC2206">
        <w:rPr>
          <w:rFonts w:asciiTheme="minorHAnsi" w:hAnsiTheme="minorHAnsi"/>
          <w:lang w:val="bg-BG"/>
        </w:rPr>
        <w:t xml:space="preserve">върху практическата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9A6BD5" w:rsidRPr="00DC2206">
        <w:rPr>
          <w:rFonts w:asciiTheme="minorHAnsi" w:hAnsiTheme="minorHAnsi"/>
          <w:lang w:val="bg-BG"/>
        </w:rPr>
        <w:t xml:space="preserve">на </w:t>
      </w:r>
      <w:r w:rsidR="00A0730F" w:rsidRPr="00DC2206">
        <w:rPr>
          <w:rFonts w:asciiTheme="minorHAnsi" w:hAnsiTheme="minorHAnsi"/>
          <w:lang w:val="bg-BG"/>
        </w:rPr>
        <w:t>прокурори</w:t>
      </w:r>
      <w:r w:rsidR="009A6BD5" w:rsidRPr="00DC2206">
        <w:rPr>
          <w:rFonts w:asciiTheme="minorHAnsi" w:hAnsiTheme="minorHAnsi"/>
          <w:lang w:val="bg-BG"/>
        </w:rPr>
        <w:t>те в държавите членки</w:t>
      </w:r>
      <w:r w:rsidRPr="00DC2206">
        <w:rPr>
          <w:rFonts w:asciiTheme="minorHAnsi" w:hAnsiTheme="minorHAnsi"/>
          <w:lang w:val="bg-BG"/>
        </w:rPr>
        <w:t xml:space="preserve">. </w:t>
      </w:r>
      <w:r w:rsidR="009A6BD5" w:rsidRPr="00DC2206">
        <w:rPr>
          <w:rFonts w:asciiTheme="minorHAnsi" w:hAnsiTheme="minorHAnsi"/>
          <w:lang w:val="bg-BG"/>
        </w:rPr>
        <w:t>Както е показано по-горе</w:t>
      </w:r>
      <w:r w:rsidRPr="00DC2206">
        <w:rPr>
          <w:rFonts w:asciiTheme="minorHAnsi" w:hAnsiTheme="minorHAnsi"/>
          <w:lang w:val="bg-BG"/>
        </w:rPr>
        <w:t xml:space="preserve">, </w:t>
      </w:r>
      <w:r w:rsidR="009A6BD5" w:rsidRPr="00DC2206">
        <w:rPr>
          <w:rFonts w:asciiTheme="minorHAnsi" w:hAnsiTheme="minorHAnsi"/>
          <w:lang w:val="bg-BG"/>
        </w:rPr>
        <w:t xml:space="preserve">тези решения касаят широк диапазон от аспектите на статута и професията на прокурора и те са особено необходими там, където реформите на </w:t>
      </w:r>
      <w:r w:rsidR="00A0730F" w:rsidRPr="00DC2206">
        <w:rPr>
          <w:rFonts w:asciiTheme="minorHAnsi" w:hAnsiTheme="minorHAnsi"/>
          <w:lang w:val="bg-BG"/>
        </w:rPr>
        <w:t>съдебната власт</w:t>
      </w:r>
      <w:r w:rsidRPr="00DC2206">
        <w:rPr>
          <w:rFonts w:asciiTheme="minorHAnsi" w:hAnsiTheme="minorHAnsi"/>
          <w:lang w:val="bg-BG"/>
        </w:rPr>
        <w:t xml:space="preserve"> </w:t>
      </w:r>
      <w:r w:rsidR="009A6BD5" w:rsidRPr="00DC2206">
        <w:rPr>
          <w:rFonts w:asciiTheme="minorHAnsi" w:hAnsiTheme="minorHAnsi"/>
          <w:lang w:val="bg-BG"/>
        </w:rPr>
        <w:t>и обвинението не осигуряват достатъчно положителни резултати</w:t>
      </w:r>
      <w:r w:rsidRPr="00DC2206">
        <w:rPr>
          <w:rFonts w:asciiTheme="minorHAnsi" w:hAnsiTheme="minorHAnsi"/>
          <w:lang w:val="bg-BG"/>
        </w:rPr>
        <w:t>.</w:t>
      </w:r>
    </w:p>
    <w:p w14:paraId="441EBF67" w14:textId="77777777" w:rsidR="0077248E" w:rsidRPr="00DC2206" w:rsidRDefault="0077248E" w:rsidP="00732D5B">
      <w:pPr>
        <w:ind w:left="709" w:hanging="709"/>
        <w:jc w:val="both"/>
        <w:rPr>
          <w:rFonts w:asciiTheme="minorHAnsi" w:hAnsiTheme="minorHAnsi"/>
          <w:lang w:val="bg-BG"/>
        </w:rPr>
      </w:pPr>
    </w:p>
    <w:p w14:paraId="6AA19B2C"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62.</w:t>
      </w:r>
      <w:r w:rsidR="0077248E" w:rsidRPr="00DC2206">
        <w:rPr>
          <w:rFonts w:asciiTheme="minorHAnsi" w:hAnsiTheme="minorHAnsi"/>
          <w:lang w:val="bg-BG"/>
        </w:rPr>
        <w:tab/>
      </w:r>
      <w:r w:rsidR="009A6BD5" w:rsidRPr="00DC2206">
        <w:rPr>
          <w:rFonts w:asciiTheme="minorHAnsi" w:hAnsiTheme="minorHAnsi"/>
          <w:lang w:val="bg-BG"/>
        </w:rPr>
        <w:t xml:space="preserve">Националните съдебни органи са тясно </w:t>
      </w:r>
      <w:r w:rsidR="00991092" w:rsidRPr="00DC2206">
        <w:rPr>
          <w:rFonts w:asciiTheme="minorHAnsi" w:hAnsiTheme="minorHAnsi"/>
          <w:lang w:val="bg-BG"/>
        </w:rPr>
        <w:t>подпомагани от Съвета на Европа и разчитат</w:t>
      </w:r>
      <w:r w:rsidRPr="00DC2206">
        <w:rPr>
          <w:rFonts w:asciiTheme="minorHAnsi" w:hAnsiTheme="minorHAnsi"/>
          <w:lang w:val="bg-BG"/>
        </w:rPr>
        <w:t xml:space="preserve">, </w:t>
      </w:r>
      <w:r w:rsidR="00991092" w:rsidRPr="00DC2206">
        <w:rPr>
          <w:rFonts w:asciiTheme="minorHAnsi" w:hAnsiTheme="minorHAnsi"/>
          <w:lang w:val="bg-BG"/>
        </w:rPr>
        <w:t xml:space="preserve">в допълнение към </w:t>
      </w:r>
      <w:r w:rsidR="001C1676" w:rsidRPr="00DC2206">
        <w:rPr>
          <w:rFonts w:asciiTheme="minorHAnsi" w:hAnsiTheme="minorHAnsi"/>
          <w:lang w:val="bg-BG"/>
        </w:rPr>
        <w:t>съдебната практика</w:t>
      </w:r>
      <w:r w:rsidRPr="00DC2206">
        <w:rPr>
          <w:rFonts w:asciiTheme="minorHAnsi" w:hAnsiTheme="minorHAnsi"/>
          <w:lang w:val="bg-BG"/>
        </w:rPr>
        <w:t xml:space="preserve"> </w:t>
      </w:r>
      <w:r w:rsidR="00991092" w:rsidRPr="00DC2206">
        <w:rPr>
          <w:rFonts w:asciiTheme="minorHAnsi" w:hAnsiTheme="minorHAnsi"/>
          <w:lang w:val="bg-BG"/>
        </w:rPr>
        <w:t xml:space="preserve">на </w:t>
      </w:r>
      <w:r w:rsidR="001C1676" w:rsidRPr="00DC2206">
        <w:rPr>
          <w:rFonts w:asciiTheme="minorHAnsi" w:hAnsiTheme="minorHAnsi"/>
          <w:lang w:val="bg-BG"/>
        </w:rPr>
        <w:t>ЕСПЧ</w:t>
      </w:r>
      <w:r w:rsidRPr="00DC2206">
        <w:rPr>
          <w:rFonts w:asciiTheme="minorHAnsi" w:hAnsiTheme="minorHAnsi"/>
          <w:lang w:val="bg-BG"/>
        </w:rPr>
        <w:t xml:space="preserve">, </w:t>
      </w:r>
      <w:r w:rsidR="00991092" w:rsidRPr="00DC2206">
        <w:rPr>
          <w:rFonts w:asciiTheme="minorHAnsi" w:hAnsiTheme="minorHAnsi"/>
          <w:lang w:val="bg-BG"/>
        </w:rPr>
        <w:t>на консултативните стандарти, разработени от органите на Съвета на Европа</w:t>
      </w:r>
      <w:r w:rsidRPr="00DC2206">
        <w:rPr>
          <w:rFonts w:asciiTheme="minorHAnsi" w:hAnsiTheme="minorHAnsi"/>
          <w:lang w:val="bg-BG"/>
        </w:rPr>
        <w:t xml:space="preserve">, </w:t>
      </w:r>
      <w:r w:rsidR="00991092" w:rsidRPr="00DC2206">
        <w:rPr>
          <w:rFonts w:asciiTheme="minorHAnsi" w:hAnsiTheme="minorHAnsi"/>
          <w:lang w:val="bg-BG"/>
        </w:rPr>
        <w:t xml:space="preserve">и по-специално на констатациите на </w:t>
      </w:r>
      <w:r w:rsidR="00B90749" w:rsidRPr="00DC2206">
        <w:rPr>
          <w:rFonts w:asciiTheme="minorHAnsi" w:hAnsiTheme="minorHAnsi"/>
          <w:lang w:val="bg-BG"/>
        </w:rPr>
        <w:t>КСЕП</w:t>
      </w:r>
      <w:r w:rsidR="00991092" w:rsidRPr="00DC2206">
        <w:rPr>
          <w:rFonts w:asciiTheme="minorHAnsi" w:hAnsiTheme="minorHAnsi"/>
          <w:lang w:val="bg-BG"/>
        </w:rPr>
        <w:t xml:space="preserve">, които предоставят възможност за изразяване на мнение и перспектива да служат на </w:t>
      </w:r>
      <w:r w:rsidR="00A0730F" w:rsidRPr="00DC2206">
        <w:rPr>
          <w:rFonts w:asciiTheme="minorHAnsi" w:hAnsiTheme="minorHAnsi"/>
          <w:lang w:val="bg-BG"/>
        </w:rPr>
        <w:t>прокурори</w:t>
      </w:r>
      <w:r w:rsidR="00991092" w:rsidRPr="00DC2206">
        <w:rPr>
          <w:rFonts w:asciiTheme="minorHAnsi" w:hAnsiTheme="minorHAnsi"/>
          <w:lang w:val="bg-BG"/>
        </w:rPr>
        <w:t xml:space="preserve">те в цяла Европа и имат за цел да гарантират, че </w:t>
      </w:r>
      <w:r w:rsidR="00A0730F" w:rsidRPr="00DC2206">
        <w:rPr>
          <w:rFonts w:asciiTheme="minorHAnsi" w:hAnsiTheme="minorHAnsi"/>
          <w:lang w:val="bg-BG"/>
        </w:rPr>
        <w:t>прокурори</w:t>
      </w:r>
      <w:r w:rsidR="00991092" w:rsidRPr="00DC2206">
        <w:rPr>
          <w:rFonts w:asciiTheme="minorHAnsi" w:hAnsiTheme="minorHAnsi"/>
          <w:lang w:val="bg-BG"/>
        </w:rPr>
        <w:t>те могат да работят по един независим</w:t>
      </w:r>
      <w:r w:rsidRPr="00DC2206">
        <w:rPr>
          <w:rFonts w:asciiTheme="minorHAnsi" w:hAnsiTheme="minorHAnsi"/>
          <w:lang w:val="bg-BG"/>
        </w:rPr>
        <w:t xml:space="preserve">, </w:t>
      </w:r>
      <w:r w:rsidR="00991092" w:rsidRPr="00DC2206">
        <w:rPr>
          <w:rFonts w:asciiTheme="minorHAnsi" w:hAnsiTheme="minorHAnsi"/>
          <w:lang w:val="bg-BG"/>
        </w:rPr>
        <w:t>безпристрастен и ефективен начин при изпълнение на техните важни отговорност в рамките на националните им правни системи</w:t>
      </w:r>
      <w:r w:rsidRPr="00DC2206">
        <w:rPr>
          <w:rFonts w:asciiTheme="minorHAnsi" w:hAnsiTheme="minorHAnsi"/>
          <w:lang w:val="bg-BG"/>
        </w:rPr>
        <w:t>.</w:t>
      </w:r>
    </w:p>
    <w:p w14:paraId="54CACF22" w14:textId="77777777" w:rsidR="0077248E" w:rsidRPr="00DC2206" w:rsidRDefault="0077248E" w:rsidP="00732D5B">
      <w:pPr>
        <w:ind w:left="709" w:hanging="709"/>
        <w:jc w:val="both"/>
        <w:rPr>
          <w:rFonts w:asciiTheme="minorHAnsi" w:hAnsiTheme="minorHAnsi"/>
          <w:lang w:val="bg-BG"/>
        </w:rPr>
      </w:pPr>
    </w:p>
    <w:p w14:paraId="037937A1"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63.</w:t>
      </w:r>
      <w:r w:rsidR="0077248E" w:rsidRPr="00DC2206">
        <w:rPr>
          <w:rFonts w:asciiTheme="minorHAnsi" w:hAnsiTheme="minorHAnsi"/>
          <w:lang w:val="bg-BG"/>
        </w:rPr>
        <w:tab/>
      </w:r>
      <w:r w:rsidR="00991092" w:rsidRPr="00DC2206">
        <w:rPr>
          <w:rFonts w:asciiTheme="minorHAnsi" w:hAnsiTheme="minorHAnsi"/>
          <w:lang w:val="bg-BG"/>
        </w:rPr>
        <w:t xml:space="preserve">Тази комбинация от полезни ефекти от </w:t>
      </w:r>
      <w:r w:rsidR="001C1676" w:rsidRPr="00DC2206">
        <w:rPr>
          <w:rFonts w:asciiTheme="minorHAnsi" w:hAnsiTheme="minorHAnsi"/>
          <w:lang w:val="bg-BG"/>
        </w:rPr>
        <w:t>съдебната практика</w:t>
      </w:r>
      <w:r w:rsidRPr="00DC2206">
        <w:rPr>
          <w:rFonts w:asciiTheme="minorHAnsi" w:hAnsiTheme="minorHAnsi"/>
          <w:lang w:val="bg-BG"/>
        </w:rPr>
        <w:t xml:space="preserve"> </w:t>
      </w:r>
      <w:r w:rsidR="00991092" w:rsidRPr="00DC2206">
        <w:rPr>
          <w:rFonts w:asciiTheme="minorHAnsi" w:hAnsiTheme="minorHAnsi"/>
          <w:lang w:val="bg-BG"/>
        </w:rPr>
        <w:t xml:space="preserve">на </w:t>
      </w:r>
      <w:r w:rsidR="001C1676" w:rsidRPr="00DC2206">
        <w:rPr>
          <w:rFonts w:asciiTheme="minorHAnsi" w:hAnsiTheme="minorHAnsi"/>
          <w:lang w:val="bg-BG"/>
        </w:rPr>
        <w:t>ЕСПЧ</w:t>
      </w:r>
      <w:r w:rsidRPr="00DC2206">
        <w:rPr>
          <w:rFonts w:asciiTheme="minorHAnsi" w:hAnsiTheme="minorHAnsi"/>
          <w:lang w:val="bg-BG"/>
        </w:rPr>
        <w:t xml:space="preserve"> </w:t>
      </w:r>
      <w:r w:rsidR="00991092" w:rsidRPr="00DC2206">
        <w:rPr>
          <w:rFonts w:asciiTheme="minorHAnsi" w:hAnsiTheme="minorHAnsi"/>
          <w:lang w:val="bg-BG"/>
        </w:rPr>
        <w:t xml:space="preserve">и от консултативните констатации на органите на Съвета на Европа предоставя на националните съдебни органи относима контекстуална рамка за укрепване на практическата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991092" w:rsidRPr="00DC2206">
        <w:rPr>
          <w:rFonts w:asciiTheme="minorHAnsi" w:hAnsiTheme="minorHAnsi"/>
          <w:lang w:val="bg-BG"/>
        </w:rPr>
        <w:t xml:space="preserve">на </w:t>
      </w:r>
      <w:r w:rsidR="00A0730F" w:rsidRPr="00DC2206">
        <w:rPr>
          <w:rFonts w:asciiTheme="minorHAnsi" w:hAnsiTheme="minorHAnsi"/>
          <w:lang w:val="bg-BG"/>
        </w:rPr>
        <w:t>прокурори</w:t>
      </w:r>
      <w:r w:rsidR="00991092" w:rsidRPr="00DC2206">
        <w:rPr>
          <w:rFonts w:asciiTheme="minorHAnsi" w:hAnsiTheme="minorHAnsi"/>
          <w:lang w:val="bg-BG"/>
        </w:rPr>
        <w:t>те на национално ниво</w:t>
      </w:r>
      <w:r w:rsidRPr="00DC2206">
        <w:rPr>
          <w:rFonts w:asciiTheme="minorHAnsi" w:hAnsiTheme="minorHAnsi"/>
          <w:lang w:val="bg-BG"/>
        </w:rPr>
        <w:t xml:space="preserve">. </w:t>
      </w:r>
      <w:r w:rsidR="00991092" w:rsidRPr="00DC2206">
        <w:rPr>
          <w:rFonts w:asciiTheme="minorHAnsi" w:hAnsiTheme="minorHAnsi"/>
          <w:lang w:val="bg-BG"/>
        </w:rPr>
        <w:t xml:space="preserve">Тя значително им помага да работят независимо и да прилагат по-ефективно разпоредбите на </w:t>
      </w:r>
      <w:r w:rsidR="001C1676" w:rsidRPr="00DC2206">
        <w:rPr>
          <w:rFonts w:asciiTheme="minorHAnsi" w:hAnsiTheme="minorHAnsi"/>
          <w:lang w:val="bg-BG"/>
        </w:rPr>
        <w:t>ЕКПЧ</w:t>
      </w:r>
      <w:r w:rsidRPr="00DC2206">
        <w:rPr>
          <w:rFonts w:asciiTheme="minorHAnsi" w:hAnsiTheme="minorHAnsi"/>
          <w:lang w:val="bg-BG"/>
        </w:rPr>
        <w:t xml:space="preserve">, </w:t>
      </w:r>
      <w:r w:rsidR="00991092" w:rsidRPr="00DC2206">
        <w:rPr>
          <w:rFonts w:asciiTheme="minorHAnsi" w:hAnsiTheme="minorHAnsi"/>
          <w:lang w:val="bg-BG"/>
        </w:rPr>
        <w:t>което на свой ред им позволява да разрешават повече спорове на национално ниво, предотвратявайки по този начин нарастващия обем от дела</w:t>
      </w:r>
      <w:r w:rsidRPr="00DC2206">
        <w:rPr>
          <w:rFonts w:asciiTheme="minorHAnsi" w:hAnsiTheme="minorHAnsi"/>
          <w:lang w:val="bg-BG"/>
        </w:rPr>
        <w:t xml:space="preserve">, </w:t>
      </w:r>
      <w:r w:rsidR="00991092" w:rsidRPr="00DC2206">
        <w:rPr>
          <w:rFonts w:asciiTheme="minorHAnsi" w:hAnsiTheme="minorHAnsi"/>
          <w:lang w:val="bg-BG"/>
        </w:rPr>
        <w:t xml:space="preserve">включително повтарящи се такива, пред </w:t>
      </w:r>
      <w:r w:rsidR="001C1676" w:rsidRPr="00DC2206">
        <w:rPr>
          <w:rFonts w:asciiTheme="minorHAnsi" w:hAnsiTheme="minorHAnsi"/>
          <w:lang w:val="bg-BG"/>
        </w:rPr>
        <w:t>ЕСПЧ</w:t>
      </w:r>
      <w:r w:rsidRPr="00DC2206">
        <w:rPr>
          <w:rFonts w:asciiTheme="minorHAnsi" w:hAnsiTheme="minorHAnsi"/>
          <w:lang w:val="bg-BG"/>
        </w:rPr>
        <w:t>.</w:t>
      </w:r>
    </w:p>
    <w:p w14:paraId="5C57BAA8" w14:textId="77777777" w:rsidR="0077248E" w:rsidRPr="00DC2206" w:rsidRDefault="0077248E" w:rsidP="00732D5B">
      <w:pPr>
        <w:tabs>
          <w:tab w:val="left" w:leader="underscore" w:pos="9043"/>
          <w:tab w:val="left" w:pos="479"/>
        </w:tabs>
        <w:ind w:left="709" w:hanging="709"/>
        <w:jc w:val="both"/>
        <w:outlineLvl w:val="1"/>
        <w:rPr>
          <w:rFonts w:asciiTheme="minorHAnsi" w:hAnsiTheme="minorHAnsi"/>
          <w:lang w:val="bg-BG"/>
        </w:rPr>
      </w:pPr>
      <w:bookmarkStart w:id="5" w:name="bookmark6"/>
    </w:p>
    <w:tbl>
      <w:tblPr>
        <w:tblStyle w:val="TableGrid"/>
        <w:tblW w:w="0" w:type="auto"/>
        <w:tblLook w:val="04A0" w:firstRow="1" w:lastRow="0" w:firstColumn="1" w:lastColumn="0" w:noHBand="0" w:noVBand="1"/>
      </w:tblPr>
      <w:tblGrid>
        <w:gridCol w:w="9915"/>
      </w:tblGrid>
      <w:tr w:rsidR="00991092" w:rsidRPr="00DC2206" w14:paraId="2B514F70" w14:textId="77777777" w:rsidTr="00991092">
        <w:tc>
          <w:tcPr>
            <w:tcW w:w="9915" w:type="dxa"/>
          </w:tcPr>
          <w:p w14:paraId="2CA0AE73" w14:textId="77777777" w:rsidR="00991092" w:rsidRPr="00DC2206" w:rsidRDefault="00991092" w:rsidP="00991092">
            <w:pPr>
              <w:tabs>
                <w:tab w:val="left" w:leader="underscore" w:pos="9043"/>
                <w:tab w:val="left" w:pos="479"/>
              </w:tabs>
              <w:jc w:val="both"/>
              <w:outlineLvl w:val="1"/>
              <w:rPr>
                <w:rFonts w:asciiTheme="minorHAnsi" w:hAnsiTheme="minorHAnsi"/>
                <w:b/>
                <w:lang w:val="bg-BG"/>
              </w:rPr>
            </w:pPr>
            <w:r w:rsidRPr="00DC2206">
              <w:rPr>
                <w:rFonts w:asciiTheme="minorHAnsi" w:hAnsiTheme="minorHAnsi"/>
                <w:b/>
                <w:lang w:val="bg-BG"/>
              </w:rPr>
              <w:t xml:space="preserve">III. Решения на </w:t>
            </w:r>
            <w:r w:rsidR="00D46B76">
              <w:rPr>
                <w:rFonts w:asciiTheme="minorHAnsi" w:hAnsiTheme="minorHAnsi"/>
                <w:b/>
                <w:lang w:val="bg-BG"/>
              </w:rPr>
              <w:t>органи, учредени с международни договори,</w:t>
            </w:r>
            <w:r w:rsidRPr="00DC2206">
              <w:rPr>
                <w:rFonts w:asciiTheme="minorHAnsi" w:hAnsiTheme="minorHAnsi"/>
                <w:b/>
                <w:lang w:val="bg-BG"/>
              </w:rPr>
              <w:t xml:space="preserve"> по отношение на практическата независимост на съдебната власт като цяло и по-специално на прокурорите</w:t>
            </w:r>
          </w:p>
        </w:tc>
      </w:tr>
      <w:bookmarkEnd w:id="5"/>
    </w:tbl>
    <w:p w14:paraId="69615779" w14:textId="77777777" w:rsidR="00C61601" w:rsidRPr="00DC2206" w:rsidRDefault="00C61601" w:rsidP="0077248E">
      <w:pPr>
        <w:tabs>
          <w:tab w:val="left" w:leader="underscore" w:pos="9043"/>
          <w:tab w:val="left" w:pos="479"/>
        </w:tabs>
        <w:jc w:val="both"/>
        <w:outlineLvl w:val="1"/>
        <w:rPr>
          <w:rFonts w:asciiTheme="minorHAnsi" w:hAnsiTheme="minorHAnsi"/>
          <w:lang w:val="bg-BG"/>
        </w:rPr>
      </w:pPr>
    </w:p>
    <w:p w14:paraId="5665AA5A"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 xml:space="preserve">64. </w:t>
      </w:r>
      <w:r w:rsidR="0077248E" w:rsidRPr="00DC2206">
        <w:rPr>
          <w:rFonts w:asciiTheme="minorHAnsi" w:hAnsiTheme="minorHAnsi"/>
          <w:lang w:val="bg-BG"/>
        </w:rPr>
        <w:tab/>
      </w:r>
      <w:r w:rsidR="00B372ED" w:rsidRPr="00DC2206">
        <w:rPr>
          <w:rFonts w:asciiTheme="minorHAnsi" w:hAnsiTheme="minorHAnsi"/>
          <w:lang w:val="bg-BG"/>
        </w:rPr>
        <w:t xml:space="preserve">Комитетът по правата на човека </w:t>
      </w:r>
      <w:r w:rsidRPr="00DC2206">
        <w:rPr>
          <w:rFonts w:asciiTheme="minorHAnsi" w:hAnsiTheme="minorHAnsi"/>
          <w:lang w:val="bg-BG"/>
        </w:rPr>
        <w:t>(</w:t>
      </w:r>
      <w:r w:rsidR="00B372ED" w:rsidRPr="00DC2206">
        <w:rPr>
          <w:rFonts w:asciiTheme="minorHAnsi" w:hAnsiTheme="minorHAnsi"/>
          <w:lang w:val="bg-BG"/>
        </w:rPr>
        <w:t>оттук нататък наричан КПЧ</w:t>
      </w:r>
      <w:r w:rsidRPr="00DC2206">
        <w:rPr>
          <w:rFonts w:asciiTheme="minorHAnsi" w:hAnsiTheme="minorHAnsi"/>
          <w:lang w:val="bg-BG"/>
        </w:rPr>
        <w:t>)</w:t>
      </w:r>
      <w:r w:rsidR="00B372ED" w:rsidRPr="00DC2206">
        <w:rPr>
          <w:rFonts w:asciiTheme="minorHAnsi" w:hAnsiTheme="minorHAnsi"/>
          <w:lang w:val="bg-BG"/>
        </w:rPr>
        <w:t xml:space="preserve">, който е органът от независими експерти, осъществяващ наблюдение върху прилагането на Международния пакт за граждански и политически права </w:t>
      </w:r>
      <w:r w:rsidRPr="00DC2206">
        <w:rPr>
          <w:rFonts w:asciiTheme="minorHAnsi" w:hAnsiTheme="minorHAnsi"/>
          <w:lang w:val="bg-BG"/>
        </w:rPr>
        <w:t>(</w:t>
      </w:r>
      <w:r w:rsidR="00B372ED" w:rsidRPr="00DC2206">
        <w:rPr>
          <w:rFonts w:asciiTheme="minorHAnsi" w:hAnsiTheme="minorHAnsi"/>
          <w:lang w:val="bg-BG"/>
        </w:rPr>
        <w:t>МПГПП</w:t>
      </w:r>
      <w:r w:rsidRPr="00DC2206">
        <w:rPr>
          <w:rFonts w:asciiTheme="minorHAnsi" w:hAnsiTheme="minorHAnsi"/>
          <w:lang w:val="bg-BG"/>
        </w:rPr>
        <w:t xml:space="preserve">) </w:t>
      </w:r>
      <w:r w:rsidR="00B372ED" w:rsidRPr="00DC2206">
        <w:rPr>
          <w:rFonts w:asciiTheme="minorHAnsi" w:hAnsiTheme="minorHAnsi"/>
          <w:lang w:val="bg-BG"/>
        </w:rPr>
        <w:t>от държавите страни по него</w:t>
      </w:r>
      <w:r w:rsidRPr="00DC2206">
        <w:rPr>
          <w:rFonts w:asciiTheme="minorHAnsi" w:hAnsiTheme="minorHAnsi"/>
          <w:lang w:val="bg-BG"/>
        </w:rPr>
        <w:t xml:space="preserve">, </w:t>
      </w:r>
      <w:r w:rsidR="00B372ED" w:rsidRPr="00DC2206">
        <w:rPr>
          <w:rFonts w:asciiTheme="minorHAnsi" w:hAnsiTheme="minorHAnsi"/>
          <w:lang w:val="bg-BG"/>
        </w:rPr>
        <w:t xml:space="preserve">е издал редица относими </w:t>
      </w:r>
      <w:r w:rsidR="00A0730F" w:rsidRPr="00DC2206">
        <w:rPr>
          <w:rFonts w:asciiTheme="minorHAnsi" w:hAnsiTheme="minorHAnsi"/>
          <w:lang w:val="bg-BG"/>
        </w:rPr>
        <w:t>препоръки</w:t>
      </w:r>
      <w:r w:rsidRPr="00DC2206">
        <w:rPr>
          <w:rFonts w:asciiTheme="minorHAnsi" w:hAnsiTheme="minorHAnsi"/>
          <w:lang w:val="bg-BG"/>
        </w:rPr>
        <w:t xml:space="preserve"> </w:t>
      </w:r>
      <w:r w:rsidR="00B372ED" w:rsidRPr="00DC2206">
        <w:rPr>
          <w:rFonts w:asciiTheme="minorHAnsi" w:hAnsiTheme="minorHAnsi"/>
          <w:lang w:val="bg-BG"/>
        </w:rPr>
        <w:t xml:space="preserve">по отношение на </w:t>
      </w:r>
      <w:r w:rsidR="00A0730F" w:rsidRPr="00DC2206">
        <w:rPr>
          <w:rFonts w:asciiTheme="minorHAnsi" w:hAnsiTheme="minorHAnsi"/>
          <w:lang w:val="bg-BG"/>
        </w:rPr>
        <w:t>независимост</w:t>
      </w:r>
      <w:r w:rsidR="00B372ED" w:rsidRPr="00DC2206">
        <w:rPr>
          <w:rFonts w:asciiTheme="minorHAnsi" w:hAnsiTheme="minorHAnsi"/>
          <w:lang w:val="bg-BG"/>
        </w:rPr>
        <w:t>та на съдиите и прокурорите</w:t>
      </w:r>
      <w:r w:rsidRPr="00DC2206">
        <w:rPr>
          <w:rFonts w:asciiTheme="minorHAnsi" w:hAnsiTheme="minorHAnsi"/>
          <w:lang w:val="bg-BG"/>
        </w:rPr>
        <w:t>.</w:t>
      </w:r>
    </w:p>
    <w:p w14:paraId="15452008" w14:textId="77777777" w:rsidR="0077248E" w:rsidRPr="00DC2206" w:rsidRDefault="0077248E" w:rsidP="0077248E">
      <w:pPr>
        <w:ind w:left="709" w:hanging="709"/>
        <w:jc w:val="both"/>
        <w:rPr>
          <w:rFonts w:asciiTheme="minorHAnsi" w:hAnsiTheme="minorHAnsi"/>
          <w:lang w:val="bg-BG"/>
        </w:rPr>
      </w:pPr>
    </w:p>
    <w:p w14:paraId="17EA8483" w14:textId="77777777" w:rsidR="00C61601" w:rsidRPr="00DC2206" w:rsidRDefault="00521963" w:rsidP="00B372ED">
      <w:pPr>
        <w:ind w:left="709" w:hanging="709"/>
        <w:jc w:val="both"/>
        <w:rPr>
          <w:rFonts w:asciiTheme="minorHAnsi" w:hAnsiTheme="minorHAnsi"/>
          <w:lang w:val="bg-BG"/>
        </w:rPr>
      </w:pPr>
      <w:r w:rsidRPr="00DC2206">
        <w:rPr>
          <w:rFonts w:asciiTheme="minorHAnsi" w:hAnsiTheme="minorHAnsi"/>
          <w:lang w:val="bg-BG"/>
        </w:rPr>
        <w:t>65.</w:t>
      </w:r>
      <w:r w:rsidR="0077248E" w:rsidRPr="00DC2206">
        <w:rPr>
          <w:rFonts w:asciiTheme="minorHAnsi" w:hAnsiTheme="minorHAnsi"/>
          <w:lang w:val="bg-BG"/>
        </w:rPr>
        <w:tab/>
      </w:r>
      <w:r w:rsidR="00B372ED" w:rsidRPr="00DC2206">
        <w:rPr>
          <w:rFonts w:asciiTheme="minorHAnsi" w:hAnsiTheme="minorHAnsi"/>
          <w:lang w:val="bg-BG"/>
        </w:rPr>
        <w:t>Всички държави страни по МПГПП</w:t>
      </w:r>
      <w:r w:rsidRPr="00DC2206">
        <w:rPr>
          <w:rFonts w:asciiTheme="minorHAnsi" w:hAnsiTheme="minorHAnsi"/>
          <w:lang w:val="bg-BG"/>
        </w:rPr>
        <w:t xml:space="preserve"> </w:t>
      </w:r>
      <w:r w:rsidR="00B372ED" w:rsidRPr="00DC2206">
        <w:rPr>
          <w:rFonts w:asciiTheme="minorHAnsi" w:hAnsiTheme="minorHAnsi"/>
          <w:lang w:val="bg-BG"/>
        </w:rPr>
        <w:t>са задължени да представят редовни доклади пред КПЧ</w:t>
      </w:r>
      <w:r w:rsidRPr="00DC2206">
        <w:rPr>
          <w:rFonts w:asciiTheme="minorHAnsi" w:hAnsiTheme="minorHAnsi"/>
          <w:lang w:val="bg-BG"/>
        </w:rPr>
        <w:t xml:space="preserve"> </w:t>
      </w:r>
      <w:r w:rsidR="00B372ED" w:rsidRPr="00DC2206">
        <w:rPr>
          <w:rFonts w:asciiTheme="minorHAnsi" w:hAnsiTheme="minorHAnsi"/>
          <w:lang w:val="bg-BG"/>
        </w:rPr>
        <w:t>за това как се реализира</w:t>
      </w:r>
      <w:r w:rsidR="004200A9">
        <w:rPr>
          <w:rFonts w:asciiTheme="minorHAnsi" w:hAnsiTheme="minorHAnsi"/>
          <w:lang w:val="bg-BG"/>
        </w:rPr>
        <w:t>т</w:t>
      </w:r>
      <w:r w:rsidR="00B372ED" w:rsidRPr="00DC2206">
        <w:rPr>
          <w:rFonts w:asciiTheme="minorHAnsi" w:hAnsiTheme="minorHAnsi"/>
          <w:lang w:val="bg-BG"/>
        </w:rPr>
        <w:t xml:space="preserve"> правата по Пакта</w:t>
      </w:r>
      <w:r w:rsidRPr="00DC2206">
        <w:rPr>
          <w:rFonts w:asciiTheme="minorHAnsi" w:hAnsiTheme="minorHAnsi"/>
          <w:lang w:val="bg-BG"/>
        </w:rPr>
        <w:t xml:space="preserve">. </w:t>
      </w:r>
      <w:r w:rsidR="00B372ED" w:rsidRPr="00DC2206">
        <w:rPr>
          <w:rFonts w:asciiTheme="minorHAnsi" w:hAnsiTheme="minorHAnsi"/>
          <w:lang w:val="bg-BG"/>
        </w:rPr>
        <w:t>В отговор</w:t>
      </w:r>
      <w:r w:rsidRPr="00DC2206">
        <w:rPr>
          <w:rFonts w:asciiTheme="minorHAnsi" w:hAnsiTheme="minorHAnsi"/>
          <w:lang w:val="bg-BG"/>
        </w:rPr>
        <w:t xml:space="preserve">, </w:t>
      </w:r>
      <w:r w:rsidR="00B372ED" w:rsidRPr="00DC2206">
        <w:rPr>
          <w:rFonts w:asciiTheme="minorHAnsi" w:hAnsiTheme="minorHAnsi"/>
          <w:lang w:val="bg-BG"/>
        </w:rPr>
        <w:t>КПЧ</w:t>
      </w:r>
      <w:r w:rsidRPr="00DC2206">
        <w:rPr>
          <w:rFonts w:asciiTheme="minorHAnsi" w:hAnsiTheme="minorHAnsi"/>
          <w:lang w:val="bg-BG"/>
        </w:rPr>
        <w:t xml:space="preserve"> </w:t>
      </w:r>
      <w:r w:rsidR="00B372ED" w:rsidRPr="00DC2206">
        <w:rPr>
          <w:rFonts w:asciiTheme="minorHAnsi" w:hAnsiTheme="minorHAnsi"/>
          <w:lang w:val="bg-BG"/>
        </w:rPr>
        <w:t xml:space="preserve">издава заключителни </w:t>
      </w:r>
      <w:r w:rsidR="00B372ED" w:rsidRPr="00DC2206">
        <w:rPr>
          <w:rFonts w:asciiTheme="minorHAnsi" w:hAnsiTheme="minorHAnsi"/>
          <w:lang w:val="bg-BG"/>
        </w:rPr>
        <w:lastRenderedPageBreak/>
        <w:t>наблюдения по отношение на съответната държава</w:t>
      </w:r>
      <w:r w:rsidRPr="00DC2206">
        <w:rPr>
          <w:rFonts w:asciiTheme="minorHAnsi" w:hAnsiTheme="minorHAnsi"/>
          <w:lang w:val="bg-BG"/>
        </w:rPr>
        <w:t xml:space="preserve">. </w:t>
      </w:r>
      <w:r w:rsidR="00B372ED" w:rsidRPr="00DC2206">
        <w:rPr>
          <w:rFonts w:asciiTheme="minorHAnsi" w:hAnsiTheme="minorHAnsi"/>
          <w:lang w:val="bg-BG"/>
        </w:rPr>
        <w:t xml:space="preserve">Много от притесненията на КПЧ, засягащи </w:t>
      </w:r>
      <w:r w:rsidR="00A0730F" w:rsidRPr="00DC2206">
        <w:rPr>
          <w:rFonts w:asciiTheme="minorHAnsi" w:hAnsiTheme="minorHAnsi"/>
          <w:lang w:val="bg-BG"/>
        </w:rPr>
        <w:t>прокурори</w:t>
      </w:r>
      <w:r w:rsidR="00B372ED" w:rsidRPr="00DC2206">
        <w:rPr>
          <w:rFonts w:asciiTheme="minorHAnsi" w:hAnsiTheme="minorHAnsi"/>
          <w:lang w:val="bg-BG"/>
        </w:rPr>
        <w:t>те и тяхната работа, са изразени в заключителни наблюдения, издадени след прегледа на доклади, представени от държавите страни</w:t>
      </w:r>
      <w:r w:rsidRPr="00DC2206">
        <w:rPr>
          <w:rFonts w:asciiTheme="minorHAnsi" w:hAnsiTheme="minorHAnsi"/>
          <w:lang w:val="bg-BG"/>
        </w:rPr>
        <w:t>.</w:t>
      </w:r>
    </w:p>
    <w:p w14:paraId="1AEA5282" w14:textId="77777777" w:rsidR="0077248E" w:rsidRPr="00DC2206" w:rsidRDefault="0077248E" w:rsidP="0077248E">
      <w:pPr>
        <w:ind w:left="709" w:hanging="709"/>
        <w:jc w:val="both"/>
        <w:rPr>
          <w:rFonts w:asciiTheme="minorHAnsi" w:hAnsiTheme="minorHAnsi"/>
          <w:lang w:val="bg-BG"/>
        </w:rPr>
      </w:pPr>
    </w:p>
    <w:p w14:paraId="2A6C128E" w14:textId="77777777" w:rsidR="00C61601" w:rsidRPr="00DC2206" w:rsidRDefault="00521963" w:rsidP="0077248E">
      <w:pPr>
        <w:ind w:left="709" w:hanging="709"/>
        <w:jc w:val="both"/>
        <w:rPr>
          <w:rFonts w:asciiTheme="minorHAnsi" w:hAnsiTheme="minorHAnsi"/>
          <w:lang w:val="bg-BG"/>
        </w:rPr>
      </w:pPr>
      <w:r w:rsidRPr="00DC2206">
        <w:rPr>
          <w:rFonts w:asciiTheme="minorHAnsi" w:hAnsiTheme="minorHAnsi"/>
          <w:lang w:val="bg-BG"/>
        </w:rPr>
        <w:t>66.</w:t>
      </w:r>
      <w:r w:rsidRPr="00DC2206">
        <w:rPr>
          <w:rFonts w:asciiTheme="minorHAnsi" w:hAnsiTheme="minorHAnsi"/>
          <w:lang w:val="bg-BG"/>
        </w:rPr>
        <w:tab/>
      </w:r>
      <w:r w:rsidR="00B372ED" w:rsidRPr="00DC2206">
        <w:rPr>
          <w:rFonts w:asciiTheme="minorHAnsi" w:hAnsiTheme="minorHAnsi"/>
          <w:lang w:val="bg-BG"/>
        </w:rPr>
        <w:t>Тези притеснения са свързани с реформата на правосъдната система и пълното съблюдаване на надлежните процесуални гаранции</w:t>
      </w:r>
      <w:r w:rsidRPr="00DC2206">
        <w:rPr>
          <w:rFonts w:asciiTheme="minorHAnsi" w:hAnsiTheme="minorHAnsi"/>
          <w:lang w:val="bg-BG"/>
        </w:rPr>
        <w:t xml:space="preserve">, </w:t>
      </w:r>
      <w:r w:rsidR="00B372ED" w:rsidRPr="00DC2206">
        <w:rPr>
          <w:rFonts w:asciiTheme="minorHAnsi" w:hAnsiTheme="minorHAnsi"/>
          <w:lang w:val="bg-BG"/>
        </w:rPr>
        <w:t xml:space="preserve">подсказвайки необходимостта да бъде укрепена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B372ED" w:rsidRPr="00DC2206">
        <w:rPr>
          <w:rFonts w:asciiTheme="minorHAnsi" w:hAnsiTheme="minorHAnsi"/>
          <w:lang w:val="bg-BG"/>
        </w:rPr>
        <w:t xml:space="preserve">на </w:t>
      </w:r>
      <w:r w:rsidR="00A0730F" w:rsidRPr="00DC2206">
        <w:rPr>
          <w:rFonts w:asciiTheme="minorHAnsi" w:hAnsiTheme="minorHAnsi"/>
          <w:lang w:val="bg-BG"/>
        </w:rPr>
        <w:t>съдебната власт</w:t>
      </w:r>
      <w:r w:rsidRPr="00DC2206">
        <w:rPr>
          <w:rFonts w:asciiTheme="minorHAnsi" w:hAnsiTheme="minorHAnsi"/>
          <w:lang w:val="bg-BG"/>
        </w:rPr>
        <w:t xml:space="preserve"> </w:t>
      </w:r>
      <w:r w:rsidR="00B372ED" w:rsidRPr="00DC2206">
        <w:rPr>
          <w:rFonts w:asciiTheme="minorHAnsi" w:hAnsiTheme="minorHAnsi"/>
          <w:lang w:val="bg-BG"/>
        </w:rPr>
        <w:t>и на прокуратурата</w:t>
      </w:r>
      <w:r w:rsidR="0077248E" w:rsidRPr="00DC2206">
        <w:rPr>
          <w:rStyle w:val="FootnoteReference"/>
          <w:rFonts w:asciiTheme="minorHAnsi" w:hAnsiTheme="minorHAnsi"/>
          <w:lang w:val="bg-BG"/>
        </w:rPr>
        <w:footnoteReference w:id="82"/>
      </w:r>
      <w:r w:rsidRPr="00DC2206">
        <w:rPr>
          <w:rFonts w:asciiTheme="minorHAnsi" w:hAnsiTheme="minorHAnsi"/>
          <w:lang w:val="bg-BG"/>
        </w:rPr>
        <w:t>.</w:t>
      </w:r>
    </w:p>
    <w:p w14:paraId="0F109673" w14:textId="77777777" w:rsidR="0077248E" w:rsidRPr="00DC2206" w:rsidRDefault="0077248E" w:rsidP="0077248E">
      <w:pPr>
        <w:ind w:left="709" w:hanging="709"/>
        <w:jc w:val="both"/>
        <w:rPr>
          <w:rFonts w:asciiTheme="minorHAnsi" w:hAnsiTheme="minorHAnsi"/>
          <w:lang w:val="bg-BG"/>
        </w:rPr>
      </w:pPr>
    </w:p>
    <w:p w14:paraId="0A686A7C" w14:textId="77777777" w:rsidR="00C61601" w:rsidRPr="00DC2206" w:rsidRDefault="00521963" w:rsidP="0077248E">
      <w:pPr>
        <w:ind w:left="709" w:hanging="709"/>
        <w:jc w:val="both"/>
        <w:rPr>
          <w:rFonts w:asciiTheme="minorHAnsi" w:hAnsiTheme="minorHAnsi"/>
          <w:lang w:val="bg-BG"/>
        </w:rPr>
      </w:pPr>
      <w:r w:rsidRPr="00DC2206">
        <w:rPr>
          <w:rFonts w:asciiTheme="minorHAnsi" w:hAnsiTheme="minorHAnsi"/>
          <w:lang w:val="bg-BG"/>
        </w:rPr>
        <w:t>67.</w:t>
      </w:r>
      <w:r w:rsidRPr="00DC2206">
        <w:rPr>
          <w:rFonts w:asciiTheme="minorHAnsi" w:hAnsiTheme="minorHAnsi"/>
          <w:lang w:val="bg-BG"/>
        </w:rPr>
        <w:tab/>
      </w:r>
      <w:r w:rsidR="00B372ED" w:rsidRPr="00DC2206">
        <w:rPr>
          <w:rFonts w:asciiTheme="minorHAnsi" w:hAnsiTheme="minorHAnsi"/>
          <w:lang w:val="bg-BG"/>
        </w:rPr>
        <w:t>В това отношение</w:t>
      </w:r>
      <w:r w:rsidRPr="00DC2206">
        <w:rPr>
          <w:rFonts w:asciiTheme="minorHAnsi" w:hAnsiTheme="minorHAnsi"/>
          <w:lang w:val="bg-BG"/>
        </w:rPr>
        <w:t xml:space="preserve">, </w:t>
      </w:r>
      <w:r w:rsidR="00B372ED" w:rsidRPr="00DC2206">
        <w:rPr>
          <w:rFonts w:asciiTheme="minorHAnsi" w:hAnsiTheme="minorHAnsi"/>
          <w:lang w:val="bg-BG"/>
        </w:rPr>
        <w:t xml:space="preserve">следва да бъде </w:t>
      </w:r>
      <w:r w:rsidR="004200A9">
        <w:rPr>
          <w:rFonts w:asciiTheme="minorHAnsi" w:hAnsiTheme="minorHAnsi"/>
          <w:lang w:val="bg-BG"/>
        </w:rPr>
        <w:t>положена дължимата грижа да се осигури</w:t>
      </w:r>
      <w:r w:rsidR="00B372ED" w:rsidRPr="00DC2206">
        <w:rPr>
          <w:rFonts w:asciiTheme="minorHAnsi" w:hAnsiTheme="minorHAnsi"/>
          <w:lang w:val="bg-BG"/>
        </w:rPr>
        <w:t xml:space="preserve"> съдебната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B372ED" w:rsidRPr="00DC2206">
        <w:rPr>
          <w:rFonts w:asciiTheme="minorHAnsi" w:hAnsiTheme="minorHAnsi"/>
          <w:lang w:val="bg-BG"/>
        </w:rPr>
        <w:t xml:space="preserve">включително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B372ED" w:rsidRPr="00DC2206">
        <w:rPr>
          <w:rFonts w:asciiTheme="minorHAnsi" w:hAnsiTheme="minorHAnsi"/>
          <w:lang w:val="bg-BG"/>
        </w:rPr>
        <w:t>на прокурорските органи</w:t>
      </w:r>
      <w:r w:rsidRPr="00DC2206">
        <w:rPr>
          <w:rFonts w:asciiTheme="minorHAnsi" w:hAnsiTheme="minorHAnsi"/>
          <w:lang w:val="bg-BG"/>
        </w:rPr>
        <w:t xml:space="preserve">, </w:t>
      </w:r>
      <w:r w:rsidR="00B372ED" w:rsidRPr="00DC2206">
        <w:rPr>
          <w:rFonts w:asciiTheme="minorHAnsi" w:hAnsiTheme="minorHAnsi"/>
          <w:lang w:val="bg-BG"/>
        </w:rPr>
        <w:t>от изпълнителната власт</w:t>
      </w:r>
      <w:r w:rsidR="0077248E" w:rsidRPr="00DC2206">
        <w:rPr>
          <w:rStyle w:val="FootnoteReference"/>
          <w:rFonts w:asciiTheme="minorHAnsi" w:hAnsiTheme="minorHAnsi"/>
          <w:lang w:val="bg-BG"/>
        </w:rPr>
        <w:footnoteReference w:id="83"/>
      </w:r>
      <w:r w:rsidRPr="00DC2206">
        <w:rPr>
          <w:rFonts w:asciiTheme="minorHAnsi" w:hAnsiTheme="minorHAnsi"/>
          <w:lang w:val="bg-BG"/>
        </w:rPr>
        <w:t xml:space="preserve">, </w:t>
      </w:r>
      <w:r w:rsidR="00B372ED" w:rsidRPr="00DC2206">
        <w:rPr>
          <w:rFonts w:asciiTheme="minorHAnsi" w:hAnsiTheme="minorHAnsi"/>
          <w:lang w:val="bg-BG"/>
        </w:rPr>
        <w:t>Президента</w:t>
      </w:r>
      <w:r w:rsidR="0077248E" w:rsidRPr="00DC2206">
        <w:rPr>
          <w:rStyle w:val="FootnoteReference"/>
          <w:rFonts w:asciiTheme="minorHAnsi" w:hAnsiTheme="minorHAnsi"/>
          <w:lang w:val="bg-BG"/>
        </w:rPr>
        <w:footnoteReference w:id="84"/>
      </w:r>
      <w:r w:rsidRPr="00DC2206">
        <w:rPr>
          <w:rFonts w:asciiTheme="minorHAnsi" w:hAnsiTheme="minorHAnsi"/>
          <w:lang w:val="bg-BG"/>
        </w:rPr>
        <w:t xml:space="preserve"> </w:t>
      </w:r>
      <w:r w:rsidR="00B372ED" w:rsidRPr="00DC2206">
        <w:rPr>
          <w:rFonts w:asciiTheme="minorHAnsi" w:hAnsiTheme="minorHAnsi"/>
          <w:lang w:val="bg-BG"/>
        </w:rPr>
        <w:t>или законодателната власт</w:t>
      </w:r>
      <w:r w:rsidR="0077248E" w:rsidRPr="00DC2206">
        <w:rPr>
          <w:rStyle w:val="FootnoteReference"/>
          <w:rFonts w:asciiTheme="minorHAnsi" w:hAnsiTheme="minorHAnsi"/>
          <w:lang w:val="bg-BG"/>
        </w:rPr>
        <w:footnoteReference w:id="85"/>
      </w:r>
      <w:r w:rsidRPr="00DC2206">
        <w:rPr>
          <w:rFonts w:asciiTheme="minorHAnsi" w:hAnsiTheme="minorHAnsi"/>
          <w:lang w:val="bg-BG"/>
        </w:rPr>
        <w:t>.</w:t>
      </w:r>
    </w:p>
    <w:p w14:paraId="62C9CD12" w14:textId="77777777" w:rsidR="0077248E" w:rsidRPr="00DC2206" w:rsidRDefault="0077248E" w:rsidP="0077248E">
      <w:pPr>
        <w:ind w:left="709" w:hanging="709"/>
        <w:jc w:val="both"/>
        <w:rPr>
          <w:rFonts w:asciiTheme="minorHAnsi" w:hAnsiTheme="minorHAnsi"/>
          <w:lang w:val="bg-BG"/>
        </w:rPr>
      </w:pPr>
    </w:p>
    <w:p w14:paraId="72CD03F4" w14:textId="77777777" w:rsidR="00C61601" w:rsidRPr="00DC2206" w:rsidRDefault="00521963" w:rsidP="0077248E">
      <w:pPr>
        <w:ind w:left="709" w:hanging="709"/>
        <w:jc w:val="both"/>
        <w:rPr>
          <w:rFonts w:asciiTheme="minorHAnsi" w:hAnsiTheme="minorHAnsi"/>
          <w:lang w:val="bg-BG"/>
        </w:rPr>
      </w:pPr>
      <w:r w:rsidRPr="00DC2206">
        <w:rPr>
          <w:rFonts w:asciiTheme="minorHAnsi" w:hAnsiTheme="minorHAnsi"/>
          <w:lang w:val="bg-BG"/>
        </w:rPr>
        <w:t>68.</w:t>
      </w:r>
      <w:r w:rsidRPr="00DC2206">
        <w:rPr>
          <w:rFonts w:asciiTheme="minorHAnsi" w:hAnsiTheme="minorHAnsi"/>
          <w:lang w:val="bg-BG"/>
        </w:rPr>
        <w:tab/>
      </w:r>
      <w:r w:rsidR="00FB2900" w:rsidRPr="00DC2206">
        <w:rPr>
          <w:rFonts w:asciiTheme="minorHAnsi" w:hAnsiTheme="minorHAnsi"/>
          <w:lang w:val="bg-BG"/>
        </w:rPr>
        <w:t xml:space="preserve">Независим орган следва да отговаря за съдебната дисциплина и следва да са налице достатъчно гаранции за предотвратяване на предприемането на дисциплинарни мерки срещу съдии и </w:t>
      </w:r>
      <w:r w:rsidR="00A0730F" w:rsidRPr="00DC2206">
        <w:rPr>
          <w:rFonts w:asciiTheme="minorHAnsi" w:hAnsiTheme="minorHAnsi"/>
          <w:lang w:val="bg-BG"/>
        </w:rPr>
        <w:t>прокурори</w:t>
      </w:r>
      <w:r w:rsidRPr="00DC2206">
        <w:rPr>
          <w:rFonts w:asciiTheme="minorHAnsi" w:hAnsiTheme="minorHAnsi"/>
          <w:lang w:val="bg-BG"/>
        </w:rPr>
        <w:t xml:space="preserve"> </w:t>
      </w:r>
      <w:r w:rsidR="00FB2900" w:rsidRPr="00DC2206">
        <w:rPr>
          <w:rFonts w:asciiTheme="minorHAnsi" w:hAnsiTheme="minorHAnsi"/>
          <w:lang w:val="bg-BG"/>
        </w:rPr>
        <w:t>за несъществени нарушения или за противоречиво тълкувание на закона</w:t>
      </w:r>
      <w:r w:rsidR="0077248E" w:rsidRPr="00DC2206">
        <w:rPr>
          <w:rStyle w:val="FootnoteReference"/>
          <w:rFonts w:asciiTheme="minorHAnsi" w:hAnsiTheme="minorHAnsi"/>
          <w:lang w:val="bg-BG"/>
        </w:rPr>
        <w:footnoteReference w:id="86"/>
      </w:r>
      <w:r w:rsidRPr="00DC2206">
        <w:rPr>
          <w:rFonts w:asciiTheme="minorHAnsi" w:hAnsiTheme="minorHAnsi"/>
          <w:lang w:val="bg-BG"/>
        </w:rPr>
        <w:t xml:space="preserve">. </w:t>
      </w:r>
      <w:r w:rsidR="00FB2900" w:rsidRPr="00DC2206">
        <w:rPr>
          <w:rFonts w:asciiTheme="minorHAnsi" w:hAnsiTheme="minorHAnsi"/>
          <w:lang w:val="bg-BG"/>
        </w:rPr>
        <w:t>Този независим орган</w:t>
      </w:r>
      <w:r w:rsidRPr="00DC2206">
        <w:rPr>
          <w:rFonts w:asciiTheme="minorHAnsi" w:hAnsiTheme="minorHAnsi"/>
          <w:lang w:val="bg-BG"/>
        </w:rPr>
        <w:t xml:space="preserve">, </w:t>
      </w:r>
      <w:r w:rsidR="00FB2900" w:rsidRPr="00DC2206">
        <w:rPr>
          <w:rFonts w:asciiTheme="minorHAnsi" w:hAnsiTheme="minorHAnsi"/>
          <w:lang w:val="bg-BG"/>
        </w:rPr>
        <w:t xml:space="preserve">например Висш прокурорски съвет, следва да се състои от </w:t>
      </w:r>
      <w:r w:rsidR="00A0730F" w:rsidRPr="00DC2206">
        <w:rPr>
          <w:rFonts w:asciiTheme="minorHAnsi" w:hAnsiTheme="minorHAnsi"/>
          <w:lang w:val="bg-BG"/>
        </w:rPr>
        <w:t>прокурори</w:t>
      </w:r>
      <w:r w:rsidR="00FB2900" w:rsidRPr="00DC2206">
        <w:rPr>
          <w:rFonts w:asciiTheme="minorHAnsi" w:hAnsiTheme="minorHAnsi"/>
          <w:lang w:val="bg-BG"/>
        </w:rPr>
        <w:t>, избрани от професионални самоуправляващи се органи</w:t>
      </w:r>
      <w:r w:rsidR="0077248E" w:rsidRPr="00DC2206">
        <w:rPr>
          <w:rStyle w:val="FootnoteReference"/>
          <w:rFonts w:asciiTheme="minorHAnsi" w:hAnsiTheme="minorHAnsi"/>
          <w:lang w:val="bg-BG"/>
        </w:rPr>
        <w:footnoteReference w:id="87"/>
      </w:r>
      <w:r w:rsidRPr="00DC2206">
        <w:rPr>
          <w:rFonts w:asciiTheme="minorHAnsi" w:hAnsiTheme="minorHAnsi"/>
          <w:lang w:val="bg-BG"/>
        </w:rPr>
        <w:t>.</w:t>
      </w:r>
    </w:p>
    <w:p w14:paraId="3E1D8E5E" w14:textId="77777777" w:rsidR="0077248E" w:rsidRPr="00DC2206" w:rsidRDefault="0077248E" w:rsidP="0077248E">
      <w:pPr>
        <w:ind w:left="709" w:hanging="709"/>
        <w:jc w:val="both"/>
        <w:rPr>
          <w:rFonts w:asciiTheme="minorHAnsi" w:hAnsiTheme="minorHAnsi"/>
          <w:lang w:val="bg-BG"/>
        </w:rPr>
      </w:pPr>
    </w:p>
    <w:p w14:paraId="0EEB8731" w14:textId="77777777" w:rsidR="00C61601" w:rsidRPr="00DC2206" w:rsidRDefault="00521963" w:rsidP="0077248E">
      <w:pPr>
        <w:ind w:left="709" w:hanging="709"/>
        <w:jc w:val="both"/>
        <w:rPr>
          <w:rFonts w:asciiTheme="minorHAnsi" w:hAnsiTheme="minorHAnsi"/>
          <w:lang w:val="bg-BG"/>
        </w:rPr>
      </w:pPr>
      <w:r w:rsidRPr="00DC2206">
        <w:rPr>
          <w:rFonts w:asciiTheme="minorHAnsi" w:hAnsiTheme="minorHAnsi"/>
          <w:lang w:val="bg-BG"/>
        </w:rPr>
        <w:t>69.</w:t>
      </w:r>
      <w:r w:rsidRPr="00DC2206">
        <w:rPr>
          <w:rFonts w:asciiTheme="minorHAnsi" w:hAnsiTheme="minorHAnsi"/>
          <w:lang w:val="bg-BG"/>
        </w:rPr>
        <w:tab/>
      </w:r>
      <w:r w:rsidR="00FB2900" w:rsidRPr="00DC2206">
        <w:rPr>
          <w:rFonts w:asciiTheme="minorHAnsi" w:hAnsiTheme="minorHAnsi"/>
          <w:lang w:val="bg-BG"/>
        </w:rPr>
        <w:t>В тази връзка решенията</w:t>
      </w:r>
      <w:r w:rsidRPr="00DC2206">
        <w:rPr>
          <w:rFonts w:asciiTheme="minorHAnsi" w:hAnsiTheme="minorHAnsi"/>
          <w:lang w:val="bg-BG"/>
        </w:rPr>
        <w:t xml:space="preserve">, </w:t>
      </w:r>
      <w:r w:rsidR="00FB2900" w:rsidRPr="00DC2206">
        <w:rPr>
          <w:rFonts w:asciiTheme="minorHAnsi" w:hAnsiTheme="minorHAnsi"/>
          <w:lang w:val="bg-BG"/>
        </w:rPr>
        <w:t>свързани с избора</w:t>
      </w:r>
      <w:r w:rsidRPr="00DC2206">
        <w:rPr>
          <w:rFonts w:asciiTheme="minorHAnsi" w:hAnsiTheme="minorHAnsi"/>
          <w:lang w:val="bg-BG"/>
        </w:rPr>
        <w:t xml:space="preserve">, </w:t>
      </w:r>
      <w:r w:rsidR="00FB2900" w:rsidRPr="00DC2206">
        <w:rPr>
          <w:rFonts w:asciiTheme="minorHAnsi" w:hAnsiTheme="minorHAnsi"/>
          <w:lang w:val="bg-BG"/>
        </w:rPr>
        <w:t>предприемането на дисциплинарни мерки</w:t>
      </w:r>
      <w:r w:rsidRPr="00DC2206">
        <w:rPr>
          <w:rFonts w:asciiTheme="minorHAnsi" w:hAnsiTheme="minorHAnsi"/>
          <w:lang w:val="bg-BG"/>
        </w:rPr>
        <w:t xml:space="preserve">, </w:t>
      </w:r>
      <w:r w:rsidR="00FB2900" w:rsidRPr="00DC2206">
        <w:rPr>
          <w:rFonts w:asciiTheme="minorHAnsi" w:hAnsiTheme="minorHAnsi"/>
          <w:lang w:val="bg-BG"/>
        </w:rPr>
        <w:t xml:space="preserve">оценката и постоянното </w:t>
      </w:r>
      <w:r w:rsidR="00AD1FEF" w:rsidRPr="00DC2206">
        <w:rPr>
          <w:rFonts w:asciiTheme="minorHAnsi" w:hAnsiTheme="minorHAnsi"/>
          <w:lang w:val="bg-BG"/>
        </w:rPr>
        <w:t>назначаване</w:t>
      </w:r>
      <w:r w:rsidRPr="00DC2206">
        <w:rPr>
          <w:rFonts w:asciiTheme="minorHAnsi" w:hAnsiTheme="minorHAnsi"/>
          <w:lang w:val="bg-BG"/>
        </w:rPr>
        <w:t xml:space="preserve"> </w:t>
      </w:r>
      <w:r w:rsidR="00FB2900" w:rsidRPr="00DC2206">
        <w:rPr>
          <w:rFonts w:asciiTheme="minorHAnsi" w:hAnsiTheme="minorHAnsi"/>
          <w:lang w:val="bg-BG"/>
        </w:rPr>
        <w:t>на съдии</w:t>
      </w:r>
      <w:r w:rsidR="0077248E" w:rsidRPr="00DC2206">
        <w:rPr>
          <w:rStyle w:val="FootnoteReference"/>
          <w:rFonts w:asciiTheme="minorHAnsi" w:hAnsiTheme="minorHAnsi"/>
          <w:lang w:val="bg-BG"/>
        </w:rPr>
        <w:footnoteReference w:id="88"/>
      </w:r>
      <w:r w:rsidRPr="00DC2206">
        <w:rPr>
          <w:rFonts w:asciiTheme="minorHAnsi" w:hAnsiTheme="minorHAnsi"/>
          <w:lang w:val="bg-BG"/>
        </w:rPr>
        <w:t xml:space="preserve"> </w:t>
      </w:r>
      <w:r w:rsidR="00FB2900" w:rsidRPr="00DC2206">
        <w:rPr>
          <w:rFonts w:asciiTheme="minorHAnsi" w:hAnsiTheme="minorHAnsi"/>
          <w:lang w:val="bg-BG"/>
        </w:rPr>
        <w:t xml:space="preserve">и </w:t>
      </w:r>
      <w:r w:rsidR="00A0730F" w:rsidRPr="00DC2206">
        <w:rPr>
          <w:rFonts w:asciiTheme="minorHAnsi" w:hAnsiTheme="minorHAnsi"/>
          <w:lang w:val="bg-BG"/>
        </w:rPr>
        <w:t>прокурори</w:t>
      </w:r>
      <w:r w:rsidR="0077248E" w:rsidRPr="00DC2206">
        <w:rPr>
          <w:rStyle w:val="FootnoteReference"/>
          <w:rFonts w:asciiTheme="minorHAnsi" w:hAnsiTheme="minorHAnsi"/>
          <w:lang w:val="bg-BG"/>
        </w:rPr>
        <w:footnoteReference w:id="89"/>
      </w:r>
      <w:r w:rsidRPr="00DC2206">
        <w:rPr>
          <w:rFonts w:asciiTheme="minorHAnsi" w:hAnsiTheme="minorHAnsi"/>
          <w:lang w:val="bg-BG"/>
        </w:rPr>
        <w:t xml:space="preserve">, </w:t>
      </w:r>
      <w:r w:rsidR="00FB2900" w:rsidRPr="00DC2206">
        <w:rPr>
          <w:rFonts w:asciiTheme="minorHAnsi" w:hAnsiTheme="minorHAnsi"/>
          <w:lang w:val="bg-BG"/>
        </w:rPr>
        <w:t>както и уволненията</w:t>
      </w:r>
      <w:r w:rsidRPr="00DC2206">
        <w:rPr>
          <w:rFonts w:asciiTheme="minorHAnsi" w:hAnsiTheme="minorHAnsi"/>
          <w:lang w:val="bg-BG"/>
        </w:rPr>
        <w:t xml:space="preserve">, </w:t>
      </w:r>
      <w:r w:rsidR="00FB2900" w:rsidRPr="00DC2206">
        <w:rPr>
          <w:rFonts w:asciiTheme="minorHAnsi" w:hAnsiTheme="minorHAnsi"/>
          <w:lang w:val="bg-BG"/>
        </w:rPr>
        <w:t>които по този начин осигуряват сигурността на мандата им</w:t>
      </w:r>
      <w:r w:rsidR="0077248E" w:rsidRPr="00DC2206">
        <w:rPr>
          <w:rStyle w:val="FootnoteReference"/>
          <w:rFonts w:asciiTheme="minorHAnsi" w:hAnsiTheme="minorHAnsi"/>
          <w:lang w:val="bg-BG"/>
        </w:rPr>
        <w:footnoteReference w:id="90"/>
      </w:r>
      <w:r w:rsidRPr="00DC2206">
        <w:rPr>
          <w:rFonts w:asciiTheme="minorHAnsi" w:hAnsiTheme="minorHAnsi"/>
          <w:lang w:val="bg-BG"/>
        </w:rPr>
        <w:t xml:space="preserve">, </w:t>
      </w:r>
      <w:r w:rsidR="00FB2900" w:rsidRPr="00DC2206">
        <w:rPr>
          <w:rFonts w:asciiTheme="minorHAnsi" w:hAnsiTheme="minorHAnsi"/>
          <w:lang w:val="bg-BG"/>
        </w:rPr>
        <w:t>следва да бъдат базирани на обективни критерии, които са изрично предвидени от закона</w:t>
      </w:r>
      <w:r w:rsidR="0077248E" w:rsidRPr="00DC2206">
        <w:rPr>
          <w:rStyle w:val="FootnoteReference"/>
          <w:rFonts w:asciiTheme="minorHAnsi" w:hAnsiTheme="minorHAnsi"/>
          <w:lang w:val="bg-BG"/>
        </w:rPr>
        <w:footnoteReference w:id="91"/>
      </w:r>
      <w:r w:rsidRPr="00DC2206">
        <w:rPr>
          <w:rFonts w:asciiTheme="minorHAnsi" w:hAnsiTheme="minorHAnsi"/>
          <w:lang w:val="bg-BG"/>
        </w:rPr>
        <w:t>.</w:t>
      </w:r>
    </w:p>
    <w:p w14:paraId="7CAE0A82" w14:textId="77777777" w:rsidR="0077248E" w:rsidRPr="00DC2206" w:rsidRDefault="0077248E" w:rsidP="00732D5B">
      <w:pPr>
        <w:ind w:left="709" w:hanging="709"/>
        <w:jc w:val="both"/>
        <w:rPr>
          <w:rFonts w:asciiTheme="minorHAnsi" w:hAnsiTheme="minorHAnsi"/>
          <w:vertAlign w:val="superscript"/>
          <w:lang w:val="bg-BG"/>
        </w:rPr>
      </w:pPr>
    </w:p>
    <w:p w14:paraId="3BD627C5"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eastAsia="bg-BG" w:bidi="bg-BG"/>
        </w:rPr>
        <w:t>70.</w:t>
      </w:r>
      <w:r w:rsidR="0077248E" w:rsidRPr="00DC2206">
        <w:rPr>
          <w:rFonts w:asciiTheme="minorHAnsi" w:hAnsiTheme="minorHAnsi"/>
          <w:lang w:val="bg-BG" w:eastAsia="bg-BG" w:bidi="bg-BG"/>
        </w:rPr>
        <w:tab/>
      </w:r>
      <w:r w:rsidR="00FB2900" w:rsidRPr="00DC2206">
        <w:rPr>
          <w:rFonts w:asciiTheme="minorHAnsi" w:hAnsiTheme="minorHAnsi"/>
          <w:lang w:val="bg-BG" w:eastAsia="bg-BG" w:bidi="bg-BG"/>
        </w:rPr>
        <w:t>Притеснения са изразени и по отношение на необходимостта от ефективна борба срещу корупцията</w:t>
      </w:r>
      <w:r w:rsidR="0077248E" w:rsidRPr="00DC2206">
        <w:rPr>
          <w:rStyle w:val="FootnoteReference"/>
          <w:rFonts w:asciiTheme="minorHAnsi" w:hAnsiTheme="minorHAnsi"/>
          <w:lang w:val="bg-BG"/>
        </w:rPr>
        <w:footnoteReference w:id="92"/>
      </w:r>
      <w:r w:rsidRPr="00DC2206">
        <w:rPr>
          <w:rFonts w:asciiTheme="minorHAnsi" w:hAnsiTheme="minorHAnsi"/>
          <w:lang w:val="bg-BG"/>
        </w:rPr>
        <w:t xml:space="preserve"> </w:t>
      </w:r>
      <w:r w:rsidR="00FB2900" w:rsidRPr="00DC2206">
        <w:rPr>
          <w:rFonts w:asciiTheme="minorHAnsi" w:hAnsiTheme="minorHAnsi"/>
          <w:lang w:val="bg-BG"/>
        </w:rPr>
        <w:t xml:space="preserve">и от избягване на корупцията в </w:t>
      </w:r>
      <w:r w:rsidR="00A0730F" w:rsidRPr="00DC2206">
        <w:rPr>
          <w:rFonts w:asciiTheme="minorHAnsi" w:hAnsiTheme="minorHAnsi"/>
          <w:lang w:val="bg-BG"/>
        </w:rPr>
        <w:t>съдебната власт</w:t>
      </w:r>
      <w:r w:rsidR="00FB2900" w:rsidRPr="00DC2206">
        <w:rPr>
          <w:rFonts w:asciiTheme="minorHAnsi" w:hAnsiTheme="minorHAnsi"/>
          <w:lang w:val="bg-BG"/>
        </w:rPr>
        <w:t xml:space="preserve"> – както от съдиите, така и от </w:t>
      </w:r>
      <w:r w:rsidR="00A0730F" w:rsidRPr="00DC2206">
        <w:rPr>
          <w:rFonts w:asciiTheme="minorHAnsi" w:hAnsiTheme="minorHAnsi"/>
          <w:lang w:val="bg-BG"/>
        </w:rPr>
        <w:t>прокурори</w:t>
      </w:r>
      <w:r w:rsidR="00FB2900" w:rsidRPr="00DC2206">
        <w:rPr>
          <w:rFonts w:asciiTheme="minorHAnsi" w:hAnsiTheme="minorHAnsi"/>
          <w:lang w:val="bg-BG"/>
        </w:rPr>
        <w:t>те</w:t>
      </w:r>
      <w:r w:rsidR="0077248E" w:rsidRPr="00DC2206">
        <w:rPr>
          <w:rStyle w:val="FootnoteReference"/>
          <w:rFonts w:asciiTheme="minorHAnsi" w:hAnsiTheme="minorHAnsi"/>
          <w:lang w:val="bg-BG"/>
        </w:rPr>
        <w:footnoteReference w:id="93"/>
      </w:r>
      <w:r w:rsidRPr="00DC2206">
        <w:rPr>
          <w:rFonts w:asciiTheme="minorHAnsi" w:hAnsiTheme="minorHAnsi"/>
          <w:lang w:val="bg-BG"/>
        </w:rPr>
        <w:t>.</w:t>
      </w:r>
    </w:p>
    <w:p w14:paraId="21C084DD" w14:textId="77777777" w:rsidR="0077248E" w:rsidRPr="00DC2206" w:rsidRDefault="0077248E" w:rsidP="00732D5B">
      <w:pPr>
        <w:ind w:left="709" w:hanging="709"/>
        <w:jc w:val="both"/>
        <w:rPr>
          <w:rFonts w:asciiTheme="minorHAnsi" w:hAnsiTheme="minorHAnsi"/>
          <w:lang w:val="bg-BG"/>
        </w:rPr>
      </w:pPr>
    </w:p>
    <w:p w14:paraId="71B5D305"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71.</w:t>
      </w:r>
      <w:r w:rsidR="0077248E" w:rsidRPr="00DC2206">
        <w:rPr>
          <w:rFonts w:asciiTheme="minorHAnsi" w:hAnsiTheme="minorHAnsi"/>
          <w:lang w:val="bg-BG"/>
        </w:rPr>
        <w:tab/>
      </w:r>
      <w:r w:rsidR="00FB2900" w:rsidRPr="00DC2206">
        <w:rPr>
          <w:rFonts w:asciiTheme="minorHAnsi" w:hAnsiTheme="minorHAnsi"/>
          <w:lang w:val="bg-BG"/>
        </w:rPr>
        <w:t>Що се отнася до някои държави</w:t>
      </w:r>
      <w:r w:rsidRPr="00DC2206">
        <w:rPr>
          <w:rFonts w:asciiTheme="minorHAnsi" w:hAnsiTheme="minorHAnsi"/>
          <w:lang w:val="bg-BG"/>
        </w:rPr>
        <w:t xml:space="preserve">, </w:t>
      </w:r>
      <w:r w:rsidR="00FB2900" w:rsidRPr="00DC2206">
        <w:rPr>
          <w:rFonts w:asciiTheme="minorHAnsi" w:hAnsiTheme="minorHAnsi"/>
          <w:lang w:val="bg-BG"/>
        </w:rPr>
        <w:t xml:space="preserve">изразени са и притеснения по отношение на евентуални широки правомощия на </w:t>
      </w:r>
      <w:r w:rsidR="00E13632" w:rsidRPr="00DC2206">
        <w:rPr>
          <w:rFonts w:asciiTheme="minorHAnsi" w:hAnsiTheme="minorHAnsi"/>
          <w:lang w:val="bg-BG"/>
        </w:rPr>
        <w:t>Главния прокурор</w:t>
      </w:r>
      <w:r w:rsidR="00FB2900" w:rsidRPr="00DC2206">
        <w:rPr>
          <w:rFonts w:asciiTheme="minorHAnsi" w:hAnsiTheme="minorHAnsi"/>
          <w:lang w:val="bg-BG"/>
        </w:rPr>
        <w:t>, когато това може да доведе до слаба отчетност или вмешателство в дейността на съдилищата</w:t>
      </w:r>
      <w:r w:rsidR="0077248E" w:rsidRPr="00DC2206">
        <w:rPr>
          <w:rStyle w:val="FootnoteReference"/>
          <w:rFonts w:asciiTheme="minorHAnsi" w:hAnsiTheme="minorHAnsi"/>
          <w:lang w:val="bg-BG"/>
        </w:rPr>
        <w:footnoteReference w:id="94"/>
      </w:r>
      <w:r w:rsidRPr="00DC2206">
        <w:rPr>
          <w:rFonts w:asciiTheme="minorHAnsi" w:hAnsiTheme="minorHAnsi"/>
          <w:lang w:val="bg-BG"/>
        </w:rPr>
        <w:t>.</w:t>
      </w:r>
    </w:p>
    <w:p w14:paraId="676D649E" w14:textId="77777777" w:rsidR="0077248E" w:rsidRPr="00DC2206" w:rsidRDefault="0077248E" w:rsidP="00732D5B">
      <w:pPr>
        <w:ind w:left="709" w:hanging="709"/>
        <w:jc w:val="both"/>
        <w:rPr>
          <w:rFonts w:asciiTheme="minorHAnsi" w:hAnsiTheme="minorHAnsi"/>
          <w:lang w:val="bg-BG"/>
        </w:rPr>
      </w:pPr>
    </w:p>
    <w:p w14:paraId="6ABA00B3"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72.</w:t>
      </w:r>
      <w:r w:rsidR="0077248E" w:rsidRPr="00DC2206">
        <w:rPr>
          <w:rFonts w:asciiTheme="minorHAnsi" w:hAnsiTheme="minorHAnsi"/>
          <w:lang w:val="bg-BG"/>
        </w:rPr>
        <w:tab/>
      </w:r>
      <w:r w:rsidR="00FB2900" w:rsidRPr="00DC2206">
        <w:rPr>
          <w:rFonts w:asciiTheme="minorHAnsi" w:hAnsiTheme="minorHAnsi"/>
          <w:lang w:val="bg-BG"/>
        </w:rPr>
        <w:t>В допълнение към преглед</w:t>
      </w:r>
      <w:r w:rsidR="00AA3C4A" w:rsidRPr="00DC2206">
        <w:rPr>
          <w:rFonts w:asciiTheme="minorHAnsi" w:hAnsiTheme="minorHAnsi"/>
          <w:lang w:val="bg-BG"/>
        </w:rPr>
        <w:t>а</w:t>
      </w:r>
      <w:r w:rsidR="00FB2900" w:rsidRPr="00DC2206">
        <w:rPr>
          <w:rFonts w:asciiTheme="minorHAnsi" w:hAnsiTheme="minorHAnsi"/>
          <w:lang w:val="bg-BG"/>
        </w:rPr>
        <w:t xml:space="preserve"> на докладите на държавите страни </w:t>
      </w:r>
      <w:r w:rsidR="00280864" w:rsidRPr="00DC2206">
        <w:rPr>
          <w:rFonts w:asciiTheme="minorHAnsi" w:hAnsiTheme="minorHAnsi"/>
          <w:lang w:val="bg-BG"/>
        </w:rPr>
        <w:t xml:space="preserve">и издаването на </w:t>
      </w:r>
      <w:r w:rsidR="00B372ED" w:rsidRPr="00DC2206">
        <w:rPr>
          <w:rFonts w:asciiTheme="minorHAnsi" w:hAnsiTheme="minorHAnsi"/>
          <w:lang w:val="bg-BG"/>
        </w:rPr>
        <w:lastRenderedPageBreak/>
        <w:t>заключителни наблюдения</w:t>
      </w:r>
      <w:r w:rsidRPr="00DC2206">
        <w:rPr>
          <w:rFonts w:asciiTheme="minorHAnsi" w:hAnsiTheme="minorHAnsi"/>
          <w:lang w:val="bg-BG"/>
        </w:rPr>
        <w:t xml:space="preserve">, </w:t>
      </w:r>
      <w:r w:rsidR="00280864" w:rsidRPr="00DC2206">
        <w:rPr>
          <w:rFonts w:asciiTheme="minorHAnsi" w:hAnsiTheme="minorHAnsi"/>
          <w:lang w:val="bg-BG"/>
        </w:rPr>
        <w:t xml:space="preserve">Първият Факултативен протокол към Пакта дава на </w:t>
      </w:r>
      <w:r w:rsidR="00B372ED" w:rsidRPr="00DC2206">
        <w:rPr>
          <w:rFonts w:asciiTheme="minorHAnsi" w:hAnsiTheme="minorHAnsi"/>
          <w:lang w:val="bg-BG"/>
        </w:rPr>
        <w:t>КПЧ</w:t>
      </w:r>
      <w:r w:rsidRPr="00DC2206">
        <w:rPr>
          <w:rFonts w:asciiTheme="minorHAnsi" w:hAnsiTheme="minorHAnsi"/>
          <w:lang w:val="bg-BG"/>
        </w:rPr>
        <w:t xml:space="preserve"> </w:t>
      </w:r>
      <w:r w:rsidR="00280864" w:rsidRPr="00DC2206">
        <w:rPr>
          <w:rFonts w:asciiTheme="minorHAnsi" w:hAnsiTheme="minorHAnsi"/>
          <w:lang w:val="bg-BG"/>
        </w:rPr>
        <w:t xml:space="preserve">компетентността да разглежда </w:t>
      </w:r>
      <w:r w:rsidR="00AA3C4A" w:rsidRPr="00DC2206">
        <w:rPr>
          <w:rFonts w:asciiTheme="minorHAnsi" w:hAnsiTheme="minorHAnsi"/>
          <w:lang w:val="bg-BG"/>
        </w:rPr>
        <w:t>индивидуални жалби</w:t>
      </w:r>
      <w:r w:rsidR="00280864" w:rsidRPr="00DC2206">
        <w:rPr>
          <w:rFonts w:asciiTheme="minorHAnsi" w:hAnsiTheme="minorHAnsi"/>
          <w:lang w:val="bg-BG"/>
        </w:rPr>
        <w:t xml:space="preserve"> по отношение на твърдени нарушения на Пакта от държавите страни по Протокола</w:t>
      </w:r>
      <w:r w:rsidRPr="00DC2206">
        <w:rPr>
          <w:rFonts w:asciiTheme="minorHAnsi" w:hAnsiTheme="minorHAnsi"/>
          <w:lang w:val="bg-BG"/>
        </w:rPr>
        <w:t xml:space="preserve">, </w:t>
      </w:r>
      <w:r w:rsidR="00280864" w:rsidRPr="00DC2206">
        <w:rPr>
          <w:rFonts w:asciiTheme="minorHAnsi" w:hAnsiTheme="minorHAnsi"/>
          <w:lang w:val="bg-BG"/>
        </w:rPr>
        <w:t xml:space="preserve">подобно на дейността, извършвана от </w:t>
      </w:r>
      <w:r w:rsidR="001C1676" w:rsidRPr="00DC2206">
        <w:rPr>
          <w:rFonts w:asciiTheme="minorHAnsi" w:hAnsiTheme="minorHAnsi"/>
          <w:lang w:val="bg-BG"/>
        </w:rPr>
        <w:t>ЕСПЧ</w:t>
      </w:r>
      <w:r w:rsidRPr="00DC2206">
        <w:rPr>
          <w:rFonts w:asciiTheme="minorHAnsi" w:hAnsiTheme="minorHAnsi"/>
          <w:lang w:val="bg-BG"/>
        </w:rPr>
        <w:t xml:space="preserve"> </w:t>
      </w:r>
      <w:r w:rsidR="00280864" w:rsidRPr="00DC2206">
        <w:rPr>
          <w:rFonts w:asciiTheme="minorHAnsi" w:hAnsiTheme="minorHAnsi"/>
          <w:lang w:val="bg-BG"/>
        </w:rPr>
        <w:t xml:space="preserve">по </w:t>
      </w:r>
      <w:r w:rsidR="001C1676" w:rsidRPr="00DC2206">
        <w:rPr>
          <w:rFonts w:asciiTheme="minorHAnsi" w:hAnsiTheme="minorHAnsi"/>
          <w:lang w:val="bg-BG"/>
        </w:rPr>
        <w:t>ЕКПЧ</w:t>
      </w:r>
      <w:r w:rsidRPr="00DC2206">
        <w:rPr>
          <w:rFonts w:asciiTheme="minorHAnsi" w:hAnsiTheme="minorHAnsi"/>
          <w:lang w:val="bg-BG"/>
        </w:rPr>
        <w:t>.</w:t>
      </w:r>
      <w:r w:rsidR="0077248E" w:rsidRPr="00DC2206">
        <w:rPr>
          <w:rStyle w:val="FootnoteReference"/>
          <w:rFonts w:asciiTheme="minorHAnsi" w:hAnsiTheme="minorHAnsi"/>
          <w:lang w:val="bg-BG"/>
        </w:rPr>
        <w:footnoteReference w:id="95"/>
      </w:r>
    </w:p>
    <w:p w14:paraId="7CB9C42A" w14:textId="77777777" w:rsidR="0077248E" w:rsidRPr="00DC2206" w:rsidRDefault="0077248E" w:rsidP="00732D5B">
      <w:pPr>
        <w:ind w:left="709" w:hanging="709"/>
        <w:jc w:val="both"/>
        <w:rPr>
          <w:rFonts w:asciiTheme="minorHAnsi" w:hAnsiTheme="minorHAnsi"/>
          <w:lang w:val="bg-BG"/>
        </w:rPr>
      </w:pPr>
    </w:p>
    <w:p w14:paraId="7DA78A19"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73.</w:t>
      </w:r>
      <w:r w:rsidR="0077248E" w:rsidRPr="00DC2206">
        <w:rPr>
          <w:rFonts w:asciiTheme="minorHAnsi" w:hAnsiTheme="minorHAnsi"/>
          <w:lang w:val="bg-BG"/>
        </w:rPr>
        <w:tab/>
      </w:r>
      <w:r w:rsidR="00280864" w:rsidRPr="00DC2206">
        <w:rPr>
          <w:rFonts w:asciiTheme="minorHAnsi" w:hAnsiTheme="minorHAnsi"/>
          <w:lang w:val="bg-BG"/>
        </w:rPr>
        <w:t xml:space="preserve">Съгласно утвърдената практика на </w:t>
      </w:r>
      <w:r w:rsidR="00B372ED" w:rsidRPr="00DC2206">
        <w:rPr>
          <w:rFonts w:asciiTheme="minorHAnsi" w:hAnsiTheme="minorHAnsi"/>
          <w:lang w:val="bg-BG"/>
        </w:rPr>
        <w:t>КПЧ</w:t>
      </w:r>
      <w:r w:rsidRPr="00DC2206">
        <w:rPr>
          <w:rFonts w:asciiTheme="minorHAnsi" w:hAnsiTheme="minorHAnsi"/>
          <w:lang w:val="bg-BG"/>
        </w:rPr>
        <w:t xml:space="preserve">, </w:t>
      </w:r>
      <w:r w:rsidR="00280864" w:rsidRPr="00DC2206">
        <w:rPr>
          <w:rFonts w:asciiTheme="minorHAnsi" w:hAnsiTheme="minorHAnsi"/>
          <w:lang w:val="bg-BG"/>
        </w:rPr>
        <w:t>съгласно член </w:t>
      </w:r>
      <w:r w:rsidRPr="00DC2206">
        <w:rPr>
          <w:rFonts w:asciiTheme="minorHAnsi" w:hAnsiTheme="minorHAnsi"/>
          <w:lang w:val="bg-BG"/>
        </w:rPr>
        <w:t>39</w:t>
      </w:r>
      <w:r w:rsidR="00280864" w:rsidRPr="00DC2206">
        <w:rPr>
          <w:rFonts w:asciiTheme="minorHAnsi" w:hAnsiTheme="minorHAnsi"/>
          <w:lang w:val="bg-BG"/>
        </w:rPr>
        <w:t>, параграф </w:t>
      </w:r>
      <w:r w:rsidRPr="00DC2206">
        <w:rPr>
          <w:rFonts w:asciiTheme="minorHAnsi" w:hAnsiTheme="minorHAnsi"/>
          <w:lang w:val="bg-BG"/>
        </w:rPr>
        <w:t>2</w:t>
      </w:r>
      <w:r w:rsidR="00280864" w:rsidRPr="00DC2206">
        <w:rPr>
          <w:rFonts w:asciiTheme="minorHAnsi" w:hAnsiTheme="minorHAnsi"/>
          <w:lang w:val="bg-BG"/>
        </w:rPr>
        <w:t xml:space="preserve"> от Пакта</w:t>
      </w:r>
      <w:r w:rsidRPr="00DC2206">
        <w:rPr>
          <w:rFonts w:asciiTheme="minorHAnsi" w:hAnsiTheme="minorHAnsi"/>
          <w:lang w:val="bg-BG"/>
        </w:rPr>
        <w:t xml:space="preserve">, </w:t>
      </w:r>
      <w:r w:rsidR="00280864" w:rsidRPr="00DC2206">
        <w:rPr>
          <w:rFonts w:asciiTheme="minorHAnsi" w:hAnsiTheme="minorHAnsi"/>
          <w:lang w:val="bg-BG"/>
        </w:rPr>
        <w:t>той има право да установява свои собствени процедурни правила</w:t>
      </w:r>
      <w:r w:rsidRPr="00DC2206">
        <w:rPr>
          <w:rFonts w:asciiTheme="minorHAnsi" w:hAnsiTheme="minorHAnsi"/>
          <w:lang w:val="bg-BG"/>
        </w:rPr>
        <w:t xml:space="preserve">, </w:t>
      </w:r>
      <w:r w:rsidR="00280864" w:rsidRPr="00DC2206">
        <w:rPr>
          <w:rFonts w:asciiTheme="minorHAnsi" w:hAnsiTheme="minorHAnsi"/>
          <w:lang w:val="bg-BG"/>
        </w:rPr>
        <w:t>които държавите страни са се договорили да признават</w:t>
      </w:r>
      <w:r w:rsidRPr="00DC2206">
        <w:rPr>
          <w:rFonts w:asciiTheme="minorHAnsi" w:hAnsiTheme="minorHAnsi"/>
          <w:lang w:val="bg-BG"/>
        </w:rPr>
        <w:t xml:space="preserve">. </w:t>
      </w:r>
      <w:r w:rsidR="00280864" w:rsidRPr="00DC2206">
        <w:rPr>
          <w:rFonts w:asciiTheme="minorHAnsi" w:hAnsiTheme="minorHAnsi"/>
          <w:lang w:val="bg-BG"/>
        </w:rPr>
        <w:t>Присъединявайки се към Факултативния протокол</w:t>
      </w:r>
      <w:r w:rsidRPr="00DC2206">
        <w:rPr>
          <w:rFonts w:asciiTheme="minorHAnsi" w:hAnsiTheme="minorHAnsi"/>
          <w:lang w:val="bg-BG"/>
        </w:rPr>
        <w:t xml:space="preserve">, </w:t>
      </w:r>
      <w:r w:rsidR="00280864" w:rsidRPr="00DC2206">
        <w:rPr>
          <w:rFonts w:asciiTheme="minorHAnsi" w:hAnsiTheme="minorHAnsi"/>
          <w:lang w:val="bg-BG"/>
        </w:rPr>
        <w:t xml:space="preserve">държавата страна по Пакта признава компетентността на </w:t>
      </w:r>
      <w:r w:rsidR="00B372ED" w:rsidRPr="00DC2206">
        <w:rPr>
          <w:rFonts w:asciiTheme="minorHAnsi" w:hAnsiTheme="minorHAnsi"/>
          <w:lang w:val="bg-BG"/>
        </w:rPr>
        <w:t>КПЧ</w:t>
      </w:r>
      <w:r w:rsidRPr="00DC2206">
        <w:rPr>
          <w:rFonts w:asciiTheme="minorHAnsi" w:hAnsiTheme="minorHAnsi"/>
          <w:lang w:val="bg-BG"/>
        </w:rPr>
        <w:t xml:space="preserve"> </w:t>
      </w:r>
      <w:r w:rsidR="00280864" w:rsidRPr="00DC2206">
        <w:rPr>
          <w:rFonts w:asciiTheme="minorHAnsi" w:hAnsiTheme="minorHAnsi"/>
          <w:lang w:val="bg-BG"/>
        </w:rPr>
        <w:t>да получ</w:t>
      </w:r>
      <w:r w:rsidR="00D550A0">
        <w:rPr>
          <w:rFonts w:asciiTheme="minorHAnsi" w:hAnsiTheme="minorHAnsi"/>
          <w:lang w:val="bg-BG"/>
        </w:rPr>
        <w:t>ава</w:t>
      </w:r>
      <w:r w:rsidR="00280864" w:rsidRPr="00DC2206">
        <w:rPr>
          <w:rFonts w:asciiTheme="minorHAnsi" w:hAnsiTheme="minorHAnsi"/>
          <w:lang w:val="bg-BG"/>
        </w:rPr>
        <w:t xml:space="preserve"> и разгле</w:t>
      </w:r>
      <w:r w:rsidR="00D550A0">
        <w:rPr>
          <w:rFonts w:asciiTheme="minorHAnsi" w:hAnsiTheme="minorHAnsi"/>
          <w:lang w:val="bg-BG"/>
        </w:rPr>
        <w:t>ж</w:t>
      </w:r>
      <w:r w:rsidR="00280864" w:rsidRPr="00DC2206">
        <w:rPr>
          <w:rFonts w:asciiTheme="minorHAnsi" w:hAnsiTheme="minorHAnsi"/>
          <w:lang w:val="bg-BG"/>
        </w:rPr>
        <w:t xml:space="preserve">да съобщения от отделни лица, попадащи в нейната юрисдикция, които претендират, че са били жертви на нарушение на някое от правата, предвидени в Пакта </w:t>
      </w:r>
      <w:r w:rsidRPr="00DC2206">
        <w:rPr>
          <w:rFonts w:asciiTheme="minorHAnsi" w:hAnsiTheme="minorHAnsi"/>
          <w:lang w:val="bg-BG"/>
        </w:rPr>
        <w:t>(</w:t>
      </w:r>
      <w:r w:rsidR="00280864" w:rsidRPr="00DC2206">
        <w:rPr>
          <w:rFonts w:asciiTheme="minorHAnsi" w:hAnsiTheme="minorHAnsi"/>
          <w:lang w:val="bg-BG"/>
        </w:rPr>
        <w:t>Факултативния протокол</w:t>
      </w:r>
      <w:r w:rsidRPr="00DC2206">
        <w:rPr>
          <w:rFonts w:asciiTheme="minorHAnsi" w:hAnsiTheme="minorHAnsi"/>
          <w:lang w:val="bg-BG"/>
        </w:rPr>
        <w:t xml:space="preserve">, </w:t>
      </w:r>
      <w:r w:rsidR="00280864" w:rsidRPr="00DC2206">
        <w:rPr>
          <w:rFonts w:asciiTheme="minorHAnsi" w:hAnsiTheme="minorHAnsi"/>
          <w:lang w:val="bg-BG"/>
        </w:rPr>
        <w:t xml:space="preserve">Преамбюла и </w:t>
      </w:r>
      <w:r w:rsidR="00971AA6" w:rsidRPr="00DC2206">
        <w:rPr>
          <w:rFonts w:asciiTheme="minorHAnsi" w:hAnsiTheme="minorHAnsi"/>
          <w:lang w:val="bg-BG"/>
        </w:rPr>
        <w:t>член </w:t>
      </w:r>
      <w:r w:rsidRPr="00DC2206">
        <w:rPr>
          <w:rFonts w:asciiTheme="minorHAnsi" w:hAnsiTheme="minorHAnsi"/>
          <w:lang w:val="bg-BG"/>
        </w:rPr>
        <w:t xml:space="preserve">1). </w:t>
      </w:r>
      <w:r w:rsidR="00280864" w:rsidRPr="00DC2206">
        <w:rPr>
          <w:rFonts w:asciiTheme="minorHAnsi" w:hAnsiTheme="minorHAnsi"/>
          <w:lang w:val="bg-BG"/>
        </w:rPr>
        <w:t>Имплицитно залож</w:t>
      </w:r>
      <w:r w:rsidR="00D550A0">
        <w:rPr>
          <w:rFonts w:asciiTheme="minorHAnsi" w:hAnsiTheme="minorHAnsi"/>
          <w:lang w:val="bg-BG"/>
        </w:rPr>
        <w:t>ено в присъединяването на дадена</w:t>
      </w:r>
      <w:r w:rsidR="00280864" w:rsidRPr="00DC2206">
        <w:rPr>
          <w:rFonts w:asciiTheme="minorHAnsi" w:hAnsiTheme="minorHAnsi"/>
          <w:lang w:val="bg-BG"/>
        </w:rPr>
        <w:t xml:space="preserve"> държава към Факултативния протокол е задължението да си сътрудничи с Комитета добросъвестно, така че да му позволи и да му даде възможност да разглежда такива съобщения и</w:t>
      </w:r>
      <w:r w:rsidRPr="00DC2206">
        <w:rPr>
          <w:rFonts w:asciiTheme="minorHAnsi" w:hAnsiTheme="minorHAnsi"/>
          <w:lang w:val="bg-BG"/>
        </w:rPr>
        <w:t xml:space="preserve">, </w:t>
      </w:r>
      <w:r w:rsidR="00280864" w:rsidRPr="00DC2206">
        <w:rPr>
          <w:rFonts w:asciiTheme="minorHAnsi" w:hAnsiTheme="minorHAnsi"/>
          <w:lang w:val="bg-BG"/>
        </w:rPr>
        <w:t>след прегледа на същите</w:t>
      </w:r>
      <w:r w:rsidRPr="00DC2206">
        <w:rPr>
          <w:rFonts w:asciiTheme="minorHAnsi" w:hAnsiTheme="minorHAnsi"/>
          <w:lang w:val="bg-BG"/>
        </w:rPr>
        <w:t xml:space="preserve">, </w:t>
      </w:r>
      <w:r w:rsidR="00280864" w:rsidRPr="00DC2206">
        <w:rPr>
          <w:rFonts w:asciiTheme="minorHAnsi" w:hAnsiTheme="minorHAnsi"/>
          <w:lang w:val="bg-BG"/>
        </w:rPr>
        <w:t xml:space="preserve">да препрати своите </w:t>
      </w:r>
      <w:r w:rsidR="0090618E" w:rsidRPr="00DC2206">
        <w:rPr>
          <w:rFonts w:asciiTheme="minorHAnsi" w:hAnsiTheme="minorHAnsi"/>
          <w:lang w:val="bg-BG"/>
        </w:rPr>
        <w:t xml:space="preserve">Становища </w:t>
      </w:r>
      <w:r w:rsidR="00280864" w:rsidRPr="00DC2206">
        <w:rPr>
          <w:rFonts w:asciiTheme="minorHAnsi" w:hAnsiTheme="minorHAnsi"/>
          <w:lang w:val="bg-BG"/>
        </w:rPr>
        <w:t xml:space="preserve">на държавата страна и на засегнатото лице </w:t>
      </w:r>
      <w:r w:rsidRPr="00DC2206">
        <w:rPr>
          <w:rFonts w:asciiTheme="minorHAnsi" w:hAnsiTheme="minorHAnsi"/>
          <w:lang w:val="bg-BG"/>
        </w:rPr>
        <w:t>(</w:t>
      </w:r>
      <w:r w:rsidR="00280864" w:rsidRPr="00DC2206">
        <w:rPr>
          <w:rFonts w:asciiTheme="minorHAnsi" w:hAnsiTheme="minorHAnsi"/>
          <w:lang w:val="bg-BG"/>
        </w:rPr>
        <w:t>член </w:t>
      </w:r>
      <w:r w:rsidRPr="00DC2206">
        <w:rPr>
          <w:rFonts w:asciiTheme="minorHAnsi" w:hAnsiTheme="minorHAnsi"/>
          <w:lang w:val="bg-BG"/>
        </w:rPr>
        <w:t>5</w:t>
      </w:r>
      <w:r w:rsidR="00280864" w:rsidRPr="00DC2206">
        <w:rPr>
          <w:rFonts w:asciiTheme="minorHAnsi" w:hAnsiTheme="minorHAnsi"/>
          <w:lang w:val="bg-BG"/>
        </w:rPr>
        <w:t>, параграф </w:t>
      </w:r>
      <w:r w:rsidRPr="00DC2206">
        <w:rPr>
          <w:rFonts w:asciiTheme="minorHAnsi" w:hAnsiTheme="minorHAnsi"/>
          <w:lang w:val="bg-BG"/>
        </w:rPr>
        <w:t>1</w:t>
      </w:r>
      <w:r w:rsidR="00280864" w:rsidRPr="00DC2206">
        <w:rPr>
          <w:rFonts w:asciiTheme="minorHAnsi" w:hAnsiTheme="minorHAnsi"/>
          <w:lang w:val="bg-BG"/>
        </w:rPr>
        <w:t xml:space="preserve"> и параграф </w:t>
      </w:r>
      <w:r w:rsidRPr="00DC2206">
        <w:rPr>
          <w:rFonts w:asciiTheme="minorHAnsi" w:hAnsiTheme="minorHAnsi"/>
          <w:lang w:val="bg-BG"/>
        </w:rPr>
        <w:t xml:space="preserve">4). </w:t>
      </w:r>
      <w:r w:rsidR="00280864" w:rsidRPr="00DC2206">
        <w:rPr>
          <w:rFonts w:asciiTheme="minorHAnsi" w:hAnsiTheme="minorHAnsi"/>
          <w:lang w:val="bg-BG"/>
        </w:rPr>
        <w:t xml:space="preserve">Несъвместимо със задълженията й по </w:t>
      </w:r>
      <w:r w:rsidR="00971AA6" w:rsidRPr="00DC2206">
        <w:rPr>
          <w:rFonts w:asciiTheme="minorHAnsi" w:hAnsiTheme="minorHAnsi"/>
          <w:lang w:val="bg-BG"/>
        </w:rPr>
        <w:t>член </w:t>
      </w:r>
      <w:r w:rsidRPr="00DC2206">
        <w:rPr>
          <w:rFonts w:asciiTheme="minorHAnsi" w:hAnsiTheme="minorHAnsi"/>
          <w:lang w:val="bg-BG"/>
        </w:rPr>
        <w:t xml:space="preserve">1 </w:t>
      </w:r>
      <w:r w:rsidR="00280864" w:rsidRPr="00DC2206">
        <w:rPr>
          <w:rFonts w:asciiTheme="minorHAnsi" w:hAnsiTheme="minorHAnsi"/>
          <w:lang w:val="bg-BG"/>
        </w:rPr>
        <w:t xml:space="preserve">от Факултативния протокол е държава членка да предприеме каквото и да е действие, което би възпрепятствало или осуетило разглеждането и прегледа от Комитета на съобщения и изразяването на неговите </w:t>
      </w:r>
      <w:r w:rsidR="0090618E" w:rsidRPr="00DC2206">
        <w:rPr>
          <w:rFonts w:asciiTheme="minorHAnsi" w:hAnsiTheme="minorHAnsi"/>
          <w:lang w:val="bg-BG"/>
        </w:rPr>
        <w:t>Становища</w:t>
      </w:r>
      <w:r w:rsidR="0077248E" w:rsidRPr="00DC2206">
        <w:rPr>
          <w:rStyle w:val="FootnoteReference"/>
          <w:rFonts w:asciiTheme="minorHAnsi" w:hAnsiTheme="minorHAnsi"/>
          <w:lang w:val="bg-BG"/>
        </w:rPr>
        <w:footnoteReference w:id="96"/>
      </w:r>
      <w:r w:rsidRPr="00DC2206">
        <w:rPr>
          <w:rFonts w:asciiTheme="minorHAnsi" w:hAnsiTheme="minorHAnsi"/>
          <w:lang w:val="bg-BG"/>
        </w:rPr>
        <w:t>.</w:t>
      </w:r>
    </w:p>
    <w:p w14:paraId="1F69D141" w14:textId="77777777" w:rsidR="0077248E" w:rsidRPr="00DC2206" w:rsidRDefault="0077248E" w:rsidP="00732D5B">
      <w:pPr>
        <w:ind w:left="709" w:hanging="709"/>
        <w:jc w:val="both"/>
        <w:rPr>
          <w:rFonts w:asciiTheme="minorHAnsi" w:hAnsiTheme="minorHAnsi"/>
          <w:lang w:val="bg-BG"/>
        </w:rPr>
      </w:pPr>
    </w:p>
    <w:p w14:paraId="398D5AF1"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74.</w:t>
      </w:r>
      <w:r w:rsidR="0077248E" w:rsidRPr="00DC2206">
        <w:rPr>
          <w:rFonts w:asciiTheme="minorHAnsi" w:hAnsiTheme="minorHAnsi"/>
          <w:lang w:val="bg-BG"/>
        </w:rPr>
        <w:tab/>
      </w:r>
      <w:r w:rsidR="00F05D55" w:rsidRPr="00DC2206">
        <w:rPr>
          <w:rFonts w:asciiTheme="minorHAnsi" w:hAnsiTheme="minorHAnsi"/>
          <w:lang w:val="bg-BG"/>
        </w:rPr>
        <w:t>КПЧ</w:t>
      </w:r>
      <w:r w:rsidRPr="00DC2206">
        <w:rPr>
          <w:rFonts w:asciiTheme="minorHAnsi" w:hAnsiTheme="minorHAnsi"/>
          <w:lang w:val="bg-BG"/>
        </w:rPr>
        <w:t xml:space="preserve"> </w:t>
      </w:r>
      <w:r w:rsidR="00F05D55" w:rsidRPr="00DC2206">
        <w:rPr>
          <w:rFonts w:asciiTheme="minorHAnsi" w:hAnsiTheme="minorHAnsi"/>
          <w:lang w:val="bg-BG"/>
        </w:rPr>
        <w:t xml:space="preserve">има многобройни решения и </w:t>
      </w:r>
      <w:r w:rsidR="0090618E" w:rsidRPr="00DC2206">
        <w:rPr>
          <w:rFonts w:asciiTheme="minorHAnsi" w:hAnsiTheme="minorHAnsi"/>
          <w:lang w:val="bg-BG"/>
        </w:rPr>
        <w:t>Становища относно правата, предвидени в Пакта</w:t>
      </w:r>
      <w:r w:rsidRPr="00DC2206">
        <w:rPr>
          <w:rFonts w:asciiTheme="minorHAnsi" w:hAnsiTheme="minorHAnsi"/>
          <w:lang w:val="bg-BG"/>
        </w:rPr>
        <w:t xml:space="preserve">, </w:t>
      </w:r>
      <w:r w:rsidR="0090618E" w:rsidRPr="00DC2206">
        <w:rPr>
          <w:rFonts w:asciiTheme="minorHAnsi" w:hAnsiTheme="minorHAnsi"/>
          <w:lang w:val="bg-BG"/>
        </w:rPr>
        <w:t xml:space="preserve">по-специално по отношение на съдебната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90618E" w:rsidRPr="00DC2206">
        <w:rPr>
          <w:rFonts w:asciiTheme="minorHAnsi" w:hAnsiTheme="minorHAnsi"/>
          <w:lang w:val="bg-BG"/>
        </w:rPr>
        <w:t>които в мно</w:t>
      </w:r>
      <w:r w:rsidR="0006181B">
        <w:rPr>
          <w:rFonts w:asciiTheme="minorHAnsi" w:hAnsiTheme="minorHAnsi"/>
          <w:lang w:val="bg-BG"/>
        </w:rPr>
        <w:t>г</w:t>
      </w:r>
      <w:r w:rsidR="0090618E" w:rsidRPr="00DC2206">
        <w:rPr>
          <w:rFonts w:asciiTheme="minorHAnsi" w:hAnsiTheme="minorHAnsi"/>
          <w:lang w:val="bg-BG"/>
        </w:rPr>
        <w:t xml:space="preserve">о аспекти са подобни на </w:t>
      </w:r>
      <w:r w:rsidR="001C1676" w:rsidRPr="00DC2206">
        <w:rPr>
          <w:rFonts w:asciiTheme="minorHAnsi" w:hAnsiTheme="minorHAnsi"/>
          <w:lang w:val="bg-BG"/>
        </w:rPr>
        <w:t>съдебната практика</w:t>
      </w:r>
      <w:r w:rsidRPr="00DC2206">
        <w:rPr>
          <w:rFonts w:asciiTheme="minorHAnsi" w:hAnsiTheme="minorHAnsi"/>
          <w:lang w:val="bg-BG"/>
        </w:rPr>
        <w:t xml:space="preserve"> </w:t>
      </w:r>
      <w:r w:rsidR="0090618E" w:rsidRPr="00DC2206">
        <w:rPr>
          <w:rFonts w:asciiTheme="minorHAnsi" w:hAnsiTheme="minorHAnsi"/>
          <w:lang w:val="bg-BG"/>
        </w:rPr>
        <w:t>на ЕСПЧ</w:t>
      </w:r>
      <w:r w:rsidR="0077248E" w:rsidRPr="00DC2206">
        <w:rPr>
          <w:rStyle w:val="FootnoteReference"/>
          <w:rFonts w:asciiTheme="minorHAnsi" w:hAnsiTheme="minorHAnsi"/>
          <w:lang w:val="bg-BG"/>
        </w:rPr>
        <w:footnoteReference w:id="97"/>
      </w:r>
      <w:r w:rsidRPr="00DC2206">
        <w:rPr>
          <w:rFonts w:asciiTheme="minorHAnsi" w:hAnsiTheme="minorHAnsi"/>
          <w:lang w:val="bg-BG"/>
        </w:rPr>
        <w:t>.</w:t>
      </w:r>
    </w:p>
    <w:p w14:paraId="7EE6AF75" w14:textId="77777777" w:rsidR="0077248E" w:rsidRPr="00DC2206" w:rsidRDefault="0077248E" w:rsidP="00732D5B">
      <w:pPr>
        <w:tabs>
          <w:tab w:val="left" w:pos="505"/>
        </w:tabs>
        <w:ind w:left="709" w:hanging="709"/>
        <w:jc w:val="both"/>
        <w:rPr>
          <w:rFonts w:asciiTheme="minorHAnsi" w:hAnsiTheme="minorHAnsi"/>
          <w:vertAlign w:val="superscript"/>
          <w:lang w:val="bg-BG"/>
        </w:rPr>
      </w:pPr>
    </w:p>
    <w:p w14:paraId="72E60886" w14:textId="77777777" w:rsidR="00C61601" w:rsidRPr="00DC2206" w:rsidRDefault="00521963" w:rsidP="0077248E">
      <w:pPr>
        <w:ind w:left="709" w:hanging="709"/>
        <w:jc w:val="both"/>
        <w:rPr>
          <w:rFonts w:asciiTheme="minorHAnsi" w:hAnsiTheme="minorHAnsi"/>
          <w:lang w:val="bg-BG"/>
        </w:rPr>
      </w:pPr>
      <w:r w:rsidRPr="00DC2206">
        <w:rPr>
          <w:rFonts w:asciiTheme="minorHAnsi" w:hAnsiTheme="minorHAnsi"/>
          <w:lang w:val="bg-BG" w:eastAsia="bg-BG" w:bidi="bg-BG"/>
        </w:rPr>
        <w:t>75.</w:t>
      </w:r>
      <w:r w:rsidRPr="00DC2206">
        <w:rPr>
          <w:rFonts w:asciiTheme="minorHAnsi" w:hAnsiTheme="minorHAnsi"/>
          <w:lang w:val="bg-BG" w:eastAsia="bg-BG" w:bidi="bg-BG"/>
        </w:rPr>
        <w:tab/>
      </w:r>
      <w:r w:rsidR="00F05D55" w:rsidRPr="00DC2206">
        <w:rPr>
          <w:rFonts w:asciiTheme="minorHAnsi" w:hAnsiTheme="minorHAnsi"/>
          <w:lang w:val="bg-BG"/>
        </w:rPr>
        <w:t>КПЧ</w:t>
      </w:r>
      <w:r w:rsidRPr="00DC2206">
        <w:rPr>
          <w:rFonts w:asciiTheme="minorHAnsi" w:hAnsiTheme="minorHAnsi"/>
          <w:lang w:val="bg-BG"/>
        </w:rPr>
        <w:t xml:space="preserve"> </w:t>
      </w:r>
      <w:r w:rsidR="0090618E" w:rsidRPr="00DC2206">
        <w:rPr>
          <w:rFonts w:asciiTheme="minorHAnsi" w:hAnsiTheme="minorHAnsi"/>
          <w:lang w:val="bg-BG"/>
        </w:rPr>
        <w:t>подчертава</w:t>
      </w:r>
      <w:r w:rsidR="0077248E" w:rsidRPr="00DC2206">
        <w:rPr>
          <w:rStyle w:val="FootnoteReference"/>
          <w:rFonts w:asciiTheme="minorHAnsi" w:hAnsiTheme="minorHAnsi"/>
          <w:lang w:val="bg-BG"/>
        </w:rPr>
        <w:footnoteReference w:id="98"/>
      </w:r>
      <w:r w:rsidR="0090618E" w:rsidRPr="00DC2206">
        <w:rPr>
          <w:rFonts w:asciiTheme="minorHAnsi" w:hAnsiTheme="minorHAnsi"/>
          <w:lang w:val="bg-BG"/>
        </w:rPr>
        <w:t>, че съгласно Пакта съдът е орган, създаден от закона</w:t>
      </w:r>
      <w:r w:rsidRPr="00DC2206">
        <w:rPr>
          <w:rFonts w:asciiTheme="minorHAnsi" w:hAnsiTheme="minorHAnsi"/>
          <w:lang w:val="bg-BG"/>
        </w:rPr>
        <w:t xml:space="preserve">, </w:t>
      </w:r>
      <w:r w:rsidR="0090618E" w:rsidRPr="00DC2206">
        <w:rPr>
          <w:rFonts w:asciiTheme="minorHAnsi" w:hAnsiTheme="minorHAnsi"/>
          <w:lang w:val="bg-BG"/>
        </w:rPr>
        <w:t xml:space="preserve">който е </w:t>
      </w:r>
      <w:r w:rsidR="0006181B" w:rsidRPr="00DC2206">
        <w:rPr>
          <w:rFonts w:asciiTheme="minorHAnsi" w:hAnsiTheme="minorHAnsi"/>
          <w:lang w:val="bg-BG"/>
        </w:rPr>
        <w:t>независим</w:t>
      </w:r>
      <w:r w:rsidR="0090618E" w:rsidRPr="00DC2206">
        <w:rPr>
          <w:rFonts w:asciiTheme="minorHAnsi" w:hAnsiTheme="minorHAnsi"/>
          <w:lang w:val="bg-BG"/>
        </w:rPr>
        <w:t xml:space="preserve"> от изпълнителната власт и законодателната власт или се ползва в специфични случаи със съдебна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90618E" w:rsidRPr="00DC2206">
        <w:rPr>
          <w:rFonts w:asciiTheme="minorHAnsi" w:hAnsiTheme="minorHAnsi"/>
          <w:lang w:val="bg-BG"/>
        </w:rPr>
        <w:t>при решаването на правни въпроси в производства, които са съдебни по характера си</w:t>
      </w:r>
      <w:r w:rsidRPr="00DC2206">
        <w:rPr>
          <w:rFonts w:asciiTheme="minorHAnsi" w:hAnsiTheme="minorHAnsi"/>
          <w:lang w:val="bg-BG"/>
        </w:rPr>
        <w:t xml:space="preserve">. </w:t>
      </w:r>
      <w:r w:rsidR="0090618E" w:rsidRPr="00DC2206">
        <w:rPr>
          <w:rFonts w:asciiTheme="minorHAnsi" w:hAnsiTheme="minorHAnsi"/>
          <w:lang w:val="bg-BG"/>
        </w:rPr>
        <w:t>Правото на всяко лице, на което са повдигнати обвинения, на достъп до такъв орган, не може да бъде ограничено и всяко осъждане от орган, който не представлява съд, е несъвместимо с тази разпоредба</w:t>
      </w:r>
      <w:r w:rsidR="0077248E" w:rsidRPr="00DC2206">
        <w:rPr>
          <w:rStyle w:val="FootnoteReference"/>
          <w:rFonts w:asciiTheme="minorHAnsi" w:hAnsiTheme="minorHAnsi"/>
          <w:lang w:val="bg-BG"/>
        </w:rPr>
        <w:footnoteReference w:id="99"/>
      </w:r>
      <w:r w:rsidRPr="00DC2206">
        <w:rPr>
          <w:rFonts w:asciiTheme="minorHAnsi" w:hAnsiTheme="minorHAnsi"/>
          <w:lang w:val="bg-BG"/>
        </w:rPr>
        <w:t>.</w:t>
      </w:r>
    </w:p>
    <w:p w14:paraId="7DE1E19B" w14:textId="77777777" w:rsidR="0077248E" w:rsidRPr="00DC2206" w:rsidRDefault="0077248E" w:rsidP="0077248E">
      <w:pPr>
        <w:ind w:left="709" w:hanging="709"/>
        <w:jc w:val="both"/>
        <w:rPr>
          <w:rFonts w:asciiTheme="minorHAnsi" w:hAnsiTheme="minorHAnsi"/>
          <w:lang w:val="bg-BG"/>
        </w:rPr>
      </w:pPr>
    </w:p>
    <w:p w14:paraId="5D98EAEC" w14:textId="77777777" w:rsidR="00C61601" w:rsidRPr="00DC2206" w:rsidRDefault="00521963" w:rsidP="0077248E">
      <w:pPr>
        <w:ind w:left="709" w:hanging="709"/>
        <w:jc w:val="both"/>
        <w:rPr>
          <w:rFonts w:asciiTheme="minorHAnsi" w:hAnsiTheme="minorHAnsi"/>
          <w:lang w:val="bg-BG"/>
        </w:rPr>
      </w:pPr>
      <w:r w:rsidRPr="00DC2206">
        <w:rPr>
          <w:rFonts w:asciiTheme="minorHAnsi" w:hAnsiTheme="minorHAnsi"/>
          <w:lang w:val="bg-BG"/>
        </w:rPr>
        <w:t>76.</w:t>
      </w:r>
      <w:r w:rsidRPr="00DC2206">
        <w:rPr>
          <w:rFonts w:asciiTheme="minorHAnsi" w:hAnsiTheme="minorHAnsi"/>
          <w:lang w:val="bg-BG"/>
        </w:rPr>
        <w:tab/>
      </w:r>
      <w:r w:rsidR="00F05D55" w:rsidRPr="00DC2206">
        <w:rPr>
          <w:rFonts w:asciiTheme="minorHAnsi" w:hAnsiTheme="minorHAnsi"/>
          <w:lang w:val="bg-BG"/>
        </w:rPr>
        <w:t>КПЧ</w:t>
      </w:r>
      <w:r w:rsidRPr="00DC2206">
        <w:rPr>
          <w:rFonts w:asciiTheme="minorHAnsi" w:hAnsiTheme="minorHAnsi"/>
          <w:lang w:val="bg-BG"/>
        </w:rPr>
        <w:t xml:space="preserve"> </w:t>
      </w:r>
      <w:r w:rsidR="0090618E" w:rsidRPr="00DC2206">
        <w:rPr>
          <w:rFonts w:asciiTheme="minorHAnsi" w:hAnsiTheme="minorHAnsi"/>
          <w:lang w:val="bg-BG"/>
        </w:rPr>
        <w:t xml:space="preserve">добавя, че </w:t>
      </w:r>
      <w:r w:rsidR="00AD1FEF" w:rsidRPr="00DC2206">
        <w:rPr>
          <w:rFonts w:asciiTheme="minorHAnsi" w:hAnsiTheme="minorHAnsi"/>
          <w:lang w:val="bg-BG"/>
        </w:rPr>
        <w:t>изискване</w:t>
      </w:r>
      <w:r w:rsidR="0090618E" w:rsidRPr="00DC2206">
        <w:rPr>
          <w:rFonts w:asciiTheme="minorHAnsi" w:hAnsiTheme="minorHAnsi"/>
          <w:lang w:val="bg-BG"/>
        </w:rPr>
        <w:t>то за компетентност</w:t>
      </w:r>
      <w:r w:rsidRPr="00DC2206">
        <w:rPr>
          <w:rFonts w:asciiTheme="minorHAnsi" w:hAnsiTheme="minorHAnsi"/>
          <w:lang w:val="bg-BG"/>
        </w:rPr>
        <w:t xml:space="preserve">,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90618E" w:rsidRPr="00DC2206">
        <w:rPr>
          <w:rFonts w:asciiTheme="minorHAnsi" w:hAnsiTheme="minorHAnsi"/>
          <w:lang w:val="bg-BG"/>
        </w:rPr>
        <w:t xml:space="preserve">и </w:t>
      </w:r>
      <w:r w:rsidR="00AD1FEF" w:rsidRPr="00DC2206">
        <w:rPr>
          <w:rFonts w:asciiTheme="minorHAnsi" w:hAnsiTheme="minorHAnsi"/>
          <w:lang w:val="bg-BG"/>
        </w:rPr>
        <w:t>безпристрастност</w:t>
      </w:r>
      <w:r w:rsidRPr="00DC2206">
        <w:rPr>
          <w:rFonts w:asciiTheme="minorHAnsi" w:hAnsiTheme="minorHAnsi"/>
          <w:lang w:val="bg-BG"/>
        </w:rPr>
        <w:t xml:space="preserve"> </w:t>
      </w:r>
      <w:r w:rsidR="0090618E" w:rsidRPr="00DC2206">
        <w:rPr>
          <w:rFonts w:asciiTheme="minorHAnsi" w:hAnsiTheme="minorHAnsi"/>
          <w:lang w:val="bg-BG"/>
        </w:rPr>
        <w:t xml:space="preserve">на съда </w:t>
      </w:r>
      <w:r w:rsidR="0090618E" w:rsidRPr="00DC2206">
        <w:rPr>
          <w:rFonts w:asciiTheme="minorHAnsi" w:hAnsiTheme="minorHAnsi"/>
          <w:lang w:val="bg-BG"/>
        </w:rPr>
        <w:lastRenderedPageBreak/>
        <w:t>съгласно Пакта е абсолютно право, от което не може да има никакво изключение</w:t>
      </w:r>
      <w:r w:rsidRPr="00DC2206">
        <w:rPr>
          <w:rFonts w:asciiTheme="minorHAnsi" w:hAnsiTheme="minorHAnsi"/>
          <w:lang w:val="bg-BG"/>
        </w:rPr>
        <w:t>.</w:t>
      </w:r>
      <w:r w:rsidR="0077248E" w:rsidRPr="00DC2206">
        <w:rPr>
          <w:rStyle w:val="FootnoteReference"/>
          <w:rFonts w:asciiTheme="minorHAnsi" w:hAnsiTheme="minorHAnsi"/>
          <w:lang w:val="bg-BG"/>
        </w:rPr>
        <w:footnoteReference w:id="100"/>
      </w:r>
      <w:r w:rsidRPr="00DC2206">
        <w:rPr>
          <w:rFonts w:asciiTheme="minorHAnsi" w:hAnsiTheme="minorHAnsi"/>
          <w:lang w:val="bg-BG"/>
        </w:rPr>
        <w:t xml:space="preserve"> </w:t>
      </w:r>
      <w:r w:rsidR="0090618E" w:rsidRPr="00DC2206">
        <w:rPr>
          <w:rFonts w:asciiTheme="minorHAnsi" w:hAnsiTheme="minorHAnsi"/>
          <w:lang w:val="bg-BG"/>
        </w:rPr>
        <w:t xml:space="preserve">Изискването за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90618E" w:rsidRPr="00DC2206">
        <w:rPr>
          <w:rFonts w:asciiTheme="minorHAnsi" w:hAnsiTheme="minorHAnsi"/>
          <w:lang w:val="bg-BG"/>
        </w:rPr>
        <w:t xml:space="preserve">се отнася, по-конкретно, за процедурата и квалификациите за </w:t>
      </w:r>
      <w:r w:rsidR="00AD1FEF" w:rsidRPr="00DC2206">
        <w:rPr>
          <w:rFonts w:asciiTheme="minorHAnsi" w:hAnsiTheme="minorHAnsi"/>
          <w:lang w:val="bg-BG"/>
        </w:rPr>
        <w:t>назначаване</w:t>
      </w:r>
      <w:r w:rsidR="0090618E" w:rsidRPr="00DC2206">
        <w:rPr>
          <w:rFonts w:asciiTheme="minorHAnsi" w:hAnsiTheme="minorHAnsi"/>
          <w:lang w:val="bg-BG"/>
        </w:rPr>
        <w:t>то на съдии</w:t>
      </w:r>
      <w:r w:rsidRPr="00DC2206">
        <w:rPr>
          <w:rFonts w:asciiTheme="minorHAnsi" w:hAnsiTheme="minorHAnsi"/>
          <w:lang w:val="bg-BG"/>
        </w:rPr>
        <w:t xml:space="preserve">, </w:t>
      </w:r>
      <w:r w:rsidR="0090618E" w:rsidRPr="00DC2206">
        <w:rPr>
          <w:rFonts w:asciiTheme="minorHAnsi" w:hAnsiTheme="minorHAnsi"/>
          <w:lang w:val="bg-BG"/>
        </w:rPr>
        <w:t>и гаранциите, свързани със сигурността на техния мандат до задължителна пенсионна възраст или до изтичането на мандата им</w:t>
      </w:r>
      <w:r w:rsidRPr="00DC2206">
        <w:rPr>
          <w:rFonts w:asciiTheme="minorHAnsi" w:hAnsiTheme="minorHAnsi"/>
          <w:lang w:val="bg-BG"/>
        </w:rPr>
        <w:t xml:space="preserve">, </w:t>
      </w:r>
      <w:r w:rsidR="0090618E" w:rsidRPr="00DC2206">
        <w:rPr>
          <w:rFonts w:asciiTheme="minorHAnsi" w:hAnsiTheme="minorHAnsi"/>
          <w:lang w:val="bg-BG"/>
        </w:rPr>
        <w:t>когато последният е със срок</w:t>
      </w:r>
      <w:r w:rsidRPr="00DC2206">
        <w:rPr>
          <w:rFonts w:asciiTheme="minorHAnsi" w:hAnsiTheme="minorHAnsi"/>
          <w:lang w:val="bg-BG"/>
        </w:rPr>
        <w:t xml:space="preserve">, </w:t>
      </w:r>
      <w:r w:rsidR="0090618E" w:rsidRPr="00DC2206">
        <w:rPr>
          <w:rFonts w:asciiTheme="minorHAnsi" w:hAnsiTheme="minorHAnsi"/>
          <w:lang w:val="bg-BG"/>
        </w:rPr>
        <w:t>условията, уреждащи повишения</w:t>
      </w:r>
      <w:r w:rsidRPr="00DC2206">
        <w:rPr>
          <w:rFonts w:asciiTheme="minorHAnsi" w:hAnsiTheme="minorHAnsi"/>
          <w:lang w:val="bg-BG"/>
        </w:rPr>
        <w:t xml:space="preserve">, </w:t>
      </w:r>
      <w:r w:rsidR="0090618E" w:rsidRPr="00DC2206">
        <w:rPr>
          <w:rFonts w:asciiTheme="minorHAnsi" w:hAnsiTheme="minorHAnsi"/>
          <w:lang w:val="bg-BG"/>
        </w:rPr>
        <w:t>прехвърляне</w:t>
      </w:r>
      <w:r w:rsidRPr="00DC2206">
        <w:rPr>
          <w:rFonts w:asciiTheme="minorHAnsi" w:hAnsiTheme="minorHAnsi"/>
          <w:lang w:val="bg-BG"/>
        </w:rPr>
        <w:t xml:space="preserve">, </w:t>
      </w:r>
      <w:r w:rsidR="0090618E" w:rsidRPr="00DC2206">
        <w:rPr>
          <w:rFonts w:asciiTheme="minorHAnsi" w:hAnsiTheme="minorHAnsi"/>
          <w:lang w:val="bg-BG"/>
        </w:rPr>
        <w:t>временно отстраняване и прекратяване на функциите им</w:t>
      </w:r>
      <w:r w:rsidRPr="00DC2206">
        <w:rPr>
          <w:rFonts w:asciiTheme="minorHAnsi" w:hAnsiTheme="minorHAnsi"/>
          <w:lang w:val="bg-BG"/>
        </w:rPr>
        <w:t xml:space="preserve">, </w:t>
      </w:r>
      <w:r w:rsidR="0090618E" w:rsidRPr="00DC2206">
        <w:rPr>
          <w:rFonts w:asciiTheme="minorHAnsi" w:hAnsiTheme="minorHAnsi"/>
          <w:lang w:val="bg-BG"/>
        </w:rPr>
        <w:t xml:space="preserve">и действителната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90618E" w:rsidRPr="00DC2206">
        <w:rPr>
          <w:rFonts w:asciiTheme="minorHAnsi" w:hAnsiTheme="minorHAnsi"/>
          <w:lang w:val="bg-BG"/>
        </w:rPr>
        <w:t xml:space="preserve">на </w:t>
      </w:r>
      <w:r w:rsidR="00A0730F" w:rsidRPr="00DC2206">
        <w:rPr>
          <w:rFonts w:asciiTheme="minorHAnsi" w:hAnsiTheme="minorHAnsi"/>
          <w:lang w:val="bg-BG"/>
        </w:rPr>
        <w:t>съдебната власт</w:t>
      </w:r>
      <w:r w:rsidRPr="00DC2206">
        <w:rPr>
          <w:rFonts w:asciiTheme="minorHAnsi" w:hAnsiTheme="minorHAnsi"/>
          <w:lang w:val="bg-BG"/>
        </w:rPr>
        <w:t xml:space="preserve"> </w:t>
      </w:r>
      <w:r w:rsidR="0090618E" w:rsidRPr="00DC2206">
        <w:rPr>
          <w:rFonts w:asciiTheme="minorHAnsi" w:hAnsiTheme="minorHAnsi"/>
          <w:lang w:val="bg-BG"/>
        </w:rPr>
        <w:t xml:space="preserve">от политически </w:t>
      </w:r>
      <w:r w:rsidR="00D550A0">
        <w:rPr>
          <w:rFonts w:asciiTheme="minorHAnsi" w:hAnsiTheme="minorHAnsi"/>
          <w:lang w:val="bg-BG"/>
        </w:rPr>
        <w:t xml:space="preserve">намеси </w:t>
      </w:r>
      <w:r w:rsidR="0090618E" w:rsidRPr="00DC2206">
        <w:rPr>
          <w:rFonts w:asciiTheme="minorHAnsi" w:hAnsiTheme="minorHAnsi"/>
          <w:lang w:val="bg-BG"/>
        </w:rPr>
        <w:t xml:space="preserve">от </w:t>
      </w:r>
      <w:r w:rsidR="00D550A0">
        <w:rPr>
          <w:rFonts w:asciiTheme="minorHAnsi" w:hAnsiTheme="minorHAnsi"/>
          <w:lang w:val="bg-BG"/>
        </w:rPr>
        <w:t xml:space="preserve">страна на </w:t>
      </w:r>
      <w:r w:rsidR="0090618E" w:rsidRPr="00DC2206">
        <w:rPr>
          <w:rFonts w:asciiTheme="minorHAnsi" w:hAnsiTheme="minorHAnsi"/>
          <w:lang w:val="bg-BG"/>
        </w:rPr>
        <w:t xml:space="preserve">изпълнителната власт и </w:t>
      </w:r>
      <w:r w:rsidR="00D550A0">
        <w:rPr>
          <w:rFonts w:asciiTheme="minorHAnsi" w:hAnsiTheme="minorHAnsi"/>
          <w:lang w:val="bg-BG"/>
        </w:rPr>
        <w:t xml:space="preserve">на </w:t>
      </w:r>
      <w:r w:rsidR="0090618E" w:rsidRPr="00DC2206">
        <w:rPr>
          <w:rFonts w:asciiTheme="minorHAnsi" w:hAnsiTheme="minorHAnsi"/>
          <w:lang w:val="bg-BG"/>
        </w:rPr>
        <w:t>законодателната власт</w:t>
      </w:r>
      <w:r w:rsidR="0077248E" w:rsidRPr="00DC2206">
        <w:rPr>
          <w:rStyle w:val="FootnoteReference"/>
          <w:rFonts w:asciiTheme="minorHAnsi" w:hAnsiTheme="minorHAnsi"/>
          <w:lang w:val="bg-BG"/>
        </w:rPr>
        <w:footnoteReference w:id="101"/>
      </w:r>
      <w:r w:rsidRPr="00DC2206">
        <w:rPr>
          <w:rFonts w:asciiTheme="minorHAnsi" w:hAnsiTheme="minorHAnsi"/>
          <w:lang w:val="bg-BG"/>
        </w:rPr>
        <w:t>.</w:t>
      </w:r>
    </w:p>
    <w:p w14:paraId="4E794410" w14:textId="77777777" w:rsidR="0077248E" w:rsidRPr="00DC2206" w:rsidRDefault="0077248E" w:rsidP="00732D5B">
      <w:pPr>
        <w:tabs>
          <w:tab w:val="left" w:pos="505"/>
        </w:tabs>
        <w:ind w:left="709" w:hanging="709"/>
        <w:jc w:val="both"/>
        <w:rPr>
          <w:rFonts w:asciiTheme="minorHAnsi" w:hAnsiTheme="minorHAnsi"/>
          <w:lang w:val="bg-BG"/>
        </w:rPr>
      </w:pPr>
    </w:p>
    <w:p w14:paraId="1D34FBF9" w14:textId="77777777" w:rsidR="00C61601" w:rsidRPr="00DC2206" w:rsidRDefault="00521963" w:rsidP="0077248E">
      <w:pPr>
        <w:ind w:left="709" w:hanging="709"/>
        <w:jc w:val="both"/>
        <w:rPr>
          <w:rFonts w:asciiTheme="minorHAnsi" w:hAnsiTheme="minorHAnsi"/>
          <w:lang w:val="bg-BG"/>
        </w:rPr>
      </w:pPr>
      <w:r w:rsidRPr="00DC2206">
        <w:rPr>
          <w:rFonts w:asciiTheme="minorHAnsi" w:hAnsiTheme="minorHAnsi"/>
          <w:lang w:val="bg-BG"/>
        </w:rPr>
        <w:t>77.</w:t>
      </w:r>
      <w:r w:rsidRPr="00DC2206">
        <w:rPr>
          <w:rFonts w:asciiTheme="minorHAnsi" w:hAnsiTheme="minorHAnsi"/>
          <w:lang w:val="bg-BG"/>
        </w:rPr>
        <w:tab/>
      </w:r>
      <w:r w:rsidR="00146994" w:rsidRPr="00DC2206">
        <w:rPr>
          <w:rFonts w:asciiTheme="minorHAnsi" w:hAnsiTheme="minorHAnsi"/>
          <w:lang w:val="bg-BG"/>
        </w:rPr>
        <w:t xml:space="preserve">Според </w:t>
      </w:r>
      <w:r w:rsidR="00B372ED" w:rsidRPr="00DC2206">
        <w:rPr>
          <w:rFonts w:asciiTheme="minorHAnsi" w:hAnsiTheme="minorHAnsi"/>
          <w:lang w:val="bg-BG"/>
        </w:rPr>
        <w:t>КПЧ</w:t>
      </w:r>
      <w:r w:rsidRPr="00DC2206">
        <w:rPr>
          <w:rFonts w:asciiTheme="minorHAnsi" w:hAnsiTheme="minorHAnsi"/>
          <w:lang w:val="bg-BG"/>
        </w:rPr>
        <w:t xml:space="preserve">, </w:t>
      </w:r>
      <w:r w:rsidR="00146994" w:rsidRPr="00DC2206">
        <w:rPr>
          <w:rFonts w:asciiTheme="minorHAnsi" w:hAnsiTheme="minorHAnsi"/>
          <w:lang w:val="bg-BG"/>
        </w:rPr>
        <w:t>държав</w:t>
      </w:r>
      <w:r w:rsidR="00D550A0">
        <w:rPr>
          <w:rFonts w:asciiTheme="minorHAnsi" w:hAnsiTheme="minorHAnsi"/>
          <w:lang w:val="bg-BG"/>
        </w:rPr>
        <w:t>и</w:t>
      </w:r>
      <w:r w:rsidR="00146994" w:rsidRPr="00DC2206">
        <w:rPr>
          <w:rFonts w:asciiTheme="minorHAnsi" w:hAnsiTheme="minorHAnsi"/>
          <w:lang w:val="bg-BG"/>
        </w:rPr>
        <w:t>т</w:t>
      </w:r>
      <w:r w:rsidR="00D550A0">
        <w:rPr>
          <w:rFonts w:asciiTheme="minorHAnsi" w:hAnsiTheme="minorHAnsi"/>
          <w:lang w:val="bg-BG"/>
        </w:rPr>
        <w:t>е</w:t>
      </w:r>
      <w:r w:rsidR="00146994" w:rsidRPr="00DC2206">
        <w:rPr>
          <w:rFonts w:asciiTheme="minorHAnsi" w:hAnsiTheme="minorHAnsi"/>
          <w:lang w:val="bg-BG"/>
        </w:rPr>
        <w:t xml:space="preserve"> следва да предприемат конкретни мерки, гарантиращи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146994" w:rsidRPr="00DC2206">
        <w:rPr>
          <w:rFonts w:asciiTheme="minorHAnsi" w:hAnsiTheme="minorHAnsi"/>
          <w:lang w:val="bg-BG"/>
        </w:rPr>
        <w:t xml:space="preserve">на </w:t>
      </w:r>
      <w:r w:rsidR="00A0730F" w:rsidRPr="00DC2206">
        <w:rPr>
          <w:rFonts w:asciiTheme="minorHAnsi" w:hAnsiTheme="minorHAnsi"/>
          <w:lang w:val="bg-BG"/>
        </w:rPr>
        <w:t>съдебната власт</w:t>
      </w:r>
      <w:r w:rsidRPr="00DC2206">
        <w:rPr>
          <w:rFonts w:asciiTheme="minorHAnsi" w:hAnsiTheme="minorHAnsi"/>
          <w:lang w:val="bg-BG"/>
        </w:rPr>
        <w:t xml:space="preserve">, </w:t>
      </w:r>
      <w:r w:rsidR="00146994" w:rsidRPr="00DC2206">
        <w:rPr>
          <w:rFonts w:asciiTheme="minorHAnsi" w:hAnsiTheme="minorHAnsi"/>
          <w:lang w:val="bg-BG"/>
        </w:rPr>
        <w:t xml:space="preserve">защитаващи съдиите от каквато и да е форма на политическо влияние при вземането на решение от тяхна страна чрез създаването или приемането на закони, установяващи ясни процедури и обективни критерии за </w:t>
      </w:r>
      <w:r w:rsidR="00AD1FEF" w:rsidRPr="00DC2206">
        <w:rPr>
          <w:rFonts w:asciiTheme="minorHAnsi" w:hAnsiTheme="minorHAnsi"/>
          <w:lang w:val="bg-BG"/>
        </w:rPr>
        <w:t>назначаване</w:t>
      </w:r>
      <w:r w:rsidR="00146994" w:rsidRPr="00DC2206">
        <w:rPr>
          <w:rFonts w:asciiTheme="minorHAnsi" w:hAnsiTheme="minorHAnsi"/>
          <w:lang w:val="bg-BG"/>
        </w:rPr>
        <w:t>то</w:t>
      </w:r>
      <w:r w:rsidRPr="00DC2206">
        <w:rPr>
          <w:rFonts w:asciiTheme="minorHAnsi" w:hAnsiTheme="minorHAnsi"/>
          <w:lang w:val="bg-BG"/>
        </w:rPr>
        <w:t xml:space="preserve">, </w:t>
      </w:r>
      <w:r w:rsidR="00146994" w:rsidRPr="00DC2206">
        <w:rPr>
          <w:rFonts w:asciiTheme="minorHAnsi" w:hAnsiTheme="minorHAnsi"/>
          <w:lang w:val="bg-BG"/>
        </w:rPr>
        <w:t>възнаграждението</w:t>
      </w:r>
      <w:r w:rsidRPr="00DC2206">
        <w:rPr>
          <w:rFonts w:asciiTheme="minorHAnsi" w:hAnsiTheme="minorHAnsi"/>
          <w:lang w:val="bg-BG"/>
        </w:rPr>
        <w:t xml:space="preserve">, </w:t>
      </w:r>
      <w:r w:rsidR="00146994" w:rsidRPr="00DC2206">
        <w:rPr>
          <w:rFonts w:asciiTheme="minorHAnsi" w:hAnsiTheme="minorHAnsi"/>
          <w:lang w:val="bg-BG"/>
        </w:rPr>
        <w:t>мандата</w:t>
      </w:r>
      <w:r w:rsidRPr="00DC2206">
        <w:rPr>
          <w:rFonts w:asciiTheme="minorHAnsi" w:hAnsiTheme="minorHAnsi"/>
          <w:lang w:val="bg-BG"/>
        </w:rPr>
        <w:t xml:space="preserve">, </w:t>
      </w:r>
      <w:r w:rsidR="00146994" w:rsidRPr="00DC2206">
        <w:rPr>
          <w:rFonts w:asciiTheme="minorHAnsi" w:hAnsiTheme="minorHAnsi"/>
          <w:lang w:val="bg-BG"/>
        </w:rPr>
        <w:t>повишаването</w:t>
      </w:r>
      <w:r w:rsidRPr="00DC2206">
        <w:rPr>
          <w:rFonts w:asciiTheme="minorHAnsi" w:hAnsiTheme="minorHAnsi"/>
          <w:lang w:val="bg-BG"/>
        </w:rPr>
        <w:t xml:space="preserve">, </w:t>
      </w:r>
      <w:r w:rsidR="00146994" w:rsidRPr="00DC2206">
        <w:rPr>
          <w:rFonts w:asciiTheme="minorHAnsi" w:hAnsiTheme="minorHAnsi"/>
          <w:lang w:val="bg-BG"/>
        </w:rPr>
        <w:t xml:space="preserve">отстраняването от длъжност и уволнението на членовете на </w:t>
      </w:r>
      <w:r w:rsidR="00A0730F" w:rsidRPr="00DC2206">
        <w:rPr>
          <w:rFonts w:asciiTheme="minorHAnsi" w:hAnsiTheme="minorHAnsi"/>
          <w:lang w:val="bg-BG"/>
        </w:rPr>
        <w:t>съдебната власт</w:t>
      </w:r>
      <w:r w:rsidRPr="00DC2206">
        <w:rPr>
          <w:rFonts w:asciiTheme="minorHAnsi" w:hAnsiTheme="minorHAnsi"/>
          <w:lang w:val="bg-BG"/>
        </w:rPr>
        <w:t xml:space="preserve"> </w:t>
      </w:r>
      <w:r w:rsidR="00146994" w:rsidRPr="00DC2206">
        <w:rPr>
          <w:rFonts w:asciiTheme="minorHAnsi" w:hAnsiTheme="minorHAnsi"/>
          <w:lang w:val="bg-BG"/>
        </w:rPr>
        <w:t>и дисциплинарните санкции, наложени спрямо тях</w:t>
      </w:r>
      <w:r w:rsidRPr="00DC2206">
        <w:rPr>
          <w:rFonts w:asciiTheme="minorHAnsi" w:hAnsiTheme="minorHAnsi"/>
          <w:lang w:val="bg-BG"/>
        </w:rPr>
        <w:t>.</w:t>
      </w:r>
      <w:r w:rsidR="0077248E" w:rsidRPr="00DC2206">
        <w:rPr>
          <w:rStyle w:val="FootnoteReference"/>
          <w:rFonts w:asciiTheme="minorHAnsi" w:hAnsiTheme="minorHAnsi"/>
          <w:lang w:val="bg-BG"/>
        </w:rPr>
        <w:footnoteReference w:id="102"/>
      </w:r>
      <w:r w:rsidRPr="00DC2206">
        <w:rPr>
          <w:rFonts w:asciiTheme="minorHAnsi" w:hAnsiTheme="minorHAnsi"/>
          <w:lang w:val="bg-BG"/>
        </w:rPr>
        <w:t xml:space="preserve"> </w:t>
      </w:r>
      <w:r w:rsidR="00146994" w:rsidRPr="00DC2206">
        <w:rPr>
          <w:rFonts w:asciiTheme="minorHAnsi" w:hAnsiTheme="minorHAnsi"/>
          <w:lang w:val="bg-BG"/>
        </w:rPr>
        <w:t xml:space="preserve">Ситуация, в която функциите и компетентностите на </w:t>
      </w:r>
      <w:r w:rsidR="00A0730F" w:rsidRPr="00DC2206">
        <w:rPr>
          <w:rFonts w:asciiTheme="minorHAnsi" w:hAnsiTheme="minorHAnsi"/>
          <w:lang w:val="bg-BG"/>
        </w:rPr>
        <w:t>съдебната власт</w:t>
      </w:r>
      <w:r w:rsidRPr="00DC2206">
        <w:rPr>
          <w:rFonts w:asciiTheme="minorHAnsi" w:hAnsiTheme="minorHAnsi"/>
          <w:lang w:val="bg-BG"/>
        </w:rPr>
        <w:t xml:space="preserve"> </w:t>
      </w:r>
      <w:r w:rsidR="00146994" w:rsidRPr="00DC2206">
        <w:rPr>
          <w:rFonts w:asciiTheme="minorHAnsi" w:hAnsiTheme="minorHAnsi"/>
          <w:lang w:val="bg-BG"/>
        </w:rPr>
        <w:t>и изпълнителната власт не могат да бъдат ясно разграничени или в която последната е в състояние да контролира или насочва първата, е несъвместима с идеята за независим съд</w:t>
      </w:r>
      <w:r w:rsidRPr="00DC2206">
        <w:rPr>
          <w:rFonts w:asciiTheme="minorHAnsi" w:hAnsiTheme="minorHAnsi"/>
          <w:lang w:val="bg-BG"/>
        </w:rPr>
        <w:t>.</w:t>
      </w:r>
      <w:r w:rsidR="0077248E" w:rsidRPr="00DC2206">
        <w:rPr>
          <w:rStyle w:val="FootnoteReference"/>
          <w:rFonts w:asciiTheme="minorHAnsi" w:hAnsiTheme="minorHAnsi"/>
          <w:lang w:val="bg-BG"/>
        </w:rPr>
        <w:footnoteReference w:id="103"/>
      </w:r>
      <w:r w:rsidRPr="00DC2206">
        <w:rPr>
          <w:rFonts w:asciiTheme="minorHAnsi" w:hAnsiTheme="minorHAnsi"/>
          <w:lang w:val="bg-BG"/>
        </w:rPr>
        <w:t xml:space="preserve"> </w:t>
      </w:r>
      <w:r w:rsidR="00146994" w:rsidRPr="00DC2206">
        <w:rPr>
          <w:rFonts w:asciiTheme="minorHAnsi" w:hAnsiTheme="minorHAnsi"/>
          <w:lang w:val="bg-BG"/>
        </w:rPr>
        <w:t>Необходимо е съдиите да бъдат защитени от конфликти на интереси и сплашване</w:t>
      </w:r>
      <w:r w:rsidRPr="00DC2206">
        <w:rPr>
          <w:rFonts w:asciiTheme="minorHAnsi" w:hAnsiTheme="minorHAnsi"/>
          <w:lang w:val="bg-BG"/>
        </w:rPr>
        <w:t xml:space="preserve">. </w:t>
      </w:r>
      <w:r w:rsidR="00146994" w:rsidRPr="00DC2206">
        <w:rPr>
          <w:rFonts w:asciiTheme="minorHAnsi" w:hAnsiTheme="minorHAnsi"/>
          <w:lang w:val="bg-BG"/>
        </w:rPr>
        <w:t xml:space="preserve">За да се </w:t>
      </w:r>
      <w:r w:rsidR="00413535" w:rsidRPr="00DC2206">
        <w:rPr>
          <w:rFonts w:asciiTheme="minorHAnsi" w:hAnsiTheme="minorHAnsi"/>
          <w:lang w:val="bg-BG"/>
        </w:rPr>
        <w:t xml:space="preserve">гарантира </w:t>
      </w:r>
      <w:r w:rsidR="00146994" w:rsidRPr="00DC2206">
        <w:rPr>
          <w:rFonts w:asciiTheme="minorHAnsi" w:hAnsiTheme="minorHAnsi"/>
          <w:lang w:val="bg-BG"/>
        </w:rPr>
        <w:t xml:space="preserve">тяхната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413535" w:rsidRPr="00DC2206">
        <w:rPr>
          <w:rFonts w:asciiTheme="minorHAnsi" w:hAnsiTheme="minorHAnsi"/>
          <w:lang w:val="bg-BG"/>
        </w:rPr>
        <w:t>статутът на съдиите</w:t>
      </w:r>
      <w:r w:rsidRPr="00DC2206">
        <w:rPr>
          <w:rFonts w:asciiTheme="minorHAnsi" w:hAnsiTheme="minorHAnsi"/>
          <w:lang w:val="bg-BG"/>
        </w:rPr>
        <w:t xml:space="preserve">, </w:t>
      </w:r>
      <w:r w:rsidR="00413535" w:rsidRPr="00DC2206">
        <w:rPr>
          <w:rFonts w:asciiTheme="minorHAnsi" w:hAnsiTheme="minorHAnsi"/>
          <w:lang w:val="bg-BG"/>
        </w:rPr>
        <w:t>включително техният мандат</w:t>
      </w:r>
      <w:r w:rsidRPr="00DC2206">
        <w:rPr>
          <w:rFonts w:asciiTheme="minorHAnsi" w:hAnsiTheme="minorHAnsi"/>
          <w:lang w:val="bg-BG"/>
        </w:rPr>
        <w:t xml:space="preserve">, </w:t>
      </w:r>
      <w:r w:rsidR="00413535" w:rsidRPr="00DC2206">
        <w:rPr>
          <w:rFonts w:asciiTheme="minorHAnsi" w:hAnsiTheme="minorHAnsi"/>
          <w:lang w:val="bg-BG"/>
        </w:rPr>
        <w:t xml:space="preserve">тяхната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413535" w:rsidRPr="00DC2206">
        <w:rPr>
          <w:rFonts w:asciiTheme="minorHAnsi" w:hAnsiTheme="minorHAnsi"/>
          <w:lang w:val="bg-BG"/>
        </w:rPr>
        <w:t>сигурност</w:t>
      </w:r>
      <w:r w:rsidRPr="00DC2206">
        <w:rPr>
          <w:rFonts w:asciiTheme="minorHAnsi" w:hAnsiTheme="minorHAnsi"/>
          <w:lang w:val="bg-BG"/>
        </w:rPr>
        <w:t xml:space="preserve">, </w:t>
      </w:r>
      <w:r w:rsidR="00413535" w:rsidRPr="00DC2206">
        <w:rPr>
          <w:rFonts w:asciiTheme="minorHAnsi" w:hAnsiTheme="minorHAnsi"/>
          <w:lang w:val="bg-BG"/>
        </w:rPr>
        <w:t>адекватно възнаграждение</w:t>
      </w:r>
      <w:r w:rsidRPr="00DC2206">
        <w:rPr>
          <w:rFonts w:asciiTheme="minorHAnsi" w:hAnsiTheme="minorHAnsi"/>
          <w:lang w:val="bg-BG"/>
        </w:rPr>
        <w:t xml:space="preserve">, </w:t>
      </w:r>
      <w:r w:rsidR="00413535" w:rsidRPr="00DC2206">
        <w:rPr>
          <w:rFonts w:asciiTheme="minorHAnsi" w:hAnsiTheme="minorHAnsi"/>
          <w:lang w:val="bg-BG"/>
        </w:rPr>
        <w:t>условия на труд</w:t>
      </w:r>
      <w:r w:rsidRPr="00DC2206">
        <w:rPr>
          <w:rFonts w:asciiTheme="minorHAnsi" w:hAnsiTheme="minorHAnsi"/>
          <w:lang w:val="bg-BG"/>
        </w:rPr>
        <w:t xml:space="preserve">, </w:t>
      </w:r>
      <w:r w:rsidR="00413535" w:rsidRPr="00DC2206">
        <w:rPr>
          <w:rFonts w:asciiTheme="minorHAnsi" w:hAnsiTheme="minorHAnsi"/>
          <w:lang w:val="bg-BG"/>
        </w:rPr>
        <w:t>пенсии и пенсионна възраст се обезпечават адекватно от закона</w:t>
      </w:r>
      <w:r w:rsidR="0077248E" w:rsidRPr="00DC2206">
        <w:rPr>
          <w:rStyle w:val="FootnoteReference"/>
          <w:rFonts w:asciiTheme="minorHAnsi" w:hAnsiTheme="minorHAnsi"/>
          <w:lang w:val="bg-BG"/>
        </w:rPr>
        <w:footnoteReference w:id="104"/>
      </w:r>
      <w:r w:rsidRPr="00DC2206">
        <w:rPr>
          <w:rFonts w:asciiTheme="minorHAnsi" w:hAnsiTheme="minorHAnsi"/>
          <w:lang w:val="bg-BG"/>
        </w:rPr>
        <w:t>.</w:t>
      </w:r>
    </w:p>
    <w:p w14:paraId="14B330FD" w14:textId="77777777" w:rsidR="0077248E" w:rsidRPr="00DC2206" w:rsidRDefault="0077248E" w:rsidP="00732D5B">
      <w:pPr>
        <w:tabs>
          <w:tab w:val="left" w:pos="505"/>
        </w:tabs>
        <w:ind w:left="709" w:hanging="709"/>
        <w:jc w:val="both"/>
        <w:rPr>
          <w:rFonts w:asciiTheme="minorHAnsi" w:hAnsiTheme="minorHAnsi"/>
          <w:lang w:val="bg-BG"/>
        </w:rPr>
      </w:pPr>
    </w:p>
    <w:p w14:paraId="396B0FDC" w14:textId="77777777" w:rsidR="00C61601" w:rsidRPr="00DC2206" w:rsidRDefault="00521963" w:rsidP="0077248E">
      <w:pPr>
        <w:ind w:left="709" w:hanging="709"/>
        <w:jc w:val="both"/>
        <w:rPr>
          <w:rFonts w:asciiTheme="minorHAnsi" w:hAnsiTheme="minorHAnsi"/>
          <w:lang w:val="bg-BG"/>
        </w:rPr>
      </w:pPr>
      <w:r w:rsidRPr="00DC2206">
        <w:rPr>
          <w:rFonts w:asciiTheme="minorHAnsi" w:hAnsiTheme="minorHAnsi"/>
          <w:lang w:val="bg-BG"/>
        </w:rPr>
        <w:t>78.</w:t>
      </w:r>
      <w:r w:rsidRPr="00DC2206">
        <w:rPr>
          <w:rFonts w:asciiTheme="minorHAnsi" w:hAnsiTheme="minorHAnsi"/>
          <w:lang w:val="bg-BG"/>
        </w:rPr>
        <w:tab/>
      </w:r>
      <w:r w:rsidR="00AA3A7F" w:rsidRPr="00DC2206">
        <w:rPr>
          <w:rFonts w:asciiTheme="minorHAnsi" w:hAnsiTheme="minorHAnsi"/>
          <w:lang w:val="bg-BG"/>
        </w:rPr>
        <w:t>Що се отнася до уволнението на съдии</w:t>
      </w:r>
      <w:r w:rsidRPr="00DC2206">
        <w:rPr>
          <w:rFonts w:asciiTheme="minorHAnsi" w:hAnsiTheme="minorHAnsi"/>
          <w:lang w:val="bg-BG"/>
        </w:rPr>
        <w:t xml:space="preserve">, </w:t>
      </w:r>
      <w:r w:rsidR="00B372ED" w:rsidRPr="00DC2206">
        <w:rPr>
          <w:rFonts w:asciiTheme="minorHAnsi" w:hAnsiTheme="minorHAnsi"/>
          <w:lang w:val="bg-BG"/>
        </w:rPr>
        <w:t>КПЧ</w:t>
      </w:r>
      <w:r w:rsidRPr="00DC2206">
        <w:rPr>
          <w:rFonts w:asciiTheme="minorHAnsi" w:hAnsiTheme="minorHAnsi"/>
          <w:lang w:val="bg-BG"/>
        </w:rPr>
        <w:t xml:space="preserve"> </w:t>
      </w:r>
      <w:r w:rsidR="00AA3A7F" w:rsidRPr="00DC2206">
        <w:rPr>
          <w:rFonts w:asciiTheme="minorHAnsi" w:hAnsiTheme="minorHAnsi"/>
          <w:lang w:val="bg-BG"/>
        </w:rPr>
        <w:t>отбелязва</w:t>
      </w:r>
      <w:r w:rsidR="0077248E" w:rsidRPr="00DC2206">
        <w:rPr>
          <w:rStyle w:val="FootnoteReference"/>
          <w:rFonts w:asciiTheme="minorHAnsi" w:hAnsiTheme="minorHAnsi"/>
          <w:lang w:val="bg-BG"/>
        </w:rPr>
        <w:footnoteReference w:id="105"/>
      </w:r>
      <w:r w:rsidR="00AA3A7F" w:rsidRPr="00DC2206">
        <w:rPr>
          <w:rFonts w:asciiTheme="minorHAnsi" w:hAnsiTheme="minorHAnsi"/>
          <w:lang w:val="bg-BG"/>
        </w:rPr>
        <w:t xml:space="preserve">, че те могат да бъдат уволнени само при наличието на сериозни основания за </w:t>
      </w:r>
      <w:r w:rsidR="00C12243" w:rsidRPr="00DC2206">
        <w:rPr>
          <w:rFonts w:asciiTheme="minorHAnsi" w:hAnsiTheme="minorHAnsi"/>
          <w:lang w:val="bg-BG"/>
        </w:rPr>
        <w:t>неправомерно поведение или некомпетентност</w:t>
      </w:r>
      <w:r w:rsidRPr="00DC2206">
        <w:rPr>
          <w:rFonts w:asciiTheme="minorHAnsi" w:hAnsiTheme="minorHAnsi"/>
          <w:lang w:val="bg-BG"/>
        </w:rPr>
        <w:t xml:space="preserve">, </w:t>
      </w:r>
      <w:r w:rsidR="00C12243" w:rsidRPr="00DC2206">
        <w:rPr>
          <w:rFonts w:asciiTheme="minorHAnsi" w:hAnsiTheme="minorHAnsi"/>
          <w:lang w:val="bg-BG"/>
        </w:rPr>
        <w:t xml:space="preserve">в съответствие със справедливи процедури, осигуряващи обективност и </w:t>
      </w:r>
      <w:r w:rsidR="00AD1FEF" w:rsidRPr="00DC2206">
        <w:rPr>
          <w:rFonts w:asciiTheme="minorHAnsi" w:hAnsiTheme="minorHAnsi"/>
          <w:lang w:val="bg-BG"/>
        </w:rPr>
        <w:t>безпристрастност</w:t>
      </w:r>
      <w:r w:rsidR="00C12243" w:rsidRPr="00DC2206">
        <w:rPr>
          <w:rFonts w:asciiTheme="minorHAnsi" w:hAnsiTheme="minorHAnsi"/>
          <w:lang w:val="bg-BG"/>
        </w:rPr>
        <w:t>, изложени в конституцията или закона</w:t>
      </w:r>
      <w:r w:rsidRPr="00DC2206">
        <w:rPr>
          <w:rFonts w:asciiTheme="minorHAnsi" w:hAnsiTheme="minorHAnsi"/>
          <w:lang w:val="bg-BG"/>
        </w:rPr>
        <w:t xml:space="preserve">. </w:t>
      </w:r>
      <w:r w:rsidR="00C12243" w:rsidRPr="00DC2206">
        <w:rPr>
          <w:rFonts w:asciiTheme="minorHAnsi" w:hAnsiTheme="minorHAnsi"/>
          <w:lang w:val="bg-BG"/>
        </w:rPr>
        <w:t>Уволнението на съдиите от изпълнителната власт, напр. преди изтичането на мандата, за който се назначени</w:t>
      </w:r>
      <w:r w:rsidRPr="00DC2206">
        <w:rPr>
          <w:rFonts w:asciiTheme="minorHAnsi" w:hAnsiTheme="minorHAnsi"/>
          <w:lang w:val="bg-BG"/>
        </w:rPr>
        <w:t xml:space="preserve">, </w:t>
      </w:r>
      <w:r w:rsidR="00C12243" w:rsidRPr="00DC2206">
        <w:rPr>
          <w:rFonts w:asciiTheme="minorHAnsi" w:hAnsiTheme="minorHAnsi"/>
          <w:lang w:val="bg-BG"/>
        </w:rPr>
        <w:t xml:space="preserve">без да им се посочват никакви конкретни причини и без да разполагат с ефективна съдебна защита за оспорване на уволнението, е несъвместимо с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C12243" w:rsidRPr="00DC2206">
        <w:rPr>
          <w:rFonts w:asciiTheme="minorHAnsi" w:hAnsiTheme="minorHAnsi"/>
          <w:lang w:val="bg-BG"/>
        </w:rPr>
        <w:t xml:space="preserve">на </w:t>
      </w:r>
      <w:r w:rsidR="00A0730F" w:rsidRPr="00DC2206">
        <w:rPr>
          <w:rFonts w:asciiTheme="minorHAnsi" w:hAnsiTheme="minorHAnsi"/>
          <w:lang w:val="bg-BG"/>
        </w:rPr>
        <w:t>съдебната власт</w:t>
      </w:r>
      <w:r w:rsidRPr="00DC2206">
        <w:rPr>
          <w:rFonts w:asciiTheme="minorHAnsi" w:hAnsiTheme="minorHAnsi"/>
          <w:lang w:val="bg-BG"/>
        </w:rPr>
        <w:t>.</w:t>
      </w:r>
      <w:r w:rsidR="0077248E" w:rsidRPr="00DC2206">
        <w:rPr>
          <w:rStyle w:val="FootnoteReference"/>
          <w:rFonts w:asciiTheme="minorHAnsi" w:hAnsiTheme="minorHAnsi"/>
          <w:lang w:val="bg-BG"/>
        </w:rPr>
        <w:footnoteReference w:id="106"/>
      </w:r>
      <w:r w:rsidRPr="00DC2206">
        <w:rPr>
          <w:rFonts w:asciiTheme="minorHAnsi" w:hAnsiTheme="minorHAnsi"/>
          <w:lang w:val="bg-BG"/>
        </w:rPr>
        <w:t xml:space="preserve"> </w:t>
      </w:r>
      <w:r w:rsidR="00C12243" w:rsidRPr="00DC2206">
        <w:rPr>
          <w:rFonts w:asciiTheme="minorHAnsi" w:hAnsiTheme="minorHAnsi"/>
          <w:lang w:val="bg-BG"/>
        </w:rPr>
        <w:t>Същото е вярно, например, за уволнението от изпълнителната власт на съдии, за които се твърди, че са корумпирани</w:t>
      </w:r>
      <w:r w:rsidRPr="00DC2206">
        <w:rPr>
          <w:rFonts w:asciiTheme="minorHAnsi" w:hAnsiTheme="minorHAnsi"/>
          <w:lang w:val="bg-BG"/>
        </w:rPr>
        <w:t xml:space="preserve">, </w:t>
      </w:r>
      <w:r w:rsidR="00C12243" w:rsidRPr="00DC2206">
        <w:rPr>
          <w:rFonts w:asciiTheme="minorHAnsi" w:hAnsiTheme="minorHAnsi"/>
          <w:lang w:val="bg-BG"/>
        </w:rPr>
        <w:t>без да се следва никоя от процедурите, предвидени от закона</w:t>
      </w:r>
      <w:r w:rsidRPr="00DC2206">
        <w:rPr>
          <w:rFonts w:asciiTheme="minorHAnsi" w:hAnsiTheme="minorHAnsi"/>
          <w:lang w:val="bg-BG"/>
        </w:rPr>
        <w:t>.</w:t>
      </w:r>
      <w:r w:rsidR="0077248E" w:rsidRPr="00DC2206">
        <w:rPr>
          <w:rStyle w:val="FootnoteReference"/>
          <w:rFonts w:asciiTheme="minorHAnsi" w:hAnsiTheme="minorHAnsi"/>
          <w:lang w:val="bg-BG"/>
        </w:rPr>
        <w:footnoteReference w:id="107"/>
      </w:r>
    </w:p>
    <w:p w14:paraId="5B4C3C5E" w14:textId="77777777" w:rsidR="0077248E" w:rsidRPr="00DC2206" w:rsidRDefault="0077248E" w:rsidP="00732D5B">
      <w:pPr>
        <w:tabs>
          <w:tab w:val="left" w:pos="543"/>
        </w:tabs>
        <w:ind w:left="709" w:hanging="709"/>
        <w:jc w:val="both"/>
        <w:rPr>
          <w:rFonts w:asciiTheme="minorHAnsi" w:hAnsiTheme="minorHAnsi"/>
          <w:vertAlign w:val="superscript"/>
          <w:lang w:val="bg-BG"/>
        </w:rPr>
      </w:pPr>
    </w:p>
    <w:p w14:paraId="16B4CD00" w14:textId="77777777" w:rsidR="00C61601" w:rsidRPr="00DC2206" w:rsidRDefault="00521963" w:rsidP="0077248E">
      <w:pPr>
        <w:ind w:left="709" w:hanging="709"/>
        <w:jc w:val="both"/>
        <w:rPr>
          <w:rFonts w:asciiTheme="minorHAnsi" w:hAnsiTheme="minorHAnsi"/>
          <w:lang w:val="bg-BG"/>
        </w:rPr>
      </w:pPr>
      <w:r w:rsidRPr="00DC2206">
        <w:rPr>
          <w:rFonts w:asciiTheme="minorHAnsi" w:hAnsiTheme="minorHAnsi"/>
          <w:lang w:val="bg-BG" w:eastAsia="bg-BG" w:bidi="bg-BG"/>
        </w:rPr>
        <w:t>79.</w:t>
      </w:r>
      <w:r w:rsidRPr="00DC2206">
        <w:rPr>
          <w:rFonts w:asciiTheme="minorHAnsi" w:hAnsiTheme="minorHAnsi"/>
          <w:lang w:val="bg-BG" w:eastAsia="bg-BG" w:bidi="bg-BG"/>
        </w:rPr>
        <w:tab/>
      </w:r>
      <w:r w:rsidR="0006181B">
        <w:rPr>
          <w:rFonts w:asciiTheme="minorHAnsi" w:hAnsiTheme="minorHAnsi"/>
          <w:lang w:val="bg-BG" w:eastAsia="bg-BG" w:bidi="bg-BG"/>
        </w:rPr>
        <w:t>Що се отнася до конце</w:t>
      </w:r>
      <w:r w:rsidR="00C12243" w:rsidRPr="00DC2206">
        <w:rPr>
          <w:rFonts w:asciiTheme="minorHAnsi" w:hAnsiTheme="minorHAnsi"/>
          <w:lang w:val="bg-BG" w:eastAsia="bg-BG" w:bidi="bg-BG"/>
        </w:rPr>
        <w:t xml:space="preserve">пцията за </w:t>
      </w:r>
      <w:r w:rsidR="00AD1FEF" w:rsidRPr="00DC2206">
        <w:rPr>
          <w:rFonts w:asciiTheme="minorHAnsi" w:hAnsiTheme="minorHAnsi"/>
          <w:lang w:val="bg-BG"/>
        </w:rPr>
        <w:t>безпристрастност</w:t>
      </w:r>
      <w:r w:rsidRPr="00DC2206">
        <w:rPr>
          <w:rFonts w:asciiTheme="minorHAnsi" w:hAnsiTheme="minorHAnsi"/>
          <w:lang w:val="bg-BG"/>
        </w:rPr>
        <w:t xml:space="preserve">, </w:t>
      </w:r>
      <w:r w:rsidR="00B372ED" w:rsidRPr="00DC2206">
        <w:rPr>
          <w:rFonts w:asciiTheme="minorHAnsi" w:hAnsiTheme="minorHAnsi"/>
          <w:lang w:val="bg-BG"/>
        </w:rPr>
        <w:t>КПЧ</w:t>
      </w:r>
      <w:r w:rsidRPr="00DC2206">
        <w:rPr>
          <w:rFonts w:asciiTheme="minorHAnsi" w:hAnsiTheme="minorHAnsi"/>
          <w:lang w:val="bg-BG"/>
        </w:rPr>
        <w:t xml:space="preserve"> </w:t>
      </w:r>
      <w:r w:rsidR="00C12243" w:rsidRPr="00DC2206">
        <w:rPr>
          <w:rFonts w:asciiTheme="minorHAnsi" w:hAnsiTheme="minorHAnsi"/>
          <w:lang w:val="bg-BG"/>
        </w:rPr>
        <w:t>е определил два аспекта</w:t>
      </w:r>
      <w:r w:rsidR="0077248E" w:rsidRPr="00DC2206">
        <w:rPr>
          <w:rStyle w:val="FootnoteReference"/>
          <w:rFonts w:asciiTheme="minorHAnsi" w:hAnsiTheme="minorHAnsi"/>
          <w:lang w:val="bg-BG"/>
        </w:rPr>
        <w:footnoteReference w:id="108"/>
      </w:r>
      <w:r w:rsidRPr="00DC2206">
        <w:rPr>
          <w:rFonts w:asciiTheme="minorHAnsi" w:hAnsiTheme="minorHAnsi"/>
          <w:lang w:val="bg-BG"/>
        </w:rPr>
        <w:t>: 1)</w:t>
      </w:r>
      <w:r w:rsidR="00C12243" w:rsidRPr="00DC2206">
        <w:rPr>
          <w:rFonts w:asciiTheme="minorHAnsi" w:hAnsiTheme="minorHAnsi"/>
          <w:lang w:val="bg-BG"/>
        </w:rPr>
        <w:t xml:space="preserve"> съдиите трябва да </w:t>
      </w:r>
      <w:r w:rsidR="00EF34C0" w:rsidRPr="00DC2206">
        <w:rPr>
          <w:rFonts w:asciiTheme="minorHAnsi" w:hAnsiTheme="minorHAnsi"/>
          <w:lang w:val="bg-BG"/>
        </w:rPr>
        <w:t xml:space="preserve">не </w:t>
      </w:r>
      <w:r w:rsidR="00C12243" w:rsidRPr="00DC2206">
        <w:rPr>
          <w:rFonts w:asciiTheme="minorHAnsi" w:hAnsiTheme="minorHAnsi"/>
          <w:lang w:val="bg-BG"/>
        </w:rPr>
        <w:t>позволяват техните решения да бъдат повлиявани от лично пристрастие или предубеденост</w:t>
      </w:r>
      <w:r w:rsidRPr="00DC2206">
        <w:rPr>
          <w:rFonts w:asciiTheme="minorHAnsi" w:hAnsiTheme="minorHAnsi"/>
          <w:lang w:val="bg-BG"/>
        </w:rPr>
        <w:t xml:space="preserve">, </w:t>
      </w:r>
      <w:r w:rsidR="00C12243" w:rsidRPr="00DC2206">
        <w:rPr>
          <w:rFonts w:asciiTheme="minorHAnsi" w:hAnsiTheme="minorHAnsi"/>
          <w:lang w:val="bg-BG"/>
        </w:rPr>
        <w:t>както и да не действат по начини, к</w:t>
      </w:r>
      <w:r w:rsidR="00EF34C0">
        <w:rPr>
          <w:rFonts w:asciiTheme="minorHAnsi" w:hAnsiTheme="minorHAnsi"/>
          <w:lang w:val="bg-BG"/>
        </w:rPr>
        <w:t>оито нерегламентирано подпомага</w:t>
      </w:r>
      <w:r w:rsidR="00C12243" w:rsidRPr="00DC2206">
        <w:rPr>
          <w:rFonts w:asciiTheme="minorHAnsi" w:hAnsiTheme="minorHAnsi"/>
          <w:lang w:val="bg-BG"/>
        </w:rPr>
        <w:t xml:space="preserve"> интересите на една от страните във вреда на другата</w:t>
      </w:r>
      <w:r w:rsidR="0077248E" w:rsidRPr="00DC2206">
        <w:rPr>
          <w:rStyle w:val="FootnoteReference"/>
          <w:rFonts w:asciiTheme="minorHAnsi" w:hAnsiTheme="minorHAnsi"/>
          <w:lang w:val="bg-BG"/>
        </w:rPr>
        <w:footnoteReference w:id="109"/>
      </w:r>
      <w:r w:rsidRPr="00DC2206">
        <w:rPr>
          <w:rFonts w:asciiTheme="minorHAnsi" w:hAnsiTheme="minorHAnsi"/>
          <w:lang w:val="bg-BG"/>
        </w:rPr>
        <w:t xml:space="preserve">; </w:t>
      </w:r>
      <w:r w:rsidRPr="00DC2206">
        <w:rPr>
          <w:rFonts w:asciiTheme="minorHAnsi" w:hAnsiTheme="minorHAnsi"/>
          <w:lang w:val="bg-BG"/>
        </w:rPr>
        <w:lastRenderedPageBreak/>
        <w:t>2)</w:t>
      </w:r>
      <w:r w:rsidR="00C12243" w:rsidRPr="00DC2206">
        <w:rPr>
          <w:rFonts w:asciiTheme="minorHAnsi" w:hAnsiTheme="minorHAnsi"/>
          <w:lang w:val="bg-BG"/>
        </w:rPr>
        <w:t> освен това съдът трябва да изглежда безпристрастен за един разумен наблюдател</w:t>
      </w:r>
      <w:r w:rsidRPr="00DC2206">
        <w:rPr>
          <w:rFonts w:asciiTheme="minorHAnsi" w:hAnsiTheme="minorHAnsi"/>
          <w:lang w:val="bg-BG"/>
        </w:rPr>
        <w:t xml:space="preserve">. </w:t>
      </w:r>
      <w:r w:rsidR="00C12243" w:rsidRPr="00DC2206">
        <w:rPr>
          <w:rFonts w:asciiTheme="minorHAnsi" w:hAnsiTheme="minorHAnsi"/>
          <w:lang w:val="bg-BG"/>
        </w:rPr>
        <w:t>Процес, който е съществено засегнат от участието на съдия, който – съгласно националните закони – е следвало да бъде отведен, не може при нормални обстоятелства да се счита за безпристрастен</w:t>
      </w:r>
      <w:r w:rsidRPr="00DC2206">
        <w:rPr>
          <w:rFonts w:asciiTheme="minorHAnsi" w:hAnsiTheme="minorHAnsi"/>
          <w:lang w:val="bg-BG"/>
        </w:rPr>
        <w:t>.</w:t>
      </w:r>
      <w:r w:rsidR="0077248E" w:rsidRPr="00DC2206">
        <w:rPr>
          <w:rStyle w:val="FootnoteReference"/>
          <w:rFonts w:asciiTheme="minorHAnsi" w:hAnsiTheme="minorHAnsi"/>
          <w:lang w:val="bg-BG"/>
        </w:rPr>
        <w:footnoteReference w:id="110"/>
      </w:r>
    </w:p>
    <w:p w14:paraId="31292D3A" w14:textId="77777777" w:rsidR="0077248E" w:rsidRPr="00DC2206" w:rsidRDefault="0077248E" w:rsidP="0077248E">
      <w:pPr>
        <w:ind w:left="709" w:hanging="709"/>
        <w:jc w:val="both"/>
        <w:rPr>
          <w:rFonts w:asciiTheme="minorHAnsi" w:hAnsiTheme="minorHAnsi"/>
          <w:lang w:val="bg-BG"/>
        </w:rPr>
      </w:pPr>
    </w:p>
    <w:p w14:paraId="13B8D4B4" w14:textId="77777777" w:rsidR="00C61601" w:rsidRPr="00DC2206" w:rsidRDefault="00521963" w:rsidP="0077248E">
      <w:pPr>
        <w:ind w:left="709" w:hanging="709"/>
        <w:jc w:val="both"/>
        <w:rPr>
          <w:rFonts w:asciiTheme="minorHAnsi" w:hAnsiTheme="minorHAnsi"/>
          <w:lang w:val="bg-BG"/>
        </w:rPr>
      </w:pPr>
      <w:r w:rsidRPr="00DC2206">
        <w:rPr>
          <w:rFonts w:asciiTheme="minorHAnsi" w:hAnsiTheme="minorHAnsi"/>
          <w:lang w:val="bg-BG"/>
        </w:rPr>
        <w:t>80.</w:t>
      </w:r>
      <w:r w:rsidRPr="00DC2206">
        <w:rPr>
          <w:rFonts w:asciiTheme="minorHAnsi" w:hAnsiTheme="minorHAnsi"/>
          <w:lang w:val="bg-BG"/>
        </w:rPr>
        <w:tab/>
      </w:r>
      <w:r w:rsidR="00C12243" w:rsidRPr="00DC2206">
        <w:rPr>
          <w:rFonts w:asciiTheme="minorHAnsi" w:hAnsiTheme="minorHAnsi"/>
          <w:lang w:val="bg-BG"/>
        </w:rPr>
        <w:t xml:space="preserve">Освен това </w:t>
      </w:r>
      <w:r w:rsidR="00F05D55" w:rsidRPr="00DC2206">
        <w:rPr>
          <w:rFonts w:asciiTheme="minorHAnsi" w:hAnsiTheme="minorHAnsi"/>
          <w:lang w:val="bg-BG"/>
        </w:rPr>
        <w:t>КПЧ</w:t>
      </w:r>
      <w:r w:rsidRPr="00DC2206">
        <w:rPr>
          <w:rFonts w:asciiTheme="minorHAnsi" w:hAnsiTheme="minorHAnsi"/>
          <w:lang w:val="bg-BG"/>
        </w:rPr>
        <w:t xml:space="preserve"> </w:t>
      </w:r>
      <w:r w:rsidR="00C12243" w:rsidRPr="00DC2206">
        <w:rPr>
          <w:rFonts w:asciiTheme="minorHAnsi" w:hAnsiTheme="minorHAnsi"/>
          <w:lang w:val="bg-BG"/>
        </w:rPr>
        <w:t xml:space="preserve">претендира по отношение на свободата и сигурността на лицата, че един навременен и редовен преглед от страна на съд или друг трибунал, притежаващ същите атрибути на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C12243" w:rsidRPr="00DC2206">
        <w:rPr>
          <w:rFonts w:asciiTheme="minorHAnsi" w:hAnsiTheme="minorHAnsi"/>
          <w:lang w:val="bg-BG"/>
        </w:rPr>
        <w:t xml:space="preserve">и </w:t>
      </w:r>
      <w:r w:rsidR="00AD1FEF" w:rsidRPr="00DC2206">
        <w:rPr>
          <w:rFonts w:asciiTheme="minorHAnsi" w:hAnsiTheme="minorHAnsi"/>
          <w:lang w:val="bg-BG"/>
        </w:rPr>
        <w:t>безпристрастност</w:t>
      </w:r>
      <w:r w:rsidRPr="00DC2206">
        <w:rPr>
          <w:rFonts w:asciiTheme="minorHAnsi" w:hAnsiTheme="minorHAnsi"/>
          <w:lang w:val="bg-BG"/>
        </w:rPr>
        <w:t xml:space="preserve"> </w:t>
      </w:r>
      <w:r w:rsidR="00C12243" w:rsidRPr="00DC2206">
        <w:rPr>
          <w:rFonts w:asciiTheme="minorHAnsi" w:hAnsiTheme="minorHAnsi"/>
          <w:lang w:val="bg-BG"/>
        </w:rPr>
        <w:t xml:space="preserve">като </w:t>
      </w:r>
      <w:r w:rsidR="00A0730F" w:rsidRPr="00DC2206">
        <w:rPr>
          <w:rFonts w:asciiTheme="minorHAnsi" w:hAnsiTheme="minorHAnsi"/>
          <w:lang w:val="bg-BG"/>
        </w:rPr>
        <w:t>съдебната власт</w:t>
      </w:r>
      <w:r w:rsidR="00C12243" w:rsidRPr="00DC2206">
        <w:rPr>
          <w:rFonts w:asciiTheme="minorHAnsi" w:hAnsiTheme="minorHAnsi"/>
          <w:lang w:val="bg-BG"/>
        </w:rPr>
        <w:t>, е необходима гаранция, за да се докаже, че задържането по стража н</w:t>
      </w:r>
      <w:r w:rsidR="00EF34C0">
        <w:rPr>
          <w:rFonts w:asciiTheme="minorHAnsi" w:hAnsiTheme="minorHAnsi"/>
          <w:lang w:val="bg-BG"/>
        </w:rPr>
        <w:t>е</w:t>
      </w:r>
      <w:r w:rsidR="00C12243" w:rsidRPr="00DC2206">
        <w:rPr>
          <w:rFonts w:asciiTheme="minorHAnsi" w:hAnsiTheme="minorHAnsi"/>
          <w:lang w:val="bg-BG"/>
        </w:rPr>
        <w:t xml:space="preserve"> продължава по-дълго от това, което е абсолютно необходимо</w:t>
      </w:r>
      <w:r w:rsidRPr="00DC2206">
        <w:rPr>
          <w:rFonts w:asciiTheme="minorHAnsi" w:hAnsiTheme="minorHAnsi"/>
          <w:lang w:val="bg-BG"/>
        </w:rPr>
        <w:t xml:space="preserve">, </w:t>
      </w:r>
      <w:r w:rsidR="00C12243" w:rsidRPr="00DC2206">
        <w:rPr>
          <w:rFonts w:asciiTheme="minorHAnsi" w:hAnsiTheme="minorHAnsi"/>
          <w:lang w:val="bg-BG"/>
        </w:rPr>
        <w:t>че общата продължителност на евентуалното задържане е ограничена и че те изцяло зачитат гаранциите, предвидени от Пакта</w:t>
      </w:r>
      <w:r w:rsidR="0077248E" w:rsidRPr="00DC2206">
        <w:rPr>
          <w:rStyle w:val="FootnoteReference"/>
          <w:rFonts w:asciiTheme="minorHAnsi" w:hAnsiTheme="minorHAnsi"/>
          <w:lang w:val="bg-BG"/>
        </w:rPr>
        <w:footnoteReference w:id="111"/>
      </w:r>
      <w:r w:rsidRPr="00DC2206">
        <w:rPr>
          <w:rFonts w:asciiTheme="minorHAnsi" w:hAnsiTheme="minorHAnsi"/>
          <w:lang w:val="bg-BG"/>
        </w:rPr>
        <w:t>.</w:t>
      </w:r>
    </w:p>
    <w:p w14:paraId="34C4AD92" w14:textId="77777777" w:rsidR="0077248E" w:rsidRPr="00DC2206" w:rsidRDefault="0077248E" w:rsidP="0077248E">
      <w:pPr>
        <w:ind w:left="709" w:hanging="709"/>
        <w:jc w:val="both"/>
        <w:rPr>
          <w:rFonts w:asciiTheme="minorHAnsi" w:hAnsiTheme="minorHAnsi"/>
          <w:lang w:val="bg-BG"/>
        </w:rPr>
      </w:pPr>
    </w:p>
    <w:p w14:paraId="78438C02" w14:textId="77777777" w:rsidR="00C61601" w:rsidRPr="00DC2206" w:rsidRDefault="00521963" w:rsidP="0077248E">
      <w:pPr>
        <w:ind w:left="709" w:hanging="709"/>
        <w:jc w:val="both"/>
        <w:rPr>
          <w:rFonts w:asciiTheme="minorHAnsi" w:hAnsiTheme="minorHAnsi"/>
          <w:lang w:val="bg-BG"/>
        </w:rPr>
      </w:pPr>
      <w:r w:rsidRPr="00DC2206">
        <w:rPr>
          <w:rFonts w:asciiTheme="minorHAnsi" w:hAnsiTheme="minorHAnsi"/>
          <w:lang w:val="bg-BG"/>
        </w:rPr>
        <w:t>81.</w:t>
      </w:r>
      <w:r w:rsidR="0077248E" w:rsidRPr="00DC2206">
        <w:rPr>
          <w:rFonts w:asciiTheme="minorHAnsi" w:hAnsiTheme="minorHAnsi"/>
          <w:lang w:val="bg-BG"/>
        </w:rPr>
        <w:tab/>
      </w:r>
      <w:r w:rsidR="00C12243" w:rsidRPr="00DC2206">
        <w:rPr>
          <w:rFonts w:asciiTheme="minorHAnsi" w:hAnsiTheme="minorHAnsi"/>
          <w:lang w:val="bg-BG"/>
        </w:rPr>
        <w:t>Освен това, що се отнася до правото на арестуваното или задържаното под стража лице да бъде своевременно изправено пред съдия или друго длъжностно лице, имащо право по закон да упражнява съдебни правомощия</w:t>
      </w:r>
      <w:r w:rsidRPr="00DC2206">
        <w:rPr>
          <w:rFonts w:asciiTheme="minorHAnsi" w:hAnsiTheme="minorHAnsi"/>
          <w:lang w:val="bg-BG"/>
        </w:rPr>
        <w:t xml:space="preserve">, </w:t>
      </w:r>
      <w:r w:rsidR="00C12243" w:rsidRPr="00DC2206">
        <w:rPr>
          <w:rFonts w:asciiTheme="minorHAnsi" w:hAnsiTheme="minorHAnsi"/>
          <w:lang w:val="bg-BG"/>
        </w:rPr>
        <w:t xml:space="preserve">това право има за цел да </w:t>
      </w:r>
      <w:r w:rsidR="00FD1355" w:rsidRPr="00DC2206">
        <w:rPr>
          <w:rFonts w:asciiTheme="minorHAnsi" w:hAnsiTheme="minorHAnsi"/>
          <w:lang w:val="bg-BG"/>
        </w:rPr>
        <w:t>постави задържането под стража в рамките на едно наказателно производство или наказателно преследване под съдебен контрол</w:t>
      </w:r>
      <w:r w:rsidR="0077248E" w:rsidRPr="00DC2206">
        <w:rPr>
          <w:rStyle w:val="FootnoteReference"/>
          <w:rFonts w:asciiTheme="minorHAnsi" w:hAnsiTheme="minorHAnsi"/>
          <w:lang w:val="bg-BG"/>
        </w:rPr>
        <w:footnoteReference w:id="112"/>
      </w:r>
      <w:r w:rsidRPr="00DC2206">
        <w:rPr>
          <w:rFonts w:asciiTheme="minorHAnsi" w:hAnsiTheme="minorHAnsi"/>
          <w:lang w:val="bg-BG"/>
        </w:rPr>
        <w:t>.</w:t>
      </w:r>
    </w:p>
    <w:p w14:paraId="525F1DFD" w14:textId="77777777" w:rsidR="0077248E" w:rsidRPr="00DC2206" w:rsidRDefault="0077248E" w:rsidP="0077248E">
      <w:pPr>
        <w:ind w:left="709" w:hanging="709"/>
        <w:jc w:val="both"/>
        <w:rPr>
          <w:rFonts w:asciiTheme="minorHAnsi" w:hAnsiTheme="minorHAnsi"/>
          <w:lang w:val="bg-BG"/>
        </w:rPr>
      </w:pPr>
    </w:p>
    <w:p w14:paraId="260E5717" w14:textId="77777777" w:rsidR="00C61601" w:rsidRPr="00DC2206" w:rsidRDefault="00521963" w:rsidP="0077248E">
      <w:pPr>
        <w:ind w:left="709" w:hanging="709"/>
        <w:jc w:val="both"/>
        <w:rPr>
          <w:rFonts w:asciiTheme="minorHAnsi" w:hAnsiTheme="minorHAnsi"/>
          <w:lang w:val="bg-BG"/>
        </w:rPr>
      </w:pPr>
      <w:r w:rsidRPr="00DC2206">
        <w:rPr>
          <w:rFonts w:asciiTheme="minorHAnsi" w:hAnsiTheme="minorHAnsi"/>
          <w:lang w:val="bg-BG"/>
        </w:rPr>
        <w:t>82.</w:t>
      </w:r>
      <w:r w:rsidR="0077248E" w:rsidRPr="00DC2206">
        <w:rPr>
          <w:rFonts w:asciiTheme="minorHAnsi" w:hAnsiTheme="minorHAnsi"/>
          <w:lang w:val="bg-BG"/>
        </w:rPr>
        <w:tab/>
      </w:r>
      <w:r w:rsidR="00FD1355" w:rsidRPr="00DC2206">
        <w:rPr>
          <w:rFonts w:asciiTheme="minorHAnsi" w:hAnsiTheme="minorHAnsi"/>
          <w:lang w:val="bg-BG"/>
        </w:rPr>
        <w:t xml:space="preserve">Освен това </w:t>
      </w:r>
      <w:r w:rsidR="00F05D55" w:rsidRPr="00DC2206">
        <w:rPr>
          <w:rFonts w:asciiTheme="minorHAnsi" w:hAnsiTheme="minorHAnsi"/>
          <w:lang w:val="bg-BG"/>
        </w:rPr>
        <w:t>КПЧ</w:t>
      </w:r>
      <w:r w:rsidRPr="00DC2206">
        <w:rPr>
          <w:rFonts w:asciiTheme="minorHAnsi" w:hAnsiTheme="minorHAnsi"/>
          <w:lang w:val="bg-BG"/>
        </w:rPr>
        <w:t xml:space="preserve"> </w:t>
      </w:r>
      <w:r w:rsidR="00FD1355" w:rsidRPr="00DC2206">
        <w:rPr>
          <w:rFonts w:asciiTheme="minorHAnsi" w:hAnsiTheme="minorHAnsi"/>
          <w:lang w:val="bg-BG"/>
        </w:rPr>
        <w:t xml:space="preserve">разглежда въпроса за защитата на </w:t>
      </w:r>
      <w:r w:rsidR="00A0730F" w:rsidRPr="00DC2206">
        <w:rPr>
          <w:rFonts w:asciiTheme="minorHAnsi" w:hAnsiTheme="minorHAnsi"/>
          <w:lang w:val="bg-BG"/>
        </w:rPr>
        <w:t>прокурори</w:t>
      </w:r>
      <w:r w:rsidR="00FD1355" w:rsidRPr="00DC2206">
        <w:rPr>
          <w:rFonts w:asciiTheme="minorHAnsi" w:hAnsiTheme="minorHAnsi"/>
          <w:lang w:val="bg-BG"/>
        </w:rPr>
        <w:t>те в контекста на тяхната свобода на изразяване</w:t>
      </w:r>
      <w:r w:rsidRPr="00DC2206">
        <w:rPr>
          <w:rFonts w:asciiTheme="minorHAnsi" w:hAnsiTheme="minorHAnsi"/>
          <w:lang w:val="bg-BG"/>
        </w:rPr>
        <w:t xml:space="preserve">, </w:t>
      </w:r>
      <w:r w:rsidR="00EF34C0">
        <w:rPr>
          <w:rFonts w:asciiTheme="minorHAnsi" w:hAnsiTheme="minorHAnsi"/>
          <w:lang w:val="bg-BG"/>
        </w:rPr>
        <w:t xml:space="preserve">за това </w:t>
      </w:r>
      <w:r w:rsidR="00FD1355" w:rsidRPr="00DC2206">
        <w:rPr>
          <w:rFonts w:asciiTheme="minorHAnsi" w:hAnsiTheme="minorHAnsi"/>
          <w:lang w:val="bg-BG"/>
        </w:rPr>
        <w:t>че законите в областта на клеветата трябва да бъдат изготвяни внимателно, така че да се гарантира, че са в съответствие с Пакта и че на практика не служат за задушаване на свободата на изразяване</w:t>
      </w:r>
      <w:r w:rsidRPr="00DC2206">
        <w:rPr>
          <w:rFonts w:asciiTheme="minorHAnsi" w:hAnsiTheme="minorHAnsi"/>
          <w:lang w:val="bg-BG"/>
        </w:rPr>
        <w:t xml:space="preserve">. </w:t>
      </w:r>
      <w:r w:rsidR="00FD1355" w:rsidRPr="00DC2206">
        <w:rPr>
          <w:rFonts w:asciiTheme="minorHAnsi" w:hAnsiTheme="minorHAnsi"/>
          <w:lang w:val="bg-BG"/>
        </w:rPr>
        <w:t>В същото време</w:t>
      </w:r>
      <w:r w:rsidRPr="00DC2206">
        <w:rPr>
          <w:rFonts w:asciiTheme="minorHAnsi" w:hAnsiTheme="minorHAnsi"/>
          <w:lang w:val="bg-BG"/>
        </w:rPr>
        <w:t xml:space="preserve">, </w:t>
      </w:r>
      <w:r w:rsidR="00B372ED" w:rsidRPr="00DC2206">
        <w:rPr>
          <w:rFonts w:asciiTheme="minorHAnsi" w:hAnsiTheme="minorHAnsi"/>
          <w:lang w:val="bg-BG"/>
        </w:rPr>
        <w:t>КПЧ</w:t>
      </w:r>
      <w:r w:rsidRPr="00DC2206">
        <w:rPr>
          <w:rFonts w:asciiTheme="minorHAnsi" w:hAnsiTheme="minorHAnsi"/>
          <w:lang w:val="bg-BG"/>
        </w:rPr>
        <w:t xml:space="preserve"> </w:t>
      </w:r>
      <w:r w:rsidR="00FD1355" w:rsidRPr="00DC2206">
        <w:rPr>
          <w:rFonts w:asciiTheme="minorHAnsi" w:hAnsiTheme="minorHAnsi"/>
          <w:lang w:val="bg-BG"/>
        </w:rPr>
        <w:t xml:space="preserve">признава, че </w:t>
      </w:r>
      <w:r w:rsidR="00A0730F" w:rsidRPr="00DC2206">
        <w:rPr>
          <w:rFonts w:asciiTheme="minorHAnsi" w:hAnsiTheme="minorHAnsi"/>
          <w:lang w:val="bg-BG"/>
        </w:rPr>
        <w:t>прокурори</w:t>
      </w:r>
      <w:r w:rsidR="00FD1355" w:rsidRPr="00DC2206">
        <w:rPr>
          <w:rFonts w:asciiTheme="minorHAnsi" w:hAnsiTheme="minorHAnsi"/>
          <w:lang w:val="bg-BG"/>
        </w:rPr>
        <w:t>те не са равнопоставени на публичните фигури и</w:t>
      </w:r>
      <w:r w:rsidRPr="00DC2206">
        <w:rPr>
          <w:rFonts w:asciiTheme="minorHAnsi" w:hAnsiTheme="minorHAnsi"/>
          <w:lang w:val="bg-BG"/>
        </w:rPr>
        <w:t xml:space="preserve">, </w:t>
      </w:r>
      <w:r w:rsidR="00FD1355" w:rsidRPr="00DC2206">
        <w:rPr>
          <w:rFonts w:asciiTheme="minorHAnsi" w:hAnsiTheme="minorHAnsi"/>
          <w:lang w:val="bg-BG"/>
        </w:rPr>
        <w:t xml:space="preserve">подобно на съдебните служители, изискват </w:t>
      </w:r>
      <w:r w:rsidR="00EF34C0">
        <w:rPr>
          <w:rFonts w:asciiTheme="minorHAnsi" w:hAnsiTheme="minorHAnsi"/>
          <w:lang w:val="bg-BG"/>
        </w:rPr>
        <w:t>определена степен обществено</w:t>
      </w:r>
      <w:r w:rsidR="00FD1355" w:rsidRPr="00DC2206">
        <w:rPr>
          <w:rFonts w:asciiTheme="minorHAnsi" w:hAnsiTheme="minorHAnsi"/>
          <w:lang w:val="bg-BG"/>
        </w:rPr>
        <w:t xml:space="preserve"> доверие за ефективното изпълнение на функциите си</w:t>
      </w:r>
      <w:r w:rsidR="0077248E" w:rsidRPr="00DC2206">
        <w:rPr>
          <w:rStyle w:val="FootnoteReference"/>
          <w:rFonts w:asciiTheme="minorHAnsi" w:hAnsiTheme="minorHAnsi"/>
          <w:lang w:val="bg-BG"/>
        </w:rPr>
        <w:footnoteReference w:id="113"/>
      </w:r>
      <w:r w:rsidRPr="00DC2206">
        <w:rPr>
          <w:rFonts w:asciiTheme="minorHAnsi" w:hAnsiTheme="minorHAnsi"/>
          <w:lang w:val="bg-BG"/>
        </w:rPr>
        <w:t>.</w:t>
      </w:r>
    </w:p>
    <w:p w14:paraId="0F2FE194" w14:textId="77777777" w:rsidR="0077248E" w:rsidRPr="00DC2206" w:rsidRDefault="0077248E" w:rsidP="0077248E">
      <w:pPr>
        <w:ind w:left="709" w:hanging="709"/>
        <w:jc w:val="both"/>
        <w:rPr>
          <w:rFonts w:asciiTheme="minorHAnsi" w:hAnsiTheme="minorHAnsi"/>
          <w:lang w:val="bg-BG"/>
        </w:rPr>
      </w:pPr>
    </w:p>
    <w:p w14:paraId="3AEDA489" w14:textId="77777777" w:rsidR="00C61601" w:rsidRPr="00DC2206" w:rsidRDefault="00521963" w:rsidP="0077248E">
      <w:pPr>
        <w:ind w:left="709" w:hanging="709"/>
        <w:jc w:val="both"/>
        <w:rPr>
          <w:rFonts w:asciiTheme="minorHAnsi" w:hAnsiTheme="minorHAnsi"/>
          <w:lang w:val="bg-BG"/>
        </w:rPr>
      </w:pPr>
      <w:r w:rsidRPr="00DC2206">
        <w:rPr>
          <w:rFonts w:asciiTheme="minorHAnsi" w:hAnsiTheme="minorHAnsi"/>
          <w:lang w:val="bg-BG"/>
        </w:rPr>
        <w:t>83.</w:t>
      </w:r>
      <w:r w:rsidR="0077248E" w:rsidRPr="00DC2206">
        <w:rPr>
          <w:rFonts w:asciiTheme="minorHAnsi" w:hAnsiTheme="minorHAnsi"/>
          <w:lang w:val="bg-BG"/>
        </w:rPr>
        <w:tab/>
      </w:r>
      <w:r w:rsidR="00F05D55" w:rsidRPr="00DC2206">
        <w:rPr>
          <w:rFonts w:asciiTheme="minorHAnsi" w:hAnsiTheme="minorHAnsi"/>
          <w:lang w:val="bg-BG"/>
        </w:rPr>
        <w:t>КПЧ</w:t>
      </w:r>
      <w:r w:rsidRPr="00DC2206">
        <w:rPr>
          <w:rFonts w:asciiTheme="minorHAnsi" w:hAnsiTheme="minorHAnsi"/>
          <w:lang w:val="bg-BG"/>
        </w:rPr>
        <w:t xml:space="preserve"> </w:t>
      </w:r>
      <w:r w:rsidR="00FD1355" w:rsidRPr="00DC2206">
        <w:rPr>
          <w:rFonts w:asciiTheme="minorHAnsi" w:hAnsiTheme="minorHAnsi"/>
          <w:lang w:val="bg-BG"/>
        </w:rPr>
        <w:t xml:space="preserve">добавя, че принципът на съдебна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FD1355" w:rsidRPr="00DC2206">
        <w:rPr>
          <w:rFonts w:asciiTheme="minorHAnsi" w:hAnsiTheme="minorHAnsi"/>
          <w:lang w:val="bg-BG"/>
        </w:rPr>
        <w:t>който е съществена гаранция за независимото упражняване на съдебните функции</w:t>
      </w:r>
      <w:r w:rsidRPr="00DC2206">
        <w:rPr>
          <w:rFonts w:asciiTheme="minorHAnsi" w:hAnsiTheme="minorHAnsi"/>
          <w:lang w:val="bg-BG"/>
        </w:rPr>
        <w:t xml:space="preserve">, </w:t>
      </w:r>
      <w:r w:rsidR="00FD1355" w:rsidRPr="00DC2206">
        <w:rPr>
          <w:rFonts w:asciiTheme="minorHAnsi" w:hAnsiTheme="minorHAnsi"/>
          <w:lang w:val="bg-BG"/>
        </w:rPr>
        <w:t xml:space="preserve">изисква съдиите и </w:t>
      </w:r>
      <w:r w:rsidR="00A0730F" w:rsidRPr="00DC2206">
        <w:rPr>
          <w:rFonts w:asciiTheme="minorHAnsi" w:hAnsiTheme="minorHAnsi"/>
          <w:lang w:val="bg-BG"/>
        </w:rPr>
        <w:t>прокурори</w:t>
      </w:r>
      <w:r w:rsidR="00FD1355" w:rsidRPr="00DC2206">
        <w:rPr>
          <w:rFonts w:asciiTheme="minorHAnsi" w:hAnsiTheme="minorHAnsi"/>
          <w:lang w:val="bg-BG"/>
        </w:rPr>
        <w:t>те да могат да тълкуват и прилагат закона и да оценяват фактите и доказателствата свободно</w:t>
      </w:r>
      <w:r w:rsidRPr="00DC2206">
        <w:rPr>
          <w:rFonts w:asciiTheme="minorHAnsi" w:hAnsiTheme="minorHAnsi"/>
          <w:lang w:val="bg-BG"/>
        </w:rPr>
        <w:t xml:space="preserve">, </w:t>
      </w:r>
      <w:r w:rsidR="00FD1355" w:rsidRPr="00DC2206">
        <w:rPr>
          <w:rFonts w:asciiTheme="minorHAnsi" w:hAnsiTheme="minorHAnsi"/>
          <w:lang w:val="bg-BG"/>
        </w:rPr>
        <w:t>без да бъдат подлагани на сплашване</w:t>
      </w:r>
      <w:r w:rsidRPr="00DC2206">
        <w:rPr>
          <w:rFonts w:asciiTheme="minorHAnsi" w:hAnsiTheme="minorHAnsi"/>
          <w:lang w:val="bg-BG"/>
        </w:rPr>
        <w:t xml:space="preserve">, </w:t>
      </w:r>
      <w:r w:rsidR="00FD1355" w:rsidRPr="00DC2206">
        <w:rPr>
          <w:rFonts w:asciiTheme="minorHAnsi" w:hAnsiTheme="minorHAnsi"/>
          <w:lang w:val="bg-BG"/>
        </w:rPr>
        <w:t>възпрепятстване или вмешателство при упражняването на функциите им</w:t>
      </w:r>
      <w:r w:rsidRPr="00DC2206">
        <w:rPr>
          <w:rFonts w:asciiTheme="minorHAnsi" w:hAnsiTheme="minorHAnsi"/>
          <w:lang w:val="bg-BG"/>
        </w:rPr>
        <w:t xml:space="preserve">. </w:t>
      </w:r>
      <w:r w:rsidR="00FD1355" w:rsidRPr="00DC2206">
        <w:rPr>
          <w:rFonts w:asciiTheme="minorHAnsi" w:hAnsiTheme="minorHAnsi"/>
          <w:lang w:val="bg-BG"/>
        </w:rPr>
        <w:t>Съдиите не следва да бъдат подлагани на наказателни или дисциплинарни санкции за съдържанието на техните решения</w:t>
      </w:r>
      <w:r w:rsidRPr="00DC2206">
        <w:rPr>
          <w:rFonts w:asciiTheme="minorHAnsi" w:hAnsiTheme="minorHAnsi"/>
          <w:lang w:val="bg-BG"/>
        </w:rPr>
        <w:t xml:space="preserve">, </w:t>
      </w:r>
      <w:r w:rsidR="00FD1355" w:rsidRPr="00DC2206">
        <w:rPr>
          <w:rFonts w:asciiTheme="minorHAnsi" w:hAnsiTheme="minorHAnsi"/>
          <w:lang w:val="bg-BG"/>
        </w:rPr>
        <w:t>освен в случаи, засягащи сериозни престъпления</w:t>
      </w:r>
      <w:r w:rsidRPr="00DC2206">
        <w:rPr>
          <w:rFonts w:asciiTheme="minorHAnsi" w:hAnsiTheme="minorHAnsi"/>
          <w:lang w:val="bg-BG"/>
        </w:rPr>
        <w:t xml:space="preserve">, </w:t>
      </w:r>
      <w:r w:rsidR="00FD1355" w:rsidRPr="00DC2206">
        <w:rPr>
          <w:rFonts w:asciiTheme="minorHAnsi" w:hAnsiTheme="minorHAnsi"/>
          <w:lang w:val="bg-BG"/>
        </w:rPr>
        <w:t>корупция</w:t>
      </w:r>
      <w:r w:rsidRPr="00DC2206">
        <w:rPr>
          <w:rFonts w:asciiTheme="minorHAnsi" w:hAnsiTheme="minorHAnsi"/>
          <w:lang w:val="bg-BG"/>
        </w:rPr>
        <w:t xml:space="preserve">, </w:t>
      </w:r>
      <w:r w:rsidR="00FD1355" w:rsidRPr="00DC2206">
        <w:rPr>
          <w:rFonts w:asciiTheme="minorHAnsi" w:hAnsiTheme="minorHAnsi"/>
          <w:lang w:val="bg-BG"/>
        </w:rPr>
        <w:t>неправомерно поведение или некомпетентност, които ги правят неподходящи за длъжността</w:t>
      </w:r>
      <w:r w:rsidRPr="00DC2206">
        <w:rPr>
          <w:rFonts w:asciiTheme="minorHAnsi" w:hAnsiTheme="minorHAnsi"/>
          <w:lang w:val="bg-BG"/>
        </w:rPr>
        <w:t xml:space="preserve">; </w:t>
      </w:r>
      <w:r w:rsidR="00FD1355" w:rsidRPr="00DC2206">
        <w:rPr>
          <w:rFonts w:asciiTheme="minorHAnsi" w:hAnsiTheme="minorHAnsi"/>
          <w:lang w:val="bg-BG"/>
        </w:rPr>
        <w:t>в такива случаи</w:t>
      </w:r>
      <w:r w:rsidRPr="00DC2206">
        <w:rPr>
          <w:rFonts w:asciiTheme="minorHAnsi" w:hAnsiTheme="minorHAnsi"/>
          <w:lang w:val="bg-BG"/>
        </w:rPr>
        <w:t xml:space="preserve">, </w:t>
      </w:r>
      <w:r w:rsidR="00FD1355" w:rsidRPr="00DC2206">
        <w:rPr>
          <w:rFonts w:asciiTheme="minorHAnsi" w:hAnsiTheme="minorHAnsi"/>
          <w:lang w:val="bg-BG"/>
        </w:rPr>
        <w:t>това следва да бъде направено в съответствие с процедури, зачитащи гаранциите за справедлив съдебен процес</w:t>
      </w:r>
      <w:r w:rsidRPr="00DC2206">
        <w:rPr>
          <w:rFonts w:asciiTheme="minorHAnsi" w:hAnsiTheme="minorHAnsi"/>
          <w:lang w:val="bg-BG"/>
        </w:rPr>
        <w:t xml:space="preserve">. </w:t>
      </w:r>
      <w:r w:rsidR="00FD1355" w:rsidRPr="00DC2206">
        <w:rPr>
          <w:rFonts w:asciiTheme="minorHAnsi" w:hAnsiTheme="minorHAnsi"/>
          <w:lang w:val="bg-BG"/>
        </w:rPr>
        <w:t>Съдебните грешки следва да бъдат поправяни чрез преглед на решенията от по-висш съд</w:t>
      </w:r>
      <w:r w:rsidR="0077248E" w:rsidRPr="00DC2206">
        <w:rPr>
          <w:rStyle w:val="FootnoteReference"/>
          <w:rFonts w:asciiTheme="minorHAnsi" w:hAnsiTheme="minorHAnsi"/>
          <w:lang w:val="bg-BG"/>
        </w:rPr>
        <w:footnoteReference w:id="114"/>
      </w:r>
      <w:r w:rsidRPr="00DC2206">
        <w:rPr>
          <w:rFonts w:asciiTheme="minorHAnsi" w:hAnsiTheme="minorHAnsi"/>
          <w:lang w:val="bg-BG"/>
        </w:rPr>
        <w:t>.</w:t>
      </w:r>
    </w:p>
    <w:p w14:paraId="49CDF755" w14:textId="77777777" w:rsidR="0077248E" w:rsidRPr="00DC2206" w:rsidRDefault="0077248E" w:rsidP="00732D5B">
      <w:pPr>
        <w:tabs>
          <w:tab w:val="left" w:leader="underscore" w:pos="9111"/>
        </w:tabs>
        <w:ind w:left="709" w:hanging="709"/>
        <w:jc w:val="both"/>
        <w:rPr>
          <w:rFonts w:asciiTheme="minorHAnsi" w:hAnsiTheme="minorHAnsi"/>
          <w:lang w:val="bg-BG"/>
        </w:rPr>
      </w:pPr>
    </w:p>
    <w:tbl>
      <w:tblPr>
        <w:tblStyle w:val="TableGrid"/>
        <w:tblW w:w="0" w:type="auto"/>
        <w:tblLook w:val="04A0" w:firstRow="1" w:lastRow="0" w:firstColumn="1" w:lastColumn="0" w:noHBand="0" w:noVBand="1"/>
      </w:tblPr>
      <w:tblGrid>
        <w:gridCol w:w="9915"/>
      </w:tblGrid>
      <w:tr w:rsidR="00FD1355" w:rsidRPr="00DC2206" w14:paraId="0A9613D9" w14:textId="77777777" w:rsidTr="00FD1355">
        <w:tc>
          <w:tcPr>
            <w:tcW w:w="9915" w:type="dxa"/>
          </w:tcPr>
          <w:p w14:paraId="7D96505E" w14:textId="77777777" w:rsidR="00FD1355" w:rsidRPr="00DC2206" w:rsidRDefault="00FD1355" w:rsidP="00FD1355">
            <w:pPr>
              <w:jc w:val="both"/>
              <w:rPr>
                <w:rFonts w:asciiTheme="minorHAnsi" w:hAnsiTheme="minorHAnsi"/>
                <w:b/>
                <w:lang w:val="bg-BG"/>
              </w:rPr>
            </w:pPr>
            <w:r w:rsidRPr="00DC2206">
              <w:rPr>
                <w:rFonts w:asciiTheme="minorHAnsi" w:hAnsiTheme="minorHAnsi"/>
                <w:b/>
                <w:lang w:val="bg-BG"/>
              </w:rPr>
              <w:t>IV. Заключения</w:t>
            </w:r>
          </w:p>
        </w:tc>
      </w:tr>
    </w:tbl>
    <w:p w14:paraId="3A841C50" w14:textId="77777777" w:rsidR="0077248E" w:rsidRPr="00DC2206" w:rsidRDefault="0077248E" w:rsidP="00732D5B">
      <w:pPr>
        <w:tabs>
          <w:tab w:val="left" w:leader="underscore" w:pos="9111"/>
        </w:tabs>
        <w:ind w:left="709" w:hanging="709"/>
        <w:jc w:val="both"/>
        <w:rPr>
          <w:rFonts w:asciiTheme="minorHAnsi" w:hAnsiTheme="minorHAnsi"/>
          <w:lang w:val="bg-BG"/>
        </w:rPr>
      </w:pPr>
    </w:p>
    <w:p w14:paraId="793EF08A" w14:textId="77777777" w:rsidR="00C61601" w:rsidRPr="00DC2206" w:rsidRDefault="00FD1355" w:rsidP="00FD1355">
      <w:pPr>
        <w:jc w:val="both"/>
        <w:rPr>
          <w:rFonts w:asciiTheme="minorHAnsi" w:hAnsiTheme="minorHAnsi"/>
          <w:b/>
          <w:lang w:val="bg-BG"/>
        </w:rPr>
      </w:pPr>
      <w:r w:rsidRPr="00DC2206">
        <w:rPr>
          <w:rFonts w:asciiTheme="minorHAnsi" w:hAnsiTheme="minorHAnsi"/>
          <w:b/>
          <w:lang w:val="bg-BG"/>
        </w:rPr>
        <w:t>А</w:t>
      </w:r>
      <w:r w:rsidR="00521963" w:rsidRPr="00DC2206">
        <w:rPr>
          <w:rFonts w:asciiTheme="minorHAnsi" w:hAnsiTheme="minorHAnsi"/>
          <w:b/>
          <w:lang w:val="bg-BG"/>
        </w:rPr>
        <w:t xml:space="preserve">. </w:t>
      </w:r>
      <w:r w:rsidRPr="00DC2206">
        <w:rPr>
          <w:rFonts w:asciiTheme="minorHAnsi" w:hAnsiTheme="minorHAnsi"/>
          <w:b/>
          <w:lang w:val="bg-BG"/>
        </w:rPr>
        <w:t xml:space="preserve">Принципи, разработени от </w:t>
      </w:r>
      <w:r w:rsidR="00B90749" w:rsidRPr="00DC2206">
        <w:rPr>
          <w:rFonts w:asciiTheme="minorHAnsi" w:hAnsiTheme="minorHAnsi"/>
          <w:b/>
          <w:lang w:val="bg-BG"/>
        </w:rPr>
        <w:t>КСЕП</w:t>
      </w:r>
      <w:r w:rsidR="00521963" w:rsidRPr="00DC2206">
        <w:rPr>
          <w:rFonts w:asciiTheme="minorHAnsi" w:hAnsiTheme="minorHAnsi"/>
          <w:b/>
          <w:lang w:val="bg-BG"/>
        </w:rPr>
        <w:t xml:space="preserve"> </w:t>
      </w:r>
      <w:r w:rsidRPr="00DC2206">
        <w:rPr>
          <w:rFonts w:asciiTheme="minorHAnsi" w:hAnsiTheme="minorHAnsi"/>
          <w:b/>
          <w:lang w:val="bg-BG"/>
        </w:rPr>
        <w:t xml:space="preserve">по отношение на </w:t>
      </w:r>
      <w:r w:rsidR="00A0730F" w:rsidRPr="00DC2206">
        <w:rPr>
          <w:rFonts w:asciiTheme="minorHAnsi" w:hAnsiTheme="minorHAnsi"/>
          <w:b/>
          <w:lang w:val="bg-BG"/>
        </w:rPr>
        <w:t>независимост</w:t>
      </w:r>
      <w:r w:rsidRPr="00DC2206">
        <w:rPr>
          <w:rFonts w:asciiTheme="minorHAnsi" w:hAnsiTheme="minorHAnsi"/>
          <w:b/>
          <w:lang w:val="bg-BG"/>
        </w:rPr>
        <w:t xml:space="preserve">та на </w:t>
      </w:r>
      <w:r w:rsidR="00A0730F" w:rsidRPr="00DC2206">
        <w:rPr>
          <w:rFonts w:asciiTheme="minorHAnsi" w:hAnsiTheme="minorHAnsi"/>
          <w:b/>
          <w:lang w:val="bg-BG"/>
        </w:rPr>
        <w:t>прокурори</w:t>
      </w:r>
      <w:r w:rsidRPr="00DC2206">
        <w:rPr>
          <w:rFonts w:asciiTheme="minorHAnsi" w:hAnsiTheme="minorHAnsi"/>
          <w:b/>
          <w:lang w:val="bg-BG"/>
        </w:rPr>
        <w:t xml:space="preserve">те и </w:t>
      </w:r>
      <w:r w:rsidR="00A1456B" w:rsidRPr="00DC2206">
        <w:rPr>
          <w:rFonts w:asciiTheme="minorHAnsi" w:hAnsiTheme="minorHAnsi"/>
          <w:b/>
          <w:lang w:val="bg-BG"/>
        </w:rPr>
        <w:t>прокуратури</w:t>
      </w:r>
      <w:r w:rsidRPr="00DC2206">
        <w:rPr>
          <w:rFonts w:asciiTheme="minorHAnsi" w:hAnsiTheme="minorHAnsi"/>
          <w:b/>
          <w:lang w:val="bg-BG"/>
        </w:rPr>
        <w:t>те</w:t>
      </w:r>
    </w:p>
    <w:p w14:paraId="7E9EE945" w14:textId="77777777" w:rsidR="00FD1355" w:rsidRPr="00DC2206" w:rsidRDefault="00FD1355" w:rsidP="00FD1355">
      <w:pPr>
        <w:jc w:val="both"/>
        <w:rPr>
          <w:rFonts w:asciiTheme="minorHAnsi" w:hAnsiTheme="minorHAnsi"/>
          <w:lang w:val="bg-BG"/>
        </w:rPr>
      </w:pPr>
    </w:p>
    <w:p w14:paraId="3168081C"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1.</w:t>
      </w:r>
      <w:r w:rsidR="00C335CD" w:rsidRPr="00DC2206">
        <w:rPr>
          <w:rFonts w:asciiTheme="minorHAnsi" w:hAnsiTheme="minorHAnsi"/>
          <w:lang w:val="bg-BG"/>
        </w:rPr>
        <w:tab/>
      </w:r>
      <w:r w:rsidR="00B90749" w:rsidRPr="00DC2206">
        <w:rPr>
          <w:rFonts w:asciiTheme="minorHAnsi" w:hAnsiTheme="minorHAnsi"/>
          <w:lang w:val="bg-BG"/>
        </w:rPr>
        <w:t>КСЕП</w:t>
      </w:r>
      <w:r w:rsidRPr="00DC2206">
        <w:rPr>
          <w:rFonts w:asciiTheme="minorHAnsi" w:hAnsiTheme="minorHAnsi"/>
          <w:lang w:val="bg-BG"/>
        </w:rPr>
        <w:t xml:space="preserve"> </w:t>
      </w:r>
      <w:r w:rsidR="0006181B">
        <w:rPr>
          <w:rFonts w:asciiTheme="minorHAnsi" w:hAnsiTheme="minorHAnsi"/>
          <w:lang w:val="bg-BG"/>
        </w:rPr>
        <w:t xml:space="preserve">е разработил в своите предишни становища следните ключови елементи на </w:t>
      </w:r>
      <w:r w:rsidR="00A0730F" w:rsidRPr="00DC2206">
        <w:rPr>
          <w:rFonts w:asciiTheme="minorHAnsi" w:hAnsiTheme="minorHAnsi"/>
          <w:lang w:val="bg-BG"/>
        </w:rPr>
        <w:lastRenderedPageBreak/>
        <w:t>независимост</w:t>
      </w:r>
      <w:r w:rsidR="0006181B">
        <w:rPr>
          <w:rFonts w:asciiTheme="minorHAnsi" w:hAnsiTheme="minorHAnsi"/>
          <w:lang w:val="bg-BG"/>
        </w:rPr>
        <w:t>та</w:t>
      </w:r>
      <w:r w:rsidRPr="00DC2206">
        <w:rPr>
          <w:rFonts w:asciiTheme="minorHAnsi" w:hAnsiTheme="minorHAnsi"/>
          <w:lang w:val="bg-BG"/>
        </w:rPr>
        <w:t xml:space="preserve"> </w:t>
      </w:r>
      <w:r w:rsidR="0006181B">
        <w:rPr>
          <w:rFonts w:asciiTheme="minorHAnsi" w:hAnsiTheme="minorHAnsi"/>
          <w:lang w:val="bg-BG"/>
        </w:rPr>
        <w:t xml:space="preserve">на </w:t>
      </w:r>
      <w:r w:rsidR="00A0730F" w:rsidRPr="00DC2206">
        <w:rPr>
          <w:rFonts w:asciiTheme="minorHAnsi" w:hAnsiTheme="minorHAnsi"/>
          <w:lang w:val="bg-BG"/>
        </w:rPr>
        <w:t>прокурори</w:t>
      </w:r>
      <w:r w:rsidR="0006181B">
        <w:rPr>
          <w:rFonts w:asciiTheme="minorHAnsi" w:hAnsiTheme="minorHAnsi"/>
          <w:lang w:val="bg-BG"/>
        </w:rPr>
        <w:t xml:space="preserve">те и </w:t>
      </w:r>
      <w:r w:rsidR="00A1456B" w:rsidRPr="00DC2206">
        <w:rPr>
          <w:rFonts w:asciiTheme="minorHAnsi" w:hAnsiTheme="minorHAnsi"/>
          <w:lang w:val="bg-BG"/>
        </w:rPr>
        <w:t>прокуратури</w:t>
      </w:r>
      <w:r w:rsidR="0006181B">
        <w:rPr>
          <w:rFonts w:asciiTheme="minorHAnsi" w:hAnsiTheme="minorHAnsi"/>
          <w:lang w:val="bg-BG"/>
        </w:rPr>
        <w:t>те</w:t>
      </w:r>
      <w:r w:rsidRPr="00DC2206">
        <w:rPr>
          <w:rFonts w:asciiTheme="minorHAnsi" w:hAnsiTheme="minorHAnsi"/>
          <w:lang w:val="bg-BG"/>
        </w:rPr>
        <w:t>:</w:t>
      </w:r>
    </w:p>
    <w:p w14:paraId="7F0BE060" w14:textId="77777777" w:rsidR="00C61601" w:rsidRPr="00DC2206" w:rsidRDefault="00C61601" w:rsidP="00732D5B">
      <w:pPr>
        <w:ind w:left="709" w:hanging="709"/>
        <w:jc w:val="both"/>
        <w:rPr>
          <w:rFonts w:asciiTheme="minorHAnsi" w:hAnsiTheme="minorHAnsi"/>
          <w:lang w:val="bg-BG"/>
        </w:rPr>
      </w:pPr>
    </w:p>
    <w:p w14:paraId="05ABCAA6" w14:textId="77777777" w:rsidR="00C61601" w:rsidRPr="00DC2206" w:rsidRDefault="00521963" w:rsidP="00FD1355">
      <w:pPr>
        <w:ind w:left="1134" w:hanging="425"/>
        <w:jc w:val="both"/>
        <w:rPr>
          <w:rFonts w:asciiTheme="minorHAnsi" w:hAnsiTheme="minorHAnsi"/>
          <w:lang w:val="bg-BG"/>
        </w:rPr>
      </w:pPr>
      <w:r w:rsidRPr="00DC2206">
        <w:rPr>
          <w:rFonts w:asciiTheme="minorHAnsi" w:hAnsiTheme="minorHAnsi"/>
          <w:lang w:val="bg-BG" w:eastAsia="bg-BG" w:bidi="bg-BG"/>
        </w:rPr>
        <w:t>•</w:t>
      </w:r>
      <w:r w:rsidRPr="00DC2206">
        <w:rPr>
          <w:rFonts w:asciiTheme="minorHAnsi" w:hAnsiTheme="minorHAnsi"/>
          <w:lang w:val="bg-BG" w:eastAsia="bg-BG" w:bidi="bg-BG"/>
        </w:rPr>
        <w:tab/>
      </w:r>
      <w:r w:rsidR="00A0730F" w:rsidRPr="00DC2206">
        <w:rPr>
          <w:rFonts w:asciiTheme="minorHAnsi" w:hAnsiTheme="minorHAnsi"/>
          <w:lang w:val="bg-BG"/>
        </w:rPr>
        <w:t>прокурори</w:t>
      </w:r>
      <w:r w:rsidR="00FD1355" w:rsidRPr="00DC2206">
        <w:rPr>
          <w:rFonts w:asciiTheme="minorHAnsi" w:hAnsiTheme="minorHAnsi"/>
          <w:lang w:val="bg-BG"/>
        </w:rPr>
        <w:t>те</w:t>
      </w:r>
      <w:r w:rsidR="00B93D44" w:rsidRPr="00DC2206">
        <w:rPr>
          <w:rFonts w:asciiTheme="minorHAnsi" w:hAnsiTheme="minorHAnsi"/>
          <w:lang w:val="bg-BG"/>
        </w:rPr>
        <w:t xml:space="preserve"> не трябва да бъдат обект на незаконно вмешателство при изпълнението на задълженията им и политически натиск или незаконно влияние от какъвто и да е вид</w:t>
      </w:r>
      <w:r w:rsidRPr="00DC2206">
        <w:rPr>
          <w:rFonts w:asciiTheme="minorHAnsi" w:hAnsiTheme="minorHAnsi"/>
          <w:lang w:val="bg-BG"/>
        </w:rPr>
        <w:t xml:space="preserve">, </w:t>
      </w:r>
      <w:r w:rsidR="00B93D44" w:rsidRPr="00DC2206">
        <w:rPr>
          <w:rFonts w:asciiTheme="minorHAnsi" w:hAnsiTheme="minorHAnsi"/>
          <w:lang w:val="bg-BG"/>
        </w:rPr>
        <w:t>включително когато действат извън сферата на наказателното право</w:t>
      </w:r>
      <w:r w:rsidRPr="00DC2206">
        <w:rPr>
          <w:rFonts w:asciiTheme="minorHAnsi" w:hAnsiTheme="minorHAnsi"/>
          <w:lang w:val="bg-BG"/>
        </w:rPr>
        <w:t xml:space="preserve">, </w:t>
      </w:r>
      <w:r w:rsidR="00B93D44" w:rsidRPr="00DC2206">
        <w:rPr>
          <w:rFonts w:asciiTheme="minorHAnsi" w:hAnsiTheme="minorHAnsi"/>
          <w:lang w:val="bg-BG"/>
        </w:rPr>
        <w:t>за да се осигури пълно зачитане и прилагане на правото и на принципите на върховенството на закона</w:t>
      </w:r>
      <w:r w:rsidRPr="00DC2206">
        <w:rPr>
          <w:rFonts w:asciiTheme="minorHAnsi" w:hAnsiTheme="minorHAnsi"/>
          <w:lang w:val="bg-BG"/>
        </w:rPr>
        <w:t>;</w:t>
      </w:r>
    </w:p>
    <w:p w14:paraId="2A89FAE1" w14:textId="77777777" w:rsidR="00FD1355" w:rsidRPr="00DC2206" w:rsidRDefault="00FD1355" w:rsidP="00FD1355">
      <w:pPr>
        <w:ind w:left="1134" w:hanging="425"/>
        <w:jc w:val="both"/>
        <w:rPr>
          <w:rFonts w:asciiTheme="minorHAnsi" w:hAnsiTheme="minorHAnsi"/>
          <w:lang w:val="bg-BG"/>
        </w:rPr>
      </w:pPr>
    </w:p>
    <w:p w14:paraId="0A6A428A" w14:textId="77777777" w:rsidR="00C61601" w:rsidRPr="00DC2206" w:rsidRDefault="00521963" w:rsidP="00FD1355">
      <w:pPr>
        <w:ind w:left="1134" w:hanging="425"/>
        <w:jc w:val="both"/>
        <w:rPr>
          <w:rFonts w:asciiTheme="minorHAnsi" w:hAnsiTheme="minorHAnsi"/>
          <w:lang w:val="bg-BG"/>
        </w:rPr>
      </w:pPr>
      <w:r w:rsidRPr="00DC2206">
        <w:rPr>
          <w:rFonts w:asciiTheme="minorHAnsi" w:hAnsiTheme="minorHAnsi"/>
          <w:lang w:val="bg-BG"/>
        </w:rPr>
        <w:t>•</w:t>
      </w:r>
      <w:r w:rsidRPr="00DC2206">
        <w:rPr>
          <w:rFonts w:asciiTheme="minorHAnsi" w:hAnsiTheme="minorHAnsi"/>
          <w:lang w:val="bg-BG"/>
        </w:rPr>
        <w:tab/>
      </w:r>
      <w:r w:rsidR="000F04C2" w:rsidRPr="00DC2206">
        <w:rPr>
          <w:rFonts w:asciiTheme="minorHAnsi" w:hAnsiTheme="minorHAnsi"/>
          <w:lang w:val="bg-BG"/>
        </w:rPr>
        <w:t>трябва да бъде установена съответна правна рамка</w:t>
      </w:r>
      <w:r w:rsidRPr="00DC2206">
        <w:rPr>
          <w:rFonts w:asciiTheme="minorHAnsi" w:hAnsiTheme="minorHAnsi"/>
          <w:lang w:val="bg-BG"/>
        </w:rPr>
        <w:t xml:space="preserve">, </w:t>
      </w:r>
      <w:r w:rsidR="000F04C2" w:rsidRPr="00DC2206">
        <w:rPr>
          <w:rFonts w:asciiTheme="minorHAnsi" w:hAnsiTheme="minorHAnsi"/>
          <w:lang w:val="bg-BG"/>
        </w:rPr>
        <w:t xml:space="preserve">като тази за </w:t>
      </w:r>
      <w:r w:rsidR="00A0730F" w:rsidRPr="00DC2206">
        <w:rPr>
          <w:rFonts w:asciiTheme="minorHAnsi" w:hAnsiTheme="minorHAnsi"/>
          <w:lang w:val="bg-BG"/>
        </w:rPr>
        <w:t>съдебната власт</w:t>
      </w:r>
      <w:r w:rsidR="00AD0F37">
        <w:rPr>
          <w:rFonts w:asciiTheme="minorHAnsi" w:hAnsiTheme="minorHAnsi"/>
          <w:lang w:val="bg-BG"/>
        </w:rPr>
        <w:t xml:space="preserve"> (съдиите)</w:t>
      </w:r>
      <w:r w:rsidRPr="00DC2206">
        <w:rPr>
          <w:rFonts w:asciiTheme="minorHAnsi" w:hAnsiTheme="minorHAnsi"/>
          <w:lang w:val="bg-BG"/>
        </w:rPr>
        <w:t xml:space="preserve">, </w:t>
      </w:r>
      <w:r w:rsidR="000F04C2" w:rsidRPr="00DC2206">
        <w:rPr>
          <w:rFonts w:asciiTheme="minorHAnsi" w:hAnsiTheme="minorHAnsi"/>
          <w:lang w:val="bg-BG"/>
        </w:rPr>
        <w:t>уреждаща статута</w:t>
      </w:r>
      <w:r w:rsidRPr="00DC2206">
        <w:rPr>
          <w:rFonts w:asciiTheme="minorHAnsi" w:hAnsiTheme="minorHAnsi"/>
          <w:lang w:val="bg-BG"/>
        </w:rPr>
        <w:t xml:space="preserve">, </w:t>
      </w:r>
      <w:r w:rsidR="00A0730F" w:rsidRPr="00DC2206">
        <w:rPr>
          <w:rFonts w:asciiTheme="minorHAnsi" w:hAnsiTheme="minorHAnsi"/>
          <w:lang w:val="bg-BG"/>
        </w:rPr>
        <w:t>независимост</w:t>
      </w:r>
      <w:r w:rsidR="000F04C2" w:rsidRPr="00DC2206">
        <w:rPr>
          <w:rFonts w:asciiTheme="minorHAnsi" w:hAnsiTheme="minorHAnsi"/>
          <w:lang w:val="bg-BG"/>
        </w:rPr>
        <w:t>та</w:t>
      </w:r>
      <w:r w:rsidRPr="00DC2206">
        <w:rPr>
          <w:rFonts w:asciiTheme="minorHAnsi" w:hAnsiTheme="minorHAnsi"/>
          <w:lang w:val="bg-BG"/>
        </w:rPr>
        <w:t xml:space="preserve">, </w:t>
      </w:r>
      <w:r w:rsidR="000F04C2" w:rsidRPr="00DC2206">
        <w:rPr>
          <w:rFonts w:asciiTheme="minorHAnsi" w:hAnsiTheme="minorHAnsi"/>
          <w:lang w:val="bg-BG"/>
        </w:rPr>
        <w:t>на</w:t>
      </w:r>
      <w:r w:rsidR="00AD0F37">
        <w:rPr>
          <w:rFonts w:asciiTheme="minorHAnsi" w:hAnsiTheme="minorHAnsi"/>
          <w:lang w:val="bg-BG"/>
        </w:rPr>
        <w:t>значаването</w:t>
      </w:r>
      <w:r w:rsidRPr="00DC2206">
        <w:rPr>
          <w:rFonts w:asciiTheme="minorHAnsi" w:hAnsiTheme="minorHAnsi"/>
          <w:lang w:val="bg-BG"/>
        </w:rPr>
        <w:t xml:space="preserve">, </w:t>
      </w:r>
      <w:r w:rsidR="000F04C2" w:rsidRPr="00DC2206">
        <w:rPr>
          <w:rFonts w:asciiTheme="minorHAnsi" w:hAnsiTheme="minorHAnsi"/>
          <w:lang w:val="bg-BG"/>
        </w:rPr>
        <w:t xml:space="preserve">мандата и кариерното развитие на </w:t>
      </w:r>
      <w:r w:rsidR="00A0730F" w:rsidRPr="00DC2206">
        <w:rPr>
          <w:rFonts w:asciiTheme="minorHAnsi" w:hAnsiTheme="minorHAnsi"/>
          <w:lang w:val="bg-BG"/>
        </w:rPr>
        <w:t>прокурори</w:t>
      </w:r>
      <w:r w:rsidR="000F04C2" w:rsidRPr="00DC2206">
        <w:rPr>
          <w:rFonts w:asciiTheme="minorHAnsi" w:hAnsiTheme="minorHAnsi"/>
          <w:lang w:val="bg-BG"/>
        </w:rPr>
        <w:t>те въз основа на прозрачни и обективни критерии</w:t>
      </w:r>
      <w:r w:rsidRPr="00DC2206">
        <w:rPr>
          <w:rFonts w:asciiTheme="minorHAnsi" w:hAnsiTheme="minorHAnsi"/>
          <w:lang w:val="bg-BG"/>
        </w:rPr>
        <w:t>;</w:t>
      </w:r>
    </w:p>
    <w:p w14:paraId="29874F79" w14:textId="77777777" w:rsidR="00FD1355" w:rsidRPr="00DC2206" w:rsidRDefault="00FD1355" w:rsidP="00FD1355">
      <w:pPr>
        <w:ind w:left="1134" w:hanging="425"/>
        <w:jc w:val="both"/>
        <w:rPr>
          <w:rFonts w:asciiTheme="minorHAnsi" w:hAnsiTheme="minorHAnsi"/>
          <w:lang w:val="bg-BG"/>
        </w:rPr>
      </w:pPr>
    </w:p>
    <w:p w14:paraId="4700964B" w14:textId="77777777" w:rsidR="00C61601" w:rsidRPr="00DC2206" w:rsidRDefault="00521963" w:rsidP="00FD1355">
      <w:pPr>
        <w:ind w:left="1134" w:hanging="425"/>
        <w:jc w:val="both"/>
        <w:rPr>
          <w:rFonts w:asciiTheme="minorHAnsi" w:hAnsiTheme="minorHAnsi"/>
          <w:lang w:val="bg-BG"/>
        </w:rPr>
      </w:pPr>
      <w:r w:rsidRPr="00DC2206">
        <w:rPr>
          <w:rFonts w:asciiTheme="minorHAnsi" w:hAnsiTheme="minorHAnsi"/>
          <w:lang w:val="bg-BG"/>
        </w:rPr>
        <w:t>•</w:t>
      </w:r>
      <w:r w:rsidRPr="00DC2206">
        <w:rPr>
          <w:rFonts w:asciiTheme="minorHAnsi" w:hAnsiTheme="minorHAnsi"/>
          <w:lang w:val="bg-BG"/>
        </w:rPr>
        <w:tab/>
      </w:r>
      <w:r w:rsidR="000F04C2" w:rsidRPr="00DC2206">
        <w:rPr>
          <w:rFonts w:asciiTheme="minorHAnsi" w:hAnsiTheme="minorHAnsi"/>
          <w:lang w:val="bg-BG"/>
        </w:rPr>
        <w:t xml:space="preserve">прокурорите следва да </w:t>
      </w:r>
      <w:r w:rsidR="00AD0F37" w:rsidRPr="00AD0F37">
        <w:rPr>
          <w:rFonts w:asciiTheme="minorHAnsi" w:hAnsiTheme="minorHAnsi"/>
          <w:lang w:val="bg-BG"/>
        </w:rPr>
        <w:t xml:space="preserve">имат възможност да са на такава длъжност </w:t>
      </w:r>
      <w:r w:rsidR="00AD0F37">
        <w:rPr>
          <w:rFonts w:asciiTheme="minorHAnsi" w:hAnsiTheme="minorHAnsi"/>
          <w:lang w:val="bg-BG"/>
        </w:rPr>
        <w:t xml:space="preserve">до </w:t>
      </w:r>
      <w:r w:rsidR="0026783E">
        <w:rPr>
          <w:rFonts w:asciiTheme="minorHAnsi" w:hAnsiTheme="minorHAnsi"/>
          <w:lang w:val="bg-BG"/>
        </w:rPr>
        <w:t>пенсиониране</w:t>
      </w:r>
      <w:r w:rsidR="004D19CF" w:rsidRPr="00DC2206">
        <w:rPr>
          <w:rFonts w:asciiTheme="minorHAnsi" w:hAnsiTheme="minorHAnsi"/>
          <w:lang w:val="bg-BG"/>
        </w:rPr>
        <w:t>, тъй като н</w:t>
      </w:r>
      <w:r w:rsidR="000F04C2" w:rsidRPr="00DC2206">
        <w:rPr>
          <w:rFonts w:asciiTheme="minorHAnsi" w:hAnsiTheme="minorHAnsi"/>
          <w:lang w:val="bg-BG"/>
        </w:rPr>
        <w:t>азначенията за ограничени периоди с въ</w:t>
      </w:r>
      <w:r w:rsidR="004D19CF" w:rsidRPr="00DC2206">
        <w:rPr>
          <w:rFonts w:asciiTheme="minorHAnsi" w:hAnsiTheme="minorHAnsi"/>
          <w:lang w:val="bg-BG"/>
        </w:rPr>
        <w:t>зможността за преназначение крият</w:t>
      </w:r>
      <w:r w:rsidR="000F04C2" w:rsidRPr="00DC2206">
        <w:rPr>
          <w:rFonts w:asciiTheme="minorHAnsi" w:hAnsiTheme="minorHAnsi"/>
          <w:lang w:val="bg-BG"/>
        </w:rPr>
        <w:t xml:space="preserve"> риска прокурорът да взема </w:t>
      </w:r>
      <w:r w:rsidR="00CD3FDB" w:rsidRPr="00DC2206">
        <w:rPr>
          <w:rFonts w:asciiTheme="minorHAnsi" w:hAnsiTheme="minorHAnsi"/>
          <w:lang w:val="bg-BG"/>
        </w:rPr>
        <w:t>пристрастн</w:t>
      </w:r>
      <w:r w:rsidR="00CD3FDB">
        <w:rPr>
          <w:rFonts w:asciiTheme="minorHAnsi" w:hAnsiTheme="minorHAnsi"/>
          <w:lang w:val="bg-BG"/>
        </w:rPr>
        <w:t>о</w:t>
      </w:r>
      <w:r w:rsidR="00CD3FDB" w:rsidRPr="00DC2206">
        <w:rPr>
          <w:rFonts w:asciiTheme="minorHAnsi" w:hAnsiTheme="minorHAnsi"/>
          <w:lang w:val="bg-BG"/>
        </w:rPr>
        <w:t xml:space="preserve"> </w:t>
      </w:r>
      <w:r w:rsidR="000F04C2" w:rsidRPr="00DC2206">
        <w:rPr>
          <w:rFonts w:asciiTheme="minorHAnsi" w:hAnsiTheme="minorHAnsi"/>
          <w:lang w:val="bg-BG"/>
        </w:rPr>
        <w:t xml:space="preserve">своите решения </w:t>
      </w:r>
      <w:r w:rsidR="004D19CF" w:rsidRPr="00DC2206">
        <w:rPr>
          <w:rFonts w:asciiTheme="minorHAnsi" w:hAnsiTheme="minorHAnsi"/>
          <w:lang w:val="bg-BG"/>
        </w:rPr>
        <w:t>в зависимост от приоритетите на назначаващите органи</w:t>
      </w:r>
      <w:r w:rsidRPr="00DC2206">
        <w:rPr>
          <w:rFonts w:asciiTheme="minorHAnsi" w:hAnsiTheme="minorHAnsi"/>
          <w:lang w:val="bg-BG"/>
        </w:rPr>
        <w:t>;</w:t>
      </w:r>
    </w:p>
    <w:p w14:paraId="7C92A411" w14:textId="77777777" w:rsidR="00FD1355" w:rsidRPr="00DC2206" w:rsidRDefault="00FD1355" w:rsidP="00FD1355">
      <w:pPr>
        <w:ind w:left="1134" w:hanging="425"/>
        <w:jc w:val="both"/>
        <w:rPr>
          <w:rFonts w:asciiTheme="minorHAnsi" w:hAnsiTheme="minorHAnsi"/>
          <w:lang w:val="bg-BG"/>
        </w:rPr>
      </w:pPr>
    </w:p>
    <w:p w14:paraId="20AD24CD" w14:textId="77777777" w:rsidR="00C61601" w:rsidRPr="00DC2206" w:rsidRDefault="00521963" w:rsidP="00FD1355">
      <w:pPr>
        <w:ind w:left="1134" w:hanging="425"/>
        <w:jc w:val="both"/>
        <w:rPr>
          <w:rFonts w:asciiTheme="minorHAnsi" w:hAnsiTheme="minorHAnsi"/>
          <w:lang w:val="bg-BG"/>
        </w:rPr>
      </w:pPr>
      <w:r w:rsidRPr="00DC2206">
        <w:rPr>
          <w:rFonts w:asciiTheme="minorHAnsi" w:hAnsiTheme="minorHAnsi"/>
          <w:lang w:val="bg-BG"/>
        </w:rPr>
        <w:t>•</w:t>
      </w:r>
      <w:r w:rsidRPr="00DC2206">
        <w:rPr>
          <w:rFonts w:asciiTheme="minorHAnsi" w:hAnsiTheme="minorHAnsi"/>
          <w:lang w:val="bg-BG"/>
        </w:rPr>
        <w:tab/>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4D19CF" w:rsidRPr="00DC2206">
        <w:rPr>
          <w:rFonts w:asciiTheme="minorHAnsi" w:hAnsiTheme="minorHAnsi"/>
          <w:lang w:val="bg-BG"/>
        </w:rPr>
        <w:t xml:space="preserve">на </w:t>
      </w:r>
      <w:r w:rsidR="00A0730F" w:rsidRPr="00DC2206">
        <w:rPr>
          <w:rFonts w:asciiTheme="minorHAnsi" w:hAnsiTheme="minorHAnsi"/>
          <w:lang w:val="bg-BG"/>
        </w:rPr>
        <w:t>прокурори</w:t>
      </w:r>
      <w:r w:rsidR="004D19CF" w:rsidRPr="00DC2206">
        <w:rPr>
          <w:rFonts w:asciiTheme="minorHAnsi" w:hAnsiTheme="minorHAnsi"/>
          <w:lang w:val="bg-BG"/>
        </w:rPr>
        <w:t xml:space="preserve">те и </w:t>
      </w:r>
      <w:r w:rsidR="00A1456B" w:rsidRPr="00DC2206">
        <w:rPr>
          <w:rFonts w:asciiTheme="minorHAnsi" w:hAnsiTheme="minorHAnsi"/>
          <w:lang w:val="bg-BG"/>
        </w:rPr>
        <w:t>прокуратури</w:t>
      </w:r>
      <w:r w:rsidR="004D19CF" w:rsidRPr="00DC2206">
        <w:rPr>
          <w:rFonts w:asciiTheme="minorHAnsi" w:hAnsiTheme="minorHAnsi"/>
          <w:lang w:val="bg-BG"/>
        </w:rPr>
        <w:t>те</w:t>
      </w:r>
      <w:r w:rsidR="00AD0F37">
        <w:rPr>
          <w:rFonts w:asciiTheme="minorHAnsi" w:hAnsiTheme="minorHAnsi"/>
          <w:lang w:val="bg-BG"/>
        </w:rPr>
        <w:t xml:space="preserve"> </w:t>
      </w:r>
      <w:r w:rsidR="00AD0F37" w:rsidRPr="00AD0F37">
        <w:rPr>
          <w:rFonts w:asciiTheme="minorHAnsi" w:hAnsiTheme="minorHAnsi"/>
          <w:lang w:val="bg-BG"/>
        </w:rPr>
        <w:t>както по отношение</w:t>
      </w:r>
      <w:r w:rsidR="00AD0F37">
        <w:rPr>
          <w:rFonts w:asciiTheme="minorHAnsi" w:hAnsiTheme="minorHAnsi"/>
          <w:lang w:val="bg-BG"/>
        </w:rPr>
        <w:t xml:space="preserve"> на външни, така и на вътрешни (</w:t>
      </w:r>
      <w:r w:rsidR="00AD0F37" w:rsidRPr="00AD0F37">
        <w:rPr>
          <w:rFonts w:asciiTheme="minorHAnsi" w:hAnsiTheme="minorHAnsi"/>
          <w:lang w:val="bg-BG"/>
        </w:rPr>
        <w:t>за системата</w:t>
      </w:r>
      <w:r w:rsidR="00AD0F37">
        <w:rPr>
          <w:rFonts w:asciiTheme="minorHAnsi" w:hAnsiTheme="minorHAnsi"/>
          <w:lang w:val="bg-BG"/>
        </w:rPr>
        <w:t>),</w:t>
      </w:r>
      <w:r w:rsidR="00AD0F37" w:rsidRPr="00AD0F37">
        <w:rPr>
          <w:rFonts w:asciiTheme="minorHAnsi" w:hAnsiTheme="minorHAnsi"/>
          <w:lang w:val="bg-BG"/>
        </w:rPr>
        <w:t xml:space="preserve"> фактори</w:t>
      </w:r>
      <w:r w:rsidR="004D19CF" w:rsidRPr="00DC2206">
        <w:rPr>
          <w:rFonts w:asciiTheme="minorHAnsi" w:hAnsiTheme="minorHAnsi"/>
          <w:lang w:val="bg-BG"/>
        </w:rPr>
        <w:t xml:space="preserve"> следва да бъде гарантирана от независим орган като Прокурорски съвет</w:t>
      </w:r>
      <w:r w:rsidRPr="00DC2206">
        <w:rPr>
          <w:rFonts w:asciiTheme="minorHAnsi" w:hAnsiTheme="minorHAnsi"/>
          <w:lang w:val="bg-BG"/>
        </w:rPr>
        <w:t>;</w:t>
      </w:r>
    </w:p>
    <w:p w14:paraId="2D69936E" w14:textId="77777777" w:rsidR="00FD1355" w:rsidRPr="00DC2206" w:rsidRDefault="00FD1355" w:rsidP="00FD1355">
      <w:pPr>
        <w:ind w:left="1134" w:hanging="425"/>
        <w:jc w:val="both"/>
        <w:rPr>
          <w:rFonts w:asciiTheme="minorHAnsi" w:hAnsiTheme="minorHAnsi"/>
          <w:lang w:val="bg-BG"/>
        </w:rPr>
      </w:pPr>
    </w:p>
    <w:p w14:paraId="4649BD53" w14:textId="77777777" w:rsidR="00C61601" w:rsidRPr="00DC2206" w:rsidRDefault="00521963" w:rsidP="00FD1355">
      <w:pPr>
        <w:ind w:left="1134" w:hanging="425"/>
        <w:jc w:val="both"/>
        <w:rPr>
          <w:rFonts w:asciiTheme="minorHAnsi" w:hAnsiTheme="minorHAnsi"/>
          <w:lang w:val="bg-BG"/>
        </w:rPr>
      </w:pPr>
      <w:r w:rsidRPr="00DC2206">
        <w:rPr>
          <w:rFonts w:asciiTheme="minorHAnsi" w:hAnsiTheme="minorHAnsi"/>
          <w:lang w:val="bg-BG"/>
        </w:rPr>
        <w:t>•</w:t>
      </w:r>
      <w:r w:rsidRPr="00DC2206">
        <w:rPr>
          <w:rFonts w:asciiTheme="minorHAnsi" w:hAnsiTheme="minorHAnsi"/>
          <w:lang w:val="bg-BG"/>
        </w:rPr>
        <w:tab/>
      </w:r>
      <w:r w:rsidR="00AD0F37">
        <w:rPr>
          <w:rFonts w:asciiTheme="minorHAnsi" w:hAnsiTheme="minorHAnsi"/>
          <w:lang w:val="bg-BG"/>
        </w:rPr>
        <w:t>указаниятаа</w:t>
      </w:r>
      <w:r w:rsidR="004D19CF" w:rsidRPr="00DC2206">
        <w:rPr>
          <w:rFonts w:asciiTheme="minorHAnsi" w:hAnsiTheme="minorHAnsi"/>
          <w:lang w:val="bg-BG"/>
        </w:rPr>
        <w:t xml:space="preserve">, давани на </w:t>
      </w:r>
      <w:r w:rsidR="00A0730F" w:rsidRPr="00DC2206">
        <w:rPr>
          <w:rFonts w:asciiTheme="minorHAnsi" w:hAnsiTheme="minorHAnsi"/>
          <w:lang w:val="bg-BG"/>
        </w:rPr>
        <w:t>прокурори</w:t>
      </w:r>
      <w:r w:rsidR="004D19CF" w:rsidRPr="00DC2206">
        <w:rPr>
          <w:rFonts w:asciiTheme="minorHAnsi" w:hAnsiTheme="minorHAnsi"/>
          <w:lang w:val="bg-BG"/>
        </w:rPr>
        <w:t xml:space="preserve">те и на </w:t>
      </w:r>
      <w:r w:rsidR="00A0730F" w:rsidRPr="00DC2206">
        <w:rPr>
          <w:rFonts w:asciiTheme="minorHAnsi" w:hAnsiTheme="minorHAnsi"/>
          <w:lang w:val="bg-BG"/>
        </w:rPr>
        <w:t>прокуратурите</w:t>
      </w:r>
      <w:r w:rsidR="004D19CF" w:rsidRPr="00DC2206">
        <w:rPr>
          <w:rFonts w:asciiTheme="minorHAnsi" w:hAnsiTheme="minorHAnsi"/>
          <w:lang w:val="bg-BG"/>
        </w:rPr>
        <w:t xml:space="preserve"> – както външни, така и вътрешни – следва да бъдат основани на насоки, съдържащи конкретни гаранции, като законност и прозрачност на тези </w:t>
      </w:r>
      <w:r w:rsidR="005326DE">
        <w:rPr>
          <w:rFonts w:asciiTheme="minorHAnsi" w:hAnsiTheme="minorHAnsi"/>
          <w:lang w:val="bg-BG"/>
        </w:rPr>
        <w:t>указания</w:t>
      </w:r>
      <w:r w:rsidRPr="00DC2206">
        <w:rPr>
          <w:rFonts w:asciiTheme="minorHAnsi" w:hAnsiTheme="minorHAnsi"/>
          <w:lang w:val="bg-BG"/>
        </w:rPr>
        <w:t xml:space="preserve">, </w:t>
      </w:r>
      <w:r w:rsidR="004D19CF" w:rsidRPr="00DC2206">
        <w:rPr>
          <w:rFonts w:asciiTheme="minorHAnsi" w:hAnsiTheme="minorHAnsi"/>
          <w:lang w:val="bg-BG"/>
        </w:rPr>
        <w:t>които следва винаги да преследват целта да се прилага закон</w:t>
      </w:r>
      <w:r w:rsidR="00CD3FDB">
        <w:rPr>
          <w:rFonts w:asciiTheme="minorHAnsi" w:hAnsiTheme="minorHAnsi"/>
          <w:lang w:val="bg-BG"/>
        </w:rPr>
        <w:t>ът</w:t>
      </w:r>
      <w:r w:rsidR="004D19CF" w:rsidRPr="00DC2206">
        <w:rPr>
          <w:rFonts w:asciiTheme="minorHAnsi" w:hAnsiTheme="minorHAnsi"/>
          <w:lang w:val="bg-BG"/>
        </w:rPr>
        <w:t>, като същевременно се зачитат правата на човека и основните свободи</w:t>
      </w:r>
      <w:r w:rsidRPr="00DC2206">
        <w:rPr>
          <w:rFonts w:asciiTheme="minorHAnsi" w:hAnsiTheme="minorHAnsi"/>
          <w:lang w:val="bg-BG"/>
        </w:rPr>
        <w:t>;</w:t>
      </w:r>
    </w:p>
    <w:p w14:paraId="15F0F53E" w14:textId="77777777" w:rsidR="00FD1355" w:rsidRPr="00DC2206" w:rsidRDefault="00FD1355" w:rsidP="00FD1355">
      <w:pPr>
        <w:ind w:left="1134" w:hanging="425"/>
        <w:jc w:val="both"/>
        <w:rPr>
          <w:rFonts w:asciiTheme="minorHAnsi" w:hAnsiTheme="minorHAnsi"/>
          <w:lang w:val="bg-BG"/>
        </w:rPr>
      </w:pPr>
    </w:p>
    <w:p w14:paraId="57FD0810" w14:textId="2A2D4E7F" w:rsidR="00C61601" w:rsidRPr="00DC2206" w:rsidRDefault="00521963" w:rsidP="00FD1355">
      <w:pPr>
        <w:ind w:left="1134" w:hanging="425"/>
        <w:jc w:val="both"/>
        <w:rPr>
          <w:rFonts w:asciiTheme="minorHAnsi" w:hAnsiTheme="minorHAnsi"/>
          <w:lang w:val="bg-BG"/>
        </w:rPr>
      </w:pPr>
      <w:r w:rsidRPr="00DC2206">
        <w:rPr>
          <w:rFonts w:asciiTheme="minorHAnsi" w:hAnsiTheme="minorHAnsi"/>
          <w:lang w:val="bg-BG"/>
        </w:rPr>
        <w:t>•</w:t>
      </w:r>
      <w:r w:rsidRPr="00DC2206">
        <w:rPr>
          <w:rFonts w:asciiTheme="minorHAnsi" w:hAnsiTheme="minorHAnsi"/>
          <w:lang w:val="bg-BG"/>
        </w:rPr>
        <w:tab/>
      </w:r>
      <w:r w:rsidR="004D19CF" w:rsidRPr="00DC2206">
        <w:rPr>
          <w:rFonts w:asciiTheme="minorHAnsi" w:hAnsiTheme="minorHAnsi"/>
          <w:lang w:val="bg-BG"/>
        </w:rPr>
        <w:t xml:space="preserve">статутът, възнаграждението и третирането на </w:t>
      </w:r>
      <w:r w:rsidR="00A0730F" w:rsidRPr="00DC2206">
        <w:rPr>
          <w:rFonts w:asciiTheme="minorHAnsi" w:hAnsiTheme="minorHAnsi"/>
          <w:lang w:val="bg-BG"/>
        </w:rPr>
        <w:t>прокурори</w:t>
      </w:r>
      <w:r w:rsidR="004D19CF" w:rsidRPr="00DC2206">
        <w:rPr>
          <w:rFonts w:asciiTheme="minorHAnsi" w:hAnsiTheme="minorHAnsi"/>
          <w:lang w:val="bg-BG"/>
        </w:rPr>
        <w:t>те, както и разпределянето на финансови</w:t>
      </w:r>
      <w:r w:rsidRPr="00DC2206">
        <w:rPr>
          <w:rFonts w:asciiTheme="minorHAnsi" w:hAnsiTheme="minorHAnsi"/>
          <w:lang w:val="bg-BG"/>
        </w:rPr>
        <w:t xml:space="preserve">, </w:t>
      </w:r>
      <w:r w:rsidR="004D19CF" w:rsidRPr="00DC2206">
        <w:rPr>
          <w:rFonts w:asciiTheme="minorHAnsi" w:hAnsiTheme="minorHAnsi"/>
          <w:lang w:val="bg-BG"/>
        </w:rPr>
        <w:t xml:space="preserve">човешки и други ресурси, разпределяни към </w:t>
      </w:r>
      <w:r w:rsidR="00A0730F" w:rsidRPr="00DC2206">
        <w:rPr>
          <w:rFonts w:asciiTheme="minorHAnsi" w:hAnsiTheme="minorHAnsi"/>
          <w:lang w:val="bg-BG"/>
        </w:rPr>
        <w:t>прокуратурите</w:t>
      </w:r>
      <w:r w:rsidR="004D19CF" w:rsidRPr="00DC2206">
        <w:rPr>
          <w:rFonts w:asciiTheme="minorHAnsi" w:hAnsiTheme="minorHAnsi"/>
          <w:lang w:val="bg-BG"/>
        </w:rPr>
        <w:t xml:space="preserve">, следва да бъдат уредени в съответствие с важността на тяхната мисия и работа и </w:t>
      </w:r>
      <w:r w:rsidR="00AD0F37">
        <w:rPr>
          <w:rFonts w:asciiTheme="minorHAnsi" w:hAnsiTheme="minorHAnsi"/>
          <w:lang w:val="bg-BG"/>
        </w:rPr>
        <w:t>така, че да съответстват на</w:t>
      </w:r>
      <w:r w:rsidR="004D19CF" w:rsidRPr="00DC2206">
        <w:rPr>
          <w:rFonts w:asciiTheme="minorHAnsi" w:hAnsiTheme="minorHAnsi"/>
          <w:lang w:val="bg-BG"/>
        </w:rPr>
        <w:t xml:space="preserve"> тези </w:t>
      </w:r>
      <w:r w:rsidR="00CD3FDB">
        <w:rPr>
          <w:rFonts w:asciiTheme="minorHAnsi" w:hAnsiTheme="minorHAnsi"/>
          <w:lang w:val="bg-BG"/>
        </w:rPr>
        <w:t>при</w:t>
      </w:r>
      <w:r w:rsidR="004D19CF" w:rsidRPr="00DC2206">
        <w:rPr>
          <w:rFonts w:asciiTheme="minorHAnsi" w:hAnsiTheme="minorHAnsi"/>
          <w:lang w:val="bg-BG"/>
        </w:rPr>
        <w:t xml:space="preserve"> съдиите</w:t>
      </w:r>
      <w:r w:rsidRPr="00DC2206">
        <w:rPr>
          <w:rFonts w:asciiTheme="minorHAnsi" w:hAnsiTheme="minorHAnsi"/>
          <w:lang w:val="bg-BG"/>
        </w:rPr>
        <w:t>;</w:t>
      </w:r>
    </w:p>
    <w:p w14:paraId="212B4507" w14:textId="77777777" w:rsidR="00FD1355" w:rsidRPr="00DC2206" w:rsidRDefault="00FD1355" w:rsidP="00FD1355">
      <w:pPr>
        <w:ind w:left="1134" w:hanging="425"/>
        <w:jc w:val="both"/>
        <w:rPr>
          <w:rFonts w:asciiTheme="minorHAnsi" w:hAnsiTheme="minorHAnsi"/>
          <w:lang w:val="bg-BG"/>
        </w:rPr>
      </w:pPr>
    </w:p>
    <w:p w14:paraId="1403D0A6" w14:textId="77777777" w:rsidR="00C61601" w:rsidRPr="00DC2206" w:rsidRDefault="00521963" w:rsidP="00FD1355">
      <w:pPr>
        <w:ind w:left="1134" w:hanging="425"/>
        <w:jc w:val="both"/>
        <w:rPr>
          <w:rFonts w:asciiTheme="minorHAnsi" w:hAnsiTheme="minorHAnsi"/>
          <w:lang w:val="bg-BG"/>
        </w:rPr>
      </w:pPr>
      <w:r w:rsidRPr="00DC2206">
        <w:rPr>
          <w:rFonts w:asciiTheme="minorHAnsi" w:hAnsiTheme="minorHAnsi"/>
          <w:lang w:val="bg-BG"/>
        </w:rPr>
        <w:t>•</w:t>
      </w:r>
      <w:r w:rsidRPr="00DC2206">
        <w:rPr>
          <w:rFonts w:asciiTheme="minorHAnsi" w:hAnsiTheme="minorHAnsi"/>
          <w:lang w:val="bg-BG"/>
        </w:rPr>
        <w:tab/>
      </w:r>
      <w:r w:rsidR="00A0730F" w:rsidRPr="00DC2206">
        <w:rPr>
          <w:rFonts w:asciiTheme="minorHAnsi" w:hAnsiTheme="minorHAnsi"/>
          <w:lang w:val="bg-BG"/>
        </w:rPr>
        <w:t>прокурори</w:t>
      </w:r>
      <w:r w:rsidR="004D19CF" w:rsidRPr="00DC2206">
        <w:rPr>
          <w:rFonts w:asciiTheme="minorHAnsi" w:hAnsiTheme="minorHAnsi"/>
          <w:lang w:val="bg-BG"/>
        </w:rPr>
        <w:t>те</w:t>
      </w:r>
      <w:r w:rsidRPr="00DC2206">
        <w:rPr>
          <w:rFonts w:asciiTheme="minorHAnsi" w:hAnsiTheme="minorHAnsi"/>
          <w:lang w:val="bg-BG"/>
        </w:rPr>
        <w:t xml:space="preserve"> </w:t>
      </w:r>
      <w:r w:rsidR="004D19CF" w:rsidRPr="00DC2206">
        <w:rPr>
          <w:rFonts w:asciiTheme="minorHAnsi" w:hAnsiTheme="minorHAnsi"/>
          <w:lang w:val="bg-BG"/>
        </w:rPr>
        <w:t>и</w:t>
      </w:r>
      <w:r w:rsidRPr="00DC2206">
        <w:rPr>
          <w:rFonts w:asciiTheme="minorHAnsi" w:hAnsiTheme="minorHAnsi"/>
          <w:lang w:val="bg-BG"/>
        </w:rPr>
        <w:t xml:space="preserve">, </w:t>
      </w:r>
      <w:r w:rsidR="004D19CF" w:rsidRPr="00DC2206">
        <w:rPr>
          <w:rFonts w:asciiTheme="minorHAnsi" w:hAnsiTheme="minorHAnsi"/>
          <w:lang w:val="bg-BG"/>
        </w:rPr>
        <w:t>където е подходящо</w:t>
      </w:r>
      <w:r w:rsidRPr="00DC2206">
        <w:rPr>
          <w:rFonts w:asciiTheme="minorHAnsi" w:hAnsiTheme="minorHAnsi"/>
          <w:lang w:val="bg-BG"/>
        </w:rPr>
        <w:t xml:space="preserve">, </w:t>
      </w:r>
      <w:r w:rsidR="004D19CF" w:rsidRPr="00DC2206">
        <w:rPr>
          <w:rFonts w:asciiTheme="minorHAnsi" w:hAnsiTheme="minorHAnsi"/>
          <w:lang w:val="bg-BG"/>
        </w:rPr>
        <w:t>членовете на техните семейства и пре</w:t>
      </w:r>
      <w:r w:rsidR="00AD0F37">
        <w:rPr>
          <w:rFonts w:asciiTheme="minorHAnsi" w:hAnsiTheme="minorHAnsi"/>
          <w:lang w:val="bg-BG"/>
        </w:rPr>
        <w:t>питанието</w:t>
      </w:r>
      <w:r w:rsidR="004D19CF" w:rsidRPr="00DC2206">
        <w:rPr>
          <w:rFonts w:asciiTheme="minorHAnsi" w:hAnsiTheme="minorHAnsi"/>
          <w:lang w:val="bg-BG"/>
        </w:rPr>
        <w:t xml:space="preserve"> им трябва да бъдат защитени при изпълнението на функциите им</w:t>
      </w:r>
      <w:r w:rsidRPr="00DC2206">
        <w:rPr>
          <w:rFonts w:asciiTheme="minorHAnsi" w:hAnsiTheme="minorHAnsi"/>
          <w:lang w:val="bg-BG"/>
        </w:rPr>
        <w:t>.</w:t>
      </w:r>
    </w:p>
    <w:p w14:paraId="71681F22" w14:textId="77777777" w:rsidR="00FD1355" w:rsidRPr="00DC2206" w:rsidRDefault="00FD1355" w:rsidP="00732D5B">
      <w:pPr>
        <w:tabs>
          <w:tab w:val="left" w:pos="362"/>
        </w:tabs>
        <w:ind w:left="709" w:hanging="709"/>
        <w:jc w:val="both"/>
        <w:outlineLvl w:val="1"/>
        <w:rPr>
          <w:rFonts w:asciiTheme="minorHAnsi" w:hAnsiTheme="minorHAnsi"/>
          <w:lang w:val="bg-BG"/>
        </w:rPr>
      </w:pPr>
      <w:bookmarkStart w:id="6" w:name="bookmark7"/>
    </w:p>
    <w:p w14:paraId="427F4959" w14:textId="77777777" w:rsidR="00C61601" w:rsidRPr="00DC2206" w:rsidRDefault="00FD1355" w:rsidP="00FD1355">
      <w:pPr>
        <w:tabs>
          <w:tab w:val="left" w:pos="362"/>
        </w:tabs>
        <w:jc w:val="both"/>
        <w:outlineLvl w:val="1"/>
        <w:rPr>
          <w:rFonts w:asciiTheme="minorHAnsi" w:hAnsiTheme="minorHAnsi"/>
          <w:b/>
          <w:lang w:val="bg-BG"/>
        </w:rPr>
      </w:pPr>
      <w:r w:rsidRPr="00DC2206">
        <w:rPr>
          <w:rFonts w:asciiTheme="minorHAnsi" w:hAnsiTheme="minorHAnsi"/>
          <w:b/>
          <w:lang w:val="bg-BG"/>
        </w:rPr>
        <w:t>Б</w:t>
      </w:r>
      <w:r w:rsidR="00521963" w:rsidRPr="00DC2206">
        <w:rPr>
          <w:rFonts w:asciiTheme="minorHAnsi" w:hAnsiTheme="minorHAnsi"/>
          <w:b/>
          <w:lang w:val="bg-BG"/>
        </w:rPr>
        <w:t>.</w:t>
      </w:r>
      <w:r w:rsidR="004D19CF" w:rsidRPr="00DC2206">
        <w:rPr>
          <w:rFonts w:asciiTheme="minorHAnsi" w:hAnsiTheme="minorHAnsi"/>
          <w:b/>
          <w:lang w:val="bg-BG"/>
        </w:rPr>
        <w:t> </w:t>
      </w:r>
      <w:r w:rsidR="00CD3FDB">
        <w:rPr>
          <w:rFonts w:asciiTheme="minorHAnsi" w:hAnsiTheme="minorHAnsi"/>
          <w:b/>
          <w:lang w:val="bg-BG"/>
        </w:rPr>
        <w:t>Обобщение</w:t>
      </w:r>
      <w:r w:rsidR="004D19CF" w:rsidRPr="00DC2206">
        <w:rPr>
          <w:rFonts w:asciiTheme="minorHAnsi" w:hAnsiTheme="minorHAnsi"/>
          <w:b/>
          <w:lang w:val="bg-BG"/>
        </w:rPr>
        <w:t xml:space="preserve"> на относимата практика на </w:t>
      </w:r>
      <w:r w:rsidR="00CD379A" w:rsidRPr="00DC2206">
        <w:rPr>
          <w:rFonts w:asciiTheme="minorHAnsi" w:hAnsiTheme="minorHAnsi"/>
          <w:b/>
          <w:lang w:val="bg-BG"/>
        </w:rPr>
        <w:t>международни</w:t>
      </w:r>
      <w:r w:rsidR="004D19CF" w:rsidRPr="00DC2206">
        <w:rPr>
          <w:rFonts w:asciiTheme="minorHAnsi" w:hAnsiTheme="minorHAnsi"/>
          <w:b/>
          <w:lang w:val="bg-BG"/>
        </w:rPr>
        <w:t>те</w:t>
      </w:r>
      <w:r w:rsidR="00CD379A" w:rsidRPr="00DC2206">
        <w:rPr>
          <w:rFonts w:asciiTheme="minorHAnsi" w:hAnsiTheme="minorHAnsi"/>
          <w:b/>
          <w:lang w:val="bg-BG"/>
        </w:rPr>
        <w:t xml:space="preserve"> съдилища</w:t>
      </w:r>
      <w:r w:rsidR="00521963" w:rsidRPr="00DC2206">
        <w:rPr>
          <w:rFonts w:asciiTheme="minorHAnsi" w:hAnsiTheme="minorHAnsi"/>
          <w:b/>
          <w:lang w:val="bg-BG"/>
        </w:rPr>
        <w:t xml:space="preserve"> </w:t>
      </w:r>
      <w:r w:rsidR="004D19CF" w:rsidRPr="00DC2206">
        <w:rPr>
          <w:rFonts w:asciiTheme="minorHAnsi" w:hAnsiTheme="minorHAnsi"/>
          <w:b/>
          <w:lang w:val="bg-BG"/>
        </w:rPr>
        <w:t xml:space="preserve">и </w:t>
      </w:r>
      <w:r w:rsidR="00D46B76">
        <w:rPr>
          <w:rFonts w:asciiTheme="minorHAnsi" w:hAnsiTheme="minorHAnsi"/>
          <w:b/>
          <w:lang w:val="bg-BG"/>
        </w:rPr>
        <w:t>органите, учредени с международни договори,</w:t>
      </w:r>
      <w:r w:rsidR="004D19CF" w:rsidRPr="00DC2206">
        <w:rPr>
          <w:rFonts w:asciiTheme="minorHAnsi" w:hAnsiTheme="minorHAnsi"/>
          <w:b/>
          <w:lang w:val="bg-BG"/>
        </w:rPr>
        <w:t xml:space="preserve"> по отношение на </w:t>
      </w:r>
      <w:r w:rsidR="00A0730F" w:rsidRPr="00DC2206">
        <w:rPr>
          <w:rFonts w:asciiTheme="minorHAnsi" w:hAnsiTheme="minorHAnsi"/>
          <w:b/>
          <w:lang w:val="bg-BG"/>
        </w:rPr>
        <w:t>независимостта</w:t>
      </w:r>
      <w:r w:rsidR="00521963" w:rsidRPr="00DC2206">
        <w:rPr>
          <w:rFonts w:asciiTheme="minorHAnsi" w:hAnsiTheme="minorHAnsi"/>
          <w:b/>
          <w:lang w:val="bg-BG"/>
        </w:rPr>
        <w:t xml:space="preserve"> </w:t>
      </w:r>
      <w:r w:rsidR="004D19CF" w:rsidRPr="00DC2206">
        <w:rPr>
          <w:rFonts w:asciiTheme="minorHAnsi" w:hAnsiTheme="minorHAnsi"/>
          <w:b/>
          <w:lang w:val="bg-BG"/>
        </w:rPr>
        <w:t xml:space="preserve">на </w:t>
      </w:r>
      <w:r w:rsidR="00A0730F" w:rsidRPr="00DC2206">
        <w:rPr>
          <w:rFonts w:asciiTheme="minorHAnsi" w:hAnsiTheme="minorHAnsi"/>
          <w:b/>
          <w:lang w:val="bg-BG"/>
        </w:rPr>
        <w:t>съдебната власт</w:t>
      </w:r>
      <w:r w:rsidR="00521963" w:rsidRPr="00DC2206">
        <w:rPr>
          <w:rFonts w:asciiTheme="minorHAnsi" w:hAnsiTheme="minorHAnsi"/>
          <w:b/>
          <w:lang w:val="bg-BG"/>
        </w:rPr>
        <w:t xml:space="preserve"> </w:t>
      </w:r>
      <w:r w:rsidR="004D19CF" w:rsidRPr="00DC2206">
        <w:rPr>
          <w:rFonts w:asciiTheme="minorHAnsi" w:hAnsiTheme="minorHAnsi"/>
          <w:b/>
          <w:lang w:val="bg-BG"/>
        </w:rPr>
        <w:t xml:space="preserve">като цяло и по-специално на </w:t>
      </w:r>
      <w:r w:rsidR="00A0730F" w:rsidRPr="00DC2206">
        <w:rPr>
          <w:rFonts w:asciiTheme="minorHAnsi" w:hAnsiTheme="minorHAnsi"/>
          <w:b/>
          <w:lang w:val="bg-BG"/>
        </w:rPr>
        <w:t>прокурори</w:t>
      </w:r>
      <w:r w:rsidR="004D19CF" w:rsidRPr="00DC2206">
        <w:rPr>
          <w:rFonts w:asciiTheme="minorHAnsi" w:hAnsiTheme="minorHAnsi"/>
          <w:b/>
          <w:lang w:val="bg-BG"/>
        </w:rPr>
        <w:t>те</w:t>
      </w:r>
      <w:r w:rsidR="00521963" w:rsidRPr="00DC2206">
        <w:rPr>
          <w:rFonts w:asciiTheme="minorHAnsi" w:hAnsiTheme="minorHAnsi"/>
          <w:b/>
          <w:lang w:val="bg-BG"/>
        </w:rPr>
        <w:t xml:space="preserve"> </w:t>
      </w:r>
      <w:r w:rsidR="004D19CF" w:rsidRPr="00DC2206">
        <w:rPr>
          <w:rFonts w:asciiTheme="minorHAnsi" w:hAnsiTheme="minorHAnsi"/>
          <w:b/>
          <w:lang w:val="bg-BG"/>
        </w:rPr>
        <w:t xml:space="preserve">и </w:t>
      </w:r>
      <w:r w:rsidR="00A1456B" w:rsidRPr="00DC2206">
        <w:rPr>
          <w:rFonts w:asciiTheme="minorHAnsi" w:hAnsiTheme="minorHAnsi"/>
          <w:b/>
          <w:lang w:val="bg-BG"/>
        </w:rPr>
        <w:t>прокуратури</w:t>
      </w:r>
      <w:r w:rsidR="004D19CF" w:rsidRPr="00DC2206">
        <w:rPr>
          <w:rFonts w:asciiTheme="minorHAnsi" w:hAnsiTheme="minorHAnsi"/>
          <w:b/>
          <w:lang w:val="bg-BG"/>
        </w:rPr>
        <w:t>те</w:t>
      </w:r>
      <w:bookmarkEnd w:id="6"/>
    </w:p>
    <w:p w14:paraId="282DA7B0" w14:textId="77777777" w:rsidR="00FD1355" w:rsidRPr="00DC2206" w:rsidRDefault="00FD1355" w:rsidP="00732D5B">
      <w:pPr>
        <w:ind w:left="709" w:hanging="709"/>
        <w:jc w:val="both"/>
        <w:rPr>
          <w:rFonts w:asciiTheme="minorHAnsi" w:hAnsiTheme="minorHAnsi"/>
          <w:lang w:val="bg-BG"/>
        </w:rPr>
      </w:pPr>
    </w:p>
    <w:p w14:paraId="7A86C1EE"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2.</w:t>
      </w:r>
      <w:r w:rsidR="00FD1355" w:rsidRPr="00DC2206">
        <w:rPr>
          <w:rFonts w:asciiTheme="minorHAnsi" w:hAnsiTheme="minorHAnsi"/>
          <w:lang w:val="bg-BG"/>
        </w:rPr>
        <w:tab/>
      </w:r>
      <w:r w:rsidR="004D19CF" w:rsidRPr="00DC2206">
        <w:rPr>
          <w:rFonts w:asciiTheme="minorHAnsi" w:hAnsiTheme="minorHAnsi"/>
          <w:lang w:val="bg-BG"/>
        </w:rPr>
        <w:t>Правото на независим и безпристрастен съд е основна ценност на върховенството на закона и е закрепено в основните международни и регионални правни актове</w:t>
      </w:r>
      <w:r w:rsidRPr="00DC2206">
        <w:rPr>
          <w:rFonts w:asciiTheme="minorHAnsi" w:hAnsiTheme="minorHAnsi"/>
          <w:lang w:val="bg-BG"/>
        </w:rPr>
        <w:t xml:space="preserve">, </w:t>
      </w:r>
      <w:r w:rsidR="004D19CF" w:rsidRPr="00DC2206">
        <w:rPr>
          <w:rFonts w:asciiTheme="minorHAnsi" w:hAnsiTheme="minorHAnsi"/>
          <w:lang w:val="bg-BG"/>
        </w:rPr>
        <w:t xml:space="preserve">като гарантира зачитането на правата на човека и основните свободи и е от жизнено </w:t>
      </w:r>
      <w:r w:rsidR="00CD3FDB" w:rsidRPr="00DC2206">
        <w:rPr>
          <w:rFonts w:asciiTheme="minorHAnsi" w:hAnsiTheme="minorHAnsi"/>
          <w:lang w:val="bg-BG"/>
        </w:rPr>
        <w:t>значение</w:t>
      </w:r>
      <w:r w:rsidR="004D19CF" w:rsidRPr="00DC2206">
        <w:rPr>
          <w:rFonts w:asciiTheme="minorHAnsi" w:hAnsiTheme="minorHAnsi"/>
          <w:lang w:val="bg-BG"/>
        </w:rPr>
        <w:t xml:space="preserve"> за осигуряването на обществено доверие в правосъдната система в едно </w:t>
      </w:r>
      <w:r w:rsidR="00AD3702" w:rsidRPr="00DC2206">
        <w:rPr>
          <w:rFonts w:asciiTheme="minorHAnsi" w:hAnsiTheme="minorHAnsi"/>
          <w:lang w:val="bg-BG"/>
        </w:rPr>
        <w:t>демократично общество</w:t>
      </w:r>
      <w:r w:rsidRPr="00DC2206">
        <w:rPr>
          <w:rFonts w:asciiTheme="minorHAnsi" w:hAnsiTheme="minorHAnsi"/>
          <w:lang w:val="bg-BG"/>
        </w:rPr>
        <w:t xml:space="preserve">. </w:t>
      </w:r>
      <w:r w:rsidR="004D19CF" w:rsidRPr="00DC2206">
        <w:rPr>
          <w:rFonts w:asciiTheme="minorHAnsi" w:hAnsiTheme="minorHAnsi"/>
          <w:lang w:val="bg-BG"/>
        </w:rPr>
        <w:t xml:space="preserve">По това право има богата и утвърдена практика на </w:t>
      </w:r>
      <w:r w:rsidR="00CD379A" w:rsidRPr="00DC2206">
        <w:rPr>
          <w:rFonts w:asciiTheme="minorHAnsi" w:hAnsiTheme="minorHAnsi"/>
          <w:lang w:val="bg-BG"/>
        </w:rPr>
        <w:t>международни</w:t>
      </w:r>
      <w:r w:rsidR="004D19CF" w:rsidRPr="00DC2206">
        <w:rPr>
          <w:rFonts w:asciiTheme="minorHAnsi" w:hAnsiTheme="minorHAnsi"/>
          <w:lang w:val="bg-BG"/>
        </w:rPr>
        <w:t>те</w:t>
      </w:r>
      <w:r w:rsidR="00CD379A" w:rsidRPr="00DC2206">
        <w:rPr>
          <w:rFonts w:asciiTheme="minorHAnsi" w:hAnsiTheme="minorHAnsi"/>
          <w:lang w:val="bg-BG"/>
        </w:rPr>
        <w:t xml:space="preserve"> съдилища</w:t>
      </w:r>
      <w:r w:rsidRPr="00DC2206">
        <w:rPr>
          <w:rFonts w:asciiTheme="minorHAnsi" w:hAnsiTheme="minorHAnsi"/>
          <w:lang w:val="bg-BG"/>
        </w:rPr>
        <w:t xml:space="preserve"> </w:t>
      </w:r>
      <w:r w:rsidR="004D19CF" w:rsidRPr="00DC2206">
        <w:rPr>
          <w:rFonts w:asciiTheme="minorHAnsi" w:hAnsiTheme="minorHAnsi"/>
          <w:lang w:val="bg-BG"/>
        </w:rPr>
        <w:t xml:space="preserve">и </w:t>
      </w:r>
      <w:r w:rsidR="00D46B76">
        <w:rPr>
          <w:rFonts w:asciiTheme="minorHAnsi" w:hAnsiTheme="minorHAnsi"/>
          <w:lang w:val="bg-BG"/>
        </w:rPr>
        <w:t>органите, учредени с международни договори</w:t>
      </w:r>
      <w:r w:rsidRPr="00DC2206">
        <w:rPr>
          <w:rFonts w:asciiTheme="minorHAnsi" w:hAnsiTheme="minorHAnsi"/>
          <w:lang w:val="bg-BG"/>
        </w:rPr>
        <w:t>.</w:t>
      </w:r>
    </w:p>
    <w:p w14:paraId="1ECAD41B" w14:textId="77777777" w:rsidR="004D19CF" w:rsidRPr="00DC2206" w:rsidRDefault="004D19CF" w:rsidP="00732D5B">
      <w:pPr>
        <w:ind w:left="709" w:hanging="709"/>
        <w:jc w:val="both"/>
        <w:rPr>
          <w:rFonts w:asciiTheme="minorHAnsi" w:hAnsiTheme="minorHAnsi"/>
          <w:lang w:val="bg-BG"/>
        </w:rPr>
      </w:pPr>
    </w:p>
    <w:p w14:paraId="6637C109"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3.</w:t>
      </w:r>
      <w:r w:rsidR="004D19CF" w:rsidRPr="00DC2206">
        <w:rPr>
          <w:rFonts w:asciiTheme="minorHAnsi" w:hAnsiTheme="minorHAnsi"/>
          <w:lang w:val="bg-BG"/>
        </w:rPr>
        <w:tab/>
        <w:t>В тази практика</w:t>
      </w:r>
      <w:r w:rsidRPr="00DC2206">
        <w:rPr>
          <w:rFonts w:asciiTheme="minorHAnsi" w:hAnsiTheme="minorHAnsi"/>
          <w:lang w:val="bg-BG"/>
        </w:rPr>
        <w:t xml:space="preserve">,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4D19CF" w:rsidRPr="00DC2206">
        <w:rPr>
          <w:rFonts w:asciiTheme="minorHAnsi" w:hAnsiTheme="minorHAnsi"/>
          <w:lang w:val="bg-BG"/>
        </w:rPr>
        <w:t xml:space="preserve">на </w:t>
      </w:r>
      <w:r w:rsidR="00A0730F" w:rsidRPr="00DC2206">
        <w:rPr>
          <w:rFonts w:asciiTheme="minorHAnsi" w:hAnsiTheme="minorHAnsi"/>
          <w:lang w:val="bg-BG"/>
        </w:rPr>
        <w:t>съдебната власт</w:t>
      </w:r>
      <w:r w:rsidRPr="00DC2206">
        <w:rPr>
          <w:rFonts w:asciiTheme="minorHAnsi" w:hAnsiTheme="minorHAnsi"/>
          <w:lang w:val="bg-BG"/>
        </w:rPr>
        <w:t xml:space="preserve"> </w:t>
      </w:r>
      <w:r w:rsidR="004D19CF" w:rsidRPr="00DC2206">
        <w:rPr>
          <w:rFonts w:asciiTheme="minorHAnsi" w:hAnsiTheme="minorHAnsi"/>
          <w:lang w:val="bg-BG"/>
        </w:rPr>
        <w:t xml:space="preserve">е задълбочено изследвана и тя съдържа също така препратки към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4D19CF" w:rsidRPr="00DC2206">
        <w:rPr>
          <w:rFonts w:asciiTheme="minorHAnsi" w:hAnsiTheme="minorHAnsi"/>
          <w:lang w:val="bg-BG"/>
        </w:rPr>
        <w:t xml:space="preserve">и </w:t>
      </w:r>
      <w:r w:rsidR="00A0730F" w:rsidRPr="00DC2206">
        <w:rPr>
          <w:rFonts w:asciiTheme="minorHAnsi" w:hAnsiTheme="minorHAnsi"/>
          <w:lang w:val="bg-BG"/>
        </w:rPr>
        <w:t>автономия</w:t>
      </w:r>
      <w:r w:rsidR="004D19CF" w:rsidRPr="00DC2206">
        <w:rPr>
          <w:rFonts w:asciiTheme="minorHAnsi" w:hAnsiTheme="minorHAnsi"/>
          <w:lang w:val="bg-BG"/>
        </w:rPr>
        <w:t xml:space="preserve">та на </w:t>
      </w:r>
      <w:r w:rsidR="00A0730F" w:rsidRPr="00DC2206">
        <w:rPr>
          <w:rFonts w:asciiTheme="minorHAnsi" w:hAnsiTheme="minorHAnsi"/>
          <w:lang w:val="bg-BG"/>
        </w:rPr>
        <w:t>прокуратурите</w:t>
      </w:r>
      <w:r w:rsidRPr="00DC2206">
        <w:rPr>
          <w:rFonts w:asciiTheme="minorHAnsi" w:hAnsiTheme="minorHAnsi"/>
          <w:lang w:val="bg-BG"/>
        </w:rPr>
        <w:t xml:space="preserve">. </w:t>
      </w:r>
      <w:r w:rsidR="004D19CF" w:rsidRPr="00DC2206">
        <w:rPr>
          <w:rFonts w:asciiTheme="minorHAnsi" w:hAnsiTheme="minorHAnsi"/>
          <w:lang w:val="bg-BG"/>
        </w:rPr>
        <w:t xml:space="preserve">Тъй като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4D19CF" w:rsidRPr="00DC2206">
        <w:rPr>
          <w:rFonts w:asciiTheme="minorHAnsi" w:hAnsiTheme="minorHAnsi"/>
          <w:lang w:val="bg-BG"/>
        </w:rPr>
        <w:t xml:space="preserve">и </w:t>
      </w:r>
      <w:r w:rsidR="00A0730F" w:rsidRPr="00DC2206">
        <w:rPr>
          <w:rFonts w:asciiTheme="minorHAnsi" w:hAnsiTheme="minorHAnsi"/>
          <w:lang w:val="bg-BG"/>
        </w:rPr>
        <w:t>автономия</w:t>
      </w:r>
      <w:r w:rsidR="004D19CF" w:rsidRPr="00DC2206">
        <w:rPr>
          <w:rFonts w:asciiTheme="minorHAnsi" w:hAnsiTheme="minorHAnsi"/>
          <w:lang w:val="bg-BG"/>
        </w:rPr>
        <w:t xml:space="preserve">та на </w:t>
      </w:r>
      <w:r w:rsidR="00A0730F" w:rsidRPr="00DC2206">
        <w:rPr>
          <w:rFonts w:asciiTheme="minorHAnsi" w:hAnsiTheme="minorHAnsi"/>
          <w:lang w:val="bg-BG"/>
        </w:rPr>
        <w:t>прокуратурите</w:t>
      </w:r>
      <w:r w:rsidRPr="00DC2206">
        <w:rPr>
          <w:rFonts w:asciiTheme="minorHAnsi" w:hAnsiTheme="minorHAnsi"/>
          <w:lang w:val="bg-BG"/>
        </w:rPr>
        <w:t xml:space="preserve"> </w:t>
      </w:r>
      <w:r w:rsidR="004D19CF" w:rsidRPr="00DC2206">
        <w:rPr>
          <w:rFonts w:asciiTheme="minorHAnsi" w:hAnsiTheme="minorHAnsi"/>
          <w:lang w:val="bg-BG"/>
        </w:rPr>
        <w:t>представлява</w:t>
      </w:r>
      <w:r w:rsidRPr="00DC2206">
        <w:rPr>
          <w:rFonts w:asciiTheme="minorHAnsi" w:hAnsiTheme="minorHAnsi"/>
          <w:lang w:val="bg-BG"/>
        </w:rPr>
        <w:t xml:space="preserve">, </w:t>
      </w:r>
      <w:r w:rsidR="004D19CF" w:rsidRPr="00DC2206">
        <w:rPr>
          <w:rFonts w:asciiTheme="minorHAnsi" w:hAnsiTheme="minorHAnsi"/>
          <w:lang w:val="bg-BG"/>
        </w:rPr>
        <w:t xml:space="preserve">според </w:t>
      </w:r>
      <w:r w:rsidR="00B90749" w:rsidRPr="00DC2206">
        <w:rPr>
          <w:rFonts w:asciiTheme="minorHAnsi" w:hAnsiTheme="minorHAnsi"/>
          <w:lang w:val="bg-BG"/>
        </w:rPr>
        <w:t>КСЕП</w:t>
      </w:r>
      <w:r w:rsidRPr="00DC2206">
        <w:rPr>
          <w:rFonts w:asciiTheme="minorHAnsi" w:hAnsiTheme="minorHAnsi"/>
          <w:lang w:val="bg-BG"/>
        </w:rPr>
        <w:t xml:space="preserve">, </w:t>
      </w:r>
      <w:r w:rsidR="00D43C8F" w:rsidRPr="00DC2206">
        <w:rPr>
          <w:rFonts w:asciiTheme="minorHAnsi" w:hAnsiTheme="minorHAnsi"/>
          <w:lang w:val="bg-BG"/>
        </w:rPr>
        <w:t>неизбежна естествена последица от независимостта на съдебната власт</w:t>
      </w:r>
      <w:r w:rsidRPr="00DC2206">
        <w:rPr>
          <w:rFonts w:asciiTheme="minorHAnsi" w:hAnsiTheme="minorHAnsi"/>
          <w:lang w:val="bg-BG"/>
        </w:rPr>
        <w:t xml:space="preserve">, </w:t>
      </w:r>
      <w:r w:rsidR="00D43C8F" w:rsidRPr="00DC2206">
        <w:rPr>
          <w:rFonts w:asciiTheme="minorHAnsi" w:hAnsiTheme="minorHAnsi"/>
          <w:lang w:val="bg-BG"/>
        </w:rPr>
        <w:t xml:space="preserve">насоките, </w:t>
      </w:r>
      <w:r w:rsidR="00D43C8F" w:rsidRPr="00DC2206">
        <w:rPr>
          <w:rFonts w:asciiTheme="minorHAnsi" w:hAnsiTheme="minorHAnsi"/>
          <w:lang w:val="bg-BG"/>
        </w:rPr>
        <w:lastRenderedPageBreak/>
        <w:t xml:space="preserve">предоставяни от съответните международни решения във връзка със </w:t>
      </w:r>
      <w:r w:rsidR="00A0730F" w:rsidRPr="00DC2206">
        <w:rPr>
          <w:rFonts w:asciiTheme="minorHAnsi" w:hAnsiTheme="minorHAnsi"/>
          <w:lang w:val="bg-BG"/>
        </w:rPr>
        <w:t>съдебната власт</w:t>
      </w:r>
      <w:r w:rsidR="00D43C8F" w:rsidRPr="00DC2206">
        <w:rPr>
          <w:rFonts w:asciiTheme="minorHAnsi" w:hAnsiTheme="minorHAnsi"/>
          <w:lang w:val="bg-BG"/>
        </w:rPr>
        <w:t xml:space="preserve">, могат да бъдат приложими в определена степен </w:t>
      </w:r>
      <w:r w:rsidR="008420E4" w:rsidRPr="00DC2206">
        <w:rPr>
          <w:rFonts w:asciiTheme="minorHAnsi" w:hAnsiTheme="minorHAnsi"/>
          <w:lang w:val="bg-BG"/>
        </w:rPr>
        <w:t>съответно</w:t>
      </w:r>
      <w:r w:rsidRPr="00DC2206">
        <w:rPr>
          <w:rFonts w:asciiTheme="minorHAnsi" w:hAnsiTheme="minorHAnsi"/>
          <w:lang w:val="bg-BG"/>
        </w:rPr>
        <w:t xml:space="preserve"> </w:t>
      </w:r>
      <w:r w:rsidR="00D43C8F" w:rsidRPr="00DC2206">
        <w:rPr>
          <w:rFonts w:asciiTheme="minorHAnsi" w:hAnsiTheme="minorHAnsi"/>
          <w:lang w:val="bg-BG"/>
        </w:rPr>
        <w:t xml:space="preserve">спрямо </w:t>
      </w:r>
      <w:r w:rsidR="00A0730F" w:rsidRPr="00DC2206">
        <w:rPr>
          <w:rFonts w:asciiTheme="minorHAnsi" w:hAnsiTheme="minorHAnsi"/>
          <w:lang w:val="bg-BG"/>
        </w:rPr>
        <w:t>прокуратурите</w:t>
      </w:r>
      <w:r w:rsidRPr="00DC2206">
        <w:rPr>
          <w:rFonts w:asciiTheme="minorHAnsi" w:hAnsiTheme="minorHAnsi"/>
          <w:lang w:val="bg-BG"/>
        </w:rPr>
        <w:t>.</w:t>
      </w:r>
    </w:p>
    <w:p w14:paraId="03F55D13" w14:textId="77777777" w:rsidR="004D19CF" w:rsidRPr="00DC2206" w:rsidRDefault="004D19CF" w:rsidP="00732D5B">
      <w:pPr>
        <w:ind w:left="709" w:hanging="709"/>
        <w:jc w:val="both"/>
        <w:rPr>
          <w:rFonts w:asciiTheme="minorHAnsi" w:hAnsiTheme="minorHAnsi"/>
          <w:lang w:val="bg-BG"/>
        </w:rPr>
      </w:pPr>
    </w:p>
    <w:p w14:paraId="77005D78"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4.</w:t>
      </w:r>
      <w:r w:rsidR="004D19CF" w:rsidRPr="00DC2206">
        <w:rPr>
          <w:rFonts w:asciiTheme="minorHAnsi" w:hAnsiTheme="minorHAnsi"/>
          <w:lang w:val="bg-BG"/>
        </w:rPr>
        <w:tab/>
      </w:r>
      <w:r w:rsidR="00D43C8F" w:rsidRPr="00DC2206">
        <w:rPr>
          <w:rFonts w:asciiTheme="minorHAnsi" w:hAnsiTheme="minorHAnsi"/>
          <w:lang w:val="bg-BG"/>
        </w:rPr>
        <w:t>Системите на наказателно правораздаване</w:t>
      </w:r>
      <w:r w:rsidRPr="00DC2206">
        <w:rPr>
          <w:rFonts w:asciiTheme="minorHAnsi" w:hAnsiTheme="minorHAnsi"/>
          <w:lang w:val="bg-BG"/>
        </w:rPr>
        <w:t xml:space="preserve">, </w:t>
      </w:r>
      <w:r w:rsidR="00D43C8F" w:rsidRPr="00DC2206">
        <w:rPr>
          <w:rFonts w:asciiTheme="minorHAnsi" w:hAnsiTheme="minorHAnsi"/>
          <w:lang w:val="bg-BG"/>
        </w:rPr>
        <w:t>имащи своите корени в различни правни култури</w:t>
      </w:r>
      <w:r w:rsidRPr="00DC2206">
        <w:rPr>
          <w:rFonts w:asciiTheme="minorHAnsi" w:hAnsiTheme="minorHAnsi"/>
          <w:lang w:val="bg-BG"/>
        </w:rPr>
        <w:t xml:space="preserve">, </w:t>
      </w:r>
      <w:r w:rsidR="00D43C8F" w:rsidRPr="00DC2206">
        <w:rPr>
          <w:rFonts w:asciiTheme="minorHAnsi" w:hAnsiTheme="minorHAnsi"/>
          <w:lang w:val="bg-BG"/>
        </w:rPr>
        <w:t>са различни в различните части на Европа</w:t>
      </w:r>
      <w:r w:rsidRPr="00DC2206">
        <w:rPr>
          <w:rFonts w:asciiTheme="minorHAnsi" w:hAnsiTheme="minorHAnsi"/>
          <w:lang w:val="bg-BG"/>
        </w:rPr>
        <w:t xml:space="preserve">. </w:t>
      </w:r>
      <w:r w:rsidR="00D43C8F" w:rsidRPr="00DC2206">
        <w:rPr>
          <w:rFonts w:asciiTheme="minorHAnsi" w:hAnsiTheme="minorHAnsi"/>
          <w:lang w:val="bg-BG"/>
        </w:rPr>
        <w:t>Независимо от разликите</w:t>
      </w:r>
      <w:r w:rsidRPr="00DC2206">
        <w:rPr>
          <w:rFonts w:asciiTheme="minorHAnsi" w:hAnsiTheme="minorHAnsi"/>
          <w:lang w:val="bg-BG"/>
        </w:rPr>
        <w:t xml:space="preserve">, </w:t>
      </w:r>
      <w:r w:rsidR="00D43C8F" w:rsidRPr="00DC2206">
        <w:rPr>
          <w:rFonts w:asciiTheme="minorHAnsi" w:hAnsiTheme="minorHAnsi"/>
          <w:lang w:val="bg-BG"/>
        </w:rPr>
        <w:t xml:space="preserve">през последните години се появява важен фактор за сближаване, основан на </w:t>
      </w:r>
      <w:r w:rsidR="00AD1FEF" w:rsidRPr="00DC2206">
        <w:rPr>
          <w:rFonts w:asciiTheme="minorHAnsi" w:hAnsiTheme="minorHAnsi"/>
          <w:lang w:val="bg-BG"/>
        </w:rPr>
        <w:t>изискване</w:t>
      </w:r>
      <w:r w:rsidR="00D43C8F" w:rsidRPr="00DC2206">
        <w:rPr>
          <w:rFonts w:asciiTheme="minorHAnsi" w:hAnsiTheme="minorHAnsi"/>
          <w:lang w:val="bg-BG"/>
        </w:rPr>
        <w:t xml:space="preserve">то за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D43C8F" w:rsidRPr="00DC2206">
        <w:rPr>
          <w:rFonts w:asciiTheme="minorHAnsi" w:hAnsiTheme="minorHAnsi"/>
          <w:lang w:val="bg-BG"/>
        </w:rPr>
        <w:t xml:space="preserve">на </w:t>
      </w:r>
      <w:r w:rsidR="00A0730F" w:rsidRPr="00DC2206">
        <w:rPr>
          <w:rFonts w:asciiTheme="minorHAnsi" w:hAnsiTheme="minorHAnsi"/>
          <w:lang w:val="bg-BG"/>
        </w:rPr>
        <w:t>прокуратурите</w:t>
      </w:r>
      <w:r w:rsidRPr="00DC2206">
        <w:rPr>
          <w:rFonts w:asciiTheme="minorHAnsi" w:hAnsiTheme="minorHAnsi"/>
          <w:lang w:val="bg-BG"/>
        </w:rPr>
        <w:t xml:space="preserve"> </w:t>
      </w:r>
      <w:r w:rsidR="00D43C8F" w:rsidRPr="00DC2206">
        <w:rPr>
          <w:rFonts w:asciiTheme="minorHAnsi" w:hAnsiTheme="minorHAnsi"/>
          <w:lang w:val="bg-BG"/>
        </w:rPr>
        <w:t xml:space="preserve">като предпоставка за върховенството на закона </w:t>
      </w:r>
      <w:r w:rsidR="001D151B" w:rsidRPr="00DC2206">
        <w:rPr>
          <w:rFonts w:asciiTheme="minorHAnsi" w:hAnsiTheme="minorHAnsi"/>
          <w:lang w:val="bg-BG"/>
        </w:rPr>
        <w:t xml:space="preserve">и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1D151B" w:rsidRPr="00DC2206">
        <w:rPr>
          <w:rFonts w:asciiTheme="minorHAnsi" w:hAnsiTheme="minorHAnsi"/>
          <w:lang w:val="bg-BG"/>
        </w:rPr>
        <w:t xml:space="preserve">на </w:t>
      </w:r>
      <w:r w:rsidR="00A0730F" w:rsidRPr="00DC2206">
        <w:rPr>
          <w:rFonts w:asciiTheme="minorHAnsi" w:hAnsiTheme="minorHAnsi"/>
          <w:lang w:val="bg-BG"/>
        </w:rPr>
        <w:t>съдебната власт</w:t>
      </w:r>
      <w:r w:rsidRPr="00DC2206">
        <w:rPr>
          <w:rFonts w:asciiTheme="minorHAnsi" w:hAnsiTheme="minorHAnsi"/>
          <w:lang w:val="bg-BG"/>
        </w:rPr>
        <w:t>.</w:t>
      </w:r>
    </w:p>
    <w:p w14:paraId="640EADF1" w14:textId="77777777" w:rsidR="004D19CF" w:rsidRPr="00DC2206" w:rsidRDefault="004D19CF" w:rsidP="00732D5B">
      <w:pPr>
        <w:tabs>
          <w:tab w:val="left" w:pos="551"/>
        </w:tabs>
        <w:ind w:left="709" w:hanging="709"/>
        <w:jc w:val="both"/>
        <w:rPr>
          <w:rFonts w:asciiTheme="minorHAnsi" w:hAnsiTheme="minorHAnsi"/>
          <w:lang w:val="bg-BG"/>
        </w:rPr>
      </w:pPr>
    </w:p>
    <w:p w14:paraId="2233DF61" w14:textId="77777777" w:rsidR="00C61601" w:rsidRPr="00DC2206" w:rsidRDefault="00521963" w:rsidP="004D19CF">
      <w:pPr>
        <w:ind w:left="709" w:hanging="709"/>
        <w:jc w:val="both"/>
        <w:rPr>
          <w:rFonts w:asciiTheme="minorHAnsi" w:hAnsiTheme="minorHAnsi"/>
          <w:lang w:val="bg-BG"/>
        </w:rPr>
      </w:pPr>
      <w:r w:rsidRPr="00DC2206">
        <w:rPr>
          <w:rFonts w:asciiTheme="minorHAnsi" w:hAnsiTheme="minorHAnsi"/>
          <w:lang w:val="bg-BG"/>
        </w:rPr>
        <w:t>5.</w:t>
      </w:r>
      <w:r w:rsidR="004D19CF" w:rsidRPr="00DC2206">
        <w:rPr>
          <w:rFonts w:asciiTheme="minorHAnsi" w:hAnsiTheme="minorHAnsi"/>
          <w:lang w:val="bg-BG"/>
        </w:rPr>
        <w:tab/>
      </w:r>
      <w:r w:rsidR="001D151B" w:rsidRPr="00DC2206">
        <w:rPr>
          <w:rFonts w:asciiTheme="minorHAnsi" w:hAnsiTheme="minorHAnsi"/>
          <w:lang w:val="bg-BG"/>
        </w:rPr>
        <w:t xml:space="preserve">Практиката на </w:t>
      </w:r>
      <w:r w:rsidR="001C1676" w:rsidRPr="00DC2206">
        <w:rPr>
          <w:rFonts w:asciiTheme="minorHAnsi" w:hAnsiTheme="minorHAnsi"/>
          <w:lang w:val="bg-BG"/>
        </w:rPr>
        <w:t>Европейския съд по правата на човека</w:t>
      </w:r>
      <w:r w:rsidRPr="00DC2206">
        <w:rPr>
          <w:rFonts w:asciiTheme="minorHAnsi" w:hAnsiTheme="minorHAnsi"/>
          <w:lang w:val="bg-BG"/>
        </w:rPr>
        <w:t xml:space="preserve"> </w:t>
      </w:r>
      <w:r w:rsidR="001D151B" w:rsidRPr="00DC2206">
        <w:rPr>
          <w:rFonts w:asciiTheme="minorHAnsi" w:hAnsiTheme="minorHAnsi"/>
          <w:lang w:val="bg-BG"/>
        </w:rPr>
        <w:t xml:space="preserve">подчертава, че в едно </w:t>
      </w:r>
      <w:r w:rsidR="00AD3702" w:rsidRPr="00DC2206">
        <w:rPr>
          <w:rFonts w:asciiTheme="minorHAnsi" w:hAnsiTheme="minorHAnsi"/>
          <w:lang w:val="bg-BG"/>
        </w:rPr>
        <w:t>демократично общество</w:t>
      </w:r>
      <w:r w:rsidRPr="00DC2206">
        <w:rPr>
          <w:rFonts w:asciiTheme="minorHAnsi" w:hAnsiTheme="minorHAnsi"/>
          <w:lang w:val="bg-BG"/>
        </w:rPr>
        <w:t xml:space="preserve">, </w:t>
      </w:r>
      <w:r w:rsidR="001D151B" w:rsidRPr="00DC2206">
        <w:rPr>
          <w:rFonts w:asciiTheme="minorHAnsi" w:hAnsiTheme="minorHAnsi"/>
          <w:lang w:val="bg-BG"/>
        </w:rPr>
        <w:t>и съдилищата и разследващите органи трябва да останат свободни от политически натиск</w:t>
      </w:r>
      <w:r w:rsidRPr="00DC2206">
        <w:rPr>
          <w:rFonts w:asciiTheme="minorHAnsi" w:hAnsiTheme="minorHAnsi"/>
          <w:lang w:val="bg-BG"/>
        </w:rPr>
        <w:t xml:space="preserve">. </w:t>
      </w:r>
      <w:r w:rsidR="001D151B" w:rsidRPr="00DC2206">
        <w:rPr>
          <w:rFonts w:asciiTheme="minorHAnsi" w:hAnsiTheme="minorHAnsi"/>
          <w:lang w:val="bg-BG"/>
        </w:rPr>
        <w:t xml:space="preserve">По този начин е в обществен интерес да се поддържа доверие в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1D151B" w:rsidRPr="00DC2206">
        <w:rPr>
          <w:rFonts w:asciiTheme="minorHAnsi" w:hAnsiTheme="minorHAnsi"/>
          <w:lang w:val="bg-BG"/>
        </w:rPr>
        <w:t>и политическата неутралност на прокурорските органи на държавата</w:t>
      </w:r>
      <w:r w:rsidRPr="00DC2206">
        <w:rPr>
          <w:rFonts w:asciiTheme="minorHAnsi" w:hAnsiTheme="minorHAnsi"/>
          <w:lang w:val="bg-BG"/>
        </w:rPr>
        <w:t>.</w:t>
      </w:r>
    </w:p>
    <w:p w14:paraId="3B0D4423" w14:textId="77777777" w:rsidR="004D19CF" w:rsidRPr="00DC2206" w:rsidRDefault="004D19CF" w:rsidP="00732D5B">
      <w:pPr>
        <w:tabs>
          <w:tab w:val="left" w:pos="551"/>
        </w:tabs>
        <w:ind w:left="709" w:hanging="709"/>
        <w:jc w:val="both"/>
        <w:rPr>
          <w:rFonts w:asciiTheme="minorHAnsi" w:hAnsiTheme="minorHAnsi"/>
          <w:lang w:val="bg-BG"/>
        </w:rPr>
      </w:pPr>
    </w:p>
    <w:p w14:paraId="06FBB987" w14:textId="77777777" w:rsidR="00C61601" w:rsidRPr="00DC2206" w:rsidRDefault="00521963" w:rsidP="004D19CF">
      <w:pPr>
        <w:ind w:left="709" w:hanging="709"/>
        <w:jc w:val="both"/>
        <w:rPr>
          <w:rFonts w:asciiTheme="minorHAnsi" w:hAnsiTheme="minorHAnsi"/>
          <w:lang w:val="bg-BG"/>
        </w:rPr>
      </w:pPr>
      <w:r w:rsidRPr="00DC2206">
        <w:rPr>
          <w:rFonts w:asciiTheme="minorHAnsi" w:hAnsiTheme="minorHAnsi"/>
          <w:lang w:val="bg-BG"/>
        </w:rPr>
        <w:t>6.</w:t>
      </w:r>
      <w:r w:rsidR="004D19CF" w:rsidRPr="00DC2206">
        <w:rPr>
          <w:rFonts w:asciiTheme="minorHAnsi" w:hAnsiTheme="minorHAnsi"/>
          <w:lang w:val="bg-BG"/>
        </w:rPr>
        <w:tab/>
      </w:r>
      <w:r w:rsidR="001D151B" w:rsidRPr="00DC2206">
        <w:rPr>
          <w:rFonts w:asciiTheme="minorHAnsi" w:hAnsiTheme="minorHAnsi"/>
          <w:lang w:val="bg-BG"/>
        </w:rPr>
        <w:t>За да бъде ефективно едно разследване</w:t>
      </w:r>
      <w:r w:rsidRPr="00DC2206">
        <w:rPr>
          <w:rFonts w:asciiTheme="minorHAnsi" w:hAnsiTheme="minorHAnsi"/>
          <w:lang w:val="bg-BG"/>
        </w:rPr>
        <w:t xml:space="preserve">, </w:t>
      </w:r>
      <w:r w:rsidR="001D151B" w:rsidRPr="00DC2206">
        <w:rPr>
          <w:rFonts w:asciiTheme="minorHAnsi" w:hAnsiTheme="minorHAnsi"/>
          <w:lang w:val="bg-BG"/>
        </w:rPr>
        <w:t>лицата, които отговарят за извършването на разследването, трябва да са независими и безпристрастни – по закон и на практика</w:t>
      </w:r>
      <w:r w:rsidRPr="00DC2206">
        <w:rPr>
          <w:rFonts w:asciiTheme="minorHAnsi" w:hAnsiTheme="minorHAnsi"/>
          <w:lang w:val="bg-BG"/>
        </w:rPr>
        <w:t xml:space="preserve">. </w:t>
      </w:r>
      <w:r w:rsidR="001D151B" w:rsidRPr="00DC2206">
        <w:rPr>
          <w:rFonts w:asciiTheme="minorHAnsi" w:hAnsiTheme="minorHAnsi"/>
          <w:lang w:val="bg-BG"/>
        </w:rPr>
        <w:t xml:space="preserve">Това означава не само липса на йерархична или институционална връзка с разследваните, но и практическа </w:t>
      </w:r>
      <w:r w:rsidR="00A0730F" w:rsidRPr="00DC2206">
        <w:rPr>
          <w:rFonts w:asciiTheme="minorHAnsi" w:hAnsiTheme="minorHAnsi"/>
          <w:lang w:val="bg-BG"/>
        </w:rPr>
        <w:t>независимост</w:t>
      </w:r>
      <w:r w:rsidRPr="00DC2206">
        <w:rPr>
          <w:rFonts w:asciiTheme="minorHAnsi" w:hAnsiTheme="minorHAnsi"/>
          <w:lang w:val="bg-BG"/>
        </w:rPr>
        <w:t>.</w:t>
      </w:r>
    </w:p>
    <w:p w14:paraId="0209161C" w14:textId="77777777" w:rsidR="004D19CF" w:rsidRPr="00DC2206" w:rsidRDefault="004D19CF" w:rsidP="004D19CF">
      <w:pPr>
        <w:ind w:left="709" w:hanging="709"/>
        <w:jc w:val="both"/>
        <w:rPr>
          <w:rFonts w:asciiTheme="minorHAnsi" w:hAnsiTheme="minorHAnsi"/>
          <w:lang w:val="bg-BG"/>
        </w:rPr>
      </w:pPr>
    </w:p>
    <w:p w14:paraId="31A1EE24" w14:textId="77777777" w:rsidR="00C61601" w:rsidRPr="00DC2206" w:rsidRDefault="00521963" w:rsidP="004D19CF">
      <w:pPr>
        <w:ind w:left="709" w:hanging="709"/>
        <w:jc w:val="both"/>
        <w:rPr>
          <w:rFonts w:asciiTheme="minorHAnsi" w:hAnsiTheme="minorHAnsi"/>
          <w:lang w:val="bg-BG"/>
        </w:rPr>
      </w:pPr>
      <w:r w:rsidRPr="00DC2206">
        <w:rPr>
          <w:rFonts w:asciiTheme="minorHAnsi" w:hAnsiTheme="minorHAnsi"/>
          <w:lang w:val="bg-BG"/>
        </w:rPr>
        <w:t>7.</w:t>
      </w:r>
      <w:r w:rsidRPr="00DC2206">
        <w:rPr>
          <w:rFonts w:asciiTheme="minorHAnsi" w:hAnsiTheme="minorHAnsi"/>
          <w:lang w:val="bg-BG"/>
        </w:rPr>
        <w:tab/>
      </w:r>
      <w:r w:rsidR="001D151B" w:rsidRPr="00DC2206">
        <w:rPr>
          <w:rFonts w:asciiTheme="minorHAnsi" w:hAnsiTheme="minorHAnsi"/>
          <w:lang w:val="bg-BG"/>
        </w:rPr>
        <w:t xml:space="preserve">Общите процесуални гаранции, приложими в държавите членки спрямо наказателното преследване, включват разпоредби, гарантиращи институционалната или функционалната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1D151B" w:rsidRPr="00DC2206">
        <w:rPr>
          <w:rFonts w:asciiTheme="minorHAnsi" w:hAnsiTheme="minorHAnsi"/>
          <w:lang w:val="bg-BG"/>
        </w:rPr>
        <w:t xml:space="preserve">на </w:t>
      </w:r>
      <w:r w:rsidR="00A0730F" w:rsidRPr="00DC2206">
        <w:rPr>
          <w:rFonts w:asciiTheme="minorHAnsi" w:hAnsiTheme="minorHAnsi"/>
          <w:lang w:val="bg-BG"/>
        </w:rPr>
        <w:t>прокурори</w:t>
      </w:r>
      <w:r w:rsidR="001D151B" w:rsidRPr="00DC2206">
        <w:rPr>
          <w:rFonts w:asciiTheme="minorHAnsi" w:hAnsiTheme="minorHAnsi"/>
          <w:lang w:val="bg-BG"/>
        </w:rPr>
        <w:t>те</w:t>
      </w:r>
      <w:r w:rsidRPr="00DC2206">
        <w:rPr>
          <w:rFonts w:asciiTheme="minorHAnsi" w:hAnsiTheme="minorHAnsi"/>
          <w:lang w:val="bg-BG"/>
        </w:rPr>
        <w:t xml:space="preserve">, </w:t>
      </w:r>
      <w:r w:rsidR="001D151B" w:rsidRPr="00DC2206">
        <w:rPr>
          <w:rFonts w:asciiTheme="minorHAnsi" w:hAnsiTheme="minorHAnsi"/>
          <w:lang w:val="bg-BG"/>
        </w:rPr>
        <w:t xml:space="preserve">независимо дали те са членове на </w:t>
      </w:r>
      <w:r w:rsidR="00A0730F" w:rsidRPr="00DC2206">
        <w:rPr>
          <w:rFonts w:asciiTheme="minorHAnsi" w:hAnsiTheme="minorHAnsi"/>
          <w:lang w:val="bg-BG"/>
        </w:rPr>
        <w:t>съдебната власт</w:t>
      </w:r>
      <w:r w:rsidRPr="00DC2206">
        <w:rPr>
          <w:rFonts w:asciiTheme="minorHAnsi" w:hAnsiTheme="minorHAnsi"/>
          <w:lang w:val="bg-BG"/>
        </w:rPr>
        <w:t xml:space="preserve"> </w:t>
      </w:r>
      <w:r w:rsidR="001D151B" w:rsidRPr="00DC2206">
        <w:rPr>
          <w:rFonts w:asciiTheme="minorHAnsi" w:hAnsiTheme="minorHAnsi"/>
          <w:lang w:val="bg-BG"/>
        </w:rPr>
        <w:t>или държавни служители</w:t>
      </w:r>
      <w:r w:rsidRPr="00DC2206">
        <w:rPr>
          <w:rFonts w:asciiTheme="minorHAnsi" w:hAnsiTheme="minorHAnsi"/>
          <w:lang w:val="bg-BG"/>
        </w:rPr>
        <w:t>.</w:t>
      </w:r>
    </w:p>
    <w:p w14:paraId="2C3996E0" w14:textId="77777777" w:rsidR="004D19CF" w:rsidRPr="00DC2206" w:rsidRDefault="004D19CF" w:rsidP="004D19CF">
      <w:pPr>
        <w:ind w:left="709" w:hanging="709"/>
        <w:jc w:val="both"/>
        <w:rPr>
          <w:rFonts w:asciiTheme="minorHAnsi" w:hAnsiTheme="minorHAnsi"/>
          <w:lang w:val="bg-BG"/>
        </w:rPr>
      </w:pPr>
    </w:p>
    <w:p w14:paraId="385DD7E8" w14:textId="77777777" w:rsidR="00C61601" w:rsidRPr="00DC2206" w:rsidRDefault="00521963" w:rsidP="004D19CF">
      <w:pPr>
        <w:ind w:left="709" w:hanging="709"/>
        <w:jc w:val="both"/>
        <w:rPr>
          <w:rFonts w:asciiTheme="minorHAnsi" w:hAnsiTheme="minorHAnsi"/>
          <w:lang w:val="bg-BG"/>
        </w:rPr>
      </w:pPr>
      <w:r w:rsidRPr="00DC2206">
        <w:rPr>
          <w:rFonts w:asciiTheme="minorHAnsi" w:hAnsiTheme="minorHAnsi"/>
          <w:lang w:val="bg-BG"/>
        </w:rPr>
        <w:t>8.</w:t>
      </w:r>
      <w:r w:rsidRPr="00DC2206">
        <w:rPr>
          <w:rFonts w:asciiTheme="minorHAnsi" w:hAnsiTheme="minorHAnsi"/>
          <w:lang w:val="bg-BG"/>
        </w:rPr>
        <w:tab/>
      </w:r>
      <w:r w:rsidR="001D151B" w:rsidRPr="00DC2206">
        <w:rPr>
          <w:rFonts w:asciiTheme="minorHAnsi" w:hAnsiTheme="minorHAnsi"/>
          <w:lang w:val="bg-BG"/>
        </w:rPr>
        <w:t>Системите на прокуратурите в някои държави членки са структурирани йерархично с право на по-</w:t>
      </w:r>
      <w:r w:rsidR="00AD0F37">
        <w:rPr>
          <w:rFonts w:asciiTheme="minorHAnsi" w:hAnsiTheme="minorHAnsi"/>
          <w:lang w:val="bg-BG"/>
        </w:rPr>
        <w:t>горестоящ</w:t>
      </w:r>
      <w:r w:rsidR="001D151B" w:rsidRPr="00DC2206">
        <w:rPr>
          <w:rFonts w:asciiTheme="minorHAnsi" w:hAnsiTheme="minorHAnsi"/>
          <w:lang w:val="bg-BG"/>
        </w:rPr>
        <w:t xml:space="preserve">ите прокурори да дават разпореждания и </w:t>
      </w:r>
      <w:r w:rsidR="00AD0F37">
        <w:rPr>
          <w:rFonts w:asciiTheme="minorHAnsi" w:hAnsiTheme="minorHAnsi"/>
          <w:lang w:val="bg-BG"/>
        </w:rPr>
        <w:t>указания</w:t>
      </w:r>
      <w:r w:rsidR="001D151B" w:rsidRPr="00DC2206">
        <w:rPr>
          <w:rFonts w:asciiTheme="minorHAnsi" w:hAnsiTheme="minorHAnsi"/>
          <w:lang w:val="bg-BG"/>
        </w:rPr>
        <w:t xml:space="preserve"> </w:t>
      </w:r>
      <w:r w:rsidR="009D6976">
        <w:rPr>
          <w:rFonts w:asciiTheme="minorHAnsi" w:hAnsiTheme="minorHAnsi"/>
          <w:lang w:val="bg-BG"/>
        </w:rPr>
        <w:t xml:space="preserve">на </w:t>
      </w:r>
      <w:r w:rsidR="00AD0F37" w:rsidRPr="00AD0F37">
        <w:rPr>
          <w:rFonts w:asciiTheme="minorHAnsi" w:hAnsiTheme="minorHAnsi"/>
          <w:lang w:val="bg-BG"/>
        </w:rPr>
        <w:t xml:space="preserve">прокурорите от </w:t>
      </w:r>
      <w:r w:rsidR="00AD0F37">
        <w:rPr>
          <w:rFonts w:asciiTheme="minorHAnsi" w:hAnsiTheme="minorHAnsi"/>
          <w:lang w:val="bg-BG"/>
        </w:rPr>
        <w:t>по-ниските по степен прокуратур</w:t>
      </w:r>
      <w:r w:rsidR="001D151B" w:rsidRPr="00DC2206">
        <w:rPr>
          <w:rFonts w:asciiTheme="minorHAnsi" w:hAnsiTheme="minorHAnsi"/>
          <w:lang w:val="bg-BG"/>
        </w:rPr>
        <w:t xml:space="preserve">и. Въпреки тази структура, в правните системи на държавите членки са въведени редица гаранции, за да се осигури ефективността и независимостта на органите, отговарящи за наказателните разследвания, спрямо </w:t>
      </w:r>
      <w:r w:rsidR="00AD0F37">
        <w:rPr>
          <w:rFonts w:asciiTheme="minorHAnsi" w:hAnsiTheme="minorHAnsi"/>
          <w:lang w:val="bg-BG"/>
        </w:rPr>
        <w:t>горестоящ</w:t>
      </w:r>
      <w:r w:rsidR="001D151B" w:rsidRPr="00DC2206">
        <w:rPr>
          <w:rFonts w:asciiTheme="minorHAnsi" w:hAnsiTheme="minorHAnsi"/>
          <w:lang w:val="bg-BG"/>
        </w:rPr>
        <w:t>ите прокурори</w:t>
      </w:r>
      <w:r w:rsidRPr="00DC2206">
        <w:rPr>
          <w:rFonts w:asciiTheme="minorHAnsi" w:hAnsiTheme="minorHAnsi"/>
          <w:lang w:val="bg-BG"/>
        </w:rPr>
        <w:t>.</w:t>
      </w:r>
    </w:p>
    <w:p w14:paraId="0330B288" w14:textId="77777777" w:rsidR="004D19CF" w:rsidRPr="00DC2206" w:rsidRDefault="004D19CF" w:rsidP="004D19CF">
      <w:pPr>
        <w:ind w:left="709" w:hanging="709"/>
        <w:jc w:val="both"/>
        <w:rPr>
          <w:rFonts w:asciiTheme="minorHAnsi" w:hAnsiTheme="minorHAnsi"/>
          <w:lang w:val="bg-BG"/>
        </w:rPr>
      </w:pPr>
    </w:p>
    <w:p w14:paraId="7E3DB750" w14:textId="77777777" w:rsidR="00C61601" w:rsidRPr="00DC2206" w:rsidRDefault="00521963" w:rsidP="00457BFF">
      <w:pPr>
        <w:ind w:left="709" w:hanging="709"/>
        <w:jc w:val="both"/>
        <w:rPr>
          <w:rFonts w:asciiTheme="minorHAnsi" w:hAnsiTheme="minorHAnsi"/>
          <w:lang w:val="bg-BG"/>
        </w:rPr>
      </w:pPr>
      <w:r w:rsidRPr="00DC2206">
        <w:rPr>
          <w:rFonts w:asciiTheme="minorHAnsi" w:hAnsiTheme="minorHAnsi"/>
          <w:lang w:val="bg-BG"/>
        </w:rPr>
        <w:t>9.</w:t>
      </w:r>
      <w:r w:rsidRPr="00DC2206">
        <w:rPr>
          <w:rFonts w:asciiTheme="minorHAnsi" w:hAnsiTheme="minorHAnsi"/>
          <w:lang w:val="bg-BG"/>
        </w:rPr>
        <w:tab/>
      </w:r>
      <w:r w:rsidR="001D151B" w:rsidRPr="00DC2206">
        <w:rPr>
          <w:rFonts w:asciiTheme="minorHAnsi" w:hAnsiTheme="minorHAnsi"/>
          <w:lang w:val="bg-BG"/>
        </w:rPr>
        <w:t xml:space="preserve">Давайки тълкувание дали конкретен прокурор трябва да бъде разглеждан като издаващ съдебен орган за Европейска заповед за арест, Съдът на Европейския съюз заявява, че </w:t>
      </w:r>
      <w:r w:rsidR="00457BFF" w:rsidRPr="00DC2206">
        <w:rPr>
          <w:rFonts w:asciiTheme="minorHAnsi" w:hAnsiTheme="minorHAnsi"/>
          <w:lang w:val="bg-BG"/>
        </w:rPr>
        <w:t>случаят е такъв, ако той отговаря на следните критерии</w:t>
      </w:r>
      <w:r w:rsidRPr="00DC2206">
        <w:rPr>
          <w:rFonts w:asciiTheme="minorHAnsi" w:hAnsiTheme="minorHAnsi"/>
          <w:lang w:val="bg-BG"/>
        </w:rPr>
        <w:t xml:space="preserve">: </w:t>
      </w:r>
      <w:r w:rsidR="00457BFF" w:rsidRPr="00DC2206">
        <w:rPr>
          <w:rFonts w:asciiTheme="minorHAnsi" w:hAnsiTheme="minorHAnsi"/>
          <w:lang w:val="bg-BG"/>
        </w:rPr>
        <w:t>участва в правораздаването, действа обективно, независим е и не е изложен на риска да бъде получава</w:t>
      </w:r>
      <w:r w:rsidRPr="00DC2206">
        <w:rPr>
          <w:rFonts w:asciiTheme="minorHAnsi" w:hAnsiTheme="minorHAnsi"/>
          <w:lang w:val="bg-BG"/>
        </w:rPr>
        <w:t xml:space="preserve">, </w:t>
      </w:r>
      <w:r w:rsidR="00457BFF" w:rsidRPr="00DC2206">
        <w:rPr>
          <w:rFonts w:asciiTheme="minorHAnsi" w:hAnsiTheme="minorHAnsi"/>
          <w:lang w:val="bg-BG"/>
        </w:rPr>
        <w:t>наред с другото</w:t>
      </w:r>
      <w:r w:rsidRPr="00DC2206">
        <w:rPr>
          <w:rFonts w:asciiTheme="minorHAnsi" w:hAnsiTheme="minorHAnsi"/>
          <w:lang w:val="bg-BG"/>
        </w:rPr>
        <w:t xml:space="preserve">, </w:t>
      </w:r>
      <w:r w:rsidR="005326DE">
        <w:rPr>
          <w:rFonts w:asciiTheme="minorHAnsi" w:hAnsiTheme="minorHAnsi"/>
          <w:lang w:val="bg-BG"/>
        </w:rPr>
        <w:t>указание</w:t>
      </w:r>
      <w:r w:rsidR="00457BFF" w:rsidRPr="00DC2206">
        <w:rPr>
          <w:rFonts w:asciiTheme="minorHAnsi" w:hAnsiTheme="minorHAnsi"/>
          <w:lang w:val="bg-BG"/>
        </w:rPr>
        <w:t xml:space="preserve"> по конкретно дело от изпълнителната власт</w:t>
      </w:r>
      <w:r w:rsidRPr="00DC2206">
        <w:rPr>
          <w:rFonts w:asciiTheme="minorHAnsi" w:hAnsiTheme="minorHAnsi"/>
          <w:lang w:val="bg-BG"/>
        </w:rPr>
        <w:t xml:space="preserve">. </w:t>
      </w:r>
      <w:r w:rsidR="00457BFF" w:rsidRPr="00DC2206">
        <w:rPr>
          <w:rFonts w:asciiTheme="minorHAnsi" w:hAnsiTheme="minorHAnsi"/>
          <w:lang w:val="bg-BG"/>
        </w:rPr>
        <w:t>Решението на прокурор, издаващ Европейска заповед за арест</w:t>
      </w:r>
      <w:r w:rsidR="00CD3FDB">
        <w:rPr>
          <w:rFonts w:asciiTheme="minorHAnsi" w:hAnsiTheme="minorHAnsi"/>
          <w:lang w:val="bg-BG"/>
        </w:rPr>
        <w:t>,</w:t>
      </w:r>
      <w:r w:rsidR="00457BFF" w:rsidRPr="00DC2206">
        <w:rPr>
          <w:rFonts w:asciiTheme="minorHAnsi" w:hAnsiTheme="minorHAnsi"/>
          <w:lang w:val="bg-BG"/>
        </w:rPr>
        <w:t xml:space="preserve"> обаче трябва да подлежи на съдебен контрол</w:t>
      </w:r>
      <w:r w:rsidRPr="00DC2206">
        <w:rPr>
          <w:rFonts w:asciiTheme="minorHAnsi" w:hAnsiTheme="minorHAnsi"/>
          <w:lang w:val="bg-BG"/>
        </w:rPr>
        <w:t>.</w:t>
      </w:r>
    </w:p>
    <w:p w14:paraId="20AE62D7" w14:textId="77777777" w:rsidR="004D19CF" w:rsidRPr="00DC2206" w:rsidRDefault="004D19CF" w:rsidP="004D19CF">
      <w:pPr>
        <w:ind w:left="709" w:hanging="709"/>
        <w:jc w:val="both"/>
        <w:rPr>
          <w:rFonts w:asciiTheme="minorHAnsi" w:hAnsiTheme="minorHAnsi"/>
          <w:lang w:val="bg-BG"/>
        </w:rPr>
      </w:pPr>
    </w:p>
    <w:p w14:paraId="5D12965D" w14:textId="77777777" w:rsidR="00C61601" w:rsidRPr="00DC2206" w:rsidRDefault="00521963" w:rsidP="00457BFF">
      <w:pPr>
        <w:ind w:left="709" w:hanging="709"/>
        <w:jc w:val="both"/>
        <w:rPr>
          <w:rFonts w:asciiTheme="minorHAnsi" w:hAnsiTheme="minorHAnsi"/>
          <w:lang w:val="bg-BG"/>
        </w:rPr>
      </w:pPr>
      <w:r w:rsidRPr="00DC2206">
        <w:rPr>
          <w:rFonts w:asciiTheme="minorHAnsi" w:hAnsiTheme="minorHAnsi"/>
          <w:lang w:val="bg-BG"/>
        </w:rPr>
        <w:t>10.</w:t>
      </w:r>
      <w:r w:rsidRPr="00DC2206">
        <w:rPr>
          <w:rFonts w:asciiTheme="minorHAnsi" w:hAnsiTheme="minorHAnsi"/>
          <w:lang w:val="bg-BG"/>
        </w:rPr>
        <w:tab/>
      </w:r>
      <w:r w:rsidR="001C5385" w:rsidRPr="00DC2206">
        <w:rPr>
          <w:rFonts w:asciiTheme="minorHAnsi" w:hAnsiTheme="minorHAnsi"/>
          <w:lang w:val="bg-BG"/>
        </w:rPr>
        <w:t>Интерамериканският</w:t>
      </w:r>
      <w:r w:rsidRPr="00DC2206">
        <w:rPr>
          <w:rFonts w:asciiTheme="minorHAnsi" w:hAnsiTheme="minorHAnsi"/>
          <w:lang w:val="bg-BG"/>
        </w:rPr>
        <w:t xml:space="preserve"> </w:t>
      </w:r>
      <w:r w:rsidR="00457BFF" w:rsidRPr="00DC2206">
        <w:rPr>
          <w:rFonts w:asciiTheme="minorHAnsi" w:hAnsiTheme="minorHAnsi"/>
          <w:lang w:val="bg-BG"/>
        </w:rPr>
        <w:t>съд по правата на човека</w:t>
      </w:r>
      <w:r w:rsidRPr="00DC2206">
        <w:rPr>
          <w:rFonts w:asciiTheme="minorHAnsi" w:hAnsiTheme="minorHAnsi"/>
          <w:lang w:val="bg-BG"/>
        </w:rPr>
        <w:t xml:space="preserve">, </w:t>
      </w:r>
      <w:r w:rsidR="00457BFF" w:rsidRPr="00DC2206">
        <w:rPr>
          <w:rFonts w:asciiTheme="minorHAnsi" w:hAnsiTheme="minorHAnsi"/>
          <w:lang w:val="bg-BG"/>
        </w:rPr>
        <w:t>заявява в съответствие със съдебната практика на Европейския съд по правата на човека</w:t>
      </w:r>
      <w:r w:rsidRPr="00DC2206">
        <w:rPr>
          <w:rFonts w:asciiTheme="minorHAnsi" w:hAnsiTheme="minorHAnsi"/>
          <w:lang w:val="bg-BG"/>
        </w:rPr>
        <w:t xml:space="preserve">, </w:t>
      </w:r>
      <w:r w:rsidR="00457BFF" w:rsidRPr="00DC2206">
        <w:rPr>
          <w:rFonts w:asciiTheme="minorHAnsi" w:hAnsiTheme="minorHAnsi"/>
          <w:lang w:val="bg-BG"/>
        </w:rPr>
        <w:t xml:space="preserve">че една от основните цели на разделянето на публичните власти е да се гарантира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457BFF" w:rsidRPr="00DC2206">
        <w:rPr>
          <w:rFonts w:asciiTheme="minorHAnsi" w:hAnsiTheme="minorHAnsi"/>
          <w:lang w:val="bg-BG"/>
        </w:rPr>
        <w:t>на съдиите</w:t>
      </w:r>
      <w:r w:rsidRPr="00DC2206">
        <w:rPr>
          <w:rFonts w:asciiTheme="minorHAnsi" w:hAnsiTheme="minorHAnsi"/>
          <w:lang w:val="bg-BG"/>
        </w:rPr>
        <w:t xml:space="preserve">. </w:t>
      </w:r>
      <w:r w:rsidR="00457BFF" w:rsidRPr="00DC2206">
        <w:rPr>
          <w:rFonts w:asciiTheme="minorHAnsi" w:hAnsiTheme="minorHAnsi"/>
          <w:lang w:val="bg-BG"/>
        </w:rPr>
        <w:t>Съдът постановява още, че засилени гаранции за независимост, прилагащи се спрямо съдии, с оглед на необходимата независимост на съдебната власт, която е от съществено значение за упражняването на съдебните функции, следва да се прилагат и спрямо прокурорите въз основа на характера на задълженията, изпълнявани от тях</w:t>
      </w:r>
      <w:r w:rsidRPr="00DC2206">
        <w:rPr>
          <w:rFonts w:asciiTheme="minorHAnsi" w:hAnsiTheme="minorHAnsi"/>
          <w:lang w:val="bg-BG"/>
        </w:rPr>
        <w:t>.</w:t>
      </w:r>
    </w:p>
    <w:p w14:paraId="2D1F59D5" w14:textId="77777777" w:rsidR="004D19CF" w:rsidRPr="00DC2206" w:rsidRDefault="004D19CF" w:rsidP="004D19CF">
      <w:pPr>
        <w:ind w:left="709" w:hanging="709"/>
        <w:jc w:val="both"/>
        <w:rPr>
          <w:rFonts w:asciiTheme="minorHAnsi" w:hAnsiTheme="minorHAnsi"/>
          <w:lang w:val="bg-BG"/>
        </w:rPr>
      </w:pPr>
    </w:p>
    <w:p w14:paraId="26C6175F" w14:textId="77777777" w:rsidR="00C61601" w:rsidRPr="00DC2206" w:rsidRDefault="00521963" w:rsidP="004D19CF">
      <w:pPr>
        <w:ind w:left="709" w:hanging="709"/>
        <w:jc w:val="both"/>
        <w:rPr>
          <w:rFonts w:asciiTheme="minorHAnsi" w:hAnsiTheme="minorHAnsi"/>
          <w:lang w:val="bg-BG"/>
        </w:rPr>
      </w:pPr>
      <w:r w:rsidRPr="00DC2206">
        <w:rPr>
          <w:rFonts w:asciiTheme="minorHAnsi" w:hAnsiTheme="minorHAnsi"/>
          <w:lang w:val="bg-BG"/>
        </w:rPr>
        <w:t>11.</w:t>
      </w:r>
      <w:r w:rsidR="004D19CF" w:rsidRPr="00DC2206">
        <w:rPr>
          <w:rFonts w:asciiTheme="minorHAnsi" w:hAnsiTheme="minorHAnsi"/>
          <w:lang w:val="bg-BG"/>
        </w:rPr>
        <w:tab/>
      </w:r>
      <w:r w:rsidR="00457BFF" w:rsidRPr="00DC2206">
        <w:rPr>
          <w:rFonts w:asciiTheme="minorHAnsi" w:hAnsiTheme="minorHAnsi"/>
          <w:lang w:val="bg-BG"/>
        </w:rPr>
        <w:t xml:space="preserve">Съдът аргументира по-нататък, че органите, отговарящи за разследването, трябва да бъдат независими, </w:t>
      </w:r>
      <w:r w:rsidR="00457BFF" w:rsidRPr="00DC2206">
        <w:rPr>
          <w:rFonts w:asciiTheme="minorHAnsi" w:hAnsiTheme="minorHAnsi"/>
          <w:i/>
          <w:lang w:val="bg-BG"/>
        </w:rPr>
        <w:t>de jure</w:t>
      </w:r>
      <w:r w:rsidR="00457BFF" w:rsidRPr="00DC2206">
        <w:rPr>
          <w:rFonts w:asciiTheme="minorHAnsi" w:hAnsiTheme="minorHAnsi"/>
          <w:lang w:val="bg-BG"/>
        </w:rPr>
        <w:t xml:space="preserve"> и </w:t>
      </w:r>
      <w:r w:rsidR="00457BFF" w:rsidRPr="00DC2206">
        <w:rPr>
          <w:rFonts w:asciiTheme="minorHAnsi" w:hAnsiTheme="minorHAnsi"/>
          <w:i/>
          <w:lang w:val="bg-BG"/>
        </w:rPr>
        <w:t>de facto</w:t>
      </w:r>
      <w:r w:rsidR="00457BFF" w:rsidRPr="00DC2206">
        <w:rPr>
          <w:rFonts w:asciiTheme="minorHAnsi" w:hAnsiTheme="minorHAnsi"/>
          <w:lang w:val="bg-BG"/>
        </w:rPr>
        <w:t>, което изисква не само йерархична или институционална независимост, но и действителна независимост</w:t>
      </w:r>
      <w:r w:rsidRPr="00DC2206">
        <w:rPr>
          <w:rFonts w:asciiTheme="minorHAnsi" w:hAnsiTheme="minorHAnsi"/>
          <w:lang w:val="bg-BG"/>
        </w:rPr>
        <w:t xml:space="preserve">. </w:t>
      </w:r>
      <w:r w:rsidR="00A0730F" w:rsidRPr="00DC2206">
        <w:rPr>
          <w:rFonts w:asciiTheme="minorHAnsi" w:hAnsiTheme="minorHAnsi"/>
          <w:lang w:val="bg-BG"/>
        </w:rPr>
        <w:t>Прокурори</w:t>
      </w:r>
      <w:r w:rsidR="00457BFF" w:rsidRPr="00DC2206">
        <w:rPr>
          <w:rFonts w:asciiTheme="minorHAnsi" w:hAnsiTheme="minorHAnsi"/>
          <w:lang w:val="bg-BG"/>
        </w:rPr>
        <w:t xml:space="preserve">те следва да не бъдат обект на политически натиск или нерегламентирано възпрепятстване в </w:t>
      </w:r>
      <w:r w:rsidR="00457BFF" w:rsidRPr="00DC2206">
        <w:rPr>
          <w:rFonts w:asciiTheme="minorHAnsi" w:hAnsiTheme="minorHAnsi"/>
          <w:lang w:val="bg-BG"/>
        </w:rPr>
        <w:lastRenderedPageBreak/>
        <w:t xml:space="preserve">действията им, </w:t>
      </w:r>
      <w:r w:rsidR="006E3F61">
        <w:rPr>
          <w:rFonts w:asciiTheme="minorHAnsi" w:hAnsiTheme="minorHAnsi"/>
          <w:lang w:val="bg-BG"/>
        </w:rPr>
        <w:t>както</w:t>
      </w:r>
      <w:r w:rsidR="00457BFF" w:rsidRPr="00DC2206">
        <w:rPr>
          <w:rFonts w:asciiTheme="minorHAnsi" w:hAnsiTheme="minorHAnsi"/>
          <w:lang w:val="bg-BG"/>
        </w:rPr>
        <w:t xml:space="preserve"> да </w:t>
      </w:r>
      <w:r w:rsidR="006E3F61">
        <w:rPr>
          <w:rFonts w:asciiTheme="minorHAnsi" w:hAnsiTheme="minorHAnsi"/>
          <w:lang w:val="bg-BG"/>
        </w:rPr>
        <w:t xml:space="preserve">не </w:t>
      </w:r>
      <w:r w:rsidR="00CD3FDB">
        <w:rPr>
          <w:rFonts w:asciiTheme="minorHAnsi" w:hAnsiTheme="minorHAnsi"/>
          <w:lang w:val="bg-BG"/>
        </w:rPr>
        <w:t>понасят репресии</w:t>
      </w:r>
      <w:r w:rsidR="00457BFF" w:rsidRPr="00DC2206">
        <w:rPr>
          <w:rFonts w:asciiTheme="minorHAnsi" w:hAnsiTheme="minorHAnsi"/>
          <w:lang w:val="bg-BG"/>
        </w:rPr>
        <w:t xml:space="preserve"> за обективно взетите от тях решения. Това изисква гаранция за стабилност и фиксиран мандат на позициите им</w:t>
      </w:r>
      <w:r w:rsidRPr="00DC2206">
        <w:rPr>
          <w:rFonts w:asciiTheme="minorHAnsi" w:hAnsiTheme="minorHAnsi"/>
          <w:lang w:val="bg-BG"/>
        </w:rPr>
        <w:t xml:space="preserve">, </w:t>
      </w:r>
      <w:r w:rsidR="00457BFF" w:rsidRPr="00DC2206">
        <w:rPr>
          <w:rFonts w:asciiTheme="minorHAnsi" w:hAnsiTheme="minorHAnsi"/>
          <w:lang w:val="bg-BG"/>
        </w:rPr>
        <w:t>както и процедурни гаранции по отношение на тяхното отстраняване или дисциплинарните производства, образувани срещу тях</w:t>
      </w:r>
      <w:r w:rsidRPr="00DC2206">
        <w:rPr>
          <w:rFonts w:asciiTheme="minorHAnsi" w:hAnsiTheme="minorHAnsi"/>
          <w:lang w:val="bg-BG"/>
        </w:rPr>
        <w:t>.</w:t>
      </w:r>
    </w:p>
    <w:p w14:paraId="187B6CEF" w14:textId="77777777" w:rsidR="004D19CF" w:rsidRPr="00DC2206" w:rsidRDefault="004D19CF" w:rsidP="004D19CF">
      <w:pPr>
        <w:ind w:left="709" w:hanging="709"/>
        <w:jc w:val="both"/>
        <w:rPr>
          <w:rFonts w:asciiTheme="minorHAnsi" w:hAnsiTheme="minorHAnsi"/>
          <w:lang w:val="bg-BG"/>
        </w:rPr>
      </w:pPr>
    </w:p>
    <w:p w14:paraId="520EC2FF" w14:textId="77777777" w:rsidR="00C61601" w:rsidRPr="00DC2206" w:rsidRDefault="00521963" w:rsidP="004D19CF">
      <w:pPr>
        <w:ind w:left="709" w:hanging="709"/>
        <w:jc w:val="both"/>
        <w:rPr>
          <w:rFonts w:asciiTheme="minorHAnsi" w:hAnsiTheme="minorHAnsi"/>
          <w:lang w:val="bg-BG"/>
        </w:rPr>
      </w:pPr>
      <w:r w:rsidRPr="00DC2206">
        <w:rPr>
          <w:rFonts w:asciiTheme="minorHAnsi" w:hAnsiTheme="minorHAnsi"/>
          <w:lang w:val="bg-BG"/>
        </w:rPr>
        <w:t>12.</w:t>
      </w:r>
      <w:r w:rsidR="004D19CF" w:rsidRPr="00DC2206">
        <w:rPr>
          <w:rFonts w:asciiTheme="minorHAnsi" w:hAnsiTheme="minorHAnsi"/>
          <w:lang w:val="bg-BG"/>
        </w:rPr>
        <w:tab/>
      </w:r>
      <w:r w:rsidR="00B372ED" w:rsidRPr="00DC2206">
        <w:rPr>
          <w:rFonts w:asciiTheme="minorHAnsi" w:hAnsiTheme="minorHAnsi"/>
          <w:lang w:val="bg-BG"/>
        </w:rPr>
        <w:t>Комитетът по правата на човека</w:t>
      </w:r>
      <w:r w:rsidRPr="00DC2206">
        <w:rPr>
          <w:rFonts w:asciiTheme="minorHAnsi" w:hAnsiTheme="minorHAnsi"/>
          <w:lang w:val="bg-BG"/>
        </w:rPr>
        <w:t xml:space="preserve"> (</w:t>
      </w:r>
      <w:r w:rsidR="00AA3C4A" w:rsidRPr="00DC2206">
        <w:rPr>
          <w:rFonts w:asciiTheme="minorHAnsi" w:hAnsiTheme="minorHAnsi"/>
          <w:lang w:val="bg-BG"/>
        </w:rPr>
        <w:t>КПЧ</w:t>
      </w:r>
      <w:r w:rsidRPr="00DC2206">
        <w:rPr>
          <w:rFonts w:asciiTheme="minorHAnsi" w:hAnsiTheme="minorHAnsi"/>
          <w:lang w:val="bg-BG"/>
        </w:rPr>
        <w:t xml:space="preserve">), </w:t>
      </w:r>
      <w:r w:rsidR="00AA3C4A" w:rsidRPr="00DC2206">
        <w:rPr>
          <w:rFonts w:asciiTheme="minorHAnsi" w:hAnsiTheme="minorHAnsi"/>
          <w:lang w:val="bg-BG"/>
        </w:rPr>
        <w:t xml:space="preserve">орган от независими експерти, наблюдаващ </w:t>
      </w:r>
      <w:r w:rsidR="00B372ED" w:rsidRPr="00DC2206">
        <w:rPr>
          <w:rFonts w:asciiTheme="minorHAnsi" w:hAnsiTheme="minorHAnsi"/>
          <w:lang w:val="bg-BG"/>
        </w:rPr>
        <w:t>прилагане</w:t>
      </w:r>
      <w:r w:rsidR="00AA3C4A" w:rsidRPr="00DC2206">
        <w:rPr>
          <w:rFonts w:asciiTheme="minorHAnsi" w:hAnsiTheme="minorHAnsi"/>
          <w:lang w:val="bg-BG"/>
        </w:rPr>
        <w:t>то</w:t>
      </w:r>
      <w:r w:rsidR="00B372ED" w:rsidRPr="00DC2206">
        <w:rPr>
          <w:rFonts w:asciiTheme="minorHAnsi" w:hAnsiTheme="minorHAnsi"/>
          <w:lang w:val="bg-BG"/>
        </w:rPr>
        <w:t xml:space="preserve"> на Международния пакт за граждански и политически права</w:t>
      </w:r>
      <w:r w:rsidRPr="00DC2206">
        <w:rPr>
          <w:rFonts w:asciiTheme="minorHAnsi" w:hAnsiTheme="minorHAnsi"/>
          <w:lang w:val="bg-BG"/>
        </w:rPr>
        <w:t xml:space="preserve"> (</w:t>
      </w:r>
      <w:r w:rsidR="00B372ED" w:rsidRPr="00DC2206">
        <w:rPr>
          <w:rFonts w:asciiTheme="minorHAnsi" w:hAnsiTheme="minorHAnsi"/>
          <w:lang w:val="bg-BG"/>
        </w:rPr>
        <w:t>МПГПП</w:t>
      </w:r>
      <w:r w:rsidRPr="00DC2206">
        <w:rPr>
          <w:rFonts w:asciiTheme="minorHAnsi" w:hAnsiTheme="minorHAnsi"/>
          <w:lang w:val="bg-BG"/>
        </w:rPr>
        <w:t xml:space="preserve">), </w:t>
      </w:r>
      <w:r w:rsidR="00AA3C4A" w:rsidRPr="00DC2206">
        <w:rPr>
          <w:rFonts w:asciiTheme="minorHAnsi" w:hAnsiTheme="minorHAnsi"/>
          <w:lang w:val="bg-BG"/>
        </w:rPr>
        <w:t xml:space="preserve">също е издал редица относими </w:t>
      </w:r>
      <w:r w:rsidR="00A0730F" w:rsidRPr="00DC2206">
        <w:rPr>
          <w:rFonts w:asciiTheme="minorHAnsi" w:hAnsiTheme="minorHAnsi"/>
          <w:lang w:val="bg-BG"/>
        </w:rPr>
        <w:t>препоръки</w:t>
      </w:r>
      <w:r w:rsidRPr="00DC2206">
        <w:rPr>
          <w:rFonts w:asciiTheme="minorHAnsi" w:hAnsiTheme="minorHAnsi"/>
          <w:lang w:val="bg-BG"/>
        </w:rPr>
        <w:t xml:space="preserve"> </w:t>
      </w:r>
      <w:r w:rsidR="00AA3C4A" w:rsidRPr="00DC2206">
        <w:rPr>
          <w:rFonts w:asciiTheme="minorHAnsi" w:hAnsiTheme="minorHAnsi"/>
          <w:lang w:val="bg-BG"/>
        </w:rPr>
        <w:t xml:space="preserve">по отношение на </w:t>
      </w:r>
      <w:r w:rsidR="00A0730F" w:rsidRPr="00DC2206">
        <w:rPr>
          <w:rFonts w:asciiTheme="minorHAnsi" w:hAnsiTheme="minorHAnsi"/>
          <w:lang w:val="bg-BG"/>
        </w:rPr>
        <w:t>независимост</w:t>
      </w:r>
      <w:r w:rsidR="00AA3C4A" w:rsidRPr="00DC2206">
        <w:rPr>
          <w:rFonts w:asciiTheme="minorHAnsi" w:hAnsiTheme="minorHAnsi"/>
          <w:lang w:val="bg-BG"/>
        </w:rPr>
        <w:t>та на съдиите и прокурорите</w:t>
      </w:r>
      <w:r w:rsidRPr="00DC2206">
        <w:rPr>
          <w:rFonts w:asciiTheme="minorHAnsi" w:hAnsiTheme="minorHAnsi"/>
          <w:lang w:val="bg-BG"/>
        </w:rPr>
        <w:t xml:space="preserve">. </w:t>
      </w:r>
      <w:r w:rsidR="000C14F9">
        <w:rPr>
          <w:rFonts w:asciiTheme="minorHAnsi" w:hAnsiTheme="minorHAnsi"/>
          <w:lang w:val="bg-BG"/>
        </w:rPr>
        <w:t>Много</w:t>
      </w:r>
      <w:r w:rsidRPr="00DC2206">
        <w:rPr>
          <w:rFonts w:asciiTheme="minorHAnsi" w:hAnsiTheme="minorHAnsi"/>
          <w:lang w:val="bg-BG"/>
        </w:rPr>
        <w:t xml:space="preserve"> </w:t>
      </w:r>
      <w:r w:rsidR="00AA3C4A" w:rsidRPr="00DC2206">
        <w:rPr>
          <w:rFonts w:asciiTheme="minorHAnsi" w:hAnsiTheme="minorHAnsi"/>
          <w:lang w:val="bg-BG"/>
        </w:rPr>
        <w:t xml:space="preserve">от тези </w:t>
      </w:r>
      <w:r w:rsidR="00A0730F" w:rsidRPr="00DC2206">
        <w:rPr>
          <w:rFonts w:asciiTheme="minorHAnsi" w:hAnsiTheme="minorHAnsi"/>
          <w:lang w:val="bg-BG"/>
        </w:rPr>
        <w:t>препоръки</w:t>
      </w:r>
      <w:r w:rsidRPr="00DC2206">
        <w:rPr>
          <w:rFonts w:asciiTheme="minorHAnsi" w:hAnsiTheme="minorHAnsi"/>
          <w:lang w:val="bg-BG"/>
        </w:rPr>
        <w:t xml:space="preserve"> </w:t>
      </w:r>
      <w:r w:rsidR="00AA3C4A" w:rsidRPr="00DC2206">
        <w:rPr>
          <w:rFonts w:asciiTheme="minorHAnsi" w:hAnsiTheme="minorHAnsi"/>
          <w:lang w:val="bg-BG"/>
        </w:rPr>
        <w:t>са изразени в заключителни наблюдения, издадени след прегледа на доклади, представени от държавите страни, и се отнасят до реформата на правосъдната система и пълното спазване на надлежните процесуални гаранции</w:t>
      </w:r>
      <w:r w:rsidRPr="00DC2206">
        <w:rPr>
          <w:rFonts w:asciiTheme="minorHAnsi" w:hAnsiTheme="minorHAnsi"/>
          <w:lang w:val="bg-BG"/>
        </w:rPr>
        <w:t xml:space="preserve">, </w:t>
      </w:r>
      <w:r w:rsidR="00AA3C4A" w:rsidRPr="00DC2206">
        <w:rPr>
          <w:rFonts w:asciiTheme="minorHAnsi" w:hAnsiTheme="minorHAnsi"/>
          <w:lang w:val="bg-BG"/>
        </w:rPr>
        <w:t>подсказвайки необходимостта да бъде укрепена независимостта на съдебната власт и на прокуратурата</w:t>
      </w:r>
      <w:r w:rsidRPr="00DC2206">
        <w:rPr>
          <w:rFonts w:asciiTheme="minorHAnsi" w:hAnsiTheme="minorHAnsi"/>
          <w:lang w:val="bg-BG"/>
        </w:rPr>
        <w:t>.</w:t>
      </w:r>
    </w:p>
    <w:p w14:paraId="1B5B96FE" w14:textId="77777777" w:rsidR="004D19CF" w:rsidRPr="00DC2206" w:rsidRDefault="004D19CF" w:rsidP="004D19CF">
      <w:pPr>
        <w:ind w:left="709" w:hanging="709"/>
        <w:jc w:val="both"/>
        <w:rPr>
          <w:rFonts w:asciiTheme="minorHAnsi" w:hAnsiTheme="minorHAnsi"/>
          <w:lang w:val="bg-BG" w:eastAsia="bg-BG" w:bidi="bg-BG"/>
        </w:rPr>
      </w:pPr>
    </w:p>
    <w:p w14:paraId="23BC4666" w14:textId="77777777" w:rsidR="00C61601" w:rsidRPr="00DC2206" w:rsidRDefault="00521963" w:rsidP="004D19CF">
      <w:pPr>
        <w:ind w:left="709" w:hanging="709"/>
        <w:jc w:val="both"/>
        <w:rPr>
          <w:rFonts w:asciiTheme="minorHAnsi" w:hAnsiTheme="minorHAnsi"/>
          <w:lang w:val="bg-BG"/>
        </w:rPr>
      </w:pPr>
      <w:r w:rsidRPr="00DC2206">
        <w:rPr>
          <w:rFonts w:asciiTheme="minorHAnsi" w:hAnsiTheme="minorHAnsi"/>
          <w:lang w:val="bg-BG" w:eastAsia="bg-BG" w:bidi="bg-BG"/>
        </w:rPr>
        <w:t>13.</w:t>
      </w:r>
      <w:r w:rsidR="004D19CF" w:rsidRPr="00DC2206">
        <w:rPr>
          <w:rFonts w:asciiTheme="minorHAnsi" w:hAnsiTheme="minorHAnsi"/>
          <w:lang w:val="bg-BG" w:eastAsia="bg-BG" w:bidi="bg-BG"/>
        </w:rPr>
        <w:tab/>
      </w:r>
      <w:r w:rsidR="00AA3C4A" w:rsidRPr="00DC2206">
        <w:rPr>
          <w:rFonts w:asciiTheme="minorHAnsi" w:hAnsiTheme="minorHAnsi"/>
          <w:lang w:val="bg-BG"/>
        </w:rPr>
        <w:t>В тази връзка</w:t>
      </w:r>
      <w:r w:rsidRPr="00DC2206">
        <w:rPr>
          <w:rFonts w:asciiTheme="minorHAnsi" w:hAnsiTheme="minorHAnsi"/>
          <w:lang w:val="bg-BG"/>
        </w:rPr>
        <w:t xml:space="preserve">, </w:t>
      </w:r>
      <w:r w:rsidR="00AA3C4A" w:rsidRPr="00DC2206">
        <w:rPr>
          <w:rFonts w:asciiTheme="minorHAnsi" w:hAnsiTheme="minorHAnsi"/>
          <w:lang w:val="bg-BG"/>
        </w:rPr>
        <w:t>решенията, свързани с избора</w:t>
      </w:r>
      <w:r w:rsidRPr="00DC2206">
        <w:rPr>
          <w:rFonts w:asciiTheme="minorHAnsi" w:hAnsiTheme="minorHAnsi"/>
          <w:lang w:val="bg-BG"/>
        </w:rPr>
        <w:t xml:space="preserve">, </w:t>
      </w:r>
      <w:r w:rsidR="00AA3C4A" w:rsidRPr="00DC2206">
        <w:rPr>
          <w:rFonts w:asciiTheme="minorHAnsi" w:hAnsiTheme="minorHAnsi"/>
          <w:lang w:val="bg-BG"/>
        </w:rPr>
        <w:t>предприемането на дисциплинарни мерки, оцен</w:t>
      </w:r>
      <w:r w:rsidR="00AD0F37">
        <w:rPr>
          <w:rFonts w:asciiTheme="minorHAnsi" w:hAnsiTheme="minorHAnsi"/>
          <w:lang w:val="bg-BG"/>
        </w:rPr>
        <w:t>яването</w:t>
      </w:r>
      <w:r w:rsidR="00AA3C4A" w:rsidRPr="00DC2206">
        <w:rPr>
          <w:rFonts w:asciiTheme="minorHAnsi" w:hAnsiTheme="minorHAnsi"/>
          <w:lang w:val="bg-BG"/>
        </w:rPr>
        <w:t xml:space="preserve"> и постоянното назначаване на съдии и прокурори, както и </w:t>
      </w:r>
      <w:r w:rsidR="00AD0F37">
        <w:rPr>
          <w:rFonts w:asciiTheme="minorHAnsi" w:hAnsiTheme="minorHAnsi"/>
          <w:lang w:val="bg-BG"/>
        </w:rPr>
        <w:t>освобождаването от длъжност</w:t>
      </w:r>
      <w:r w:rsidR="00AA3C4A" w:rsidRPr="00DC2206">
        <w:rPr>
          <w:rFonts w:asciiTheme="minorHAnsi" w:hAnsiTheme="minorHAnsi"/>
          <w:lang w:val="bg-BG"/>
        </w:rPr>
        <w:t xml:space="preserve">, които </w:t>
      </w:r>
      <w:r w:rsidR="00AD0F37">
        <w:rPr>
          <w:rFonts w:asciiTheme="minorHAnsi" w:hAnsiTheme="minorHAnsi"/>
          <w:lang w:val="bg-BG"/>
        </w:rPr>
        <w:t>са свързани с гарантиране на</w:t>
      </w:r>
      <w:r w:rsidR="00AA3C4A" w:rsidRPr="00DC2206">
        <w:rPr>
          <w:rFonts w:asciiTheme="minorHAnsi" w:hAnsiTheme="minorHAnsi"/>
          <w:lang w:val="bg-BG"/>
        </w:rPr>
        <w:t xml:space="preserve"> сигурността на мандата им, следва да бъдат базирани на обективни критерии, които са изрично предвидени от закона</w:t>
      </w:r>
      <w:r w:rsidRPr="00DC2206">
        <w:rPr>
          <w:rFonts w:asciiTheme="minorHAnsi" w:hAnsiTheme="minorHAnsi"/>
          <w:lang w:val="bg-BG"/>
        </w:rPr>
        <w:t>.</w:t>
      </w:r>
    </w:p>
    <w:p w14:paraId="08E56C68" w14:textId="77777777" w:rsidR="004D19CF" w:rsidRPr="00DC2206" w:rsidRDefault="004D19CF" w:rsidP="004D19CF">
      <w:pPr>
        <w:ind w:left="709" w:hanging="709"/>
        <w:jc w:val="both"/>
        <w:rPr>
          <w:rFonts w:asciiTheme="minorHAnsi" w:hAnsiTheme="minorHAnsi"/>
          <w:lang w:val="bg-BG"/>
        </w:rPr>
      </w:pPr>
    </w:p>
    <w:p w14:paraId="647C91D8" w14:textId="77777777" w:rsidR="00C61601" w:rsidRPr="00DC2206" w:rsidRDefault="00521963" w:rsidP="004D19CF">
      <w:pPr>
        <w:ind w:left="709" w:hanging="709"/>
        <w:jc w:val="both"/>
        <w:rPr>
          <w:rFonts w:asciiTheme="minorHAnsi" w:hAnsiTheme="minorHAnsi"/>
          <w:lang w:val="bg-BG"/>
        </w:rPr>
      </w:pPr>
      <w:r w:rsidRPr="00DC2206">
        <w:rPr>
          <w:rFonts w:asciiTheme="minorHAnsi" w:hAnsiTheme="minorHAnsi"/>
          <w:lang w:val="bg-BG"/>
        </w:rPr>
        <w:t>14.</w:t>
      </w:r>
      <w:r w:rsidR="004D19CF" w:rsidRPr="00DC2206">
        <w:rPr>
          <w:rFonts w:asciiTheme="minorHAnsi" w:hAnsiTheme="minorHAnsi"/>
          <w:lang w:val="bg-BG"/>
        </w:rPr>
        <w:tab/>
      </w:r>
      <w:r w:rsidR="00AA3C4A" w:rsidRPr="00DC2206">
        <w:rPr>
          <w:rFonts w:asciiTheme="minorHAnsi" w:hAnsiTheme="minorHAnsi"/>
          <w:lang w:val="bg-BG"/>
        </w:rPr>
        <w:t xml:space="preserve">В допълнение към прегледа на докладите на държавите страни и издаването на заключителни наблюдения, Първият Факултативен протокол към МПГПП дава на КПЧ компетентността да разглежда индивидуални жалби по отношение на твърдени нарушения на </w:t>
      </w:r>
      <w:r w:rsidR="00B372ED" w:rsidRPr="00DC2206">
        <w:rPr>
          <w:rFonts w:asciiTheme="minorHAnsi" w:hAnsiTheme="minorHAnsi"/>
          <w:lang w:val="bg-BG"/>
        </w:rPr>
        <w:t>МПГПП</w:t>
      </w:r>
      <w:r w:rsidRPr="00DC2206">
        <w:rPr>
          <w:rFonts w:asciiTheme="minorHAnsi" w:hAnsiTheme="minorHAnsi"/>
          <w:lang w:val="bg-BG"/>
        </w:rPr>
        <w:t xml:space="preserve">. </w:t>
      </w:r>
      <w:r w:rsidR="00AA3C4A" w:rsidRPr="00DC2206">
        <w:rPr>
          <w:rFonts w:asciiTheme="minorHAnsi" w:hAnsiTheme="minorHAnsi"/>
          <w:lang w:val="bg-BG"/>
        </w:rPr>
        <w:t>Тази компетентност е призната от всички държава страни по силата на присъединяването им към Протокола</w:t>
      </w:r>
      <w:r w:rsidRPr="00DC2206">
        <w:rPr>
          <w:rFonts w:asciiTheme="minorHAnsi" w:hAnsiTheme="minorHAnsi"/>
          <w:lang w:val="bg-BG"/>
        </w:rPr>
        <w:t xml:space="preserve">. </w:t>
      </w:r>
      <w:r w:rsidR="00AA3C4A" w:rsidRPr="00DC2206">
        <w:rPr>
          <w:rFonts w:asciiTheme="minorHAnsi" w:hAnsiTheme="minorHAnsi"/>
          <w:lang w:val="bg-BG"/>
        </w:rPr>
        <w:t xml:space="preserve">Според </w:t>
      </w:r>
      <w:r w:rsidR="001C1676" w:rsidRPr="00DC2206">
        <w:rPr>
          <w:rFonts w:asciiTheme="minorHAnsi" w:hAnsiTheme="minorHAnsi"/>
          <w:lang w:val="bg-BG"/>
        </w:rPr>
        <w:t>практика</w:t>
      </w:r>
      <w:r w:rsidR="00AD0F37">
        <w:rPr>
          <w:rFonts w:asciiTheme="minorHAnsi" w:hAnsiTheme="minorHAnsi"/>
          <w:lang w:val="bg-BG"/>
        </w:rPr>
        <w:t>та</w:t>
      </w:r>
      <w:r w:rsidRPr="00DC2206">
        <w:rPr>
          <w:rFonts w:asciiTheme="minorHAnsi" w:hAnsiTheme="minorHAnsi"/>
          <w:lang w:val="bg-BG"/>
        </w:rPr>
        <w:t xml:space="preserve"> </w:t>
      </w:r>
      <w:r w:rsidR="00AA3C4A" w:rsidRPr="00DC2206">
        <w:rPr>
          <w:rFonts w:asciiTheme="minorHAnsi" w:hAnsiTheme="minorHAnsi"/>
          <w:lang w:val="bg-BG"/>
        </w:rPr>
        <w:t xml:space="preserve">на </w:t>
      </w:r>
      <w:r w:rsidR="00B372ED" w:rsidRPr="00DC2206">
        <w:rPr>
          <w:rFonts w:asciiTheme="minorHAnsi" w:hAnsiTheme="minorHAnsi"/>
          <w:lang w:val="bg-BG"/>
        </w:rPr>
        <w:t>КПЧ</w:t>
      </w:r>
      <w:r w:rsidRPr="00DC2206">
        <w:rPr>
          <w:rFonts w:asciiTheme="minorHAnsi" w:hAnsiTheme="minorHAnsi"/>
          <w:lang w:val="bg-BG"/>
        </w:rPr>
        <w:t xml:space="preserve">, </w:t>
      </w:r>
      <w:r w:rsidR="00AA3C4A" w:rsidRPr="00DC2206">
        <w:rPr>
          <w:rFonts w:asciiTheme="minorHAnsi" w:hAnsiTheme="minorHAnsi"/>
          <w:lang w:val="bg-BG"/>
        </w:rPr>
        <w:t xml:space="preserve">принципът на съдебна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9E076B" w:rsidRPr="00DC2206">
        <w:rPr>
          <w:rFonts w:asciiTheme="minorHAnsi" w:hAnsiTheme="minorHAnsi"/>
          <w:lang w:val="bg-BG"/>
        </w:rPr>
        <w:t>който е съществена гаранция за независимото упражняване на съдебните функции, изисква съдиите и прокурорите да могат да тълкуват и прилагат закона и да оценяват фактите и доказателствата свободно, без да бъдат подлагани на сплашване, възпрепятстване или вмешателство при упражняването на функциите им</w:t>
      </w:r>
      <w:r w:rsidRPr="00DC2206">
        <w:rPr>
          <w:rFonts w:asciiTheme="minorHAnsi" w:hAnsiTheme="minorHAnsi"/>
          <w:lang w:val="bg-BG"/>
        </w:rPr>
        <w:t>.</w:t>
      </w:r>
    </w:p>
    <w:p w14:paraId="19F3F0ED" w14:textId="77777777" w:rsidR="004D19CF" w:rsidRPr="00DC2206" w:rsidRDefault="004D19CF" w:rsidP="004D19CF">
      <w:pPr>
        <w:jc w:val="both"/>
        <w:outlineLvl w:val="1"/>
        <w:rPr>
          <w:rFonts w:asciiTheme="minorHAnsi" w:hAnsiTheme="minorHAnsi"/>
          <w:lang w:val="bg-BG"/>
        </w:rPr>
      </w:pPr>
      <w:bookmarkStart w:id="7" w:name="bookmark8"/>
    </w:p>
    <w:p w14:paraId="3E6E6553" w14:textId="77777777" w:rsidR="00C61601" w:rsidRPr="00DC2206" w:rsidRDefault="004D19CF" w:rsidP="004D19CF">
      <w:pPr>
        <w:jc w:val="both"/>
        <w:outlineLvl w:val="1"/>
        <w:rPr>
          <w:rFonts w:asciiTheme="minorHAnsi" w:hAnsiTheme="minorHAnsi"/>
          <w:b/>
          <w:lang w:val="bg-BG"/>
        </w:rPr>
      </w:pPr>
      <w:r w:rsidRPr="00DC2206">
        <w:rPr>
          <w:rFonts w:asciiTheme="minorHAnsi" w:hAnsiTheme="minorHAnsi"/>
          <w:b/>
          <w:lang w:val="bg-BG"/>
        </w:rPr>
        <w:t>В</w:t>
      </w:r>
      <w:r w:rsidR="00521963" w:rsidRPr="00DC2206">
        <w:rPr>
          <w:rFonts w:asciiTheme="minorHAnsi" w:hAnsiTheme="minorHAnsi"/>
          <w:b/>
          <w:lang w:val="bg-BG"/>
        </w:rPr>
        <w:t>.</w:t>
      </w:r>
      <w:r w:rsidRPr="00DC2206">
        <w:rPr>
          <w:rFonts w:asciiTheme="minorHAnsi" w:hAnsiTheme="minorHAnsi"/>
          <w:b/>
          <w:lang w:val="bg-BG"/>
        </w:rPr>
        <w:t> </w:t>
      </w:r>
      <w:r w:rsidR="00AA3C4A" w:rsidRPr="00DC2206">
        <w:rPr>
          <w:rFonts w:asciiTheme="minorHAnsi" w:hAnsiTheme="minorHAnsi"/>
          <w:b/>
          <w:lang w:val="bg-BG"/>
        </w:rPr>
        <w:t xml:space="preserve">Въздействие на относимата практика на </w:t>
      </w:r>
      <w:r w:rsidR="00CD379A" w:rsidRPr="00DC2206">
        <w:rPr>
          <w:rFonts w:asciiTheme="minorHAnsi" w:hAnsiTheme="minorHAnsi"/>
          <w:b/>
          <w:lang w:val="bg-BG"/>
        </w:rPr>
        <w:t>международни</w:t>
      </w:r>
      <w:r w:rsidR="00AA3C4A" w:rsidRPr="00DC2206">
        <w:rPr>
          <w:rFonts w:asciiTheme="minorHAnsi" w:hAnsiTheme="minorHAnsi"/>
          <w:b/>
          <w:lang w:val="bg-BG"/>
        </w:rPr>
        <w:t>те</w:t>
      </w:r>
      <w:r w:rsidR="00CD379A" w:rsidRPr="00DC2206">
        <w:rPr>
          <w:rFonts w:asciiTheme="minorHAnsi" w:hAnsiTheme="minorHAnsi"/>
          <w:b/>
          <w:lang w:val="bg-BG"/>
        </w:rPr>
        <w:t xml:space="preserve"> съдилища</w:t>
      </w:r>
      <w:r w:rsidR="00521963" w:rsidRPr="00DC2206">
        <w:rPr>
          <w:rFonts w:asciiTheme="minorHAnsi" w:hAnsiTheme="minorHAnsi"/>
          <w:b/>
          <w:lang w:val="bg-BG"/>
        </w:rPr>
        <w:t xml:space="preserve"> </w:t>
      </w:r>
      <w:r w:rsidR="00AA3C4A" w:rsidRPr="00DC2206">
        <w:rPr>
          <w:rFonts w:asciiTheme="minorHAnsi" w:hAnsiTheme="minorHAnsi"/>
          <w:b/>
          <w:lang w:val="bg-BG"/>
        </w:rPr>
        <w:t xml:space="preserve">и </w:t>
      </w:r>
      <w:r w:rsidR="00D46B76">
        <w:rPr>
          <w:rFonts w:asciiTheme="minorHAnsi" w:hAnsiTheme="minorHAnsi"/>
          <w:b/>
          <w:lang w:val="bg-BG"/>
        </w:rPr>
        <w:t>органите, учредени с международни договори</w:t>
      </w:r>
      <w:r w:rsidR="005326DE">
        <w:rPr>
          <w:rFonts w:asciiTheme="minorHAnsi" w:hAnsiTheme="minorHAnsi"/>
          <w:b/>
          <w:lang w:val="bg-BG"/>
        </w:rPr>
        <w:t>,</w:t>
      </w:r>
      <w:r w:rsidR="00AA3C4A" w:rsidRPr="00DC2206">
        <w:rPr>
          <w:rFonts w:asciiTheme="minorHAnsi" w:hAnsiTheme="minorHAnsi"/>
          <w:b/>
          <w:lang w:val="bg-BG"/>
        </w:rPr>
        <w:t xml:space="preserve"> върху практическата </w:t>
      </w:r>
      <w:bookmarkStart w:id="8" w:name="bookmark9"/>
      <w:bookmarkEnd w:id="7"/>
      <w:r w:rsidR="00A0730F" w:rsidRPr="00DC2206">
        <w:rPr>
          <w:rFonts w:asciiTheme="minorHAnsi" w:hAnsiTheme="minorHAnsi"/>
          <w:b/>
          <w:lang w:val="bg-BG"/>
        </w:rPr>
        <w:t>независимост</w:t>
      </w:r>
      <w:r w:rsidR="00521963" w:rsidRPr="00DC2206">
        <w:rPr>
          <w:rFonts w:asciiTheme="minorHAnsi" w:hAnsiTheme="minorHAnsi"/>
          <w:b/>
          <w:lang w:val="bg-BG"/>
        </w:rPr>
        <w:t xml:space="preserve"> </w:t>
      </w:r>
      <w:r w:rsidR="00AA3C4A" w:rsidRPr="00DC2206">
        <w:rPr>
          <w:rFonts w:asciiTheme="minorHAnsi" w:hAnsiTheme="minorHAnsi"/>
          <w:b/>
          <w:lang w:val="bg-BG"/>
        </w:rPr>
        <w:t xml:space="preserve">на </w:t>
      </w:r>
      <w:r w:rsidR="00A0730F" w:rsidRPr="00DC2206">
        <w:rPr>
          <w:rFonts w:asciiTheme="minorHAnsi" w:hAnsiTheme="minorHAnsi"/>
          <w:b/>
          <w:lang w:val="bg-BG"/>
        </w:rPr>
        <w:t>прокурори</w:t>
      </w:r>
      <w:bookmarkEnd w:id="8"/>
      <w:r w:rsidR="00AA3C4A" w:rsidRPr="00DC2206">
        <w:rPr>
          <w:rFonts w:asciiTheme="minorHAnsi" w:hAnsiTheme="minorHAnsi"/>
          <w:b/>
          <w:lang w:val="bg-BG"/>
        </w:rPr>
        <w:t>те</w:t>
      </w:r>
    </w:p>
    <w:p w14:paraId="2C3207F5" w14:textId="77777777" w:rsidR="004D19CF" w:rsidRPr="00DC2206" w:rsidRDefault="004D19CF" w:rsidP="00732D5B">
      <w:pPr>
        <w:ind w:left="709" w:hanging="709"/>
        <w:jc w:val="both"/>
        <w:rPr>
          <w:rFonts w:asciiTheme="minorHAnsi" w:hAnsiTheme="minorHAnsi"/>
          <w:lang w:val="bg-BG"/>
        </w:rPr>
      </w:pPr>
    </w:p>
    <w:p w14:paraId="1667FD93" w14:textId="77777777" w:rsidR="00C61601" w:rsidRPr="00DC2206" w:rsidRDefault="00521963" w:rsidP="00732D5B">
      <w:pPr>
        <w:ind w:left="709" w:hanging="709"/>
        <w:jc w:val="both"/>
        <w:rPr>
          <w:rFonts w:asciiTheme="minorHAnsi" w:hAnsiTheme="minorHAnsi"/>
          <w:lang w:val="bg-BG"/>
        </w:rPr>
      </w:pPr>
      <w:r w:rsidRPr="00DC2206">
        <w:rPr>
          <w:rFonts w:asciiTheme="minorHAnsi" w:hAnsiTheme="minorHAnsi"/>
          <w:lang w:val="bg-BG"/>
        </w:rPr>
        <w:t>15.</w:t>
      </w:r>
      <w:r w:rsidR="004D19CF" w:rsidRPr="00DC2206">
        <w:rPr>
          <w:rFonts w:asciiTheme="minorHAnsi" w:hAnsiTheme="minorHAnsi"/>
          <w:lang w:val="bg-BG"/>
        </w:rPr>
        <w:tab/>
      </w:r>
      <w:r w:rsidR="00504D8C" w:rsidRPr="00DC2206">
        <w:rPr>
          <w:rFonts w:asciiTheme="minorHAnsi" w:hAnsiTheme="minorHAnsi"/>
          <w:lang w:val="bg-BG"/>
        </w:rPr>
        <w:t>Горн</w:t>
      </w:r>
      <w:r w:rsidR="000C14F9">
        <w:rPr>
          <w:rFonts w:asciiTheme="minorHAnsi" w:hAnsiTheme="minorHAnsi"/>
          <w:lang w:val="bg-BG"/>
        </w:rPr>
        <w:t>ото обобщение</w:t>
      </w:r>
      <w:r w:rsidR="00504D8C" w:rsidRPr="00DC2206">
        <w:rPr>
          <w:rFonts w:asciiTheme="minorHAnsi" w:hAnsiTheme="minorHAnsi"/>
          <w:lang w:val="bg-BG"/>
        </w:rPr>
        <w:t xml:space="preserve"> на относимата практика на </w:t>
      </w:r>
      <w:r w:rsidR="00CD379A" w:rsidRPr="00DC2206">
        <w:rPr>
          <w:rFonts w:asciiTheme="minorHAnsi" w:hAnsiTheme="minorHAnsi"/>
          <w:lang w:val="bg-BG"/>
        </w:rPr>
        <w:t>международни</w:t>
      </w:r>
      <w:r w:rsidR="00504D8C" w:rsidRPr="00DC2206">
        <w:rPr>
          <w:rFonts w:asciiTheme="minorHAnsi" w:hAnsiTheme="minorHAnsi"/>
          <w:lang w:val="bg-BG"/>
        </w:rPr>
        <w:t>те</w:t>
      </w:r>
      <w:r w:rsidR="00CD379A" w:rsidRPr="00DC2206">
        <w:rPr>
          <w:rFonts w:asciiTheme="minorHAnsi" w:hAnsiTheme="minorHAnsi"/>
          <w:lang w:val="bg-BG"/>
        </w:rPr>
        <w:t xml:space="preserve"> съдилища</w:t>
      </w:r>
      <w:r w:rsidRPr="00DC2206">
        <w:rPr>
          <w:rFonts w:asciiTheme="minorHAnsi" w:hAnsiTheme="minorHAnsi"/>
          <w:lang w:val="bg-BG"/>
        </w:rPr>
        <w:t xml:space="preserve"> </w:t>
      </w:r>
      <w:r w:rsidR="00504D8C" w:rsidRPr="00DC2206">
        <w:rPr>
          <w:rFonts w:asciiTheme="minorHAnsi" w:hAnsiTheme="minorHAnsi"/>
          <w:lang w:val="bg-BG"/>
        </w:rPr>
        <w:t xml:space="preserve">и </w:t>
      </w:r>
      <w:r w:rsidR="00D46B76">
        <w:rPr>
          <w:rFonts w:asciiTheme="minorHAnsi" w:hAnsiTheme="minorHAnsi"/>
          <w:lang w:val="bg-BG"/>
        </w:rPr>
        <w:t>органите, учредени с международни договори</w:t>
      </w:r>
      <w:r w:rsidRPr="00DC2206">
        <w:rPr>
          <w:rFonts w:asciiTheme="minorHAnsi" w:hAnsiTheme="minorHAnsi"/>
          <w:lang w:val="bg-BG"/>
        </w:rPr>
        <w:t xml:space="preserve">, </w:t>
      </w:r>
      <w:r w:rsidR="00504D8C" w:rsidRPr="00DC2206">
        <w:rPr>
          <w:rFonts w:asciiTheme="minorHAnsi" w:hAnsiTheme="minorHAnsi"/>
          <w:lang w:val="bg-BG"/>
        </w:rPr>
        <w:t xml:space="preserve">която в продължение на много години се занимава със съдебната </w:t>
      </w:r>
      <w:r w:rsidR="00A0730F" w:rsidRPr="00DC2206">
        <w:rPr>
          <w:rFonts w:asciiTheme="minorHAnsi" w:hAnsiTheme="minorHAnsi"/>
          <w:lang w:val="bg-BG"/>
        </w:rPr>
        <w:t>независимост</w:t>
      </w:r>
      <w:r w:rsidR="00504D8C" w:rsidRPr="00DC2206">
        <w:rPr>
          <w:rFonts w:asciiTheme="minorHAnsi" w:hAnsiTheme="minorHAnsi"/>
          <w:lang w:val="bg-BG"/>
        </w:rPr>
        <w:t xml:space="preserve">, а през последните години също и с прокурорската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504D8C" w:rsidRPr="00DC2206">
        <w:rPr>
          <w:rFonts w:asciiTheme="minorHAnsi" w:hAnsiTheme="minorHAnsi"/>
          <w:lang w:val="bg-BG"/>
        </w:rPr>
        <w:t xml:space="preserve">осигурява полезни елементи, които могат да имат важен ефект за </w:t>
      </w:r>
      <w:r w:rsidR="00AD1FEF" w:rsidRPr="00DC2206">
        <w:rPr>
          <w:rFonts w:asciiTheme="minorHAnsi" w:hAnsiTheme="minorHAnsi"/>
          <w:lang w:val="bg-BG"/>
        </w:rPr>
        <w:t>безпристрастност</w:t>
      </w:r>
      <w:r w:rsidR="00504D8C" w:rsidRPr="00DC2206">
        <w:rPr>
          <w:rFonts w:asciiTheme="minorHAnsi" w:hAnsiTheme="minorHAnsi"/>
          <w:lang w:val="bg-BG"/>
        </w:rPr>
        <w:t>та и независимостта –</w:t>
      </w:r>
      <w:r w:rsidRPr="00DC2206">
        <w:rPr>
          <w:rFonts w:asciiTheme="minorHAnsi" w:hAnsiTheme="minorHAnsi"/>
          <w:lang w:val="bg-BG"/>
        </w:rPr>
        <w:t xml:space="preserve"> </w:t>
      </w:r>
      <w:r w:rsidR="00504D8C" w:rsidRPr="00DC2206">
        <w:rPr>
          <w:rFonts w:asciiTheme="minorHAnsi" w:hAnsiTheme="minorHAnsi"/>
          <w:lang w:val="bg-BG"/>
        </w:rPr>
        <w:t xml:space="preserve">по закон и на практика – на </w:t>
      </w:r>
      <w:r w:rsidR="00A0730F" w:rsidRPr="00DC2206">
        <w:rPr>
          <w:rFonts w:asciiTheme="minorHAnsi" w:hAnsiTheme="minorHAnsi"/>
          <w:lang w:val="bg-BG"/>
        </w:rPr>
        <w:t>прокурори</w:t>
      </w:r>
      <w:r w:rsidR="00504D8C" w:rsidRPr="00DC2206">
        <w:rPr>
          <w:rFonts w:asciiTheme="minorHAnsi" w:hAnsiTheme="minorHAnsi"/>
          <w:lang w:val="bg-BG"/>
        </w:rPr>
        <w:t>те</w:t>
      </w:r>
      <w:r w:rsidRPr="00DC2206">
        <w:rPr>
          <w:rFonts w:asciiTheme="minorHAnsi" w:hAnsiTheme="minorHAnsi"/>
          <w:lang w:val="bg-BG"/>
        </w:rPr>
        <w:t>.</w:t>
      </w:r>
    </w:p>
    <w:p w14:paraId="2E77B364" w14:textId="77777777" w:rsidR="004D19CF" w:rsidRPr="00DC2206" w:rsidRDefault="004D19CF" w:rsidP="00732D5B">
      <w:pPr>
        <w:tabs>
          <w:tab w:val="left" w:pos="543"/>
        </w:tabs>
        <w:ind w:left="709" w:hanging="709"/>
        <w:jc w:val="both"/>
        <w:rPr>
          <w:rFonts w:asciiTheme="minorHAnsi" w:hAnsiTheme="minorHAnsi"/>
          <w:lang w:val="bg-BG"/>
        </w:rPr>
      </w:pPr>
    </w:p>
    <w:p w14:paraId="4129C5A4" w14:textId="77777777" w:rsidR="00C61601" w:rsidRPr="00DC2206" w:rsidRDefault="00521963" w:rsidP="004D19CF">
      <w:pPr>
        <w:ind w:left="709" w:hanging="709"/>
        <w:jc w:val="both"/>
        <w:rPr>
          <w:rFonts w:asciiTheme="minorHAnsi" w:hAnsiTheme="minorHAnsi"/>
          <w:lang w:val="bg-BG"/>
        </w:rPr>
      </w:pPr>
      <w:r w:rsidRPr="00DC2206">
        <w:rPr>
          <w:rFonts w:asciiTheme="minorHAnsi" w:hAnsiTheme="minorHAnsi"/>
          <w:lang w:val="bg-BG"/>
        </w:rPr>
        <w:t>16.</w:t>
      </w:r>
      <w:r w:rsidR="004D19CF" w:rsidRPr="00DC2206">
        <w:rPr>
          <w:rFonts w:asciiTheme="minorHAnsi" w:hAnsiTheme="minorHAnsi"/>
          <w:lang w:val="bg-BG"/>
        </w:rPr>
        <w:tab/>
      </w:r>
      <w:r w:rsidR="00504D8C" w:rsidRPr="00DC2206">
        <w:rPr>
          <w:rFonts w:asciiTheme="minorHAnsi" w:hAnsiTheme="minorHAnsi"/>
          <w:lang w:val="bg-BG"/>
        </w:rPr>
        <w:t xml:space="preserve">Различните елементи от тази практика допринасят за укрепването на институционалната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504D8C" w:rsidRPr="00DC2206">
        <w:rPr>
          <w:rFonts w:asciiTheme="minorHAnsi" w:hAnsiTheme="minorHAnsi"/>
          <w:lang w:val="bg-BG"/>
        </w:rPr>
        <w:t xml:space="preserve">на </w:t>
      </w:r>
      <w:r w:rsidR="00A1456B" w:rsidRPr="00DC2206">
        <w:rPr>
          <w:rFonts w:asciiTheme="minorHAnsi" w:hAnsiTheme="minorHAnsi"/>
          <w:lang w:val="bg-BG"/>
        </w:rPr>
        <w:t>прокуратури</w:t>
      </w:r>
      <w:r w:rsidR="00504D8C" w:rsidRPr="00DC2206">
        <w:rPr>
          <w:rFonts w:asciiTheme="minorHAnsi" w:hAnsiTheme="minorHAnsi"/>
          <w:lang w:val="bg-BG"/>
        </w:rPr>
        <w:t>те</w:t>
      </w:r>
      <w:r w:rsidRPr="00DC2206">
        <w:rPr>
          <w:rFonts w:asciiTheme="minorHAnsi" w:hAnsiTheme="minorHAnsi"/>
          <w:lang w:val="bg-BG"/>
        </w:rPr>
        <w:t xml:space="preserve">, </w:t>
      </w:r>
      <w:r w:rsidR="00504D8C" w:rsidRPr="00DC2206">
        <w:rPr>
          <w:rFonts w:asciiTheme="minorHAnsi" w:hAnsiTheme="minorHAnsi"/>
          <w:lang w:val="bg-BG"/>
        </w:rPr>
        <w:t xml:space="preserve">както и функционалната </w:t>
      </w:r>
      <w:r w:rsidR="00A0730F" w:rsidRPr="00DC2206">
        <w:rPr>
          <w:rFonts w:asciiTheme="minorHAnsi" w:hAnsiTheme="minorHAnsi"/>
          <w:lang w:val="bg-BG"/>
        </w:rPr>
        <w:t>независимост</w:t>
      </w:r>
      <w:r w:rsidRPr="00DC2206">
        <w:rPr>
          <w:rFonts w:asciiTheme="minorHAnsi" w:hAnsiTheme="minorHAnsi"/>
          <w:lang w:val="bg-BG"/>
        </w:rPr>
        <w:t xml:space="preserve"> </w:t>
      </w:r>
      <w:r w:rsidR="00504D8C" w:rsidRPr="00DC2206">
        <w:rPr>
          <w:rFonts w:asciiTheme="minorHAnsi" w:hAnsiTheme="minorHAnsi"/>
          <w:lang w:val="bg-BG"/>
        </w:rPr>
        <w:t xml:space="preserve">на отделните </w:t>
      </w:r>
      <w:r w:rsidR="00A0730F" w:rsidRPr="00DC2206">
        <w:rPr>
          <w:rFonts w:asciiTheme="minorHAnsi" w:hAnsiTheme="minorHAnsi"/>
          <w:lang w:val="bg-BG"/>
        </w:rPr>
        <w:t>прокурори</w:t>
      </w:r>
      <w:r w:rsidR="00504D8C" w:rsidRPr="00DC2206">
        <w:rPr>
          <w:rFonts w:asciiTheme="minorHAnsi" w:hAnsiTheme="minorHAnsi"/>
          <w:lang w:val="bg-BG"/>
        </w:rPr>
        <w:t xml:space="preserve"> – както в </w:t>
      </w:r>
      <w:r w:rsidR="00AD0F37" w:rsidRPr="00AD0F37">
        <w:rPr>
          <w:rFonts w:asciiTheme="minorHAnsi" w:hAnsiTheme="minorHAnsi"/>
          <w:lang w:val="bg-BG"/>
        </w:rPr>
        <w:t>системата на наказателно правосъдие</w:t>
      </w:r>
      <w:r w:rsidR="00504D8C" w:rsidRPr="00DC2206">
        <w:rPr>
          <w:rFonts w:asciiTheme="minorHAnsi" w:hAnsiTheme="minorHAnsi"/>
          <w:lang w:val="bg-BG"/>
        </w:rPr>
        <w:t>, така и в държави, в които прокуратурата има отговорности в други сфери</w:t>
      </w:r>
      <w:r w:rsidRPr="00DC2206">
        <w:rPr>
          <w:rFonts w:asciiTheme="minorHAnsi" w:hAnsiTheme="minorHAnsi"/>
          <w:lang w:val="bg-BG"/>
        </w:rPr>
        <w:t xml:space="preserve">, </w:t>
      </w:r>
      <w:r w:rsidR="00504D8C" w:rsidRPr="00DC2206">
        <w:rPr>
          <w:rFonts w:asciiTheme="minorHAnsi" w:hAnsiTheme="minorHAnsi"/>
          <w:lang w:val="bg-BG"/>
        </w:rPr>
        <w:t>извън системата на наказателното правосъдие</w:t>
      </w:r>
      <w:r w:rsidRPr="00DC2206">
        <w:rPr>
          <w:rFonts w:asciiTheme="minorHAnsi" w:hAnsiTheme="minorHAnsi"/>
          <w:lang w:val="bg-BG"/>
        </w:rPr>
        <w:t>.</w:t>
      </w:r>
    </w:p>
    <w:p w14:paraId="7A8FF4E6" w14:textId="77777777" w:rsidR="004D19CF" w:rsidRPr="00DC2206" w:rsidRDefault="004D19CF" w:rsidP="004D19CF">
      <w:pPr>
        <w:ind w:left="709" w:hanging="709"/>
        <w:jc w:val="both"/>
        <w:rPr>
          <w:rFonts w:asciiTheme="minorHAnsi" w:hAnsiTheme="minorHAnsi"/>
          <w:lang w:val="bg-BG"/>
        </w:rPr>
      </w:pPr>
    </w:p>
    <w:p w14:paraId="7FB310F7" w14:textId="77777777" w:rsidR="00C61601" w:rsidRPr="00DC2206" w:rsidRDefault="00521963" w:rsidP="004D19CF">
      <w:pPr>
        <w:ind w:left="709" w:hanging="709"/>
        <w:jc w:val="both"/>
        <w:rPr>
          <w:rFonts w:asciiTheme="minorHAnsi" w:hAnsiTheme="minorHAnsi"/>
          <w:lang w:val="bg-BG"/>
        </w:rPr>
      </w:pPr>
      <w:r w:rsidRPr="00DC2206">
        <w:rPr>
          <w:rFonts w:asciiTheme="minorHAnsi" w:hAnsiTheme="minorHAnsi"/>
          <w:lang w:val="bg-BG"/>
        </w:rPr>
        <w:t>17.</w:t>
      </w:r>
      <w:r w:rsidRPr="00DC2206">
        <w:rPr>
          <w:rFonts w:asciiTheme="minorHAnsi" w:hAnsiTheme="minorHAnsi"/>
          <w:lang w:val="bg-BG"/>
        </w:rPr>
        <w:tab/>
      </w:r>
      <w:r w:rsidR="00504D8C" w:rsidRPr="00DC2206">
        <w:rPr>
          <w:rFonts w:asciiTheme="minorHAnsi" w:hAnsiTheme="minorHAnsi"/>
          <w:lang w:val="bg-BG"/>
        </w:rPr>
        <w:t>По-специално</w:t>
      </w:r>
      <w:r w:rsidRPr="00DC2206">
        <w:rPr>
          <w:rFonts w:asciiTheme="minorHAnsi" w:hAnsiTheme="minorHAnsi"/>
          <w:lang w:val="bg-BG"/>
        </w:rPr>
        <w:t xml:space="preserve">, </w:t>
      </w:r>
      <w:r w:rsidR="00504D8C" w:rsidRPr="00DC2206">
        <w:rPr>
          <w:rFonts w:asciiTheme="minorHAnsi" w:hAnsiTheme="minorHAnsi"/>
          <w:lang w:val="bg-BG"/>
        </w:rPr>
        <w:t xml:space="preserve">законодателната уредба на организационната </w:t>
      </w:r>
      <w:r w:rsidR="00A0730F" w:rsidRPr="00DC2206">
        <w:rPr>
          <w:rFonts w:asciiTheme="minorHAnsi" w:hAnsiTheme="minorHAnsi"/>
          <w:lang w:val="bg-BG"/>
        </w:rPr>
        <w:t>автономия</w:t>
      </w:r>
      <w:r w:rsidRPr="00DC2206">
        <w:rPr>
          <w:rFonts w:asciiTheme="minorHAnsi" w:hAnsiTheme="minorHAnsi"/>
          <w:lang w:val="bg-BG"/>
        </w:rPr>
        <w:t xml:space="preserve"> </w:t>
      </w:r>
      <w:r w:rsidR="00504D8C" w:rsidRPr="00DC2206">
        <w:rPr>
          <w:rFonts w:asciiTheme="minorHAnsi" w:hAnsiTheme="minorHAnsi"/>
          <w:lang w:val="bg-BG"/>
        </w:rPr>
        <w:t xml:space="preserve">на </w:t>
      </w:r>
      <w:r w:rsidR="00A0730F" w:rsidRPr="00DC2206">
        <w:rPr>
          <w:rFonts w:asciiTheme="minorHAnsi" w:hAnsiTheme="minorHAnsi"/>
          <w:lang w:val="bg-BG"/>
        </w:rPr>
        <w:t>прокуратурите</w:t>
      </w:r>
      <w:r w:rsidRPr="00DC2206">
        <w:rPr>
          <w:rFonts w:asciiTheme="minorHAnsi" w:hAnsiTheme="minorHAnsi"/>
          <w:lang w:val="bg-BG"/>
        </w:rPr>
        <w:t xml:space="preserve">, </w:t>
      </w:r>
      <w:r w:rsidR="00504D8C" w:rsidRPr="00DC2206">
        <w:rPr>
          <w:rFonts w:asciiTheme="minorHAnsi" w:hAnsiTheme="minorHAnsi"/>
          <w:lang w:val="bg-BG"/>
        </w:rPr>
        <w:t>п</w:t>
      </w:r>
      <w:r w:rsidR="005326DE">
        <w:rPr>
          <w:rFonts w:asciiTheme="minorHAnsi" w:hAnsiTheme="minorHAnsi"/>
          <w:lang w:val="bg-BG"/>
        </w:rPr>
        <w:t>роцесът</w:t>
      </w:r>
      <w:r w:rsidR="00504D8C" w:rsidRPr="00DC2206">
        <w:rPr>
          <w:rFonts w:asciiTheme="minorHAnsi" w:hAnsiTheme="minorHAnsi"/>
          <w:lang w:val="bg-BG"/>
        </w:rPr>
        <w:t xml:space="preserve"> на </w:t>
      </w:r>
      <w:r w:rsidR="00AD1FEF" w:rsidRPr="00DC2206">
        <w:rPr>
          <w:rFonts w:asciiTheme="minorHAnsi" w:hAnsiTheme="minorHAnsi"/>
          <w:lang w:val="bg-BG"/>
        </w:rPr>
        <w:t>назначаване</w:t>
      </w:r>
      <w:r w:rsidRPr="00DC2206">
        <w:rPr>
          <w:rFonts w:asciiTheme="minorHAnsi" w:hAnsiTheme="minorHAnsi"/>
          <w:lang w:val="bg-BG"/>
        </w:rPr>
        <w:t xml:space="preserve">, </w:t>
      </w:r>
      <w:r w:rsidR="00504D8C" w:rsidRPr="00DC2206">
        <w:rPr>
          <w:rFonts w:asciiTheme="minorHAnsi" w:hAnsiTheme="minorHAnsi"/>
          <w:lang w:val="bg-BG"/>
        </w:rPr>
        <w:t>оцен</w:t>
      </w:r>
      <w:r w:rsidR="005326DE">
        <w:rPr>
          <w:rFonts w:asciiTheme="minorHAnsi" w:hAnsiTheme="minorHAnsi"/>
          <w:lang w:val="bg-BG"/>
        </w:rPr>
        <w:t>яване</w:t>
      </w:r>
      <w:r w:rsidR="00504D8C" w:rsidRPr="00DC2206">
        <w:rPr>
          <w:rFonts w:asciiTheme="minorHAnsi" w:hAnsiTheme="minorHAnsi"/>
          <w:lang w:val="bg-BG"/>
        </w:rPr>
        <w:t xml:space="preserve"> </w:t>
      </w:r>
      <w:r w:rsidR="005326DE" w:rsidRPr="005326DE">
        <w:rPr>
          <w:rFonts w:asciiTheme="minorHAnsi" w:hAnsiTheme="minorHAnsi"/>
          <w:lang w:val="bg-BG"/>
        </w:rPr>
        <w:t>и освобождаването от длъжност</w:t>
      </w:r>
      <w:r w:rsidR="00504D8C" w:rsidRPr="00DC2206">
        <w:rPr>
          <w:rFonts w:asciiTheme="minorHAnsi" w:hAnsiTheme="minorHAnsi"/>
          <w:lang w:val="bg-BG"/>
        </w:rPr>
        <w:t xml:space="preserve"> на </w:t>
      </w:r>
      <w:r w:rsidR="00A0730F" w:rsidRPr="00DC2206">
        <w:rPr>
          <w:rFonts w:asciiTheme="minorHAnsi" w:hAnsiTheme="minorHAnsi"/>
          <w:lang w:val="bg-BG"/>
        </w:rPr>
        <w:t>прокурори</w:t>
      </w:r>
      <w:r w:rsidR="00504D8C" w:rsidRPr="00DC2206">
        <w:rPr>
          <w:rFonts w:asciiTheme="minorHAnsi" w:hAnsiTheme="minorHAnsi"/>
          <w:lang w:val="bg-BG"/>
        </w:rPr>
        <w:t>те</w:t>
      </w:r>
      <w:r w:rsidRPr="00DC2206">
        <w:rPr>
          <w:rFonts w:asciiTheme="minorHAnsi" w:hAnsiTheme="minorHAnsi"/>
          <w:lang w:val="bg-BG"/>
        </w:rPr>
        <w:t xml:space="preserve">, </w:t>
      </w:r>
      <w:r w:rsidR="00504D8C" w:rsidRPr="00DC2206">
        <w:rPr>
          <w:rFonts w:asciiTheme="minorHAnsi" w:hAnsiTheme="minorHAnsi"/>
          <w:lang w:val="bg-BG"/>
        </w:rPr>
        <w:t>продължителността на мандата им</w:t>
      </w:r>
      <w:r w:rsidRPr="00DC2206">
        <w:rPr>
          <w:rFonts w:asciiTheme="minorHAnsi" w:hAnsiTheme="minorHAnsi"/>
          <w:lang w:val="bg-BG"/>
        </w:rPr>
        <w:t xml:space="preserve">, </w:t>
      </w:r>
      <w:r w:rsidR="00504D8C" w:rsidRPr="00DC2206">
        <w:rPr>
          <w:rFonts w:asciiTheme="minorHAnsi" w:hAnsiTheme="minorHAnsi"/>
          <w:lang w:val="bg-BG"/>
        </w:rPr>
        <w:t xml:space="preserve">ненамесата в работата на </w:t>
      </w:r>
      <w:r w:rsidR="00A0730F" w:rsidRPr="00DC2206">
        <w:rPr>
          <w:rFonts w:asciiTheme="minorHAnsi" w:hAnsiTheme="minorHAnsi"/>
          <w:lang w:val="bg-BG"/>
        </w:rPr>
        <w:t>прокурори</w:t>
      </w:r>
      <w:r w:rsidR="00504D8C" w:rsidRPr="00DC2206">
        <w:rPr>
          <w:rFonts w:asciiTheme="minorHAnsi" w:hAnsiTheme="minorHAnsi"/>
          <w:lang w:val="bg-BG"/>
        </w:rPr>
        <w:t>те и други важни аспекти, свързани с тяхната кариера</w:t>
      </w:r>
      <w:r w:rsidRPr="00DC2206">
        <w:rPr>
          <w:rFonts w:asciiTheme="minorHAnsi" w:hAnsiTheme="minorHAnsi"/>
          <w:lang w:val="bg-BG"/>
        </w:rPr>
        <w:t xml:space="preserve">, </w:t>
      </w:r>
      <w:r w:rsidR="00504D8C" w:rsidRPr="00DC2206">
        <w:rPr>
          <w:rFonts w:asciiTheme="minorHAnsi" w:hAnsiTheme="minorHAnsi"/>
          <w:lang w:val="bg-BG"/>
        </w:rPr>
        <w:t>със сигурност ще се облагодетелств</w:t>
      </w:r>
      <w:r w:rsidR="005326DE">
        <w:rPr>
          <w:rFonts w:asciiTheme="minorHAnsi" w:hAnsiTheme="minorHAnsi"/>
          <w:lang w:val="bg-BG"/>
        </w:rPr>
        <w:t>ат</w:t>
      </w:r>
      <w:r w:rsidR="00504D8C" w:rsidRPr="00DC2206">
        <w:rPr>
          <w:rFonts w:asciiTheme="minorHAnsi" w:hAnsiTheme="minorHAnsi"/>
          <w:lang w:val="bg-BG"/>
        </w:rPr>
        <w:t xml:space="preserve"> от тази практика</w:t>
      </w:r>
      <w:r w:rsidRPr="00DC2206">
        <w:rPr>
          <w:rFonts w:asciiTheme="minorHAnsi" w:hAnsiTheme="minorHAnsi"/>
          <w:lang w:val="bg-BG"/>
        </w:rPr>
        <w:t>.</w:t>
      </w:r>
    </w:p>
    <w:p w14:paraId="139EC5D9" w14:textId="77777777" w:rsidR="004D19CF" w:rsidRPr="00DC2206" w:rsidRDefault="004D19CF" w:rsidP="004D19CF">
      <w:pPr>
        <w:ind w:left="709" w:hanging="709"/>
        <w:jc w:val="both"/>
        <w:rPr>
          <w:rFonts w:asciiTheme="minorHAnsi" w:hAnsiTheme="minorHAnsi"/>
          <w:lang w:val="bg-BG"/>
        </w:rPr>
      </w:pPr>
    </w:p>
    <w:p w14:paraId="4D18E1E2" w14:textId="77777777" w:rsidR="00C61601" w:rsidRPr="00DC2206" w:rsidRDefault="00521963" w:rsidP="00DC2206">
      <w:pPr>
        <w:ind w:left="709" w:hanging="709"/>
        <w:jc w:val="both"/>
        <w:rPr>
          <w:rFonts w:asciiTheme="minorHAnsi" w:hAnsiTheme="minorHAnsi"/>
          <w:lang w:val="bg-BG"/>
        </w:rPr>
      </w:pPr>
      <w:r w:rsidRPr="00DC2206">
        <w:rPr>
          <w:rFonts w:asciiTheme="minorHAnsi" w:hAnsiTheme="minorHAnsi"/>
          <w:lang w:val="bg-BG"/>
        </w:rPr>
        <w:lastRenderedPageBreak/>
        <w:t>18.</w:t>
      </w:r>
      <w:r w:rsidR="004D19CF" w:rsidRPr="00DC2206">
        <w:rPr>
          <w:rFonts w:asciiTheme="minorHAnsi" w:hAnsiTheme="minorHAnsi"/>
          <w:lang w:val="bg-BG"/>
        </w:rPr>
        <w:tab/>
      </w:r>
      <w:r w:rsidR="00504D8C" w:rsidRPr="00DC2206">
        <w:rPr>
          <w:rFonts w:asciiTheme="minorHAnsi" w:hAnsiTheme="minorHAnsi"/>
          <w:lang w:val="bg-BG"/>
        </w:rPr>
        <w:t>Основната добавена стойност на съдебната практика на Европейския съд по правата на човека (ЕСПЧ) е нейната обвързваща сила</w:t>
      </w:r>
      <w:r w:rsidR="00DC2206" w:rsidRPr="00DC2206">
        <w:rPr>
          <w:rFonts w:asciiTheme="minorHAnsi" w:hAnsiTheme="minorHAnsi"/>
          <w:lang w:val="bg-BG"/>
        </w:rPr>
        <w:t xml:space="preserve"> и изискването да се предприемат </w:t>
      </w:r>
      <w:r w:rsidR="00504D8C" w:rsidRPr="00DC2206">
        <w:rPr>
          <w:rFonts w:asciiTheme="minorHAnsi" w:hAnsiTheme="minorHAnsi"/>
          <w:lang w:val="bg-BG"/>
        </w:rPr>
        <w:t>общи мерки</w:t>
      </w:r>
      <w:r w:rsidR="00DC2206" w:rsidRPr="00DC2206">
        <w:rPr>
          <w:rFonts w:asciiTheme="minorHAnsi" w:hAnsiTheme="minorHAnsi"/>
          <w:lang w:val="bg-BG"/>
        </w:rPr>
        <w:t xml:space="preserve"> в държавите членки</w:t>
      </w:r>
      <w:r w:rsidR="00504D8C" w:rsidRPr="00DC2206">
        <w:rPr>
          <w:rFonts w:asciiTheme="minorHAnsi" w:hAnsiTheme="minorHAnsi"/>
          <w:lang w:val="bg-BG"/>
        </w:rPr>
        <w:t xml:space="preserve">, за да </w:t>
      </w:r>
      <w:r w:rsidR="00DC2206" w:rsidRPr="00DC2206">
        <w:rPr>
          <w:rFonts w:asciiTheme="minorHAnsi" w:hAnsiTheme="minorHAnsi"/>
          <w:lang w:val="bg-BG"/>
        </w:rPr>
        <w:t xml:space="preserve">се </w:t>
      </w:r>
      <w:r w:rsidR="00504D8C" w:rsidRPr="00DC2206">
        <w:rPr>
          <w:rFonts w:asciiTheme="minorHAnsi" w:hAnsiTheme="minorHAnsi"/>
          <w:lang w:val="bg-BG"/>
        </w:rPr>
        <w:t xml:space="preserve">сложи край на нарушенията, установени </w:t>
      </w:r>
      <w:r w:rsidR="00DC2206" w:rsidRPr="00DC2206">
        <w:rPr>
          <w:rFonts w:asciiTheme="minorHAnsi" w:hAnsiTheme="minorHAnsi"/>
          <w:lang w:val="bg-BG"/>
        </w:rPr>
        <w:t xml:space="preserve">с решенията на </w:t>
      </w:r>
      <w:r w:rsidR="001C1676" w:rsidRPr="00DC2206">
        <w:rPr>
          <w:rFonts w:asciiTheme="minorHAnsi" w:hAnsiTheme="minorHAnsi"/>
          <w:lang w:val="bg-BG"/>
        </w:rPr>
        <w:t>ЕСПЧ</w:t>
      </w:r>
      <w:r w:rsidRPr="00DC2206">
        <w:rPr>
          <w:rFonts w:asciiTheme="minorHAnsi" w:hAnsiTheme="minorHAnsi"/>
          <w:lang w:val="bg-BG"/>
        </w:rPr>
        <w:t xml:space="preserve">. </w:t>
      </w:r>
      <w:r w:rsidR="00DC2206" w:rsidRPr="00DC2206">
        <w:rPr>
          <w:rFonts w:asciiTheme="minorHAnsi" w:hAnsiTheme="minorHAnsi"/>
          <w:lang w:val="bg-BG"/>
        </w:rPr>
        <w:t xml:space="preserve">Този процес е задължителен и е под надзора на </w:t>
      </w:r>
      <w:r w:rsidR="00732D5B" w:rsidRPr="00DC2206">
        <w:rPr>
          <w:rFonts w:asciiTheme="minorHAnsi" w:hAnsiTheme="minorHAnsi"/>
          <w:lang w:val="bg-BG"/>
        </w:rPr>
        <w:t>Комитета на министрите</w:t>
      </w:r>
      <w:r w:rsidRPr="00DC2206">
        <w:rPr>
          <w:rFonts w:asciiTheme="minorHAnsi" w:hAnsiTheme="minorHAnsi"/>
          <w:lang w:val="bg-BG"/>
        </w:rPr>
        <w:t xml:space="preserve"> </w:t>
      </w:r>
      <w:r w:rsidR="00DC2206" w:rsidRPr="00DC2206">
        <w:rPr>
          <w:rFonts w:asciiTheme="minorHAnsi" w:hAnsiTheme="minorHAnsi"/>
          <w:lang w:val="bg-BG"/>
        </w:rPr>
        <w:t xml:space="preserve">на Съвета на </w:t>
      </w:r>
      <w:r w:rsidR="005326DE">
        <w:rPr>
          <w:rFonts w:asciiTheme="minorHAnsi" w:hAnsiTheme="minorHAnsi"/>
          <w:lang w:val="bg-BG"/>
        </w:rPr>
        <w:t>Европа</w:t>
      </w:r>
      <w:r w:rsidRPr="00DC2206">
        <w:rPr>
          <w:rFonts w:asciiTheme="minorHAnsi" w:hAnsiTheme="minorHAnsi"/>
          <w:lang w:val="bg-BG"/>
        </w:rPr>
        <w:t>.</w:t>
      </w:r>
    </w:p>
    <w:p w14:paraId="4E9E82F4" w14:textId="77777777" w:rsidR="004D19CF" w:rsidRPr="00DC2206" w:rsidRDefault="004D19CF" w:rsidP="004D19CF">
      <w:pPr>
        <w:ind w:left="709" w:hanging="709"/>
        <w:jc w:val="both"/>
        <w:rPr>
          <w:rFonts w:asciiTheme="minorHAnsi" w:hAnsiTheme="minorHAnsi"/>
          <w:lang w:val="bg-BG"/>
        </w:rPr>
      </w:pPr>
    </w:p>
    <w:p w14:paraId="32129B0A" w14:textId="77777777" w:rsidR="00C61601" w:rsidRPr="00DC2206" w:rsidRDefault="00521963" w:rsidP="004D19CF">
      <w:pPr>
        <w:ind w:left="709" w:hanging="709"/>
        <w:jc w:val="both"/>
        <w:rPr>
          <w:rFonts w:asciiTheme="minorHAnsi" w:hAnsiTheme="minorHAnsi"/>
          <w:lang w:val="bg-BG"/>
        </w:rPr>
      </w:pPr>
      <w:r w:rsidRPr="00DC2206">
        <w:rPr>
          <w:rFonts w:asciiTheme="minorHAnsi" w:hAnsiTheme="minorHAnsi"/>
          <w:lang w:val="bg-BG"/>
        </w:rPr>
        <w:t>19.</w:t>
      </w:r>
      <w:r w:rsidRPr="00DC2206">
        <w:rPr>
          <w:rFonts w:asciiTheme="minorHAnsi" w:hAnsiTheme="minorHAnsi"/>
          <w:lang w:val="bg-BG"/>
        </w:rPr>
        <w:tab/>
      </w:r>
      <w:r w:rsidR="00DC2206">
        <w:rPr>
          <w:rFonts w:asciiTheme="minorHAnsi" w:hAnsiTheme="minorHAnsi"/>
          <w:lang w:val="bg-BG"/>
        </w:rPr>
        <w:t>Тези общи мерки могат да включват ново или изменено законодателство</w:t>
      </w:r>
      <w:r w:rsidRPr="00DC2206">
        <w:rPr>
          <w:rFonts w:asciiTheme="minorHAnsi" w:hAnsiTheme="minorHAnsi"/>
          <w:lang w:val="bg-BG"/>
        </w:rPr>
        <w:t xml:space="preserve">, </w:t>
      </w:r>
      <w:r w:rsidR="00DC2206">
        <w:rPr>
          <w:rFonts w:asciiTheme="minorHAnsi" w:hAnsiTheme="minorHAnsi"/>
          <w:lang w:val="bg-BG"/>
        </w:rPr>
        <w:t>нови институции</w:t>
      </w:r>
      <w:r w:rsidRPr="00DC2206">
        <w:rPr>
          <w:rFonts w:asciiTheme="minorHAnsi" w:hAnsiTheme="minorHAnsi"/>
          <w:lang w:val="bg-BG"/>
        </w:rPr>
        <w:t xml:space="preserve">, </w:t>
      </w:r>
      <w:r w:rsidR="00DC2206">
        <w:rPr>
          <w:rFonts w:asciiTheme="minorHAnsi" w:hAnsiTheme="minorHAnsi"/>
          <w:lang w:val="bg-BG"/>
        </w:rPr>
        <w:t>механизми</w:t>
      </w:r>
      <w:r w:rsidRPr="00DC2206">
        <w:rPr>
          <w:rFonts w:asciiTheme="minorHAnsi" w:hAnsiTheme="minorHAnsi"/>
          <w:lang w:val="bg-BG"/>
        </w:rPr>
        <w:t xml:space="preserve">, </w:t>
      </w:r>
      <w:r w:rsidR="00DC2206">
        <w:rPr>
          <w:rFonts w:asciiTheme="minorHAnsi" w:hAnsiTheme="minorHAnsi"/>
          <w:lang w:val="bg-BG"/>
        </w:rPr>
        <w:t xml:space="preserve">процедури, нови критерии за </w:t>
      </w:r>
      <w:r w:rsidR="00AD1FEF" w:rsidRPr="00DC2206">
        <w:rPr>
          <w:rFonts w:asciiTheme="minorHAnsi" w:hAnsiTheme="minorHAnsi"/>
          <w:lang w:val="bg-BG"/>
        </w:rPr>
        <w:t>назначаване</w:t>
      </w:r>
      <w:r w:rsidRPr="00DC2206">
        <w:rPr>
          <w:rFonts w:asciiTheme="minorHAnsi" w:hAnsiTheme="minorHAnsi"/>
          <w:lang w:val="bg-BG"/>
        </w:rPr>
        <w:t xml:space="preserve">, </w:t>
      </w:r>
      <w:r w:rsidR="00DC2206">
        <w:rPr>
          <w:rFonts w:asciiTheme="minorHAnsi" w:hAnsiTheme="minorHAnsi"/>
          <w:lang w:val="bg-BG"/>
        </w:rPr>
        <w:t>преместване</w:t>
      </w:r>
      <w:r w:rsidRPr="00DC2206">
        <w:rPr>
          <w:rFonts w:asciiTheme="minorHAnsi" w:hAnsiTheme="minorHAnsi"/>
          <w:lang w:val="bg-BG"/>
        </w:rPr>
        <w:t xml:space="preserve">, </w:t>
      </w:r>
      <w:r w:rsidR="00DC2206">
        <w:rPr>
          <w:rFonts w:asciiTheme="minorHAnsi" w:hAnsiTheme="minorHAnsi"/>
          <w:lang w:val="bg-BG"/>
        </w:rPr>
        <w:t>повишаване</w:t>
      </w:r>
      <w:r w:rsidRPr="00DC2206">
        <w:rPr>
          <w:rFonts w:asciiTheme="minorHAnsi" w:hAnsiTheme="minorHAnsi"/>
          <w:lang w:val="bg-BG"/>
        </w:rPr>
        <w:t xml:space="preserve">, </w:t>
      </w:r>
      <w:r w:rsidR="00DC2206">
        <w:rPr>
          <w:rFonts w:asciiTheme="minorHAnsi" w:hAnsiTheme="minorHAnsi"/>
          <w:lang w:val="bg-BG"/>
        </w:rPr>
        <w:t>о</w:t>
      </w:r>
      <w:r w:rsidR="005326DE">
        <w:rPr>
          <w:rFonts w:asciiTheme="minorHAnsi" w:hAnsiTheme="minorHAnsi"/>
          <w:lang w:val="bg-BG"/>
        </w:rPr>
        <w:t>ценяване</w:t>
      </w:r>
      <w:r w:rsidRPr="00DC2206">
        <w:rPr>
          <w:rFonts w:asciiTheme="minorHAnsi" w:hAnsiTheme="minorHAnsi"/>
          <w:lang w:val="bg-BG"/>
        </w:rPr>
        <w:t xml:space="preserve">, </w:t>
      </w:r>
      <w:r w:rsidR="0006181B">
        <w:rPr>
          <w:rFonts w:asciiTheme="minorHAnsi" w:hAnsiTheme="minorHAnsi"/>
          <w:lang w:val="bg-BG"/>
        </w:rPr>
        <w:t xml:space="preserve">временно отстраняване и </w:t>
      </w:r>
      <w:r w:rsidR="005326DE">
        <w:rPr>
          <w:rFonts w:asciiTheme="minorHAnsi" w:hAnsiTheme="minorHAnsi"/>
          <w:lang w:val="bg-BG"/>
        </w:rPr>
        <w:t>освобождаване от длъжност</w:t>
      </w:r>
      <w:r w:rsidR="0006181B">
        <w:rPr>
          <w:rFonts w:asciiTheme="minorHAnsi" w:hAnsiTheme="minorHAnsi"/>
          <w:lang w:val="bg-BG"/>
        </w:rPr>
        <w:t xml:space="preserve"> на </w:t>
      </w:r>
      <w:r w:rsidR="00A0730F" w:rsidRPr="00DC2206">
        <w:rPr>
          <w:rFonts w:asciiTheme="minorHAnsi" w:hAnsiTheme="minorHAnsi"/>
          <w:lang w:val="bg-BG"/>
        </w:rPr>
        <w:t>прокурори</w:t>
      </w:r>
      <w:r w:rsidRPr="00DC2206">
        <w:rPr>
          <w:rFonts w:asciiTheme="minorHAnsi" w:hAnsiTheme="minorHAnsi"/>
          <w:lang w:val="bg-BG"/>
        </w:rPr>
        <w:t xml:space="preserve">, </w:t>
      </w:r>
      <w:r w:rsidR="0006181B">
        <w:rPr>
          <w:rFonts w:asciiTheme="minorHAnsi" w:hAnsiTheme="minorHAnsi"/>
          <w:lang w:val="bg-BG"/>
        </w:rPr>
        <w:t>нови гаранции в хода на дисциплинарни производства, заведени срещу тях</w:t>
      </w:r>
      <w:r w:rsidRPr="00DC2206">
        <w:rPr>
          <w:rFonts w:asciiTheme="minorHAnsi" w:hAnsiTheme="minorHAnsi"/>
          <w:lang w:val="bg-BG"/>
        </w:rPr>
        <w:t xml:space="preserve">, </w:t>
      </w:r>
      <w:r w:rsidR="0006181B">
        <w:rPr>
          <w:rFonts w:asciiTheme="minorHAnsi" w:hAnsiTheme="minorHAnsi"/>
          <w:lang w:val="bg-BG"/>
        </w:rPr>
        <w:t>разработване на етични стандарти и други мерки</w:t>
      </w:r>
      <w:r w:rsidRPr="00DC2206">
        <w:rPr>
          <w:rFonts w:asciiTheme="minorHAnsi" w:hAnsiTheme="minorHAnsi"/>
          <w:lang w:val="bg-BG"/>
        </w:rPr>
        <w:t>.</w:t>
      </w:r>
    </w:p>
    <w:p w14:paraId="0ED2A4A7" w14:textId="77777777" w:rsidR="004D19CF" w:rsidRPr="00DC2206" w:rsidRDefault="004D19CF" w:rsidP="004D19CF">
      <w:pPr>
        <w:ind w:left="709" w:hanging="709"/>
        <w:jc w:val="both"/>
        <w:rPr>
          <w:rFonts w:asciiTheme="minorHAnsi" w:hAnsiTheme="minorHAnsi"/>
          <w:lang w:val="bg-BG"/>
        </w:rPr>
      </w:pPr>
    </w:p>
    <w:p w14:paraId="4203623A" w14:textId="77777777" w:rsidR="00C61601" w:rsidRPr="00DC2206" w:rsidRDefault="00521963" w:rsidP="004D19CF">
      <w:pPr>
        <w:ind w:left="709" w:hanging="709"/>
        <w:jc w:val="both"/>
        <w:rPr>
          <w:rFonts w:asciiTheme="minorHAnsi" w:hAnsiTheme="minorHAnsi"/>
          <w:lang w:val="bg-BG"/>
        </w:rPr>
      </w:pPr>
      <w:r w:rsidRPr="00DC2206">
        <w:rPr>
          <w:rFonts w:asciiTheme="minorHAnsi" w:hAnsiTheme="minorHAnsi"/>
          <w:lang w:val="bg-BG"/>
        </w:rPr>
        <w:t>20.</w:t>
      </w:r>
      <w:r w:rsidRPr="00DC2206">
        <w:rPr>
          <w:rFonts w:asciiTheme="minorHAnsi" w:hAnsiTheme="minorHAnsi"/>
          <w:lang w:val="bg-BG"/>
        </w:rPr>
        <w:tab/>
      </w:r>
      <w:r w:rsidR="00DC2206" w:rsidRPr="00DC2206">
        <w:rPr>
          <w:rFonts w:asciiTheme="minorHAnsi" w:hAnsiTheme="minorHAnsi"/>
          <w:lang w:val="bg-BG"/>
        </w:rPr>
        <w:t xml:space="preserve">Съществуват и важни консултативни инструменти, разработени от органите и институциите на Съвета на Европа, предоставящи задълбочени насоки по отношение на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DC2206" w:rsidRPr="00DC2206">
        <w:rPr>
          <w:rFonts w:asciiTheme="minorHAnsi" w:hAnsiTheme="minorHAnsi"/>
          <w:lang w:val="bg-BG"/>
        </w:rPr>
        <w:t xml:space="preserve">на </w:t>
      </w:r>
      <w:r w:rsidR="00A0730F" w:rsidRPr="00DC2206">
        <w:rPr>
          <w:rFonts w:asciiTheme="minorHAnsi" w:hAnsiTheme="minorHAnsi"/>
          <w:lang w:val="bg-BG"/>
        </w:rPr>
        <w:t>прокурори</w:t>
      </w:r>
      <w:r w:rsidR="00DC2206" w:rsidRPr="00DC2206">
        <w:rPr>
          <w:rFonts w:asciiTheme="minorHAnsi" w:hAnsiTheme="minorHAnsi"/>
          <w:lang w:val="bg-BG"/>
        </w:rPr>
        <w:t>те</w:t>
      </w:r>
      <w:r w:rsidRPr="00DC2206">
        <w:rPr>
          <w:rFonts w:asciiTheme="minorHAnsi" w:hAnsiTheme="minorHAnsi"/>
          <w:lang w:val="bg-BG"/>
        </w:rPr>
        <w:t xml:space="preserve">. </w:t>
      </w:r>
      <w:r w:rsidR="00DC2206" w:rsidRPr="00DC2206">
        <w:rPr>
          <w:rFonts w:asciiTheme="minorHAnsi" w:hAnsiTheme="minorHAnsi"/>
          <w:lang w:val="bg-BG"/>
        </w:rPr>
        <w:t>Тези инструменти служат като незадължителни правни стандарти и представляват база за реформи в съда и прокуратурата в държавите членки в рамките на дейностите по сътрудничество на Съвета на Европа</w:t>
      </w:r>
      <w:r w:rsidRPr="00DC2206">
        <w:rPr>
          <w:rFonts w:asciiTheme="minorHAnsi" w:hAnsiTheme="minorHAnsi"/>
          <w:lang w:val="bg-BG"/>
        </w:rPr>
        <w:t>.</w:t>
      </w:r>
    </w:p>
    <w:p w14:paraId="16DC1075" w14:textId="77777777" w:rsidR="004D19CF" w:rsidRPr="00DC2206" w:rsidRDefault="004D19CF" w:rsidP="004D19CF">
      <w:pPr>
        <w:ind w:left="709" w:hanging="709"/>
        <w:jc w:val="both"/>
        <w:rPr>
          <w:rFonts w:asciiTheme="minorHAnsi" w:hAnsiTheme="minorHAnsi"/>
          <w:lang w:val="bg-BG" w:eastAsia="bg-BG" w:bidi="bg-BG"/>
        </w:rPr>
      </w:pPr>
    </w:p>
    <w:p w14:paraId="137013A0" w14:textId="77777777" w:rsidR="00C61601" w:rsidRPr="00DC2206" w:rsidRDefault="00521963" w:rsidP="004D19CF">
      <w:pPr>
        <w:ind w:left="709" w:hanging="709"/>
        <w:jc w:val="both"/>
        <w:rPr>
          <w:rFonts w:asciiTheme="minorHAnsi" w:hAnsiTheme="minorHAnsi"/>
          <w:lang w:val="bg-BG"/>
        </w:rPr>
      </w:pPr>
      <w:r w:rsidRPr="00DC2206">
        <w:rPr>
          <w:rFonts w:asciiTheme="minorHAnsi" w:hAnsiTheme="minorHAnsi"/>
          <w:lang w:val="bg-BG" w:eastAsia="bg-BG" w:bidi="bg-BG"/>
        </w:rPr>
        <w:t>21.</w:t>
      </w:r>
      <w:r w:rsidRPr="00DC2206">
        <w:rPr>
          <w:rFonts w:asciiTheme="minorHAnsi" w:hAnsiTheme="minorHAnsi"/>
          <w:lang w:val="bg-BG" w:eastAsia="bg-BG" w:bidi="bg-BG"/>
        </w:rPr>
        <w:tab/>
      </w:r>
      <w:r w:rsidR="00DC2206" w:rsidRPr="00DC2206">
        <w:rPr>
          <w:rFonts w:asciiTheme="minorHAnsi" w:hAnsiTheme="minorHAnsi"/>
          <w:lang w:val="bg-BG"/>
        </w:rPr>
        <w:t>Тези незадължителни правни инструменти могат</w:t>
      </w:r>
      <w:r w:rsidRPr="00DC2206">
        <w:rPr>
          <w:rFonts w:asciiTheme="minorHAnsi" w:hAnsiTheme="minorHAnsi"/>
          <w:lang w:val="bg-BG"/>
        </w:rPr>
        <w:t xml:space="preserve">, </w:t>
      </w:r>
      <w:r w:rsidR="00DC2206" w:rsidRPr="00DC2206">
        <w:rPr>
          <w:rFonts w:asciiTheme="minorHAnsi" w:hAnsiTheme="minorHAnsi"/>
          <w:lang w:val="bg-BG"/>
        </w:rPr>
        <w:t xml:space="preserve">на свой ред, да служат като източник на вдъхновение и да бъдат използвани като отправна точка – и в универсален план, и на регионално ниво – от </w:t>
      </w:r>
      <w:r w:rsidR="00CD379A" w:rsidRPr="00DC2206">
        <w:rPr>
          <w:rFonts w:asciiTheme="minorHAnsi" w:hAnsiTheme="minorHAnsi"/>
          <w:lang w:val="bg-BG"/>
        </w:rPr>
        <w:t>международни</w:t>
      </w:r>
      <w:r w:rsidR="00DC2206" w:rsidRPr="00DC2206">
        <w:rPr>
          <w:rFonts w:asciiTheme="minorHAnsi" w:hAnsiTheme="minorHAnsi"/>
          <w:lang w:val="bg-BG"/>
        </w:rPr>
        <w:t>те</w:t>
      </w:r>
      <w:r w:rsidR="00CD379A" w:rsidRPr="00DC2206">
        <w:rPr>
          <w:rFonts w:asciiTheme="minorHAnsi" w:hAnsiTheme="minorHAnsi"/>
          <w:lang w:val="bg-BG"/>
        </w:rPr>
        <w:t xml:space="preserve"> съдилища</w:t>
      </w:r>
      <w:r w:rsidRPr="00DC2206">
        <w:rPr>
          <w:rFonts w:asciiTheme="minorHAnsi" w:hAnsiTheme="minorHAnsi"/>
          <w:lang w:val="bg-BG"/>
        </w:rPr>
        <w:t xml:space="preserve"> </w:t>
      </w:r>
      <w:r w:rsidR="00DC2206" w:rsidRPr="00DC2206">
        <w:rPr>
          <w:rFonts w:asciiTheme="minorHAnsi" w:hAnsiTheme="minorHAnsi"/>
          <w:lang w:val="bg-BG"/>
        </w:rPr>
        <w:t xml:space="preserve">и </w:t>
      </w:r>
      <w:r w:rsidR="005326DE" w:rsidRPr="005326DE">
        <w:rPr>
          <w:rFonts w:asciiTheme="minorHAnsi" w:hAnsiTheme="minorHAnsi"/>
          <w:lang w:val="bg-BG"/>
        </w:rPr>
        <w:t>органите, учредени с международни договори</w:t>
      </w:r>
      <w:r w:rsidR="005326DE">
        <w:rPr>
          <w:rFonts w:asciiTheme="minorHAnsi" w:hAnsiTheme="minorHAnsi"/>
          <w:lang w:val="bg-BG"/>
        </w:rPr>
        <w:t>,</w:t>
      </w:r>
      <w:r w:rsidR="00DC2206" w:rsidRPr="00DC2206">
        <w:rPr>
          <w:rFonts w:asciiTheme="minorHAnsi" w:hAnsiTheme="minorHAnsi"/>
          <w:lang w:val="bg-BG"/>
        </w:rPr>
        <w:t xml:space="preserve"> в тяхното засилен</w:t>
      </w:r>
      <w:r w:rsidR="000C14F9">
        <w:rPr>
          <w:rFonts w:asciiTheme="minorHAnsi" w:hAnsiTheme="minorHAnsi"/>
          <w:lang w:val="bg-BG"/>
        </w:rPr>
        <w:t>о</w:t>
      </w:r>
      <w:r w:rsidR="00DC2206" w:rsidRPr="00DC2206">
        <w:rPr>
          <w:rFonts w:asciiTheme="minorHAnsi" w:hAnsiTheme="minorHAnsi"/>
          <w:lang w:val="bg-BG"/>
        </w:rPr>
        <w:t xml:space="preserve"> търсене на по-справедлива и по-ефективна съдебна система, в която </w:t>
      </w:r>
      <w:r w:rsidR="00A0730F" w:rsidRPr="00DC2206">
        <w:rPr>
          <w:rFonts w:asciiTheme="minorHAnsi" w:hAnsiTheme="minorHAnsi"/>
          <w:lang w:val="bg-BG"/>
        </w:rPr>
        <w:t>независимостта</w:t>
      </w:r>
      <w:r w:rsidRPr="00DC2206">
        <w:rPr>
          <w:rFonts w:asciiTheme="minorHAnsi" w:hAnsiTheme="minorHAnsi"/>
          <w:lang w:val="bg-BG"/>
        </w:rPr>
        <w:t xml:space="preserve"> </w:t>
      </w:r>
      <w:r w:rsidR="00DC2206" w:rsidRPr="00DC2206">
        <w:rPr>
          <w:rFonts w:asciiTheme="minorHAnsi" w:hAnsiTheme="minorHAnsi"/>
          <w:lang w:val="bg-BG"/>
        </w:rPr>
        <w:t xml:space="preserve">и </w:t>
      </w:r>
      <w:r w:rsidR="00AD1FEF" w:rsidRPr="00DC2206">
        <w:rPr>
          <w:rFonts w:asciiTheme="minorHAnsi" w:hAnsiTheme="minorHAnsi"/>
          <w:lang w:val="bg-BG"/>
        </w:rPr>
        <w:t>безпристрастност</w:t>
      </w:r>
      <w:r w:rsidR="00DC2206" w:rsidRPr="00DC2206">
        <w:rPr>
          <w:rFonts w:asciiTheme="minorHAnsi" w:hAnsiTheme="minorHAnsi"/>
          <w:lang w:val="bg-BG"/>
        </w:rPr>
        <w:t xml:space="preserve">та на </w:t>
      </w:r>
      <w:r w:rsidR="00A0730F" w:rsidRPr="00DC2206">
        <w:rPr>
          <w:rFonts w:asciiTheme="minorHAnsi" w:hAnsiTheme="minorHAnsi"/>
          <w:lang w:val="bg-BG"/>
        </w:rPr>
        <w:t>прокурори</w:t>
      </w:r>
      <w:r w:rsidR="00DC2206" w:rsidRPr="00DC2206">
        <w:rPr>
          <w:rFonts w:asciiTheme="minorHAnsi" w:hAnsiTheme="minorHAnsi"/>
          <w:lang w:val="bg-BG"/>
        </w:rPr>
        <w:t>те</w:t>
      </w:r>
      <w:r w:rsidR="000C14F9">
        <w:rPr>
          <w:rFonts w:asciiTheme="minorHAnsi" w:hAnsiTheme="minorHAnsi"/>
          <w:lang w:val="bg-BG"/>
        </w:rPr>
        <w:t xml:space="preserve"> и</w:t>
      </w:r>
      <w:r w:rsidR="00DC2206" w:rsidRPr="00DC2206">
        <w:rPr>
          <w:rFonts w:asciiTheme="minorHAnsi" w:hAnsiTheme="minorHAnsi"/>
          <w:lang w:val="bg-BG"/>
        </w:rPr>
        <w:t xml:space="preserve"> </w:t>
      </w:r>
      <w:r w:rsidR="00A1456B" w:rsidRPr="00DC2206">
        <w:rPr>
          <w:rFonts w:asciiTheme="minorHAnsi" w:hAnsiTheme="minorHAnsi"/>
          <w:lang w:val="bg-BG"/>
        </w:rPr>
        <w:t>прокуратури</w:t>
      </w:r>
      <w:r w:rsidR="00DC2206" w:rsidRPr="00DC2206">
        <w:rPr>
          <w:rFonts w:asciiTheme="minorHAnsi" w:hAnsiTheme="minorHAnsi"/>
          <w:lang w:val="bg-BG"/>
        </w:rPr>
        <w:t>те са предвидени в надлежна правна уредба, подобна на приложимата спрямо съдиите</w:t>
      </w:r>
      <w:bookmarkStart w:id="9" w:name="_GoBack"/>
      <w:bookmarkEnd w:id="9"/>
      <w:r w:rsidRPr="00DC2206">
        <w:rPr>
          <w:rFonts w:asciiTheme="minorHAnsi" w:hAnsiTheme="minorHAnsi"/>
          <w:lang w:val="bg-BG"/>
        </w:rPr>
        <w:t>.</w:t>
      </w:r>
    </w:p>
    <w:sectPr w:rsidR="00C61601" w:rsidRPr="00DC2206" w:rsidSect="00E07C60">
      <w:type w:val="continuous"/>
      <w:pgSz w:w="11909" w:h="16834"/>
      <w:pgMar w:top="1134" w:right="850" w:bottom="1020"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7AD07" w14:textId="77777777" w:rsidR="00C60F61" w:rsidRDefault="00C60F61">
      <w:r>
        <w:separator/>
      </w:r>
    </w:p>
  </w:endnote>
  <w:endnote w:type="continuationSeparator" w:id="0">
    <w:p w14:paraId="441681B4" w14:textId="77777777" w:rsidR="00C60F61" w:rsidRDefault="00C6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6C118" w14:textId="77777777" w:rsidR="00C60F61" w:rsidRDefault="00C60F61">
      <w:r>
        <w:separator/>
      </w:r>
    </w:p>
  </w:footnote>
  <w:footnote w:type="continuationSeparator" w:id="0">
    <w:p w14:paraId="44B352A3" w14:textId="77777777" w:rsidR="00C60F61" w:rsidRDefault="00C60F61">
      <w:r>
        <w:continuationSeparator/>
      </w:r>
    </w:p>
  </w:footnote>
  <w:footnote w:id="1">
    <w:p w14:paraId="77D9BC57"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Становище № 9 (2014) на КСЕП относно европейските норми и принципи, засягащи прокурорите, Римска харта, Раздел IV.</w:t>
      </w:r>
    </w:p>
  </w:footnote>
  <w:footnote w:id="2">
    <w:p w14:paraId="771B586D"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Становище № 9 (2014) на КСЕП относно европейските норми и принципи, засягащи прокурорите, Римска харта, Раздел V.</w:t>
      </w:r>
    </w:p>
  </w:footnote>
  <w:footnote w:id="3">
    <w:p w14:paraId="6F1C537E"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Становище № 13 (2018) на КСЕП относно независимост, отчетност и етика на прокурорите, Препоръки, Раздел i.</w:t>
      </w:r>
    </w:p>
  </w:footnote>
  <w:footnote w:id="4">
    <w:p w14:paraId="2CBBF964"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Доклад относно европейските стандарти по отношение на независимостта на съдебната система: Част II – Прокуратура – приет от Венецианската комисия на нейната 85-та пленарна сесия (Венеция, 17–18 декември 2010 г.), точка 7.</w:t>
      </w:r>
    </w:p>
  </w:footnote>
  <w:footnote w:id="5">
    <w:p w14:paraId="425B4B78"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Доклад относно европейските стандарти по отношение на независимостта на съдебната система: Част II – Прокуратура – приет от Венецианската комисия на нейната 85-та пленарна сесия (Венеция, 17–18 декември 2010 г.), точка 9.</w:t>
      </w:r>
    </w:p>
  </w:footnote>
  <w:footnote w:id="6">
    <w:p w14:paraId="436B01C7"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Доклад относно европейските стандарти по отношение на независимостта на съдебната система: Част II – Прокуратура – приет от Венецианската комисия на нейната 85-та пленарна сесия (Венеция, 17–18 декември 2010 г.), точки 16-17.</w:t>
      </w:r>
    </w:p>
  </w:footnote>
  <w:footnote w:id="7">
    <w:p w14:paraId="7B2FF832"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Становище № 4 (2009) на КСЕП относно отношенията между съдиите и прокурорите в демократичното общество, точка 27.</w:t>
      </w:r>
    </w:p>
  </w:footnote>
  <w:footnote w:id="8">
    <w:p w14:paraId="7A518C3F"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Становище № 9 (2014) на КСЕП относно европейските норми и принципи, засягащи прокурорите, точка 33.</w:t>
      </w:r>
    </w:p>
  </w:footnote>
  <w:footnote w:id="9">
    <w:p w14:paraId="257E5748"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Становище № 9 (2014) на КСЕП относно европейските норми и принципи, засягащи прокурорите, Римска харта, Раздел IV.</w:t>
      </w:r>
    </w:p>
  </w:footnote>
  <w:footnote w:id="10">
    <w:p w14:paraId="7AE72B83"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Rec(2000)19, точка 14. Вж също Становище № 9(2014) на КСЕП относно европейските норми и принципи, засягащи прокурорите, точка 33.</w:t>
      </w:r>
    </w:p>
  </w:footnote>
  <w:footnote w:id="11">
    <w:p w14:paraId="117D2FF0"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От Осмия конгрес на ООН за предотвратяване на престъпността и за работата със закононарушителите, Хавана, Куба, 27 август до 7 септември 1990 г.</w:t>
      </w:r>
    </w:p>
  </w:footnote>
  <w:footnote w:id="12">
    <w:p w14:paraId="0AA4BAAB"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Тези Стандарти служат като международен еталон за поведението на отделните прокурори и на прокуратурите. Те предвиждат, че използването на прокурорска преценка, когато това е позволено в конкретна юрисдикция,  следва да се упражнява независимо и да няма политическа намеса в нея. Ако непрокурорски органи имат правото да дават общи или конкретни указания на прокурорите, тези указания следва да бъдат прозрачни, съвместими със законовата власт и да бъдат подчинени на утвърдени насоки за предпазване на действителността и възприятието за независимостта на прокурорите.</w:t>
      </w:r>
    </w:p>
  </w:footnote>
  <w:footnote w:id="13">
    <w:p w14:paraId="6C99F99A"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Становище № 13 (2018) на КСЕП относно независимост, отчетност и етика на прокурорите, точки 15-16.</w:t>
      </w:r>
    </w:p>
  </w:footnote>
  <w:footnote w:id="14">
    <w:p w14:paraId="6A096DB9"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Становище № 13 (2018) на КСЕП относно независимост, отчетност и етика на прокурорите, Препоръки, Раздел i.</w:t>
      </w:r>
    </w:p>
  </w:footnote>
  <w:footnote w:id="15">
    <w:p w14:paraId="06C337E3"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Становище № 13 (2018) на КСЕП относно независимост, отчетност и етика на прокурорите, Препоръки, Раздел iii.</w:t>
      </w:r>
    </w:p>
  </w:footnote>
  <w:footnote w:id="16">
    <w:p w14:paraId="0A43C59A"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Становище № 13 (2018) на КСЕП относно независимост, отчетност и етика на прокурорите, Препоръки, Раздел iii.</w:t>
      </w:r>
    </w:p>
  </w:footnote>
  <w:footnote w:id="17">
    <w:p w14:paraId="65005905"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Доклад относно европейските стандарти по отношение на независимостта на съдебната система: Част II – Прокуратура – приет от Венецианската комисия на нейната 85-та пленарна сесия (Венеция, 17–18 декември 2010 г.), точка 18; вж също Становище № 9 (2014) на КСЕП относно европейските норми и принципи, засягащи прокурорите, точка 53.</w:t>
      </w:r>
    </w:p>
  </w:footnote>
  <w:footnote w:id="18">
    <w:p w14:paraId="5963F7DF"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Становище № 13 (2018) на КСЕП относно независимост, отчетност и етика на прокурорите, Препоръки, Раздел ii.</w:t>
      </w:r>
    </w:p>
  </w:footnote>
  <w:footnote w:id="19">
    <w:p w14:paraId="6B2904CB"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Становище № 13 (2018) на КСЕП относно независимост, отчетност и етика на прокурорите, Препоръки, Раздел iv.</w:t>
      </w:r>
    </w:p>
  </w:footnote>
  <w:footnote w:id="20">
    <w:p w14:paraId="1FA9D755"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Становище № 13 (2018) на КСЕП относно независимост, отчетност и етика на прокурорите, точки 34-35.</w:t>
      </w:r>
    </w:p>
  </w:footnote>
  <w:footnote w:id="21">
    <w:p w14:paraId="51B6ADD2"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Становище № 13 (2018) на КСЕП относно независимост, отчетност и етика на прокурорите, точка 40, Препоръки, Раздел vi.</w:t>
      </w:r>
    </w:p>
  </w:footnote>
  <w:footnote w:id="22">
    <w:p w14:paraId="6837383D"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Становище № 13 (2018) на КСЕП относно независимост, отчетност и етика на прокурорите, Препоръки, Раздел xi.</w:t>
      </w:r>
    </w:p>
  </w:footnote>
  <w:footnote w:id="23">
    <w:p w14:paraId="29756C08"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Становище № 13 (2018) на КСЕП относно независимост, отчетност и етика на прокурорите, Препоръки, Раздел ix.</w:t>
      </w:r>
    </w:p>
  </w:footnote>
  <w:footnote w:id="24">
    <w:p w14:paraId="18BE29A7"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Становище № 13 (2018) на КСЕП относно независимост, отчетност и етика на прокурорите, Препоръки, Раздел xii.</w:t>
      </w:r>
    </w:p>
  </w:footnote>
  <w:footnote w:id="25">
    <w:p w14:paraId="5250AEBA"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Становище № 13 (2018) на КСЕП относно независимост, отчетност и етика на прокурорите, Препоръки, Раздел vii.</w:t>
      </w:r>
    </w:p>
  </w:footnote>
  <w:footnote w:id="26">
    <w:p w14:paraId="7C4C0536"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Доклад относно европейските стандарти по отношение на независимостта на съдебната система: Част II – Прокуратура – приет от Венецианската комисия на нейната 85-та пленарна сесия (Венеция, 17–18 декември 2010 г.), точка 50.</w:t>
      </w:r>
    </w:p>
  </w:footnote>
  <w:footnote w:id="27">
    <w:p w14:paraId="0B70DB30"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Становище № 9 (2014) на КСЕП относно европейските норми и принципи, засягащи прокурорите, Римска харта, Раздел IV.</w:t>
      </w:r>
    </w:p>
  </w:footnote>
  <w:footnote w:id="28">
    <w:p w14:paraId="03956994"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Ninn-Hansen v. Denmark</w:t>
      </w:r>
      <w:r w:rsidRPr="00F05D55">
        <w:rPr>
          <w:rFonts w:asciiTheme="minorHAnsi" w:hAnsiTheme="minorHAnsi"/>
          <w:lang w:val="bg-BG"/>
        </w:rPr>
        <w:t xml:space="preserve"> (реш.), № </w:t>
      </w:r>
      <w:r w:rsidRPr="00F05D55">
        <w:rPr>
          <w:rFonts w:asciiTheme="minorHAnsi" w:hAnsiTheme="minorHAnsi"/>
          <w:lang w:val="bg-BG" w:eastAsia="bg-BG" w:bidi="bg-BG"/>
        </w:rPr>
        <w:t xml:space="preserve">28972/95, </w:t>
      </w:r>
      <w:r w:rsidRPr="00F05D55">
        <w:rPr>
          <w:rFonts w:asciiTheme="minorHAnsi" w:hAnsiTheme="minorHAnsi"/>
          <w:lang w:val="bg-BG"/>
        </w:rPr>
        <w:t>18 май 1999 г., параграф 93.</w:t>
      </w:r>
    </w:p>
  </w:footnote>
  <w:footnote w:id="29">
    <w:p w14:paraId="15FFFB88"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Sramek v. Austria</w:t>
      </w:r>
      <w:r w:rsidRPr="00F05D55">
        <w:rPr>
          <w:rFonts w:asciiTheme="minorHAnsi" w:hAnsiTheme="minorHAnsi"/>
          <w:lang w:val="bg-BG"/>
        </w:rPr>
        <w:t>, № </w:t>
      </w:r>
      <w:r w:rsidRPr="00F05D55">
        <w:rPr>
          <w:rFonts w:asciiTheme="minorHAnsi" w:hAnsiTheme="minorHAnsi"/>
          <w:lang w:val="bg-BG" w:eastAsia="bg-BG" w:bidi="bg-BG"/>
        </w:rPr>
        <w:t xml:space="preserve">8790/79, </w:t>
      </w:r>
      <w:r w:rsidRPr="00F05D55">
        <w:rPr>
          <w:rFonts w:asciiTheme="minorHAnsi" w:hAnsiTheme="minorHAnsi"/>
          <w:lang w:val="bg-BG"/>
        </w:rPr>
        <w:t xml:space="preserve">22 октомври 1984 г., §42. Вж, </w:t>
      </w:r>
      <w:r w:rsidRPr="00F05D55">
        <w:rPr>
          <w:rFonts w:asciiTheme="minorHAnsi" w:hAnsiTheme="minorHAnsi"/>
          <w:i/>
          <w:lang w:val="bg-BG"/>
        </w:rPr>
        <w:t>съответно</w:t>
      </w:r>
      <w:r w:rsidRPr="00F05D55">
        <w:rPr>
          <w:rFonts w:asciiTheme="minorHAnsi" w:hAnsiTheme="minorHAnsi"/>
          <w:lang w:val="bg-BG"/>
        </w:rPr>
        <w:t xml:space="preserve">, </w:t>
      </w:r>
      <w:r w:rsidRPr="00F05D55">
        <w:rPr>
          <w:rFonts w:asciiTheme="minorHAnsi" w:hAnsiTheme="minorHAnsi"/>
          <w:i/>
          <w:lang w:val="bg-BG"/>
        </w:rPr>
        <w:t>Campbell and Fell v. the United Kingdom</w:t>
      </w:r>
      <w:r w:rsidRPr="00F05D55">
        <w:rPr>
          <w:rFonts w:asciiTheme="minorHAnsi" w:hAnsiTheme="minorHAnsi"/>
          <w:lang w:val="bg-BG"/>
        </w:rPr>
        <w:t>, №№ 781</w:t>
      </w:r>
      <w:r w:rsidRPr="00F05D55">
        <w:rPr>
          <w:rFonts w:asciiTheme="minorHAnsi" w:hAnsiTheme="minorHAnsi"/>
          <w:lang w:val="bg-BG" w:eastAsia="bg-BG" w:bidi="bg-BG"/>
        </w:rPr>
        <w:t xml:space="preserve">9/77 </w:t>
      </w:r>
      <w:r w:rsidRPr="00F05D55">
        <w:rPr>
          <w:rFonts w:asciiTheme="minorHAnsi" w:hAnsiTheme="minorHAnsi"/>
          <w:lang w:val="bg-BG"/>
        </w:rPr>
        <w:t xml:space="preserve">и </w:t>
      </w:r>
      <w:r w:rsidRPr="00F05D55">
        <w:rPr>
          <w:rFonts w:asciiTheme="minorHAnsi" w:hAnsiTheme="minorHAnsi"/>
          <w:lang w:val="bg-BG" w:eastAsia="bg-BG" w:bidi="bg-BG"/>
        </w:rPr>
        <w:t xml:space="preserve">7878/77, </w:t>
      </w:r>
      <w:r w:rsidRPr="00F05D55">
        <w:rPr>
          <w:rFonts w:asciiTheme="minorHAnsi" w:hAnsiTheme="minorHAnsi"/>
          <w:lang w:val="bg-BG"/>
        </w:rPr>
        <w:t xml:space="preserve">28 юни 1984 г., Серия A № 80, стр. 39-40, параграф 78; и </w:t>
      </w:r>
      <w:r w:rsidRPr="00F05D55">
        <w:rPr>
          <w:rFonts w:asciiTheme="minorHAnsi" w:hAnsiTheme="minorHAnsi"/>
          <w:i/>
          <w:lang w:val="bg-BG"/>
        </w:rPr>
        <w:t>Piersack v. Belgium</w:t>
      </w:r>
      <w:r w:rsidRPr="00F05D55">
        <w:rPr>
          <w:rFonts w:asciiTheme="minorHAnsi" w:hAnsiTheme="minorHAnsi"/>
          <w:lang w:val="bg-BG"/>
        </w:rPr>
        <w:t>, № </w:t>
      </w:r>
      <w:r w:rsidRPr="00F05D55">
        <w:rPr>
          <w:rFonts w:asciiTheme="minorHAnsi" w:hAnsiTheme="minorHAnsi"/>
          <w:lang w:val="bg-BG" w:eastAsia="bg-BG" w:bidi="bg-BG"/>
        </w:rPr>
        <w:t xml:space="preserve">8692/79, </w:t>
      </w:r>
      <w:r w:rsidRPr="00F05D55">
        <w:rPr>
          <w:rFonts w:asciiTheme="minorHAnsi" w:hAnsiTheme="minorHAnsi"/>
          <w:lang w:val="bg-BG"/>
        </w:rPr>
        <w:t>1 октомври 1982 г., Серия A № 53, стр. 14-15, параграф 30.</w:t>
      </w:r>
    </w:p>
  </w:footnote>
  <w:footnote w:id="30">
    <w:p w14:paraId="18613CB1"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Şahiner v. Turkey</w:t>
      </w:r>
      <w:r w:rsidRPr="00F05D55">
        <w:rPr>
          <w:rFonts w:asciiTheme="minorHAnsi" w:hAnsiTheme="minorHAnsi"/>
          <w:lang w:val="bg-BG"/>
        </w:rPr>
        <w:t>, № </w:t>
      </w:r>
      <w:r w:rsidRPr="00F05D55">
        <w:rPr>
          <w:rFonts w:asciiTheme="minorHAnsi" w:hAnsiTheme="minorHAnsi"/>
          <w:lang w:val="bg-BG" w:eastAsia="bg-BG" w:bidi="bg-BG"/>
        </w:rPr>
        <w:t xml:space="preserve">29279/95, </w:t>
      </w:r>
      <w:r w:rsidRPr="00F05D55">
        <w:rPr>
          <w:rFonts w:asciiTheme="minorHAnsi" w:hAnsiTheme="minorHAnsi"/>
          <w:lang w:val="bg-BG"/>
        </w:rPr>
        <w:t xml:space="preserve">25 септември 2001, § 44. За гражданскоправния аспект, вж </w:t>
      </w:r>
      <w:r w:rsidRPr="00F05D55">
        <w:rPr>
          <w:rFonts w:asciiTheme="minorHAnsi" w:hAnsiTheme="minorHAnsi"/>
          <w:i/>
          <w:lang w:val="bg-BG"/>
        </w:rPr>
        <w:t>Sacilor Lormines v. France</w:t>
      </w:r>
      <w:r w:rsidRPr="00F05D55">
        <w:rPr>
          <w:rFonts w:asciiTheme="minorHAnsi" w:hAnsiTheme="minorHAnsi"/>
          <w:lang w:val="bg-BG"/>
        </w:rPr>
        <w:t>, № </w:t>
      </w:r>
      <w:r w:rsidRPr="00F05D55">
        <w:rPr>
          <w:rFonts w:asciiTheme="minorHAnsi" w:hAnsiTheme="minorHAnsi"/>
          <w:lang w:val="bg-BG" w:eastAsia="bg-BG" w:bidi="bg-BG"/>
        </w:rPr>
        <w:t xml:space="preserve">65411/01, </w:t>
      </w:r>
      <w:r w:rsidRPr="00F05D55">
        <w:rPr>
          <w:rFonts w:asciiTheme="minorHAnsi" w:hAnsiTheme="minorHAnsi"/>
          <w:lang w:val="bg-BG"/>
        </w:rPr>
        <w:t xml:space="preserve">9 ноември 2006 г., § 63; </w:t>
      </w:r>
      <w:r w:rsidRPr="00F05D55">
        <w:rPr>
          <w:rFonts w:asciiTheme="minorHAnsi" w:hAnsiTheme="minorHAnsi"/>
          <w:i/>
          <w:lang w:val="bg-BG"/>
        </w:rPr>
        <w:t>Grace Gatt v. Malta</w:t>
      </w:r>
      <w:r w:rsidRPr="00F05D55">
        <w:rPr>
          <w:rFonts w:asciiTheme="minorHAnsi" w:hAnsiTheme="minorHAnsi"/>
          <w:lang w:val="bg-BG"/>
        </w:rPr>
        <w:t>, № </w:t>
      </w:r>
      <w:r w:rsidRPr="00F05D55">
        <w:rPr>
          <w:rFonts w:asciiTheme="minorHAnsi" w:hAnsiTheme="minorHAnsi"/>
          <w:lang w:val="bg-BG" w:eastAsia="bg-BG" w:bidi="bg-BG"/>
        </w:rPr>
        <w:t xml:space="preserve">46466/16, </w:t>
      </w:r>
      <w:r w:rsidRPr="00F05D55">
        <w:rPr>
          <w:rFonts w:asciiTheme="minorHAnsi" w:hAnsiTheme="minorHAnsi"/>
          <w:lang w:val="bg-BG"/>
        </w:rPr>
        <w:t>8 октомври 2019 г., § 85.</w:t>
      </w:r>
    </w:p>
  </w:footnote>
  <w:footnote w:id="31">
    <w:p w14:paraId="65621330"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Mustafa Tunҫ and Fecire Tung v. Turkey</w:t>
      </w:r>
      <w:r w:rsidRPr="00F05D55">
        <w:rPr>
          <w:rFonts w:asciiTheme="minorHAnsi" w:hAnsiTheme="minorHAnsi"/>
          <w:lang w:val="bg-BG"/>
        </w:rPr>
        <w:t xml:space="preserve"> [Голяма камара], № </w:t>
      </w:r>
      <w:r w:rsidRPr="00F05D55">
        <w:rPr>
          <w:rFonts w:asciiTheme="minorHAnsi" w:hAnsiTheme="minorHAnsi"/>
          <w:lang w:val="bg-BG" w:eastAsia="bg-BG" w:bidi="bg-BG"/>
        </w:rPr>
        <w:t xml:space="preserve">24014/05, </w:t>
      </w:r>
      <w:r w:rsidRPr="00F05D55">
        <w:rPr>
          <w:rFonts w:asciiTheme="minorHAnsi" w:hAnsiTheme="minorHAnsi"/>
          <w:lang w:val="bg-BG"/>
        </w:rPr>
        <w:t xml:space="preserve">14 април 2015 г., § 221; </w:t>
      </w:r>
      <w:r w:rsidRPr="00F05D55">
        <w:rPr>
          <w:rFonts w:asciiTheme="minorHAnsi" w:hAnsiTheme="minorHAnsi"/>
          <w:i/>
          <w:lang w:val="bg-BG"/>
        </w:rPr>
        <w:t>Findlay v. the United Kingdom</w:t>
      </w:r>
      <w:r w:rsidRPr="00F05D55">
        <w:rPr>
          <w:rFonts w:asciiTheme="minorHAnsi" w:hAnsiTheme="minorHAnsi"/>
          <w:lang w:val="bg-BG"/>
        </w:rPr>
        <w:t>, № </w:t>
      </w:r>
      <w:r w:rsidRPr="00F05D55">
        <w:rPr>
          <w:rFonts w:asciiTheme="minorHAnsi" w:hAnsiTheme="minorHAnsi"/>
          <w:lang w:val="bg-BG" w:eastAsia="bg-BG" w:bidi="bg-BG"/>
        </w:rPr>
        <w:t xml:space="preserve">22107/93, </w:t>
      </w:r>
      <w:r w:rsidRPr="00F05D55">
        <w:rPr>
          <w:rFonts w:asciiTheme="minorHAnsi" w:hAnsiTheme="minorHAnsi"/>
          <w:lang w:val="bg-BG"/>
        </w:rPr>
        <w:t xml:space="preserve">25 февруари 1997 г., § 73; </w:t>
      </w:r>
      <w:r w:rsidRPr="00F05D55">
        <w:rPr>
          <w:rFonts w:asciiTheme="minorHAnsi" w:hAnsiTheme="minorHAnsi"/>
          <w:i/>
          <w:lang w:val="bg-BG"/>
        </w:rPr>
        <w:t>Bryan v. the United Kingdom</w:t>
      </w:r>
      <w:r w:rsidRPr="00F05D55">
        <w:rPr>
          <w:rFonts w:asciiTheme="minorHAnsi" w:hAnsiTheme="minorHAnsi"/>
          <w:lang w:val="bg-BG"/>
        </w:rPr>
        <w:t>, № </w:t>
      </w:r>
      <w:r w:rsidRPr="00F05D55">
        <w:rPr>
          <w:rFonts w:asciiTheme="minorHAnsi" w:hAnsiTheme="minorHAnsi"/>
          <w:lang w:val="bg-BG" w:eastAsia="bg-BG" w:bidi="bg-BG"/>
        </w:rPr>
        <w:t xml:space="preserve">19178/91, </w:t>
      </w:r>
      <w:r w:rsidRPr="00F05D55">
        <w:rPr>
          <w:rFonts w:asciiTheme="minorHAnsi" w:hAnsiTheme="minorHAnsi"/>
          <w:lang w:val="bg-BG"/>
        </w:rPr>
        <w:t xml:space="preserve">22 ноември 1995 г., Серия A № 335-A, стр. 15, параграф 37. По отношение на гражданскоправния аспект, вж </w:t>
      </w:r>
      <w:r w:rsidRPr="00F05D55">
        <w:rPr>
          <w:rFonts w:asciiTheme="minorHAnsi" w:hAnsiTheme="minorHAnsi"/>
          <w:i/>
          <w:lang w:val="bg-BG"/>
        </w:rPr>
        <w:t>Langborger v. Sweden</w:t>
      </w:r>
      <w:r w:rsidRPr="00F05D55">
        <w:rPr>
          <w:rFonts w:asciiTheme="minorHAnsi" w:hAnsiTheme="minorHAnsi"/>
          <w:lang w:val="bg-BG"/>
        </w:rPr>
        <w:t>, № </w:t>
      </w:r>
      <w:r w:rsidRPr="00F05D55">
        <w:rPr>
          <w:rFonts w:asciiTheme="minorHAnsi" w:hAnsiTheme="minorHAnsi"/>
          <w:lang w:val="bg-BG" w:eastAsia="bg-BG" w:bidi="bg-BG"/>
        </w:rPr>
        <w:t xml:space="preserve">11179/84, </w:t>
      </w:r>
      <w:r w:rsidRPr="00F05D55">
        <w:rPr>
          <w:rFonts w:asciiTheme="minorHAnsi" w:hAnsiTheme="minorHAnsi"/>
          <w:lang w:val="bg-BG"/>
        </w:rPr>
        <w:t xml:space="preserve">22 юни 1989 г., § 32; </w:t>
      </w:r>
      <w:r w:rsidRPr="00F05D55">
        <w:rPr>
          <w:rFonts w:asciiTheme="minorHAnsi" w:hAnsiTheme="minorHAnsi"/>
          <w:i/>
          <w:lang w:val="bg-BG"/>
        </w:rPr>
        <w:t>Kleyn and Others v. the Netherlands</w:t>
      </w:r>
      <w:r w:rsidRPr="00F05D55">
        <w:rPr>
          <w:rFonts w:asciiTheme="minorHAnsi" w:hAnsiTheme="minorHAnsi"/>
          <w:lang w:val="bg-BG"/>
        </w:rPr>
        <w:t xml:space="preserve"> [Голяма камара], (№№ </w:t>
      </w:r>
      <w:r w:rsidRPr="00F05D55">
        <w:rPr>
          <w:rFonts w:asciiTheme="minorHAnsi" w:hAnsiTheme="minorHAnsi"/>
          <w:lang w:val="bg-BG" w:eastAsia="bg-BG" w:bidi="bg-BG"/>
        </w:rPr>
        <w:t xml:space="preserve">39343/98, 39651/98, 43147/98 </w:t>
      </w:r>
      <w:r w:rsidRPr="00F05D55">
        <w:rPr>
          <w:rFonts w:asciiTheme="minorHAnsi" w:hAnsiTheme="minorHAnsi"/>
          <w:lang w:val="bg-BG"/>
        </w:rPr>
        <w:t xml:space="preserve">et </w:t>
      </w:r>
      <w:r w:rsidRPr="00F05D55">
        <w:rPr>
          <w:rFonts w:asciiTheme="minorHAnsi" w:hAnsiTheme="minorHAnsi"/>
          <w:lang w:val="bg-BG" w:eastAsia="bg-BG" w:bidi="bg-BG"/>
        </w:rPr>
        <w:t xml:space="preserve">46664/99), </w:t>
      </w:r>
      <w:r w:rsidRPr="00F05D55">
        <w:rPr>
          <w:rFonts w:asciiTheme="minorHAnsi" w:hAnsiTheme="minorHAnsi"/>
          <w:lang w:val="bg-BG"/>
        </w:rPr>
        <w:t>6 май 2003 г., § 190.</w:t>
      </w:r>
    </w:p>
  </w:footnote>
  <w:footnote w:id="32">
    <w:p w14:paraId="7E86FDD0"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Campbell and Fell v. the United Kingdom</w:t>
      </w:r>
      <w:r w:rsidRPr="00F05D55">
        <w:rPr>
          <w:rFonts w:asciiTheme="minorHAnsi" w:hAnsiTheme="minorHAnsi"/>
          <w:lang w:val="bg-BG"/>
        </w:rPr>
        <w:t xml:space="preserve">, №№ </w:t>
      </w:r>
      <w:r w:rsidRPr="00F05D55">
        <w:rPr>
          <w:rFonts w:asciiTheme="minorHAnsi" w:hAnsiTheme="minorHAnsi"/>
          <w:lang w:val="bg-BG" w:eastAsia="bg-BG" w:bidi="bg-BG"/>
        </w:rPr>
        <w:t xml:space="preserve">7819/77 </w:t>
      </w:r>
      <w:r w:rsidRPr="00F05D55">
        <w:rPr>
          <w:rFonts w:asciiTheme="minorHAnsi" w:hAnsiTheme="minorHAnsi"/>
          <w:lang w:val="bg-BG"/>
        </w:rPr>
        <w:t xml:space="preserve">и </w:t>
      </w:r>
      <w:r w:rsidRPr="00F05D55">
        <w:rPr>
          <w:rFonts w:asciiTheme="minorHAnsi" w:hAnsiTheme="minorHAnsi"/>
          <w:lang w:val="bg-BG" w:eastAsia="bg-BG" w:bidi="bg-BG"/>
        </w:rPr>
        <w:t xml:space="preserve">7878/77, </w:t>
      </w:r>
      <w:r w:rsidRPr="00F05D55">
        <w:rPr>
          <w:rFonts w:asciiTheme="minorHAnsi" w:hAnsiTheme="minorHAnsi"/>
          <w:lang w:val="bg-BG"/>
        </w:rPr>
        <w:t>28 юни 1984 г., Серия A № 80, стр. 39-40, параграф 80.</w:t>
      </w:r>
    </w:p>
  </w:footnote>
  <w:footnote w:id="33">
    <w:p w14:paraId="1BC40B8D"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Filippini v. San Marino</w:t>
      </w:r>
      <w:r w:rsidRPr="00F05D55">
        <w:rPr>
          <w:rFonts w:asciiTheme="minorHAnsi" w:hAnsiTheme="minorHAnsi"/>
          <w:lang w:val="bg-BG"/>
        </w:rPr>
        <w:t xml:space="preserve"> (реш.), № </w:t>
      </w:r>
      <w:r w:rsidRPr="00F05D55">
        <w:rPr>
          <w:rFonts w:asciiTheme="minorHAnsi" w:hAnsiTheme="minorHAnsi"/>
          <w:lang w:val="bg-BG" w:eastAsia="bg-BG" w:bidi="bg-BG"/>
        </w:rPr>
        <w:t xml:space="preserve">10526/02, </w:t>
      </w:r>
      <w:r w:rsidRPr="00F05D55">
        <w:rPr>
          <w:rFonts w:asciiTheme="minorHAnsi" w:hAnsiTheme="minorHAnsi"/>
          <w:lang w:val="bg-BG"/>
        </w:rPr>
        <w:t xml:space="preserve">26 август 2003 г., § 8; </w:t>
      </w:r>
      <w:r w:rsidRPr="00F05D55">
        <w:rPr>
          <w:rFonts w:asciiTheme="minorHAnsi" w:hAnsiTheme="minorHAnsi"/>
          <w:i/>
          <w:lang w:val="bg-BG"/>
        </w:rPr>
        <w:t>Ninn-Hansen v. Denmark</w:t>
      </w:r>
      <w:r w:rsidRPr="00F05D55">
        <w:rPr>
          <w:rFonts w:asciiTheme="minorHAnsi" w:hAnsiTheme="minorHAnsi"/>
          <w:lang w:val="bg-BG"/>
        </w:rPr>
        <w:t xml:space="preserve"> (реш.), № </w:t>
      </w:r>
      <w:r w:rsidRPr="00F05D55">
        <w:rPr>
          <w:rFonts w:asciiTheme="minorHAnsi" w:hAnsiTheme="minorHAnsi"/>
          <w:lang w:val="bg-BG" w:eastAsia="bg-BG" w:bidi="bg-BG"/>
        </w:rPr>
        <w:t xml:space="preserve">28972/95), </w:t>
      </w:r>
      <w:r w:rsidRPr="00F05D55">
        <w:rPr>
          <w:rFonts w:asciiTheme="minorHAnsi" w:hAnsiTheme="minorHAnsi"/>
          <w:lang w:val="bg-BG"/>
        </w:rPr>
        <w:t>18 май 1999 г., §§ 89, 93.</w:t>
      </w:r>
    </w:p>
  </w:footnote>
  <w:footnote w:id="34">
    <w:p w14:paraId="4AFBE4C8"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Henryk Urban and Ryszard Urban v. Полша</w:t>
      </w:r>
      <w:r w:rsidRPr="00F05D55">
        <w:rPr>
          <w:rFonts w:asciiTheme="minorHAnsi" w:hAnsiTheme="minorHAnsi"/>
          <w:lang w:val="bg-BG"/>
        </w:rPr>
        <w:t>, № </w:t>
      </w:r>
      <w:r w:rsidRPr="00F05D55">
        <w:rPr>
          <w:rFonts w:asciiTheme="minorHAnsi" w:hAnsiTheme="minorHAnsi"/>
          <w:lang w:val="bg-BG" w:eastAsia="bg-BG" w:bidi="bg-BG"/>
        </w:rPr>
        <w:t xml:space="preserve">23614/08, </w:t>
      </w:r>
      <w:r w:rsidRPr="00F05D55">
        <w:rPr>
          <w:rFonts w:asciiTheme="minorHAnsi" w:hAnsiTheme="minorHAnsi"/>
          <w:lang w:val="bg-BG"/>
        </w:rPr>
        <w:t xml:space="preserve">30 ноември 2010 г., § 49; </w:t>
      </w:r>
      <w:r w:rsidRPr="00F05D55">
        <w:rPr>
          <w:rFonts w:asciiTheme="minorHAnsi" w:hAnsiTheme="minorHAnsi"/>
          <w:i/>
          <w:lang w:val="bg-BG"/>
        </w:rPr>
        <w:t>Campbell and Fell v. the United Kingdom</w:t>
      </w:r>
      <w:r w:rsidRPr="00F05D55">
        <w:rPr>
          <w:rFonts w:asciiTheme="minorHAnsi" w:hAnsiTheme="minorHAnsi"/>
          <w:lang w:val="bg-BG"/>
        </w:rPr>
        <w:t>, №№ 781</w:t>
      </w:r>
      <w:r w:rsidRPr="00F05D55">
        <w:rPr>
          <w:rFonts w:asciiTheme="minorHAnsi" w:hAnsiTheme="minorHAnsi"/>
          <w:lang w:val="bg-BG" w:eastAsia="bg-BG" w:bidi="bg-BG"/>
        </w:rPr>
        <w:t xml:space="preserve">9/77 </w:t>
      </w:r>
      <w:r w:rsidRPr="00F05D55">
        <w:rPr>
          <w:rFonts w:asciiTheme="minorHAnsi" w:hAnsiTheme="minorHAnsi"/>
          <w:lang w:val="bg-BG"/>
        </w:rPr>
        <w:t xml:space="preserve">и </w:t>
      </w:r>
      <w:r w:rsidRPr="00F05D55">
        <w:rPr>
          <w:rFonts w:asciiTheme="minorHAnsi" w:hAnsiTheme="minorHAnsi"/>
          <w:lang w:val="bg-BG" w:eastAsia="bg-BG" w:bidi="bg-BG"/>
        </w:rPr>
        <w:t xml:space="preserve">7878/77, </w:t>
      </w:r>
      <w:r w:rsidRPr="00F05D55">
        <w:rPr>
          <w:rFonts w:asciiTheme="minorHAnsi" w:hAnsiTheme="minorHAnsi"/>
          <w:lang w:val="bg-BG"/>
        </w:rPr>
        <w:t xml:space="preserve">28 юни 1984 г., § 79; </w:t>
      </w:r>
      <w:r w:rsidRPr="00F05D55">
        <w:rPr>
          <w:rFonts w:asciiTheme="minorHAnsi" w:hAnsiTheme="minorHAnsi"/>
          <w:i/>
          <w:lang w:val="bg-BG"/>
        </w:rPr>
        <w:t>Maktouf and Damjanović v. Bosnia and Herzegovina</w:t>
      </w:r>
      <w:r w:rsidRPr="00F05D55">
        <w:rPr>
          <w:rFonts w:asciiTheme="minorHAnsi" w:hAnsiTheme="minorHAnsi"/>
          <w:lang w:val="bg-BG"/>
        </w:rPr>
        <w:t xml:space="preserve"> [Голяма камара], № </w:t>
      </w:r>
      <w:r w:rsidRPr="00F05D55">
        <w:rPr>
          <w:rFonts w:asciiTheme="minorHAnsi" w:hAnsiTheme="minorHAnsi"/>
          <w:lang w:val="bg-BG" w:eastAsia="bg-BG" w:bidi="bg-BG"/>
        </w:rPr>
        <w:t xml:space="preserve">2312/08 </w:t>
      </w:r>
      <w:r w:rsidRPr="00F05D55">
        <w:rPr>
          <w:rFonts w:asciiTheme="minorHAnsi" w:hAnsiTheme="minorHAnsi"/>
          <w:lang w:val="bg-BG"/>
        </w:rPr>
        <w:t xml:space="preserve">и </w:t>
      </w:r>
      <w:r w:rsidRPr="00F05D55">
        <w:rPr>
          <w:rFonts w:asciiTheme="minorHAnsi" w:hAnsiTheme="minorHAnsi"/>
          <w:lang w:val="bg-BG" w:eastAsia="bg-BG" w:bidi="bg-BG"/>
        </w:rPr>
        <w:t xml:space="preserve">34179/08, </w:t>
      </w:r>
      <w:r w:rsidRPr="00F05D55">
        <w:rPr>
          <w:rFonts w:asciiTheme="minorHAnsi" w:hAnsiTheme="minorHAnsi"/>
          <w:lang w:val="bg-BG"/>
        </w:rPr>
        <w:t>18 юли 2013 г., § 49.</w:t>
      </w:r>
    </w:p>
  </w:footnote>
  <w:footnote w:id="35">
    <w:p w14:paraId="3C84AE37" w14:textId="77777777" w:rsidR="00D46B76" w:rsidRPr="00F05D55" w:rsidRDefault="00D46B76" w:rsidP="001C5385">
      <w:pPr>
        <w:tabs>
          <w:tab w:val="center" w:pos="8510"/>
          <w:tab w:val="right" w:pos="9043"/>
        </w:tabs>
        <w:ind w:left="709" w:hanging="709"/>
        <w:jc w:val="both"/>
        <w:rPr>
          <w:rFonts w:asciiTheme="minorHAnsi" w:hAnsiTheme="minorHAnsi"/>
          <w:lang w:val="bg-BG"/>
        </w:rPr>
      </w:pPr>
      <w:r w:rsidRPr="00F05D55">
        <w:rPr>
          <w:rStyle w:val="FootnoteReference"/>
          <w:rFonts w:asciiTheme="minorHAnsi" w:hAnsiTheme="minorHAnsi"/>
          <w:sz w:val="20"/>
          <w:lang w:val="bg-BG"/>
        </w:rPr>
        <w:footnoteRef/>
      </w:r>
      <w:r w:rsidRPr="00F05D55">
        <w:rPr>
          <w:rFonts w:asciiTheme="minorHAnsi" w:hAnsiTheme="minorHAnsi"/>
          <w:lang w:val="bg-BG"/>
        </w:rPr>
        <w:t xml:space="preserve"> </w:t>
      </w:r>
      <w:r w:rsidRPr="00F05D55">
        <w:rPr>
          <w:rFonts w:asciiTheme="minorHAnsi" w:hAnsiTheme="minorHAnsi"/>
          <w:i/>
          <w:sz w:val="20"/>
          <w:lang w:val="bg-BG"/>
        </w:rPr>
        <w:t>Findlay v. the United Kingdom</w:t>
      </w:r>
      <w:r w:rsidRPr="00F05D55">
        <w:rPr>
          <w:rFonts w:asciiTheme="minorHAnsi" w:hAnsiTheme="minorHAnsi"/>
          <w:sz w:val="20"/>
          <w:lang w:val="bg-BG"/>
        </w:rPr>
        <w:t>, 25 февруари 1997 г., Reports of Judgments and Decisions 1997-I, стр. 281, § 73.</w:t>
      </w:r>
    </w:p>
  </w:footnote>
  <w:footnote w:id="36">
    <w:p w14:paraId="491C3A7D"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Campbell and Fell v. the United Kingdom</w:t>
      </w:r>
      <w:r w:rsidRPr="00F05D55">
        <w:rPr>
          <w:rFonts w:asciiTheme="minorHAnsi" w:hAnsiTheme="minorHAnsi"/>
          <w:lang w:val="bg-BG"/>
        </w:rPr>
        <w:t xml:space="preserve">, №№ </w:t>
      </w:r>
      <w:r w:rsidRPr="00F05D55">
        <w:rPr>
          <w:rFonts w:asciiTheme="minorHAnsi" w:hAnsiTheme="minorHAnsi"/>
          <w:lang w:val="bg-BG" w:eastAsia="bg-BG" w:bidi="bg-BG"/>
        </w:rPr>
        <w:t xml:space="preserve">7819/77 </w:t>
      </w:r>
      <w:r w:rsidRPr="00F05D55">
        <w:rPr>
          <w:rFonts w:asciiTheme="minorHAnsi" w:hAnsiTheme="minorHAnsi"/>
          <w:lang w:val="bg-BG"/>
        </w:rPr>
        <w:t xml:space="preserve">и </w:t>
      </w:r>
      <w:r w:rsidRPr="00F05D55">
        <w:rPr>
          <w:rFonts w:asciiTheme="minorHAnsi" w:hAnsiTheme="minorHAnsi"/>
          <w:lang w:val="bg-BG" w:eastAsia="bg-BG" w:bidi="bg-BG"/>
        </w:rPr>
        <w:t xml:space="preserve">7878/77, </w:t>
      </w:r>
      <w:r w:rsidRPr="00F05D55">
        <w:rPr>
          <w:rFonts w:asciiTheme="minorHAnsi" w:hAnsiTheme="minorHAnsi"/>
          <w:lang w:val="bg-BG"/>
        </w:rPr>
        <w:t>28 юни 1984 г., Серия A № 80, стр. 39-40, параграф 80.</w:t>
      </w:r>
    </w:p>
  </w:footnote>
  <w:footnote w:id="37">
    <w:p w14:paraId="5AFCA453"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Campbell and Fell v. the United Kingdom</w:t>
      </w:r>
      <w:r w:rsidRPr="00F05D55">
        <w:rPr>
          <w:rFonts w:asciiTheme="minorHAnsi" w:hAnsiTheme="minorHAnsi"/>
          <w:lang w:val="bg-BG"/>
        </w:rPr>
        <w:t xml:space="preserve">, №№ </w:t>
      </w:r>
      <w:r w:rsidRPr="00F05D55">
        <w:rPr>
          <w:rFonts w:asciiTheme="minorHAnsi" w:hAnsiTheme="minorHAnsi"/>
          <w:lang w:val="bg-BG" w:eastAsia="bg-BG" w:bidi="bg-BG"/>
        </w:rPr>
        <w:t xml:space="preserve">7819/77 </w:t>
      </w:r>
      <w:r w:rsidRPr="00F05D55">
        <w:rPr>
          <w:rFonts w:asciiTheme="minorHAnsi" w:hAnsiTheme="minorHAnsi"/>
          <w:lang w:val="bg-BG"/>
        </w:rPr>
        <w:t xml:space="preserve">и </w:t>
      </w:r>
      <w:r w:rsidRPr="00F05D55">
        <w:rPr>
          <w:rFonts w:asciiTheme="minorHAnsi" w:hAnsiTheme="minorHAnsi"/>
          <w:lang w:val="bg-BG" w:eastAsia="bg-BG" w:bidi="bg-BG"/>
        </w:rPr>
        <w:t xml:space="preserve">7878/77, </w:t>
      </w:r>
      <w:r w:rsidRPr="00F05D55">
        <w:rPr>
          <w:rFonts w:asciiTheme="minorHAnsi" w:hAnsiTheme="minorHAnsi"/>
          <w:lang w:val="bg-BG"/>
        </w:rPr>
        <w:t>28 юни 1984 г., § 80.</w:t>
      </w:r>
    </w:p>
  </w:footnote>
  <w:footnote w:id="38">
    <w:p w14:paraId="2938F8F8"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Parlov-Tkalčić v. Croatia</w:t>
      </w:r>
      <w:r w:rsidRPr="00F05D55">
        <w:rPr>
          <w:rFonts w:asciiTheme="minorHAnsi" w:hAnsiTheme="minorHAnsi"/>
          <w:lang w:val="bg-BG"/>
        </w:rPr>
        <w:t>, № </w:t>
      </w:r>
      <w:r w:rsidRPr="00F05D55">
        <w:rPr>
          <w:rFonts w:asciiTheme="minorHAnsi" w:hAnsiTheme="minorHAnsi"/>
          <w:lang w:val="bg-BG" w:eastAsia="bg-BG" w:bidi="bg-BG"/>
        </w:rPr>
        <w:t xml:space="preserve">24810/06, </w:t>
      </w:r>
      <w:r w:rsidRPr="00F05D55">
        <w:rPr>
          <w:rFonts w:asciiTheme="minorHAnsi" w:hAnsiTheme="minorHAnsi"/>
          <w:lang w:val="bg-BG"/>
        </w:rPr>
        <w:t xml:space="preserve">22 декември 2009 г., § 86; </w:t>
      </w:r>
      <w:r w:rsidRPr="00F05D55">
        <w:rPr>
          <w:rFonts w:asciiTheme="minorHAnsi" w:hAnsiTheme="minorHAnsi"/>
          <w:i/>
          <w:lang w:val="bg-BG"/>
        </w:rPr>
        <w:t>Daktaras v. Литва</w:t>
      </w:r>
      <w:r w:rsidRPr="00F05D55">
        <w:rPr>
          <w:rFonts w:asciiTheme="minorHAnsi" w:hAnsiTheme="minorHAnsi"/>
          <w:lang w:val="bg-BG"/>
        </w:rPr>
        <w:t>, № </w:t>
      </w:r>
      <w:r w:rsidRPr="00F05D55">
        <w:rPr>
          <w:rFonts w:asciiTheme="minorHAnsi" w:hAnsiTheme="minorHAnsi"/>
          <w:lang w:val="bg-BG" w:eastAsia="bg-BG" w:bidi="bg-BG"/>
        </w:rPr>
        <w:t xml:space="preserve">42095/98, </w:t>
      </w:r>
      <w:r w:rsidRPr="00F05D55">
        <w:rPr>
          <w:rFonts w:asciiTheme="minorHAnsi" w:hAnsiTheme="minorHAnsi"/>
          <w:lang w:val="bg-BG"/>
        </w:rPr>
        <w:t xml:space="preserve">10 октомври 2000 г., § 36; </w:t>
      </w:r>
      <w:r w:rsidRPr="00F05D55">
        <w:rPr>
          <w:rFonts w:asciiTheme="minorHAnsi" w:hAnsiTheme="minorHAnsi"/>
          <w:i/>
          <w:lang w:val="bg-BG"/>
        </w:rPr>
        <w:t>Моисейев срещу Русия</w:t>
      </w:r>
      <w:r w:rsidRPr="00F05D55">
        <w:rPr>
          <w:rFonts w:asciiTheme="minorHAnsi" w:hAnsiTheme="minorHAnsi"/>
          <w:lang w:val="bg-BG"/>
        </w:rPr>
        <w:t>, № </w:t>
      </w:r>
      <w:r w:rsidRPr="00F05D55">
        <w:rPr>
          <w:rFonts w:asciiTheme="minorHAnsi" w:hAnsiTheme="minorHAnsi"/>
          <w:lang w:val="bg-BG" w:eastAsia="bg-BG" w:bidi="bg-BG"/>
        </w:rPr>
        <w:t xml:space="preserve">62936/00, </w:t>
      </w:r>
      <w:r w:rsidRPr="00F05D55">
        <w:rPr>
          <w:rFonts w:asciiTheme="minorHAnsi" w:hAnsiTheme="minorHAnsi"/>
          <w:lang w:val="bg-BG"/>
        </w:rPr>
        <w:t xml:space="preserve">9 октомври 2008 г., § 184, </w:t>
      </w:r>
      <w:r w:rsidRPr="00F05D55">
        <w:rPr>
          <w:rFonts w:asciiTheme="minorHAnsi" w:hAnsiTheme="minorHAnsi"/>
          <w:i/>
          <w:lang w:val="bg-BG"/>
        </w:rPr>
        <w:t>Sacilor Lormines v. France</w:t>
      </w:r>
      <w:r w:rsidRPr="00F05D55">
        <w:rPr>
          <w:rFonts w:asciiTheme="minorHAnsi" w:hAnsiTheme="minorHAnsi"/>
          <w:lang w:val="bg-BG"/>
        </w:rPr>
        <w:t>, № </w:t>
      </w:r>
      <w:r w:rsidRPr="00F05D55">
        <w:rPr>
          <w:rFonts w:asciiTheme="minorHAnsi" w:hAnsiTheme="minorHAnsi"/>
          <w:lang w:val="bg-BG" w:eastAsia="bg-BG" w:bidi="bg-BG"/>
        </w:rPr>
        <w:t>65411/01</w:t>
      </w:r>
      <w:r w:rsidRPr="00F05D55">
        <w:rPr>
          <w:rFonts w:asciiTheme="minorHAnsi" w:hAnsiTheme="minorHAnsi"/>
          <w:lang w:val="bg-BG"/>
        </w:rPr>
        <w:t>, 9 ноември 2006 г., § 59.</w:t>
      </w:r>
    </w:p>
  </w:footnote>
  <w:footnote w:id="39">
    <w:p w14:paraId="09B3FC64"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Моисейев срещу Русия</w:t>
      </w:r>
      <w:r w:rsidRPr="00F05D55">
        <w:rPr>
          <w:rFonts w:asciiTheme="minorHAnsi" w:hAnsiTheme="minorHAnsi"/>
          <w:lang w:val="bg-BG"/>
        </w:rPr>
        <w:t>, № </w:t>
      </w:r>
      <w:r w:rsidRPr="00F05D55">
        <w:rPr>
          <w:rFonts w:asciiTheme="minorHAnsi" w:hAnsiTheme="minorHAnsi"/>
          <w:lang w:val="bg-BG" w:eastAsia="bg-BG" w:bidi="bg-BG"/>
        </w:rPr>
        <w:t xml:space="preserve">62936/00, </w:t>
      </w:r>
      <w:r w:rsidRPr="00F05D55">
        <w:rPr>
          <w:rFonts w:asciiTheme="minorHAnsi" w:hAnsiTheme="minorHAnsi"/>
          <w:lang w:val="bg-BG"/>
        </w:rPr>
        <w:t>9 октомври 2008 г., § 184.</w:t>
      </w:r>
    </w:p>
  </w:footnote>
  <w:footnote w:id="40">
    <w:p w14:paraId="58E647F1"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Şahiner v. Turkey</w:t>
      </w:r>
      <w:r w:rsidRPr="00F05D55">
        <w:rPr>
          <w:rFonts w:asciiTheme="minorHAnsi" w:hAnsiTheme="minorHAnsi"/>
          <w:lang w:val="bg-BG"/>
        </w:rPr>
        <w:t>, № </w:t>
      </w:r>
      <w:r w:rsidRPr="00F05D55">
        <w:rPr>
          <w:rFonts w:asciiTheme="minorHAnsi" w:hAnsiTheme="minorHAnsi"/>
          <w:lang w:val="bg-BG" w:eastAsia="bg-BG" w:bidi="bg-BG"/>
        </w:rPr>
        <w:t xml:space="preserve">29279/95, </w:t>
      </w:r>
      <w:r w:rsidRPr="00F05D55">
        <w:rPr>
          <w:rFonts w:asciiTheme="minorHAnsi" w:hAnsiTheme="minorHAnsi"/>
          <w:lang w:val="bg-BG"/>
        </w:rPr>
        <w:t>25 септември 2001 г., § 45.</w:t>
      </w:r>
    </w:p>
  </w:footnote>
  <w:footnote w:id="41">
    <w:p w14:paraId="1562CA8F"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Holm v. Sweden</w:t>
      </w:r>
      <w:r w:rsidRPr="00F05D55">
        <w:rPr>
          <w:rFonts w:asciiTheme="minorHAnsi" w:hAnsiTheme="minorHAnsi"/>
          <w:lang w:val="bg-BG"/>
        </w:rPr>
        <w:t>, № </w:t>
      </w:r>
      <w:r w:rsidRPr="00F05D55">
        <w:rPr>
          <w:rFonts w:asciiTheme="minorHAnsi" w:hAnsiTheme="minorHAnsi"/>
          <w:lang w:val="bg-BG" w:eastAsia="bg-BG" w:bidi="bg-BG"/>
        </w:rPr>
        <w:t xml:space="preserve">14191/88, </w:t>
      </w:r>
      <w:r w:rsidRPr="00F05D55">
        <w:rPr>
          <w:rFonts w:asciiTheme="minorHAnsi" w:hAnsiTheme="minorHAnsi"/>
          <w:lang w:val="bg-BG"/>
        </w:rPr>
        <w:t>25 ноември 1993 г., § 30.</w:t>
      </w:r>
    </w:p>
  </w:footnote>
  <w:footnote w:id="42">
    <w:p w14:paraId="0A0199E8"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Guja v. Moldova</w:t>
      </w:r>
      <w:r w:rsidRPr="00F05D55">
        <w:rPr>
          <w:rFonts w:asciiTheme="minorHAnsi" w:hAnsiTheme="minorHAnsi"/>
          <w:lang w:val="bg-BG"/>
        </w:rPr>
        <w:t xml:space="preserve"> № </w:t>
      </w:r>
      <w:r w:rsidRPr="00F05D55">
        <w:rPr>
          <w:rFonts w:asciiTheme="minorHAnsi" w:hAnsiTheme="minorHAnsi"/>
          <w:lang w:val="bg-BG" w:eastAsia="bg-BG" w:bidi="bg-BG"/>
        </w:rPr>
        <w:t xml:space="preserve">14277/04, </w:t>
      </w:r>
      <w:r w:rsidRPr="00F05D55">
        <w:rPr>
          <w:rFonts w:asciiTheme="minorHAnsi" w:hAnsiTheme="minorHAnsi"/>
          <w:lang w:val="bg-BG"/>
        </w:rPr>
        <w:t>12 февруари 2008 г., § 86 и 90.</w:t>
      </w:r>
    </w:p>
  </w:footnote>
  <w:footnote w:id="43">
    <w:p w14:paraId="7A7A1778"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Колеви срещу България</w:t>
      </w:r>
      <w:r w:rsidRPr="00F05D55">
        <w:rPr>
          <w:rFonts w:asciiTheme="minorHAnsi" w:hAnsiTheme="minorHAnsi"/>
          <w:lang w:val="bg-BG"/>
        </w:rPr>
        <w:t>, № </w:t>
      </w:r>
      <w:r w:rsidRPr="00F05D55">
        <w:rPr>
          <w:rFonts w:asciiTheme="minorHAnsi" w:hAnsiTheme="minorHAnsi"/>
          <w:lang w:val="bg-BG" w:eastAsia="bg-BG" w:bidi="bg-BG"/>
        </w:rPr>
        <w:t xml:space="preserve">1108/02, </w:t>
      </w:r>
      <w:r w:rsidRPr="00F05D55">
        <w:rPr>
          <w:rFonts w:asciiTheme="minorHAnsi" w:hAnsiTheme="minorHAnsi"/>
          <w:lang w:val="bg-BG"/>
        </w:rPr>
        <w:t xml:space="preserve">5 ноември 2009 г., §193; </w:t>
      </w:r>
      <w:r w:rsidRPr="00F05D55">
        <w:rPr>
          <w:rFonts w:asciiTheme="minorHAnsi" w:hAnsiTheme="minorHAnsi"/>
          <w:i/>
          <w:lang w:val="bg-BG"/>
        </w:rPr>
        <w:t>Ramsahai and Others v. the Netherlands</w:t>
      </w:r>
      <w:r w:rsidRPr="00F05D55">
        <w:rPr>
          <w:rFonts w:asciiTheme="minorHAnsi" w:hAnsiTheme="minorHAnsi"/>
          <w:lang w:val="bg-BG"/>
        </w:rPr>
        <w:t xml:space="preserve"> [Голяма камара], № </w:t>
      </w:r>
      <w:r w:rsidRPr="00F05D55">
        <w:rPr>
          <w:rFonts w:asciiTheme="minorHAnsi" w:hAnsiTheme="minorHAnsi"/>
          <w:lang w:val="bg-BG" w:eastAsia="bg-BG" w:bidi="bg-BG"/>
        </w:rPr>
        <w:t xml:space="preserve">52391/99, </w:t>
      </w:r>
      <w:r w:rsidRPr="00F05D55">
        <w:rPr>
          <w:rFonts w:asciiTheme="minorHAnsi" w:hAnsiTheme="minorHAnsi"/>
          <w:lang w:val="bg-BG"/>
        </w:rPr>
        <w:t xml:space="preserve">15 май 2007 г., §§ 321-332; </w:t>
      </w:r>
      <w:r w:rsidRPr="00F05D55">
        <w:rPr>
          <w:rFonts w:asciiTheme="minorHAnsi" w:hAnsiTheme="minorHAnsi"/>
          <w:i/>
          <w:lang w:val="bg-BG"/>
        </w:rPr>
        <w:t>Khaindrava and Dzamashvili v. Georgia</w:t>
      </w:r>
      <w:r w:rsidRPr="00F05D55">
        <w:rPr>
          <w:rFonts w:asciiTheme="minorHAnsi" w:hAnsiTheme="minorHAnsi"/>
          <w:lang w:val="bg-BG"/>
        </w:rPr>
        <w:t>, № </w:t>
      </w:r>
      <w:r w:rsidRPr="00F05D55">
        <w:rPr>
          <w:rFonts w:asciiTheme="minorHAnsi" w:hAnsiTheme="minorHAnsi"/>
          <w:lang w:val="bg-BG" w:eastAsia="bg-BG" w:bidi="bg-BG"/>
        </w:rPr>
        <w:t xml:space="preserve">18183/05, </w:t>
      </w:r>
      <w:r w:rsidRPr="00F05D55">
        <w:rPr>
          <w:rFonts w:asciiTheme="minorHAnsi" w:hAnsiTheme="minorHAnsi"/>
          <w:lang w:val="bg-BG"/>
        </w:rPr>
        <w:t xml:space="preserve">8 юни 2010 г., §§ 59-61; </w:t>
      </w:r>
      <w:r w:rsidRPr="00F05D55">
        <w:rPr>
          <w:rFonts w:asciiTheme="minorHAnsi" w:hAnsiTheme="minorHAnsi"/>
          <w:i/>
          <w:lang w:val="bg-BG"/>
        </w:rPr>
        <w:t>Tahsin Acar v. Turkey</w:t>
      </w:r>
      <w:r w:rsidRPr="00F05D55">
        <w:rPr>
          <w:rFonts w:asciiTheme="minorHAnsi" w:hAnsiTheme="minorHAnsi"/>
          <w:lang w:val="bg-BG"/>
        </w:rPr>
        <w:t xml:space="preserve"> [Голяма камара], № </w:t>
      </w:r>
      <w:r w:rsidRPr="00F05D55">
        <w:rPr>
          <w:rFonts w:asciiTheme="minorHAnsi" w:hAnsiTheme="minorHAnsi"/>
          <w:lang w:val="bg-BG" w:eastAsia="bg-BG" w:bidi="bg-BG"/>
        </w:rPr>
        <w:t xml:space="preserve">26307/95, </w:t>
      </w:r>
      <w:r w:rsidRPr="00F05D55">
        <w:rPr>
          <w:rFonts w:asciiTheme="minorHAnsi" w:hAnsiTheme="minorHAnsi"/>
          <w:lang w:val="bg-BG"/>
        </w:rPr>
        <w:t xml:space="preserve">8 април 2004 г., §§ 222-225; </w:t>
      </w:r>
      <w:r w:rsidRPr="00F05D55">
        <w:rPr>
          <w:rFonts w:asciiTheme="minorHAnsi" w:hAnsiTheme="minorHAnsi"/>
          <w:i/>
          <w:lang w:val="bg-BG"/>
        </w:rPr>
        <w:t>Güleҫ v. Turkey</w:t>
      </w:r>
      <w:r w:rsidRPr="00F05D55">
        <w:rPr>
          <w:rFonts w:asciiTheme="minorHAnsi" w:hAnsiTheme="minorHAnsi"/>
          <w:lang w:val="bg-BG"/>
        </w:rPr>
        <w:t>, № </w:t>
      </w:r>
      <w:r w:rsidRPr="00F05D55">
        <w:rPr>
          <w:rFonts w:asciiTheme="minorHAnsi" w:hAnsiTheme="minorHAnsi"/>
          <w:lang w:val="bg-BG" w:eastAsia="bg-BG" w:bidi="bg-BG"/>
        </w:rPr>
        <w:t xml:space="preserve">21593/93, </w:t>
      </w:r>
      <w:r w:rsidRPr="00F05D55">
        <w:rPr>
          <w:rFonts w:asciiTheme="minorHAnsi" w:hAnsiTheme="minorHAnsi"/>
          <w:lang w:val="bg-BG"/>
        </w:rPr>
        <w:t xml:space="preserve">27 юли 1998 г., § 82; </w:t>
      </w:r>
      <w:r w:rsidRPr="00F05D55">
        <w:rPr>
          <w:rFonts w:asciiTheme="minorHAnsi" w:hAnsiTheme="minorHAnsi"/>
          <w:i/>
          <w:lang w:val="bg-BG"/>
        </w:rPr>
        <w:t>Scavuzzo-Hager and Others v. Switzerland</w:t>
      </w:r>
      <w:r w:rsidRPr="00F05D55">
        <w:rPr>
          <w:rFonts w:asciiTheme="minorHAnsi" w:hAnsiTheme="minorHAnsi"/>
          <w:lang w:val="bg-BG"/>
        </w:rPr>
        <w:t>, № </w:t>
      </w:r>
      <w:r w:rsidRPr="00F05D55">
        <w:rPr>
          <w:rFonts w:asciiTheme="minorHAnsi" w:hAnsiTheme="minorHAnsi"/>
          <w:lang w:val="bg-BG" w:eastAsia="bg-BG" w:bidi="bg-BG"/>
        </w:rPr>
        <w:t xml:space="preserve">41773/98, </w:t>
      </w:r>
      <w:r w:rsidRPr="00F05D55">
        <w:rPr>
          <w:rFonts w:asciiTheme="minorHAnsi" w:hAnsiTheme="minorHAnsi"/>
          <w:lang w:val="bg-BG"/>
        </w:rPr>
        <w:t xml:space="preserve">7 февруари 2006 г., §§ 78 и 80-86; и </w:t>
      </w:r>
      <w:r w:rsidRPr="00F05D55">
        <w:rPr>
          <w:rFonts w:asciiTheme="minorHAnsi" w:hAnsiTheme="minorHAnsi"/>
          <w:i/>
          <w:lang w:val="bg-BG"/>
        </w:rPr>
        <w:t>Ergi v. Turkey</w:t>
      </w:r>
      <w:r w:rsidRPr="00F05D55">
        <w:rPr>
          <w:rFonts w:asciiTheme="minorHAnsi" w:hAnsiTheme="minorHAnsi"/>
          <w:lang w:val="bg-BG"/>
        </w:rPr>
        <w:t>, № </w:t>
      </w:r>
      <w:r w:rsidRPr="00F05D55">
        <w:rPr>
          <w:rFonts w:asciiTheme="minorHAnsi" w:hAnsiTheme="minorHAnsi"/>
          <w:lang w:val="bg-BG" w:eastAsia="bg-BG" w:bidi="bg-BG"/>
        </w:rPr>
        <w:t xml:space="preserve">23818/94, </w:t>
      </w:r>
      <w:r w:rsidRPr="00F05D55">
        <w:rPr>
          <w:rFonts w:asciiTheme="minorHAnsi" w:hAnsiTheme="minorHAnsi"/>
          <w:lang w:val="bg-BG"/>
        </w:rPr>
        <w:t>28 юли 1998 г., §§ 83-84.</w:t>
      </w:r>
    </w:p>
  </w:footnote>
  <w:footnote w:id="44">
    <w:p w14:paraId="38E34DA8"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Ангелова срещу България</w:t>
      </w:r>
      <w:r w:rsidRPr="00F05D55">
        <w:rPr>
          <w:rFonts w:asciiTheme="minorHAnsi" w:hAnsiTheme="minorHAnsi"/>
          <w:lang w:val="bg-BG"/>
        </w:rPr>
        <w:t>, № </w:t>
      </w:r>
      <w:r w:rsidRPr="00F05D55">
        <w:rPr>
          <w:rFonts w:asciiTheme="minorHAnsi" w:hAnsiTheme="minorHAnsi"/>
          <w:lang w:val="bg-BG" w:eastAsia="bg-BG" w:bidi="bg-BG"/>
        </w:rPr>
        <w:t xml:space="preserve">38361/97, </w:t>
      </w:r>
      <w:r w:rsidRPr="00F05D55">
        <w:rPr>
          <w:rFonts w:asciiTheme="minorHAnsi" w:hAnsiTheme="minorHAnsi"/>
          <w:lang w:val="bg-BG"/>
        </w:rPr>
        <w:t>ЕКПЧ 2002 IV, § 140.</w:t>
      </w:r>
    </w:p>
  </w:footnote>
  <w:footnote w:id="45">
    <w:p w14:paraId="0326F1A3"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Колеви срещу България</w:t>
      </w:r>
      <w:r w:rsidRPr="00F05D55">
        <w:rPr>
          <w:rFonts w:asciiTheme="minorHAnsi" w:hAnsiTheme="minorHAnsi"/>
          <w:lang w:val="bg-BG"/>
        </w:rPr>
        <w:t>, № </w:t>
      </w:r>
      <w:r w:rsidRPr="00F05D55">
        <w:rPr>
          <w:rFonts w:asciiTheme="minorHAnsi" w:hAnsiTheme="minorHAnsi"/>
          <w:lang w:val="bg-BG" w:eastAsia="bg-BG" w:bidi="bg-BG"/>
        </w:rPr>
        <w:t xml:space="preserve">1108/02, </w:t>
      </w:r>
      <w:r w:rsidRPr="00F05D55">
        <w:rPr>
          <w:rFonts w:asciiTheme="minorHAnsi" w:hAnsiTheme="minorHAnsi"/>
          <w:lang w:val="bg-BG"/>
        </w:rPr>
        <w:t xml:space="preserve">5 февруари 2010 г., §§ 148-149; </w:t>
      </w:r>
      <w:r w:rsidRPr="00F05D55">
        <w:rPr>
          <w:rFonts w:asciiTheme="minorHAnsi" w:hAnsiTheme="minorHAnsi"/>
          <w:i/>
          <w:lang w:val="bg-BG"/>
        </w:rPr>
        <w:t xml:space="preserve">Vasilescu </w:t>
      </w:r>
      <w:r>
        <w:rPr>
          <w:rFonts w:asciiTheme="minorHAnsi" w:hAnsiTheme="minorHAnsi"/>
          <w:i/>
          <w:lang w:val="bg-BG"/>
        </w:rPr>
        <w:t>v. Romania</w:t>
      </w:r>
      <w:r w:rsidRPr="00F05D55">
        <w:rPr>
          <w:rFonts w:asciiTheme="minorHAnsi" w:hAnsiTheme="minorHAnsi"/>
          <w:lang w:val="bg-BG"/>
        </w:rPr>
        <w:t>, № </w:t>
      </w:r>
      <w:r w:rsidRPr="00F05D55">
        <w:rPr>
          <w:rFonts w:asciiTheme="minorHAnsi" w:hAnsiTheme="minorHAnsi"/>
          <w:lang w:val="bg-BG" w:eastAsia="bg-BG" w:bidi="bg-BG"/>
        </w:rPr>
        <w:t xml:space="preserve">27053/95, </w:t>
      </w:r>
      <w:r w:rsidRPr="00F05D55">
        <w:rPr>
          <w:rFonts w:asciiTheme="minorHAnsi" w:hAnsiTheme="minorHAnsi"/>
          <w:lang w:val="bg-BG"/>
        </w:rPr>
        <w:t xml:space="preserve">22 май 1998 г., §§ 40-41; </w:t>
      </w:r>
      <w:r w:rsidRPr="00F05D55">
        <w:rPr>
          <w:rFonts w:asciiTheme="minorHAnsi" w:hAnsiTheme="minorHAnsi"/>
          <w:i/>
          <w:lang w:val="bg-BG"/>
        </w:rPr>
        <w:t xml:space="preserve">Pantea </w:t>
      </w:r>
      <w:r>
        <w:rPr>
          <w:rFonts w:asciiTheme="minorHAnsi" w:hAnsiTheme="minorHAnsi"/>
          <w:i/>
          <w:lang w:val="bg-BG"/>
        </w:rPr>
        <w:t>v. Romania</w:t>
      </w:r>
      <w:r w:rsidRPr="00F05D55">
        <w:rPr>
          <w:rFonts w:asciiTheme="minorHAnsi" w:hAnsiTheme="minorHAnsi"/>
          <w:lang w:val="bg-BG"/>
        </w:rPr>
        <w:t>, № </w:t>
      </w:r>
      <w:r w:rsidRPr="00F05D55">
        <w:rPr>
          <w:rFonts w:asciiTheme="minorHAnsi" w:hAnsiTheme="minorHAnsi"/>
          <w:lang w:val="bg-BG" w:eastAsia="bg-BG" w:bidi="bg-BG"/>
        </w:rPr>
        <w:t xml:space="preserve">33343/96, </w:t>
      </w:r>
      <w:r w:rsidRPr="00F05D55">
        <w:rPr>
          <w:rFonts w:asciiTheme="minorHAnsi" w:hAnsiTheme="minorHAnsi"/>
          <w:lang w:val="bg-BG"/>
        </w:rPr>
        <w:t xml:space="preserve">3 юни 2003 г., § 238; </w:t>
      </w:r>
      <w:r w:rsidRPr="00F05D55">
        <w:rPr>
          <w:rFonts w:asciiTheme="minorHAnsi" w:hAnsiTheme="minorHAnsi"/>
          <w:i/>
          <w:lang w:val="bg-BG"/>
        </w:rPr>
        <w:t>Moulin v. France</w:t>
      </w:r>
      <w:r w:rsidRPr="00F05D55">
        <w:rPr>
          <w:rFonts w:asciiTheme="minorHAnsi" w:hAnsiTheme="minorHAnsi"/>
          <w:lang w:val="bg-BG"/>
        </w:rPr>
        <w:t>, № </w:t>
      </w:r>
      <w:r w:rsidRPr="00F05D55">
        <w:rPr>
          <w:rFonts w:asciiTheme="minorHAnsi" w:hAnsiTheme="minorHAnsi"/>
          <w:lang w:val="bg-BG" w:eastAsia="bg-BG" w:bidi="bg-BG"/>
        </w:rPr>
        <w:t xml:space="preserve">37104/06, </w:t>
      </w:r>
      <w:r w:rsidRPr="00F05D55">
        <w:rPr>
          <w:rFonts w:asciiTheme="minorHAnsi" w:hAnsiTheme="minorHAnsi"/>
          <w:lang w:val="bg-BG"/>
        </w:rPr>
        <w:t>23 ноември 2011 г., §§ 57.</w:t>
      </w:r>
    </w:p>
  </w:footnote>
  <w:footnote w:id="46">
    <w:p w14:paraId="0810B842"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Колеви срещу България</w:t>
      </w:r>
      <w:r w:rsidRPr="00F05D55">
        <w:rPr>
          <w:rFonts w:asciiTheme="minorHAnsi" w:hAnsiTheme="minorHAnsi"/>
          <w:lang w:val="bg-BG"/>
        </w:rPr>
        <w:t>, № </w:t>
      </w:r>
      <w:r w:rsidRPr="00F05D55">
        <w:rPr>
          <w:rFonts w:asciiTheme="minorHAnsi" w:hAnsiTheme="minorHAnsi"/>
          <w:lang w:val="bg-BG" w:eastAsia="bg-BG" w:bidi="bg-BG"/>
        </w:rPr>
        <w:t xml:space="preserve">1108/02, </w:t>
      </w:r>
      <w:r w:rsidRPr="00F05D55">
        <w:rPr>
          <w:rFonts w:asciiTheme="minorHAnsi" w:hAnsiTheme="minorHAnsi"/>
          <w:lang w:val="bg-BG"/>
        </w:rPr>
        <w:t>5 февруари 2010 г., §§ 149.</w:t>
      </w:r>
    </w:p>
  </w:footnote>
  <w:footnote w:id="47">
    <w:p w14:paraId="04797EBE"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Колеви срещу България</w:t>
      </w:r>
      <w:r w:rsidRPr="00F05D55">
        <w:rPr>
          <w:rFonts w:asciiTheme="minorHAnsi" w:hAnsiTheme="minorHAnsi"/>
          <w:lang w:val="bg-BG"/>
        </w:rPr>
        <w:t>, № </w:t>
      </w:r>
      <w:r w:rsidRPr="00F05D55">
        <w:rPr>
          <w:rFonts w:asciiTheme="minorHAnsi" w:hAnsiTheme="minorHAnsi"/>
          <w:lang w:val="bg-BG" w:eastAsia="bg-BG" w:bidi="bg-BG"/>
        </w:rPr>
        <w:t xml:space="preserve">1108/02, </w:t>
      </w:r>
      <w:r w:rsidRPr="00F05D55">
        <w:rPr>
          <w:rFonts w:asciiTheme="minorHAnsi" w:hAnsiTheme="minorHAnsi"/>
          <w:lang w:val="bg-BG"/>
        </w:rPr>
        <w:t>5 февруари 2010 г., §§ 149.</w:t>
      </w:r>
    </w:p>
  </w:footnote>
  <w:footnote w:id="48">
    <w:p w14:paraId="4400036C"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Колеви срещу България</w:t>
      </w:r>
      <w:r w:rsidRPr="00F05D55">
        <w:rPr>
          <w:rFonts w:asciiTheme="minorHAnsi" w:hAnsiTheme="minorHAnsi"/>
          <w:lang w:val="bg-BG"/>
        </w:rPr>
        <w:t>, № </w:t>
      </w:r>
      <w:r w:rsidRPr="00F05D55">
        <w:rPr>
          <w:rFonts w:asciiTheme="minorHAnsi" w:hAnsiTheme="minorHAnsi"/>
          <w:lang w:val="bg-BG" w:eastAsia="bg-BG" w:bidi="bg-BG"/>
        </w:rPr>
        <w:t xml:space="preserve">1108/02, </w:t>
      </w:r>
      <w:r w:rsidRPr="00F05D55">
        <w:rPr>
          <w:rFonts w:asciiTheme="minorHAnsi" w:hAnsiTheme="minorHAnsi"/>
          <w:lang w:val="bg-BG"/>
        </w:rPr>
        <w:t>5 ноември 2009 г., § 142.</w:t>
      </w:r>
    </w:p>
  </w:footnote>
  <w:footnote w:id="49">
    <w:p w14:paraId="4F9030F6"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 xml:space="preserve">Kövesi </w:t>
      </w:r>
      <w:r>
        <w:rPr>
          <w:rFonts w:asciiTheme="minorHAnsi" w:hAnsiTheme="minorHAnsi"/>
          <w:i/>
          <w:lang w:val="bg-BG"/>
        </w:rPr>
        <w:t>v. Romania</w:t>
      </w:r>
      <w:r w:rsidRPr="00F05D55">
        <w:rPr>
          <w:rFonts w:asciiTheme="minorHAnsi" w:hAnsiTheme="minorHAnsi"/>
          <w:lang w:val="bg-BG"/>
        </w:rPr>
        <w:t xml:space="preserve"> № </w:t>
      </w:r>
      <w:r w:rsidRPr="00F05D55">
        <w:rPr>
          <w:rFonts w:asciiTheme="minorHAnsi" w:hAnsiTheme="minorHAnsi"/>
          <w:lang w:val="bg-BG" w:eastAsia="bg-BG" w:bidi="bg-BG"/>
        </w:rPr>
        <w:t xml:space="preserve">3594/19, </w:t>
      </w:r>
      <w:r w:rsidRPr="00F05D55">
        <w:rPr>
          <w:rFonts w:asciiTheme="minorHAnsi" w:hAnsiTheme="minorHAnsi"/>
          <w:lang w:val="bg-BG"/>
        </w:rPr>
        <w:t>5 май 2020 г., § 208.</w:t>
      </w:r>
    </w:p>
  </w:footnote>
  <w:footnote w:id="50">
    <w:p w14:paraId="69B3216F"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 xml:space="preserve">Kövesi </w:t>
      </w:r>
      <w:r>
        <w:rPr>
          <w:rFonts w:asciiTheme="minorHAnsi" w:hAnsiTheme="minorHAnsi"/>
          <w:i/>
          <w:lang w:val="bg-BG"/>
        </w:rPr>
        <w:t>v. Romania</w:t>
      </w:r>
      <w:r w:rsidRPr="00F05D55">
        <w:rPr>
          <w:rFonts w:asciiTheme="minorHAnsi" w:hAnsiTheme="minorHAnsi"/>
          <w:lang w:val="bg-BG"/>
        </w:rPr>
        <w:t>, № </w:t>
      </w:r>
      <w:r w:rsidRPr="00F05D55">
        <w:rPr>
          <w:rFonts w:asciiTheme="minorHAnsi" w:hAnsiTheme="minorHAnsi"/>
          <w:lang w:val="bg-BG" w:eastAsia="bg-BG" w:bidi="bg-BG"/>
        </w:rPr>
        <w:t xml:space="preserve">3594/19, </w:t>
      </w:r>
      <w:r w:rsidRPr="00F05D55">
        <w:rPr>
          <w:rFonts w:asciiTheme="minorHAnsi" w:hAnsiTheme="minorHAnsi"/>
          <w:lang w:val="bg-BG"/>
        </w:rPr>
        <w:t>5 май 2020 г., §§ 154, 201, 205 и 208-209. Вж</w:t>
      </w:r>
      <w:r>
        <w:rPr>
          <w:rFonts w:asciiTheme="minorHAnsi" w:hAnsiTheme="minorHAnsi"/>
          <w:lang w:val="bg-BG"/>
        </w:rPr>
        <w:t>.</w:t>
      </w:r>
      <w:r w:rsidRPr="00F05D55">
        <w:rPr>
          <w:rFonts w:asciiTheme="minorHAnsi" w:hAnsiTheme="minorHAnsi"/>
          <w:lang w:val="bg-BG"/>
        </w:rPr>
        <w:t xml:space="preserve"> също </w:t>
      </w:r>
      <w:r w:rsidRPr="00F05D55">
        <w:rPr>
          <w:rFonts w:asciiTheme="minorHAnsi" w:hAnsiTheme="minorHAnsi"/>
          <w:i/>
          <w:lang w:val="bg-BG"/>
        </w:rPr>
        <w:t xml:space="preserve">Baka </w:t>
      </w:r>
      <w:r>
        <w:rPr>
          <w:rFonts w:asciiTheme="minorHAnsi" w:hAnsiTheme="minorHAnsi"/>
          <w:i/>
          <w:lang w:val="bg-BG"/>
        </w:rPr>
        <w:t>v. Hungary</w:t>
      </w:r>
      <w:r w:rsidRPr="00F05D55">
        <w:rPr>
          <w:rFonts w:asciiTheme="minorHAnsi" w:hAnsiTheme="minorHAnsi"/>
          <w:lang w:val="bg-BG"/>
        </w:rPr>
        <w:t>, № </w:t>
      </w:r>
      <w:r w:rsidRPr="00F05D55">
        <w:rPr>
          <w:rFonts w:asciiTheme="minorHAnsi" w:hAnsiTheme="minorHAnsi"/>
          <w:lang w:val="bg-BG" w:eastAsia="bg-BG" w:bidi="bg-BG"/>
        </w:rPr>
        <w:t xml:space="preserve">20261/12, </w:t>
      </w:r>
      <w:r w:rsidRPr="00F05D55">
        <w:rPr>
          <w:rFonts w:asciiTheme="minorHAnsi" w:hAnsiTheme="minorHAnsi"/>
          <w:lang w:val="bg-BG"/>
        </w:rPr>
        <w:t>23 юни 2016 г., §§ 156-157 и 164-167.</w:t>
      </w:r>
    </w:p>
  </w:footnote>
  <w:footnote w:id="51">
    <w:p w14:paraId="181697E3"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 xml:space="preserve">Kövesi </w:t>
      </w:r>
      <w:r>
        <w:rPr>
          <w:rFonts w:asciiTheme="minorHAnsi" w:hAnsiTheme="minorHAnsi"/>
          <w:i/>
          <w:lang w:val="bg-BG"/>
        </w:rPr>
        <w:t>v. Romania</w:t>
      </w:r>
      <w:r w:rsidRPr="00F05D55">
        <w:rPr>
          <w:rFonts w:asciiTheme="minorHAnsi" w:hAnsiTheme="minorHAnsi"/>
          <w:lang w:val="bg-BG"/>
        </w:rPr>
        <w:t>, № </w:t>
      </w:r>
      <w:r w:rsidRPr="00F05D55">
        <w:rPr>
          <w:rFonts w:asciiTheme="minorHAnsi" w:hAnsiTheme="minorHAnsi"/>
          <w:lang w:val="bg-BG" w:eastAsia="bg-BG" w:bidi="bg-BG"/>
        </w:rPr>
        <w:t xml:space="preserve">3594/19, </w:t>
      </w:r>
      <w:r w:rsidRPr="00F05D55">
        <w:rPr>
          <w:rFonts w:asciiTheme="minorHAnsi" w:hAnsiTheme="minorHAnsi"/>
          <w:lang w:val="bg-BG"/>
        </w:rPr>
        <w:t>5 май 2020 г., §§ 209.</w:t>
      </w:r>
    </w:p>
  </w:footnote>
  <w:footnote w:id="52">
    <w:p w14:paraId="35CD9CE8"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Дело C-64/16, (Associação Sindical dos Juizes Portugueses), 28 февруари 2018 г., §§ 42 и 44.</w:t>
      </w:r>
    </w:p>
  </w:footnote>
  <w:footnote w:id="53">
    <w:p w14:paraId="2C094806"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Дело C-64/16, (Associação Sindical dos Juizes Portugueses), 28 февруари 2018 г., и дело C- </w:t>
      </w:r>
      <w:r w:rsidRPr="00F05D55">
        <w:rPr>
          <w:rFonts w:asciiTheme="minorHAnsi" w:hAnsiTheme="minorHAnsi"/>
          <w:lang w:val="bg-BG" w:eastAsia="bg-BG" w:bidi="bg-BG"/>
        </w:rPr>
        <w:t xml:space="preserve">216/18 </w:t>
      </w:r>
      <w:r w:rsidRPr="00F05D55">
        <w:rPr>
          <w:rFonts w:asciiTheme="minorHAnsi" w:hAnsiTheme="minorHAnsi"/>
          <w:lang w:val="bg-BG"/>
        </w:rPr>
        <w:t>(Министър на правосъдието и равенството), 25 юли 2018 г., §§ 63 и 66.</w:t>
      </w:r>
    </w:p>
  </w:footnote>
  <w:footnote w:id="54">
    <w:p w14:paraId="7B1CDC8D"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По смисъла на член 6, параграф 1 от Рамково решение на Съвета 2002/584/ПВР от 13 юни 2002 година относно европейската заповед за арест и процедурите за предаване между държавите-членки, с измененията, внесени в него от Рамково решение на Съвета 2009/299/ПВР от 26 февруари 2009 г.</w:t>
      </w:r>
    </w:p>
  </w:footnote>
  <w:footnote w:id="55">
    <w:p w14:paraId="1D460D47"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дело </w:t>
      </w:r>
      <w:r w:rsidRPr="00F05D55">
        <w:rPr>
          <w:rFonts w:asciiTheme="minorHAnsi" w:hAnsiTheme="minorHAnsi"/>
          <w:lang w:val="bg-BG" w:eastAsia="bg-BG" w:bidi="bg-BG"/>
        </w:rPr>
        <w:t xml:space="preserve">566/19 </w:t>
      </w:r>
      <w:r w:rsidRPr="00F05D55">
        <w:rPr>
          <w:rFonts w:asciiTheme="minorHAnsi" w:hAnsiTheme="minorHAnsi"/>
          <w:lang w:val="bg-BG"/>
        </w:rPr>
        <w:t xml:space="preserve">(обединени дела C-566/19 и C-626/19), 12 декември 2019 г., §54. Вж решенията от същата дата по дела </w:t>
      </w:r>
      <w:r w:rsidRPr="00F05D55">
        <w:rPr>
          <w:rFonts w:asciiTheme="minorHAnsi" w:hAnsiTheme="minorHAnsi"/>
          <w:lang w:val="bg-BG" w:eastAsia="bg-BG" w:bidi="bg-BG"/>
        </w:rPr>
        <w:t>625/1</w:t>
      </w:r>
      <w:r w:rsidRPr="00F05D55">
        <w:rPr>
          <w:rFonts w:asciiTheme="minorHAnsi" w:hAnsiTheme="minorHAnsi"/>
          <w:lang w:val="bg-BG"/>
        </w:rPr>
        <w:t xml:space="preserve">9 и </w:t>
      </w:r>
      <w:r w:rsidRPr="00F05D55">
        <w:rPr>
          <w:rFonts w:asciiTheme="minorHAnsi" w:hAnsiTheme="minorHAnsi"/>
          <w:lang w:val="bg-BG" w:eastAsia="bg-BG" w:bidi="bg-BG"/>
        </w:rPr>
        <w:t xml:space="preserve">627/19. </w:t>
      </w:r>
      <w:r w:rsidRPr="00F05D55">
        <w:rPr>
          <w:rFonts w:asciiTheme="minorHAnsi" w:hAnsiTheme="minorHAnsi"/>
          <w:lang w:val="bg-BG"/>
        </w:rPr>
        <w:t>Вж също дело C-489/19, 9 октомври 2019 г.; и дела C-508/18 (обединени дела C-508/18 и C-82/19) и C-509/18, 27 май 2019 г.</w:t>
      </w:r>
    </w:p>
  </w:footnote>
  <w:footnote w:id="56">
    <w:p w14:paraId="2378209B"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дела </w:t>
      </w:r>
      <w:r w:rsidRPr="00F05D55">
        <w:rPr>
          <w:rFonts w:asciiTheme="minorHAnsi" w:hAnsiTheme="minorHAnsi"/>
          <w:lang w:val="bg-BG" w:eastAsia="bg-BG" w:bidi="bg-BG"/>
        </w:rPr>
        <w:t>С-648/20, С-206/20, С-414/20.</w:t>
      </w:r>
    </w:p>
  </w:footnote>
  <w:footnote w:id="57">
    <w:p w14:paraId="52879C8B"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Дело </w:t>
      </w:r>
      <w:r w:rsidRPr="00F05D55">
        <w:rPr>
          <w:rFonts w:asciiTheme="minorHAnsi" w:hAnsiTheme="minorHAnsi"/>
          <w:lang w:val="bg-BG" w:eastAsia="bg-BG" w:bidi="bg-BG"/>
        </w:rPr>
        <w:t xml:space="preserve">566/19, </w:t>
      </w:r>
      <w:r w:rsidRPr="00F05D55">
        <w:rPr>
          <w:rFonts w:asciiTheme="minorHAnsi" w:hAnsiTheme="minorHAnsi"/>
          <w:lang w:val="bg-BG"/>
        </w:rPr>
        <w:t xml:space="preserve">§52. Вж също дела, C </w:t>
      </w:r>
      <w:r w:rsidRPr="00F05D55">
        <w:rPr>
          <w:rFonts w:asciiTheme="minorHAnsi" w:hAnsiTheme="minorHAnsi"/>
          <w:lang w:val="bg-BG" w:eastAsia="bg-BG" w:bidi="bg-BG"/>
        </w:rPr>
        <w:t xml:space="preserve">508/18 </w:t>
      </w:r>
      <w:r w:rsidRPr="00F05D55">
        <w:rPr>
          <w:rFonts w:asciiTheme="minorHAnsi" w:hAnsiTheme="minorHAnsi"/>
          <w:lang w:val="bg-BG"/>
        </w:rPr>
        <w:t xml:space="preserve">и C </w:t>
      </w:r>
      <w:r w:rsidRPr="00F05D55">
        <w:rPr>
          <w:rFonts w:asciiTheme="minorHAnsi" w:hAnsiTheme="minorHAnsi"/>
          <w:lang w:val="bg-BG" w:eastAsia="bg-BG" w:bidi="bg-BG"/>
        </w:rPr>
        <w:t xml:space="preserve">82/19 </w:t>
      </w:r>
      <w:r w:rsidRPr="00F05D55">
        <w:rPr>
          <w:rFonts w:asciiTheme="minorHAnsi" w:hAnsiTheme="minorHAnsi"/>
          <w:lang w:val="bg-BG"/>
        </w:rPr>
        <w:t>PPU, §§51 и 74.</w:t>
      </w:r>
    </w:p>
  </w:footnote>
  <w:footnote w:id="58">
    <w:p w14:paraId="378D7037"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Дело </w:t>
      </w:r>
      <w:r w:rsidRPr="00F05D55">
        <w:rPr>
          <w:rFonts w:asciiTheme="minorHAnsi" w:hAnsiTheme="minorHAnsi"/>
          <w:lang w:val="bg-BG" w:eastAsia="bg-BG" w:bidi="bg-BG"/>
        </w:rPr>
        <w:t xml:space="preserve">566/19, </w:t>
      </w:r>
      <w:r w:rsidRPr="00F05D55">
        <w:rPr>
          <w:rFonts w:asciiTheme="minorHAnsi" w:hAnsiTheme="minorHAnsi"/>
          <w:lang w:val="bg-BG"/>
        </w:rPr>
        <w:t>§58.</w:t>
      </w:r>
    </w:p>
  </w:footnote>
  <w:footnote w:id="59">
    <w:p w14:paraId="4816C127"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Дело </w:t>
      </w:r>
      <w:r w:rsidRPr="00F05D55">
        <w:rPr>
          <w:rFonts w:asciiTheme="minorHAnsi" w:hAnsiTheme="minorHAnsi"/>
          <w:lang w:val="bg-BG" w:eastAsia="bg-BG" w:bidi="bg-BG"/>
        </w:rPr>
        <w:t xml:space="preserve">566/19, </w:t>
      </w:r>
      <w:r w:rsidRPr="00F05D55">
        <w:rPr>
          <w:rFonts w:asciiTheme="minorHAnsi" w:hAnsiTheme="minorHAnsi"/>
          <w:lang w:val="bg-BG"/>
        </w:rPr>
        <w:t>§74.</w:t>
      </w:r>
    </w:p>
  </w:footnote>
  <w:footnote w:id="60">
    <w:p w14:paraId="2BFCC079"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Дело </w:t>
      </w:r>
      <w:r w:rsidRPr="00F05D55">
        <w:rPr>
          <w:rFonts w:asciiTheme="minorHAnsi" w:hAnsiTheme="minorHAnsi"/>
          <w:i/>
          <w:lang w:val="bg-BG"/>
        </w:rPr>
        <w:t>Tribunal Constitucional v. Perú</w:t>
      </w:r>
      <w:r w:rsidRPr="00F05D55">
        <w:rPr>
          <w:rFonts w:asciiTheme="minorHAnsi" w:hAnsiTheme="minorHAnsi"/>
          <w:lang w:val="bg-BG"/>
        </w:rPr>
        <w:t>, решение от 31 януари 2001 г., §75.</w:t>
      </w:r>
    </w:p>
  </w:footnote>
  <w:footnote w:id="61">
    <w:p w14:paraId="1A70AA7E"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Дело </w:t>
      </w:r>
      <w:r w:rsidRPr="00F05D55">
        <w:rPr>
          <w:rFonts w:asciiTheme="minorHAnsi" w:hAnsiTheme="minorHAnsi"/>
          <w:i/>
          <w:lang w:val="bg-BG"/>
        </w:rPr>
        <w:t>the Constitutional Court v. Peru</w:t>
      </w:r>
      <w:r w:rsidRPr="00F05D55">
        <w:rPr>
          <w:rFonts w:asciiTheme="minorHAnsi" w:hAnsiTheme="minorHAnsi"/>
          <w:lang w:val="bg-BG"/>
        </w:rPr>
        <w:t>, 31 януари 2001 г. § 73.</w:t>
      </w:r>
    </w:p>
  </w:footnote>
  <w:footnote w:id="62">
    <w:p w14:paraId="6F4950A7"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Дело </w:t>
      </w:r>
      <w:r w:rsidRPr="00F05D55">
        <w:rPr>
          <w:rFonts w:asciiTheme="minorHAnsi" w:hAnsiTheme="minorHAnsi"/>
          <w:i/>
          <w:lang w:val="bg-BG"/>
        </w:rPr>
        <w:t>Cantoral Huamanf and Garcia Santa Cruz v. Peru</w:t>
      </w:r>
      <w:r w:rsidRPr="00F05D55">
        <w:rPr>
          <w:rFonts w:asciiTheme="minorHAnsi" w:hAnsiTheme="minorHAnsi"/>
          <w:lang w:val="bg-BG"/>
        </w:rPr>
        <w:t>, 10 юли 2007 г., §§ 132-133,</w:t>
      </w:r>
    </w:p>
  </w:footnote>
  <w:footnote w:id="63">
    <w:p w14:paraId="6AA80F4D"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Дело </w:t>
      </w:r>
      <w:r w:rsidRPr="00F05D55">
        <w:rPr>
          <w:rFonts w:asciiTheme="minorHAnsi" w:hAnsiTheme="minorHAnsi"/>
          <w:i/>
          <w:lang w:val="bg-BG"/>
        </w:rPr>
        <w:t>Zambrano Vélez et al. v. Ecuador</w:t>
      </w:r>
      <w:r w:rsidRPr="00F05D55">
        <w:rPr>
          <w:rFonts w:asciiTheme="minorHAnsi" w:hAnsiTheme="minorHAnsi"/>
          <w:lang w:val="bg-BG"/>
        </w:rPr>
        <w:t>, 4 юли 2007 г., §122.,</w:t>
      </w:r>
    </w:p>
  </w:footnote>
  <w:footnote w:id="64">
    <w:p w14:paraId="4C5FE7E5"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Доклад  „Guarantees for the independence of justice operators. Towards strengthening access to justice and the rule of law in the Americas” („Гаранции за независимостта на служителите в съдебната система. Към укрепване на достъпа по правосъдие и върховенство на закона в Северна и Южна Америка”), одобрен от Интерамериканската комисия по правата на човека на 5 декември 2013 г., § 25.</w:t>
      </w:r>
    </w:p>
  </w:footnote>
  <w:footnote w:id="65">
    <w:p w14:paraId="16501DC0"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Дело </w:t>
      </w:r>
      <w:r w:rsidRPr="00F05D55">
        <w:rPr>
          <w:rFonts w:asciiTheme="minorHAnsi" w:hAnsiTheme="minorHAnsi"/>
          <w:i/>
          <w:lang w:val="bg-BG"/>
        </w:rPr>
        <w:t>Martinez Esquivia v. Colombia</w:t>
      </w:r>
      <w:r w:rsidRPr="00F05D55">
        <w:rPr>
          <w:rFonts w:asciiTheme="minorHAnsi" w:hAnsiTheme="minorHAnsi"/>
          <w:lang w:val="bg-BG"/>
        </w:rPr>
        <w:t>, 6 октомври 2020 г., §§84, 86.</w:t>
      </w:r>
    </w:p>
  </w:footnote>
  <w:footnote w:id="66">
    <w:p w14:paraId="1A921543"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Дело </w:t>
      </w:r>
      <w:r w:rsidRPr="00F05D55">
        <w:rPr>
          <w:rFonts w:asciiTheme="minorHAnsi" w:hAnsiTheme="minorHAnsi"/>
          <w:i/>
          <w:lang w:val="bg-BG"/>
        </w:rPr>
        <w:t>Martinez Esquivia v. Colombia</w:t>
      </w:r>
      <w:r w:rsidRPr="00F05D55">
        <w:rPr>
          <w:rFonts w:asciiTheme="minorHAnsi" w:hAnsiTheme="minorHAnsi"/>
          <w:lang w:val="bg-BG"/>
        </w:rPr>
        <w:t>, §§ 86-88. В същия смисъл ИАКПЧ, Доклад № </w:t>
      </w:r>
      <w:r w:rsidRPr="00F05D55">
        <w:rPr>
          <w:rFonts w:asciiTheme="minorHAnsi" w:hAnsiTheme="minorHAnsi"/>
          <w:lang w:val="bg-BG" w:eastAsia="bg-BG" w:bidi="bg-BG"/>
        </w:rPr>
        <w:t xml:space="preserve">109/18, </w:t>
      </w:r>
      <w:r w:rsidRPr="00F05D55">
        <w:rPr>
          <w:rFonts w:asciiTheme="minorHAnsi" w:hAnsiTheme="minorHAnsi"/>
          <w:lang w:val="bg-BG"/>
        </w:rPr>
        <w:t xml:space="preserve">Дело 12.840. По същество. </w:t>
      </w:r>
      <w:r w:rsidRPr="00F05D55">
        <w:rPr>
          <w:rFonts w:asciiTheme="minorHAnsi" w:hAnsiTheme="minorHAnsi"/>
          <w:i/>
          <w:lang w:val="bg-BG"/>
        </w:rPr>
        <w:t>Yenina Esther Martinez Esquivia v. Colombia</w:t>
      </w:r>
      <w:r w:rsidRPr="00F05D55">
        <w:rPr>
          <w:rFonts w:asciiTheme="minorHAnsi" w:hAnsiTheme="minorHAnsi"/>
          <w:lang w:val="bg-BG"/>
        </w:rPr>
        <w:t xml:space="preserve">, 5 октомври 2018 г., одобрен от Комисията на нейната сесия № 126, проведена на 5 октомври 2018 г., 169 Период на сесиите, може да бъде намерен на: </w:t>
      </w:r>
      <w:hyperlink r:id="rId1" w:history="1">
        <w:r w:rsidRPr="00F05D55">
          <w:rPr>
            <w:rStyle w:val="Hyperlink"/>
            <w:rFonts w:asciiTheme="minorHAnsi" w:hAnsiTheme="minorHAnsi"/>
            <w:lang w:val="bg-BG"/>
          </w:rPr>
          <w:t>https://www.oas.org/en/iachr/decisions/court/2019/12870FondoEn.pdf</w:t>
        </w:r>
      </w:hyperlink>
    </w:p>
  </w:footnote>
  <w:footnote w:id="67">
    <w:p w14:paraId="71465BE4"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Дело </w:t>
      </w:r>
      <w:r w:rsidRPr="00F05D55">
        <w:rPr>
          <w:rFonts w:asciiTheme="minorHAnsi" w:hAnsiTheme="minorHAnsi"/>
          <w:i/>
          <w:lang w:val="bg-BG"/>
        </w:rPr>
        <w:t>Martinez Esquivia v. Colombia</w:t>
      </w:r>
      <w:r w:rsidRPr="00F05D55">
        <w:rPr>
          <w:rFonts w:asciiTheme="minorHAnsi" w:hAnsiTheme="minorHAnsi"/>
          <w:lang w:val="bg-BG"/>
        </w:rPr>
        <w:t>, §§95-96.</w:t>
      </w:r>
    </w:p>
  </w:footnote>
  <w:footnote w:id="68">
    <w:p w14:paraId="33402EA4"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член 46 от ЕКПЧ относно обвързващата сила и изпълнението на решения на Европейския съд по правата на човека.</w:t>
      </w:r>
    </w:p>
  </w:footnote>
  <w:footnote w:id="69">
    <w:p w14:paraId="404A2A50"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sidRPr="00F05D55">
        <w:rPr>
          <w:rFonts w:asciiTheme="minorHAnsi" w:hAnsiTheme="minorHAnsi"/>
          <w:i/>
          <w:lang w:val="bg-BG"/>
        </w:rPr>
        <w:t xml:space="preserve">Kövesi </w:t>
      </w:r>
      <w:r>
        <w:rPr>
          <w:rFonts w:asciiTheme="minorHAnsi" w:hAnsiTheme="minorHAnsi"/>
          <w:i/>
          <w:lang w:val="bg-BG"/>
        </w:rPr>
        <w:t>v. Romania</w:t>
      </w:r>
      <w:r w:rsidRPr="00F05D55">
        <w:rPr>
          <w:rFonts w:asciiTheme="minorHAnsi" w:hAnsiTheme="minorHAnsi"/>
          <w:lang w:val="bg-BG"/>
        </w:rPr>
        <w:t>, № </w:t>
      </w:r>
      <w:r w:rsidRPr="00F05D55">
        <w:rPr>
          <w:rFonts w:asciiTheme="minorHAnsi" w:hAnsiTheme="minorHAnsi"/>
          <w:lang w:val="bg-BG" w:eastAsia="bg-BG" w:bidi="bg-BG"/>
        </w:rPr>
        <w:t xml:space="preserve">3594/19, </w:t>
      </w:r>
      <w:r w:rsidRPr="00F05D55">
        <w:rPr>
          <w:rFonts w:asciiTheme="minorHAnsi" w:hAnsiTheme="minorHAnsi"/>
          <w:lang w:val="bg-BG"/>
        </w:rPr>
        <w:t>§ 208.</w:t>
      </w:r>
    </w:p>
  </w:footnote>
  <w:footnote w:id="70">
    <w:p w14:paraId="784605A4"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 </w:t>
      </w:r>
      <w:r>
        <w:rPr>
          <w:rFonts w:asciiTheme="minorHAnsi" w:hAnsiTheme="minorHAnsi"/>
          <w:lang w:val="bg-BG"/>
        </w:rPr>
        <w:t>неговото</w:t>
      </w:r>
      <w:r w:rsidRPr="00F05D55">
        <w:rPr>
          <w:rFonts w:asciiTheme="minorHAnsi" w:hAnsiTheme="minorHAnsi"/>
          <w:lang w:val="bg-BG"/>
        </w:rPr>
        <w:t xml:space="preserve"> решение по делото </w:t>
      </w:r>
      <w:r w:rsidRPr="00F05D55">
        <w:rPr>
          <w:rFonts w:asciiTheme="minorHAnsi" w:hAnsiTheme="minorHAnsi"/>
          <w:i/>
          <w:lang w:val="bg-BG"/>
        </w:rPr>
        <w:t xml:space="preserve">Kövesi </w:t>
      </w:r>
      <w:r>
        <w:rPr>
          <w:rFonts w:asciiTheme="minorHAnsi" w:hAnsiTheme="minorHAnsi"/>
          <w:i/>
          <w:lang w:val="bg-BG"/>
        </w:rPr>
        <w:t>v. Romania</w:t>
      </w:r>
      <w:r w:rsidRPr="00F05D55">
        <w:rPr>
          <w:rFonts w:asciiTheme="minorHAnsi" w:hAnsiTheme="minorHAnsi"/>
          <w:lang w:val="bg-BG"/>
        </w:rPr>
        <w:t>, № </w:t>
      </w:r>
      <w:r w:rsidRPr="00F05D55">
        <w:rPr>
          <w:rFonts w:asciiTheme="minorHAnsi" w:hAnsiTheme="minorHAnsi"/>
          <w:lang w:val="bg-BG" w:eastAsia="bg-BG" w:bidi="bg-BG"/>
        </w:rPr>
        <w:t xml:space="preserve">3594/19, е цитирано </w:t>
      </w:r>
      <w:r w:rsidRPr="00F05D55">
        <w:rPr>
          <w:rFonts w:asciiTheme="minorHAnsi" w:hAnsiTheme="minorHAnsi"/>
          <w:lang w:val="bg-BG"/>
        </w:rPr>
        <w:t>Становище № 9 (2014) на КСЕП относно европейските норми и принципи, засягащи прокурорите, включително Римска харта, параграф 91 от решението.</w:t>
      </w:r>
    </w:p>
  </w:footnote>
  <w:footnote w:id="71">
    <w:p w14:paraId="315368D4"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Що се отнася до различния статут на прокуратурата в системата на държавните власти във всяка държава членка, Прокуратурата най-често е класифицирана като изпълнителна или съдебна власт. Може обаче да се допусне, че Прокуратурата може да бъде описана по-скоро като единствен по рода си (</w:t>
      </w:r>
      <w:r w:rsidRPr="00F05D55">
        <w:rPr>
          <w:rFonts w:asciiTheme="minorHAnsi" w:hAnsiTheme="minorHAnsi"/>
          <w:i/>
          <w:lang w:val="bg-BG"/>
        </w:rPr>
        <w:t>sui generis</w:t>
      </w:r>
      <w:r w:rsidRPr="00F05D55">
        <w:rPr>
          <w:rFonts w:asciiTheme="minorHAnsi" w:hAnsiTheme="minorHAnsi"/>
          <w:lang w:val="bg-BG"/>
        </w:rPr>
        <w:t>) орган, намиращ се извън класическата триада на трите държавни власти.</w:t>
      </w:r>
    </w:p>
  </w:footnote>
  <w:footnote w:id="72">
    <w:p w14:paraId="67E9576B"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Армения, България, Кипър, Република Чехия, Естония, Унгария, Италия, Латвия, Литва, Полша, Португалия.</w:t>
      </w:r>
    </w:p>
  </w:footnote>
  <w:footnote w:id="73">
    <w:p w14:paraId="7DCB8BDE"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Република Чехия, Италия, Литва.</w:t>
      </w:r>
    </w:p>
  </w:footnote>
  <w:footnote w:id="74">
    <w:p w14:paraId="04C1C85A"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Кипър, Унгария, Литва, Люксембург.</w:t>
      </w:r>
    </w:p>
  </w:footnote>
  <w:footnote w:id="75">
    <w:p w14:paraId="192FCC2F"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Република Чехия, Латвия, Словения, Украйна.</w:t>
      </w:r>
    </w:p>
  </w:footnote>
  <w:footnote w:id="76">
    <w:p w14:paraId="59B8F659"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Република Молдова, Словашка република, Украйна.</w:t>
      </w:r>
    </w:p>
  </w:footnote>
  <w:footnote w:id="77">
    <w:p w14:paraId="27CF94EB"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България.</w:t>
      </w:r>
    </w:p>
  </w:footnote>
  <w:footnote w:id="78">
    <w:p w14:paraId="6190B404"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Унгария, Литва.</w:t>
      </w:r>
    </w:p>
  </w:footnote>
  <w:footnote w:id="79">
    <w:p w14:paraId="0756E396"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Унгария, Словения.</w:t>
      </w:r>
    </w:p>
  </w:footnote>
  <w:footnote w:id="80">
    <w:p w14:paraId="2B6594B6"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Армения, Република Чехия, Естония, Италия, Северна Македония.</w:t>
      </w:r>
    </w:p>
  </w:footnote>
  <w:footnote w:id="81">
    <w:p w14:paraId="7306CBD4"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България, Република Чехия, Унгария, Руска федерация.</w:t>
      </w:r>
    </w:p>
  </w:footnote>
  <w:footnote w:id="82">
    <w:p w14:paraId="66C66951"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Заключителни наблюдения по отношение на Ангола, 2019 г.</w:t>
      </w:r>
    </w:p>
  </w:footnote>
  <w:footnote w:id="83">
    <w:p w14:paraId="64C33871"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Заключителни наблюдения по отношение на Азербайджан, 2016 г.; Централна африканска република, 2020 г.; Република Чехия, 2019 г.; Екваториална Гвинея, 2019 г.; Лаоска народно-демократична република, 2018 г.; Нигер, 2019 г.; Парагвай, 2019 г.; Румъния, 2017 г.; Свазиленд, 2017 г.; Таджикистан, 2019 г.</w:t>
      </w:r>
    </w:p>
  </w:footnote>
  <w:footnote w:id="84">
    <w:p w14:paraId="30593619"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Заключителни наблюдения по отношение на Беларус, 2018 г.</w:t>
      </w:r>
    </w:p>
  </w:footnote>
  <w:footnote w:id="85">
    <w:p w14:paraId="697D17E6"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Заключителни наблюдения по отношение на Република Чехия, 2019 г.; Гватемала, 2018 г.; Лаоска народно-демократична република, 2018 г.; Парагвай, 2019 г.; Сърбия, 2017 г.; Таджикистан, 2019 г.; Виетнам, 2019 г.; Ангола, 2019 г.</w:t>
      </w:r>
    </w:p>
  </w:footnote>
  <w:footnote w:id="86">
    <w:p w14:paraId="7F0AC2F2"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Заключителни наблюдения по отношение на Азербайджан, 2016 г.; Беларус, 2018 г.; България, 2018 г.</w:t>
      </w:r>
    </w:p>
  </w:footnote>
  <w:footnote w:id="87">
    <w:p w14:paraId="5AE5A96F"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Заключителни наблюдения по отношение на Република Чехия, 2019 г.</w:t>
      </w:r>
    </w:p>
  </w:footnote>
  <w:footnote w:id="88">
    <w:p w14:paraId="37A1FA57"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Заключителни наблюдения по отношение на Азербайджан, 2016 г.</w:t>
      </w:r>
    </w:p>
  </w:footnote>
  <w:footnote w:id="89">
    <w:p w14:paraId="5C0DAE7A"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Заключителни наблюдения по отношение на Беларус, 2018 г.; Виетнам, 2019 г.</w:t>
      </w:r>
    </w:p>
  </w:footnote>
  <w:footnote w:id="90">
    <w:p w14:paraId="13EB541E"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Заключителни наблюдения по отношение на Централна африканска република, 2020 г.; Република Чехия, 2019 г.; Екваториална Гвинея, 2019 г.; Гватемала, 2018 г.; Монголия, 2017 г.; Нигер, 2019 г.</w:t>
      </w:r>
    </w:p>
  </w:footnote>
  <w:footnote w:id="91">
    <w:p w14:paraId="4606B58D"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Заключителни наблюдения по отношение на Екваториална Гвинея, 2019 г.; Гватемала, 2018 г.; Лаоска народно-демократична република, 2018 г.; Монголия, 2017 г.; Таджикистан, 2019 г.</w:t>
      </w:r>
    </w:p>
  </w:footnote>
  <w:footnote w:id="92">
    <w:p w14:paraId="0A6FB3F9"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Заключителни наблюдения по отношение на Азербайджан, 2016 г.; Гватемала, 2018 г.</w:t>
      </w:r>
    </w:p>
  </w:footnote>
  <w:footnote w:id="93">
    <w:p w14:paraId="7A581173"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Заключителни наблюдения по отношение на Ангола, 2019 г.; Централна африканска република, 2020 г.; Екваториална Гвинея, 2019 г.; Монголия, 2017 г.; Парагвай, 2019 г.</w:t>
      </w:r>
    </w:p>
  </w:footnote>
  <w:footnote w:id="94">
    <w:p w14:paraId="1FA2593F"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Заключителни наблюдения по отношение на България, 2018 г.; Таджикистан, 2019 г.</w:t>
      </w:r>
    </w:p>
  </w:footnote>
  <w:footnote w:id="95">
    <w:p w14:paraId="32469217"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 края на 132-рата сесия, през юли 2021 г., Комитетът заключава, че е имало нарушение на Пакта в 1 278 (83.4 процента) от 1 532 </w:t>
      </w:r>
      <w:r>
        <w:rPr>
          <w:rFonts w:asciiTheme="minorHAnsi" w:hAnsiTheme="minorHAnsi"/>
          <w:lang w:val="bg-BG"/>
        </w:rPr>
        <w:t>Становища</w:t>
      </w:r>
      <w:r w:rsidRPr="00F05D55">
        <w:rPr>
          <w:rFonts w:asciiTheme="minorHAnsi" w:hAnsiTheme="minorHAnsi"/>
          <w:lang w:val="bg-BG"/>
        </w:rPr>
        <w:t>, приети от него от 1979 г.</w:t>
      </w:r>
    </w:p>
  </w:footnote>
  <w:footnote w:id="96">
    <w:p w14:paraId="585F4BC7"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Вж Общ коментар № 33 (2008), точки 8 и 10; и, наред с другото, </w:t>
      </w:r>
      <w:r w:rsidRPr="00F05D55">
        <w:rPr>
          <w:rFonts w:asciiTheme="minorHAnsi" w:hAnsiTheme="minorHAnsi"/>
          <w:i/>
          <w:lang w:val="bg-BG"/>
        </w:rPr>
        <w:t>Левинов срещу Беларус</w:t>
      </w:r>
      <w:r w:rsidRPr="00F05D55">
        <w:rPr>
          <w:rFonts w:asciiTheme="minorHAnsi" w:hAnsiTheme="minorHAnsi"/>
          <w:lang w:val="bg-BG"/>
        </w:rPr>
        <w:t xml:space="preserve"> (CCPR/C/105/D/1</w:t>
      </w:r>
      <w:r w:rsidRPr="00F05D55">
        <w:rPr>
          <w:rFonts w:asciiTheme="minorHAnsi" w:hAnsiTheme="minorHAnsi"/>
          <w:lang w:val="bg-BG" w:eastAsia="bg-BG" w:bidi="bg-BG"/>
        </w:rPr>
        <w:t xml:space="preserve">867/2009, </w:t>
      </w:r>
      <w:r w:rsidRPr="00F05D55">
        <w:rPr>
          <w:rFonts w:asciiTheme="minorHAnsi" w:hAnsiTheme="minorHAnsi"/>
          <w:lang w:val="bg-BG"/>
        </w:rPr>
        <w:t xml:space="preserve">1936, 1975, 1977-1981, </w:t>
      </w:r>
      <w:r w:rsidRPr="00F05D55">
        <w:rPr>
          <w:rFonts w:asciiTheme="minorHAnsi" w:hAnsiTheme="minorHAnsi"/>
          <w:lang w:val="bg-BG" w:eastAsia="bg-BG" w:bidi="bg-BG"/>
        </w:rPr>
        <w:t xml:space="preserve">2010/2010), </w:t>
      </w:r>
      <w:r w:rsidRPr="00F05D55">
        <w:rPr>
          <w:rFonts w:asciiTheme="minorHAnsi" w:hAnsiTheme="minorHAnsi"/>
          <w:lang w:val="bg-BG"/>
        </w:rPr>
        <w:t xml:space="preserve">точка 8.2; и </w:t>
      </w:r>
      <w:r w:rsidRPr="00F05D55">
        <w:rPr>
          <w:rFonts w:asciiTheme="minorHAnsi" w:hAnsiTheme="minorHAnsi"/>
          <w:i/>
          <w:lang w:val="bg-BG"/>
        </w:rPr>
        <w:t>Поплавни срещу Беларус</w:t>
      </w:r>
      <w:r w:rsidRPr="00F05D55">
        <w:rPr>
          <w:rFonts w:asciiTheme="minorHAnsi" w:hAnsiTheme="minorHAnsi"/>
          <w:lang w:val="bg-BG"/>
        </w:rPr>
        <w:t xml:space="preserve"> (CCPR/C/115/D/2019/2010), точка 6.2, </w:t>
      </w:r>
      <w:r w:rsidRPr="00F05D55">
        <w:rPr>
          <w:rFonts w:asciiTheme="minorHAnsi" w:hAnsiTheme="minorHAnsi"/>
          <w:i/>
          <w:lang w:val="bg-BG"/>
        </w:rPr>
        <w:t>Piandiong v. Philippines</w:t>
      </w:r>
      <w:r w:rsidRPr="00F05D55">
        <w:rPr>
          <w:rFonts w:asciiTheme="minorHAnsi" w:hAnsiTheme="minorHAnsi"/>
          <w:lang w:val="bg-BG"/>
        </w:rPr>
        <w:t xml:space="preserve"> (CCPR/C/70/D/869/1999 и Corr.1), точка 5.1; </w:t>
      </w:r>
      <w:r w:rsidRPr="00F05D55">
        <w:rPr>
          <w:rFonts w:asciiTheme="minorHAnsi" w:hAnsiTheme="minorHAnsi"/>
          <w:i/>
          <w:lang w:val="bg-BG"/>
        </w:rPr>
        <w:t xml:space="preserve">Максудов срещу Киргизстан </w:t>
      </w:r>
      <w:r w:rsidRPr="00F05D55">
        <w:rPr>
          <w:rFonts w:asciiTheme="minorHAnsi" w:hAnsiTheme="minorHAnsi"/>
          <w:lang w:val="bg-BG"/>
        </w:rPr>
        <w:t xml:space="preserve">(CCPR/C/93/D/1461, 1462, 1476 и </w:t>
      </w:r>
      <w:r w:rsidRPr="00F05D55">
        <w:rPr>
          <w:rFonts w:asciiTheme="minorHAnsi" w:hAnsiTheme="minorHAnsi"/>
          <w:lang w:val="bg-BG" w:eastAsia="bg-BG" w:bidi="bg-BG"/>
        </w:rPr>
        <w:t xml:space="preserve">1477/2006), </w:t>
      </w:r>
      <w:r w:rsidRPr="00F05D55">
        <w:rPr>
          <w:rFonts w:asciiTheme="minorHAnsi" w:hAnsiTheme="minorHAnsi"/>
          <w:lang w:val="bg-BG"/>
        </w:rPr>
        <w:t xml:space="preserve">точки 10.1-10.3; и </w:t>
      </w:r>
      <w:r w:rsidRPr="00F05D55">
        <w:rPr>
          <w:rFonts w:asciiTheme="minorHAnsi" w:hAnsiTheme="minorHAnsi"/>
          <w:i/>
          <w:lang w:val="bg-BG"/>
        </w:rPr>
        <w:t>Юзепчук срещу Беларус</w:t>
      </w:r>
      <w:r w:rsidRPr="00F05D55">
        <w:rPr>
          <w:rFonts w:asciiTheme="minorHAnsi" w:hAnsiTheme="minorHAnsi"/>
          <w:lang w:val="bg-BG"/>
        </w:rPr>
        <w:t xml:space="preserve"> (CCPR/C/112/D/1906/2009), точка 6.2. Както е посочено в точка 19 от Общ коментар № 33 (2008) на Комитета относно задълженията на държавите страни по Факултативния протокол, неизпълнението на тези временни мерки е несъвместимо със задължението за добросъвестно спазване на процедурата за индивидуални съобщения, установена съгласно Факултативния протокол. Поради това КПЧ счита, че, като не зачита молбата за временни мерки, предадена на държава страна, тази държава страна не изпълнява свои задължения по член 1 от Факултативния протокол.</w:t>
      </w:r>
    </w:p>
  </w:footnote>
  <w:footnote w:id="97">
    <w:p w14:paraId="5AEAFFD0"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Според КПЧ, както е посочено в Общ коментар 33 (2008) относно задълженията на държавите страни по Факултативния протокол към Пакта (вж т.11), макар че функцията на Комитета по правата на човека при разглеждане на отделните съобщения не е всъщност функция на съдебен орган, то становищата, издадени от Комитета по Факултативния протокол, показват някои важни белези на съдебното решение. До тях се стига при спазване на принципите на безпристрастност и независимост на членовете на Комитета както при съда, тълкуване на езика на Пакта, и решаващ характер на решенията. </w:t>
      </w:r>
    </w:p>
  </w:footnote>
  <w:footnote w:id="98">
    <w:p w14:paraId="0464A555"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В неговото тълкувание на член 14 от Пакта по отношение на достъпа до съдилища и свързаните принципи.</w:t>
      </w:r>
    </w:p>
  </w:footnote>
  <w:footnote w:id="99">
    <w:p w14:paraId="24276E65"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Общ коментар 32 (2007) на КПЧ, разглеждащ правото на равнопоставеност пред съдилищата и трибуналите и на справедлив съдебен процес, точка 18.</w:t>
      </w:r>
    </w:p>
  </w:footnote>
  <w:footnote w:id="100">
    <w:p w14:paraId="17C2DB3B"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Съобщение № </w:t>
      </w:r>
      <w:r w:rsidRPr="00F05D55">
        <w:rPr>
          <w:rFonts w:asciiTheme="minorHAnsi" w:hAnsiTheme="minorHAnsi"/>
          <w:lang w:val="bg-BG" w:eastAsia="bg-BG" w:bidi="bg-BG"/>
        </w:rPr>
        <w:t xml:space="preserve">263/1987, </w:t>
      </w:r>
      <w:r w:rsidRPr="00F05D55">
        <w:rPr>
          <w:rFonts w:asciiTheme="minorHAnsi" w:hAnsiTheme="minorHAnsi"/>
          <w:i/>
          <w:lang w:val="bg-BG"/>
        </w:rPr>
        <w:t>Gonzalez del Rio v. Peru</w:t>
      </w:r>
      <w:r w:rsidRPr="00F05D55">
        <w:rPr>
          <w:rFonts w:asciiTheme="minorHAnsi" w:hAnsiTheme="minorHAnsi"/>
          <w:lang w:val="bg-BG"/>
        </w:rPr>
        <w:t>, точка 5.2.</w:t>
      </w:r>
    </w:p>
  </w:footnote>
  <w:footnote w:id="101">
    <w:p w14:paraId="2961254D"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Общ коментар 32 (2007) на КПЧ, разглеждащ правото на равнопоставеност пред съдилищата и трибуналите и на справедлив съдебен процес, точка 19.</w:t>
      </w:r>
    </w:p>
  </w:footnote>
  <w:footnote w:id="102">
    <w:p w14:paraId="0EE0BDAA"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Заключителни наблюдения, Словакия, CCPR/C/79/Add.79 (1997), точка 18.</w:t>
      </w:r>
    </w:p>
  </w:footnote>
  <w:footnote w:id="103">
    <w:p w14:paraId="5ED8C932"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Съобщение № </w:t>
      </w:r>
      <w:r w:rsidRPr="00F05D55">
        <w:rPr>
          <w:rFonts w:asciiTheme="minorHAnsi" w:hAnsiTheme="minorHAnsi"/>
          <w:lang w:val="bg-BG" w:eastAsia="bg-BG" w:bidi="bg-BG"/>
        </w:rPr>
        <w:t xml:space="preserve">468/1991, </w:t>
      </w:r>
      <w:r w:rsidRPr="00F05D55">
        <w:rPr>
          <w:rFonts w:asciiTheme="minorHAnsi" w:hAnsiTheme="minorHAnsi"/>
          <w:i/>
          <w:lang w:val="bg-BG"/>
        </w:rPr>
        <w:t>Oló Bahamonde v. Equatorial Guinea</w:t>
      </w:r>
      <w:r w:rsidRPr="00F05D55">
        <w:rPr>
          <w:rFonts w:asciiTheme="minorHAnsi" w:hAnsiTheme="minorHAnsi"/>
          <w:lang w:val="bg-BG"/>
        </w:rPr>
        <w:t>, точка 9.4.</w:t>
      </w:r>
    </w:p>
  </w:footnote>
  <w:footnote w:id="104">
    <w:p w14:paraId="3DAB63F9"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Общ коментар 32 (2007) на КПЧ, разглеждащ правото на равнопоставеност пред съдилищата и трибуналите и на справедлив съдебен процес, точка 19.</w:t>
      </w:r>
    </w:p>
  </w:footnote>
  <w:footnote w:id="105">
    <w:p w14:paraId="73271501"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Общ коментар 32 (2007) на КПЧ, разглеждащ правото на равнопоставеност пред съдилищата и трибуналите и на справедлив съдебен процес, точка 20.</w:t>
      </w:r>
    </w:p>
  </w:footnote>
  <w:footnote w:id="106">
    <w:p w14:paraId="3D5DC77E"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Съобщение № </w:t>
      </w:r>
      <w:r w:rsidRPr="00F05D55">
        <w:rPr>
          <w:rFonts w:asciiTheme="minorHAnsi" w:hAnsiTheme="minorHAnsi"/>
          <w:lang w:val="bg-BG" w:eastAsia="bg-BG" w:bidi="bg-BG"/>
        </w:rPr>
        <w:t xml:space="preserve">814/1998, </w:t>
      </w:r>
      <w:r w:rsidRPr="00F05D55">
        <w:rPr>
          <w:rFonts w:asciiTheme="minorHAnsi" w:hAnsiTheme="minorHAnsi"/>
          <w:i/>
          <w:lang w:val="bg-BG"/>
        </w:rPr>
        <w:t>Пастукхов срещу Беларус</w:t>
      </w:r>
      <w:r w:rsidRPr="00F05D55">
        <w:rPr>
          <w:rFonts w:asciiTheme="minorHAnsi" w:hAnsiTheme="minorHAnsi"/>
          <w:lang w:val="bg-BG"/>
        </w:rPr>
        <w:t>, точка 7.3.</w:t>
      </w:r>
    </w:p>
  </w:footnote>
  <w:footnote w:id="107">
    <w:p w14:paraId="51BAF7A0"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Съобщение № </w:t>
      </w:r>
      <w:r w:rsidRPr="00F05D55">
        <w:rPr>
          <w:rFonts w:asciiTheme="minorHAnsi" w:hAnsiTheme="minorHAnsi"/>
          <w:lang w:val="bg-BG" w:eastAsia="bg-BG" w:bidi="bg-BG"/>
        </w:rPr>
        <w:t xml:space="preserve">933/2000, </w:t>
      </w:r>
      <w:r w:rsidRPr="00F05D55">
        <w:rPr>
          <w:rFonts w:asciiTheme="minorHAnsi" w:hAnsiTheme="minorHAnsi"/>
          <w:i/>
          <w:lang w:val="bg-BG"/>
        </w:rPr>
        <w:t>Mundyo Busyo et al v. Democratic Republic of Congo</w:t>
      </w:r>
      <w:r w:rsidRPr="00F05D55">
        <w:rPr>
          <w:rFonts w:asciiTheme="minorHAnsi" w:hAnsiTheme="minorHAnsi"/>
          <w:lang w:val="bg-BG"/>
        </w:rPr>
        <w:t>, точка 5.2.</w:t>
      </w:r>
    </w:p>
  </w:footnote>
  <w:footnote w:id="108">
    <w:p w14:paraId="0CBAA093"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Общ коментар 32 (2007) на КПЧ, разглеждащ правото на равнопоставеност пред съдилищата и трибуналите и на справедлив съдебен процес, точка 21.</w:t>
      </w:r>
    </w:p>
  </w:footnote>
  <w:footnote w:id="109">
    <w:p w14:paraId="6EAEED02"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Pr>
          <w:rFonts w:asciiTheme="minorHAnsi" w:hAnsiTheme="minorHAnsi"/>
          <w:lang w:val="bg-BG"/>
        </w:rPr>
        <w:t>Съобщение</w:t>
      </w:r>
      <w:r w:rsidRPr="00F05D55">
        <w:rPr>
          <w:rFonts w:asciiTheme="minorHAnsi" w:hAnsiTheme="minorHAnsi"/>
          <w:lang w:val="bg-BG"/>
        </w:rPr>
        <w:t xml:space="preserve"> № </w:t>
      </w:r>
      <w:r w:rsidRPr="00F05D55">
        <w:rPr>
          <w:rFonts w:asciiTheme="minorHAnsi" w:hAnsiTheme="minorHAnsi"/>
          <w:lang w:val="bg-BG" w:eastAsia="bg-BG" w:bidi="bg-BG"/>
        </w:rPr>
        <w:t xml:space="preserve">387/1989, </w:t>
      </w:r>
      <w:r w:rsidRPr="00CD3FDB">
        <w:rPr>
          <w:rFonts w:asciiTheme="minorHAnsi" w:hAnsiTheme="minorHAnsi"/>
          <w:i/>
          <w:lang w:val="bg-BG"/>
        </w:rPr>
        <w:t>Karttunen v. Finland</w:t>
      </w:r>
      <w:r w:rsidRPr="00F05D55">
        <w:rPr>
          <w:rFonts w:asciiTheme="minorHAnsi" w:hAnsiTheme="minorHAnsi"/>
          <w:lang w:val="bg-BG"/>
        </w:rPr>
        <w:t>, точка 7.2.</w:t>
      </w:r>
    </w:p>
  </w:footnote>
  <w:footnote w:id="110">
    <w:p w14:paraId="47C75C1D"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w:t>
      </w:r>
      <w:r>
        <w:rPr>
          <w:rFonts w:asciiTheme="minorHAnsi" w:hAnsiTheme="minorHAnsi"/>
          <w:lang w:val="bg-BG"/>
        </w:rPr>
        <w:t>Пак там</w:t>
      </w:r>
      <w:r w:rsidRPr="00F05D55">
        <w:rPr>
          <w:rFonts w:asciiTheme="minorHAnsi" w:hAnsiTheme="minorHAnsi"/>
          <w:lang w:val="bg-BG"/>
        </w:rPr>
        <w:t>.</w:t>
      </w:r>
    </w:p>
  </w:footnote>
  <w:footnote w:id="111">
    <w:p w14:paraId="46259E13"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Общ коментар № 35 (2014) на КПЧ, разглеждащ правата на свобода и сигурност, точка 15.</w:t>
      </w:r>
    </w:p>
  </w:footnote>
  <w:footnote w:id="112">
    <w:p w14:paraId="2C2E1B11" w14:textId="77777777" w:rsidR="00D46B76" w:rsidRPr="00F05D55" w:rsidRDefault="00D46B76" w:rsidP="001C5385">
      <w:pPr>
        <w:pStyle w:val="FootnoteText"/>
        <w:jc w:val="both"/>
        <w:rPr>
          <w:rFonts w:asciiTheme="minorHAnsi" w:hAnsiTheme="minorHAnsi"/>
          <w:lang w:val="bg-BG"/>
        </w:rPr>
      </w:pPr>
      <w:r w:rsidRPr="00F05D55">
        <w:rPr>
          <w:rStyle w:val="FootnoteReference"/>
          <w:rFonts w:asciiTheme="minorHAnsi" w:hAnsiTheme="minorHAnsi"/>
          <w:lang w:val="bg-BG"/>
        </w:rPr>
        <w:footnoteRef/>
      </w:r>
      <w:r w:rsidRPr="00F05D55">
        <w:rPr>
          <w:rFonts w:asciiTheme="minorHAnsi" w:hAnsiTheme="minorHAnsi"/>
          <w:lang w:val="bg-BG"/>
        </w:rPr>
        <w:t xml:space="preserve"> Общ коментар № 35 (2014) на КПЧ, разглеждащ правата на свобода и сигурност, точка 32.</w:t>
      </w:r>
    </w:p>
  </w:footnote>
  <w:footnote w:id="113">
    <w:p w14:paraId="7FD11EAF" w14:textId="77777777" w:rsidR="00D46B76" w:rsidRPr="00F05D55" w:rsidRDefault="00D46B76" w:rsidP="00F05D55">
      <w:pPr>
        <w:ind w:left="709" w:hanging="709"/>
        <w:jc w:val="both"/>
        <w:rPr>
          <w:rFonts w:asciiTheme="minorHAnsi" w:hAnsiTheme="minorHAnsi"/>
          <w:sz w:val="20"/>
          <w:szCs w:val="20"/>
          <w:lang w:val="bg-BG"/>
        </w:rPr>
      </w:pPr>
      <w:r w:rsidRPr="00F05D55">
        <w:rPr>
          <w:rStyle w:val="FootnoteReference"/>
          <w:rFonts w:asciiTheme="minorHAnsi" w:hAnsiTheme="minorHAnsi"/>
          <w:sz w:val="20"/>
          <w:szCs w:val="20"/>
          <w:lang w:val="bg-BG"/>
        </w:rPr>
        <w:footnoteRef/>
      </w:r>
      <w:r w:rsidRPr="00F05D55">
        <w:rPr>
          <w:rFonts w:asciiTheme="minorHAnsi" w:hAnsiTheme="minorHAnsi"/>
          <w:sz w:val="20"/>
          <w:szCs w:val="20"/>
          <w:lang w:val="bg-BG"/>
        </w:rPr>
        <w:t xml:space="preserve"> Общ коментар № 34 на КПЧ, точка 32; Съобщение пред КПЧ № </w:t>
      </w:r>
      <w:r w:rsidRPr="00F05D55">
        <w:rPr>
          <w:rFonts w:asciiTheme="minorHAnsi" w:hAnsiTheme="minorHAnsi"/>
          <w:sz w:val="20"/>
          <w:szCs w:val="20"/>
          <w:lang w:val="bg-BG" w:eastAsia="bg-BG" w:bidi="bg-BG"/>
        </w:rPr>
        <w:t xml:space="preserve">2716/2016 г., </w:t>
      </w:r>
      <w:r w:rsidRPr="00F05D55">
        <w:rPr>
          <w:rFonts w:asciiTheme="minorHAnsi" w:hAnsiTheme="minorHAnsi"/>
          <w:i/>
          <w:sz w:val="20"/>
          <w:szCs w:val="20"/>
          <w:lang w:val="bg-BG"/>
        </w:rPr>
        <w:t>Eglé Kusaitê v. Lithuania</w:t>
      </w:r>
      <w:r w:rsidRPr="00F05D55">
        <w:rPr>
          <w:rFonts w:asciiTheme="minorHAnsi" w:hAnsiTheme="minorHAnsi"/>
          <w:sz w:val="20"/>
          <w:szCs w:val="20"/>
          <w:lang w:val="bg-BG"/>
        </w:rPr>
        <w:t>, точка 8.7.</w:t>
      </w:r>
    </w:p>
  </w:footnote>
  <w:footnote w:id="114">
    <w:p w14:paraId="149312AB" w14:textId="77777777" w:rsidR="00D46B76" w:rsidRPr="00F05D55" w:rsidRDefault="00D46B76" w:rsidP="00F05D55">
      <w:pPr>
        <w:ind w:left="709" w:hanging="709"/>
        <w:jc w:val="both"/>
        <w:rPr>
          <w:rFonts w:asciiTheme="minorHAnsi" w:hAnsiTheme="minorHAnsi"/>
          <w:sz w:val="20"/>
          <w:szCs w:val="20"/>
          <w:lang w:val="bg-BG"/>
        </w:rPr>
      </w:pPr>
      <w:r w:rsidRPr="00F05D55">
        <w:rPr>
          <w:rStyle w:val="FootnoteReference"/>
          <w:rFonts w:asciiTheme="minorHAnsi" w:hAnsiTheme="minorHAnsi"/>
          <w:sz w:val="20"/>
          <w:szCs w:val="20"/>
          <w:lang w:val="bg-BG"/>
        </w:rPr>
        <w:footnoteRef/>
      </w:r>
      <w:r w:rsidRPr="00F05D55">
        <w:rPr>
          <w:rFonts w:asciiTheme="minorHAnsi" w:hAnsiTheme="minorHAnsi"/>
          <w:sz w:val="20"/>
          <w:szCs w:val="20"/>
          <w:lang w:val="bg-BG"/>
        </w:rPr>
        <w:t xml:space="preserve"> Общ коментар № 34 на КПЧ, точка 5.5; Съобщение пред КПЧ № </w:t>
      </w:r>
      <w:r w:rsidRPr="00F05D55">
        <w:rPr>
          <w:rFonts w:asciiTheme="minorHAnsi" w:hAnsiTheme="minorHAnsi"/>
          <w:sz w:val="20"/>
          <w:szCs w:val="20"/>
          <w:lang w:val="bg-BG" w:eastAsia="bg-BG" w:bidi="bg-BG"/>
        </w:rPr>
        <w:t xml:space="preserve">2844/2016 г., </w:t>
      </w:r>
      <w:r w:rsidRPr="00F05D55">
        <w:rPr>
          <w:rFonts w:asciiTheme="minorHAnsi" w:hAnsiTheme="minorHAnsi"/>
          <w:i/>
          <w:sz w:val="20"/>
          <w:szCs w:val="20"/>
          <w:lang w:val="bg-BG"/>
        </w:rPr>
        <w:t>Baltasar Garzón v. Spain</w:t>
      </w:r>
      <w:r w:rsidRPr="00F05D55">
        <w:rPr>
          <w:rFonts w:asciiTheme="minorHAnsi" w:hAnsiTheme="minorHAnsi"/>
          <w:sz w:val="20"/>
          <w:szCs w:val="20"/>
          <w:lang w:val="bg-BG"/>
        </w:rPr>
        <w:t>, точка 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98"/>
  <w:defaultTabStop w:val="709"/>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01"/>
    <w:rsid w:val="000041DD"/>
    <w:rsid w:val="0001371A"/>
    <w:rsid w:val="0002131C"/>
    <w:rsid w:val="000219E5"/>
    <w:rsid w:val="0006181B"/>
    <w:rsid w:val="00063971"/>
    <w:rsid w:val="00072CED"/>
    <w:rsid w:val="0007510A"/>
    <w:rsid w:val="00080000"/>
    <w:rsid w:val="000901CB"/>
    <w:rsid w:val="000C14F9"/>
    <w:rsid w:val="000C6543"/>
    <w:rsid w:val="000F04C2"/>
    <w:rsid w:val="000F1085"/>
    <w:rsid w:val="001078DB"/>
    <w:rsid w:val="00140A84"/>
    <w:rsid w:val="00146994"/>
    <w:rsid w:val="0019086C"/>
    <w:rsid w:val="001C1676"/>
    <w:rsid w:val="001C5385"/>
    <w:rsid w:val="001D151B"/>
    <w:rsid w:val="001D268C"/>
    <w:rsid w:val="00200B13"/>
    <w:rsid w:val="0026783E"/>
    <w:rsid w:val="00273B5A"/>
    <w:rsid w:val="00275ACE"/>
    <w:rsid w:val="00280864"/>
    <w:rsid w:val="00283600"/>
    <w:rsid w:val="00297E6A"/>
    <w:rsid w:val="002A6388"/>
    <w:rsid w:val="002B09E2"/>
    <w:rsid w:val="002D5BE7"/>
    <w:rsid w:val="002E55CA"/>
    <w:rsid w:val="002E7193"/>
    <w:rsid w:val="00306564"/>
    <w:rsid w:val="00313084"/>
    <w:rsid w:val="003550A1"/>
    <w:rsid w:val="00355A9B"/>
    <w:rsid w:val="003764B8"/>
    <w:rsid w:val="003C7200"/>
    <w:rsid w:val="004012E1"/>
    <w:rsid w:val="00401E03"/>
    <w:rsid w:val="00413535"/>
    <w:rsid w:val="004200A9"/>
    <w:rsid w:val="004333DD"/>
    <w:rsid w:val="00457BFF"/>
    <w:rsid w:val="00490193"/>
    <w:rsid w:val="004933A9"/>
    <w:rsid w:val="004D19CF"/>
    <w:rsid w:val="004D43D4"/>
    <w:rsid w:val="005049B6"/>
    <w:rsid w:val="00504D8C"/>
    <w:rsid w:val="00521963"/>
    <w:rsid w:val="005326DE"/>
    <w:rsid w:val="00533CCC"/>
    <w:rsid w:val="005714A7"/>
    <w:rsid w:val="005832CE"/>
    <w:rsid w:val="005C517B"/>
    <w:rsid w:val="00615062"/>
    <w:rsid w:val="00675B11"/>
    <w:rsid w:val="006C408A"/>
    <w:rsid w:val="006E3F61"/>
    <w:rsid w:val="006F317C"/>
    <w:rsid w:val="007046DA"/>
    <w:rsid w:val="00732D5B"/>
    <w:rsid w:val="00750CF9"/>
    <w:rsid w:val="007642FA"/>
    <w:rsid w:val="0077248E"/>
    <w:rsid w:val="007A4B44"/>
    <w:rsid w:val="007D02F3"/>
    <w:rsid w:val="007D0DFD"/>
    <w:rsid w:val="007D565F"/>
    <w:rsid w:val="007F4186"/>
    <w:rsid w:val="007F7628"/>
    <w:rsid w:val="008420E4"/>
    <w:rsid w:val="008561A8"/>
    <w:rsid w:val="00883FF8"/>
    <w:rsid w:val="008A14FB"/>
    <w:rsid w:val="008D292D"/>
    <w:rsid w:val="0090618E"/>
    <w:rsid w:val="00916998"/>
    <w:rsid w:val="009234AE"/>
    <w:rsid w:val="00923ECC"/>
    <w:rsid w:val="00963CBF"/>
    <w:rsid w:val="00971AA6"/>
    <w:rsid w:val="00984F2F"/>
    <w:rsid w:val="00991092"/>
    <w:rsid w:val="009A6BD5"/>
    <w:rsid w:val="009D6976"/>
    <w:rsid w:val="009E076B"/>
    <w:rsid w:val="00A0730F"/>
    <w:rsid w:val="00A1456B"/>
    <w:rsid w:val="00A4123B"/>
    <w:rsid w:val="00A424F9"/>
    <w:rsid w:val="00A76900"/>
    <w:rsid w:val="00A82B81"/>
    <w:rsid w:val="00A96428"/>
    <w:rsid w:val="00AA3A7F"/>
    <w:rsid w:val="00AA3C4A"/>
    <w:rsid w:val="00AC0FB1"/>
    <w:rsid w:val="00AD0F37"/>
    <w:rsid w:val="00AD1FEF"/>
    <w:rsid w:val="00AD3702"/>
    <w:rsid w:val="00AD7714"/>
    <w:rsid w:val="00AE3898"/>
    <w:rsid w:val="00B372ED"/>
    <w:rsid w:val="00B71421"/>
    <w:rsid w:val="00B84BAC"/>
    <w:rsid w:val="00B90749"/>
    <w:rsid w:val="00B910DC"/>
    <w:rsid w:val="00B93D44"/>
    <w:rsid w:val="00B943F3"/>
    <w:rsid w:val="00BE08F5"/>
    <w:rsid w:val="00BE23BC"/>
    <w:rsid w:val="00BF23A7"/>
    <w:rsid w:val="00C12243"/>
    <w:rsid w:val="00C170D3"/>
    <w:rsid w:val="00C335CD"/>
    <w:rsid w:val="00C342F3"/>
    <w:rsid w:val="00C60F61"/>
    <w:rsid w:val="00C61601"/>
    <w:rsid w:val="00C74BD4"/>
    <w:rsid w:val="00CC3632"/>
    <w:rsid w:val="00CD2BE2"/>
    <w:rsid w:val="00CD379A"/>
    <w:rsid w:val="00CD3FDB"/>
    <w:rsid w:val="00D014BB"/>
    <w:rsid w:val="00D016FE"/>
    <w:rsid w:val="00D20348"/>
    <w:rsid w:val="00D26F66"/>
    <w:rsid w:val="00D43C8F"/>
    <w:rsid w:val="00D45839"/>
    <w:rsid w:val="00D46B76"/>
    <w:rsid w:val="00D550A0"/>
    <w:rsid w:val="00D91D4D"/>
    <w:rsid w:val="00DB413E"/>
    <w:rsid w:val="00DC2206"/>
    <w:rsid w:val="00DD2783"/>
    <w:rsid w:val="00DD27A2"/>
    <w:rsid w:val="00DD6D8C"/>
    <w:rsid w:val="00DE0C65"/>
    <w:rsid w:val="00DE7AC6"/>
    <w:rsid w:val="00E07C60"/>
    <w:rsid w:val="00E13632"/>
    <w:rsid w:val="00E20B35"/>
    <w:rsid w:val="00E47E84"/>
    <w:rsid w:val="00E94C72"/>
    <w:rsid w:val="00EC0198"/>
    <w:rsid w:val="00EC3CDA"/>
    <w:rsid w:val="00EE2016"/>
    <w:rsid w:val="00EF34C0"/>
    <w:rsid w:val="00F05D55"/>
    <w:rsid w:val="00F1027C"/>
    <w:rsid w:val="00F25341"/>
    <w:rsid w:val="00F25FDD"/>
    <w:rsid w:val="00F33532"/>
    <w:rsid w:val="00F422AD"/>
    <w:rsid w:val="00F50895"/>
    <w:rsid w:val="00F618F7"/>
    <w:rsid w:val="00F67AB6"/>
    <w:rsid w:val="00F74A61"/>
    <w:rsid w:val="00F86BD8"/>
    <w:rsid w:val="00FA36D1"/>
    <w:rsid w:val="00FB2900"/>
    <w:rsid w:val="00FD1355"/>
    <w:rsid w:val="00FD5275"/>
    <w:rsid w:val="00FE4E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B911"/>
  <w15:docId w15:val="{DFB4F3B2-EDE0-4FA8-865D-90FC5C20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table" w:styleId="TableGrid">
    <w:name w:val="Table Grid"/>
    <w:basedOn w:val="TableNormal"/>
    <w:uiPriority w:val="39"/>
    <w:rsid w:val="00B9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D5B"/>
    <w:pPr>
      <w:ind w:left="720"/>
      <w:contextualSpacing/>
    </w:pPr>
  </w:style>
  <w:style w:type="paragraph" w:styleId="FootnoteText">
    <w:name w:val="footnote text"/>
    <w:basedOn w:val="Normal"/>
    <w:link w:val="FootnoteTextChar"/>
    <w:uiPriority w:val="99"/>
    <w:semiHidden/>
    <w:unhideWhenUsed/>
    <w:rsid w:val="0002131C"/>
    <w:rPr>
      <w:sz w:val="20"/>
      <w:szCs w:val="20"/>
    </w:rPr>
  </w:style>
  <w:style w:type="character" w:customStyle="1" w:styleId="FootnoteTextChar">
    <w:name w:val="Footnote Text Char"/>
    <w:basedOn w:val="DefaultParagraphFont"/>
    <w:link w:val="FootnoteText"/>
    <w:uiPriority w:val="99"/>
    <w:semiHidden/>
    <w:rsid w:val="0002131C"/>
    <w:rPr>
      <w:color w:val="000000"/>
      <w:sz w:val="20"/>
      <w:szCs w:val="20"/>
    </w:rPr>
  </w:style>
  <w:style w:type="character" w:styleId="FootnoteReference">
    <w:name w:val="footnote reference"/>
    <w:basedOn w:val="DefaultParagraphFont"/>
    <w:uiPriority w:val="99"/>
    <w:semiHidden/>
    <w:unhideWhenUsed/>
    <w:rsid w:val="0002131C"/>
    <w:rPr>
      <w:vertAlign w:val="superscript"/>
    </w:rPr>
  </w:style>
  <w:style w:type="paragraph" w:customStyle="1" w:styleId="1">
    <w:name w:val="1"/>
    <w:basedOn w:val="Normal"/>
    <w:link w:val="1Char"/>
    <w:qFormat/>
    <w:rsid w:val="008561A8"/>
    <w:pPr>
      <w:ind w:left="1418" w:hanging="426"/>
      <w:jc w:val="both"/>
    </w:pPr>
    <w:rPr>
      <w:rFonts w:asciiTheme="minorHAnsi" w:hAnsiTheme="minorHAnsi"/>
      <w:lang w:val="bg-BG"/>
    </w:rPr>
  </w:style>
  <w:style w:type="paragraph" w:styleId="Header">
    <w:name w:val="header"/>
    <w:basedOn w:val="Normal"/>
    <w:link w:val="HeaderChar"/>
    <w:uiPriority w:val="99"/>
    <w:unhideWhenUsed/>
    <w:rsid w:val="004933A9"/>
    <w:pPr>
      <w:tabs>
        <w:tab w:val="center" w:pos="4536"/>
        <w:tab w:val="right" w:pos="9072"/>
      </w:tabs>
    </w:pPr>
  </w:style>
  <w:style w:type="character" w:customStyle="1" w:styleId="1Char">
    <w:name w:val="1 Char"/>
    <w:basedOn w:val="DefaultParagraphFont"/>
    <w:link w:val="1"/>
    <w:rsid w:val="008561A8"/>
    <w:rPr>
      <w:rFonts w:asciiTheme="minorHAnsi" w:hAnsiTheme="minorHAnsi"/>
      <w:color w:val="000000"/>
      <w:lang w:val="bg-BG"/>
    </w:rPr>
  </w:style>
  <w:style w:type="character" w:customStyle="1" w:styleId="HeaderChar">
    <w:name w:val="Header Char"/>
    <w:basedOn w:val="DefaultParagraphFont"/>
    <w:link w:val="Header"/>
    <w:uiPriority w:val="99"/>
    <w:rsid w:val="004933A9"/>
    <w:rPr>
      <w:color w:val="000000"/>
    </w:rPr>
  </w:style>
  <w:style w:type="paragraph" w:styleId="Footer">
    <w:name w:val="footer"/>
    <w:basedOn w:val="Normal"/>
    <w:link w:val="FooterChar"/>
    <w:uiPriority w:val="99"/>
    <w:unhideWhenUsed/>
    <w:rsid w:val="004933A9"/>
    <w:pPr>
      <w:tabs>
        <w:tab w:val="center" w:pos="4536"/>
        <w:tab w:val="right" w:pos="9072"/>
      </w:tabs>
    </w:pPr>
  </w:style>
  <w:style w:type="character" w:customStyle="1" w:styleId="FooterChar">
    <w:name w:val="Footer Char"/>
    <w:basedOn w:val="DefaultParagraphFont"/>
    <w:link w:val="Footer"/>
    <w:uiPriority w:val="99"/>
    <w:rsid w:val="004933A9"/>
    <w:rPr>
      <w:color w:val="000000"/>
    </w:rPr>
  </w:style>
  <w:style w:type="paragraph" w:styleId="BalloonText">
    <w:name w:val="Balloon Text"/>
    <w:basedOn w:val="Normal"/>
    <w:link w:val="BalloonTextChar"/>
    <w:uiPriority w:val="99"/>
    <w:semiHidden/>
    <w:unhideWhenUsed/>
    <w:rsid w:val="00A76900"/>
    <w:rPr>
      <w:rFonts w:ascii="Tahoma" w:hAnsi="Tahoma" w:cs="Tahoma"/>
      <w:sz w:val="16"/>
      <w:szCs w:val="16"/>
    </w:rPr>
  </w:style>
  <w:style w:type="character" w:customStyle="1" w:styleId="BalloonTextChar">
    <w:name w:val="Balloon Text Char"/>
    <w:basedOn w:val="DefaultParagraphFont"/>
    <w:link w:val="BalloonText"/>
    <w:uiPriority w:val="99"/>
    <w:semiHidden/>
    <w:rsid w:val="00A76900"/>
    <w:rPr>
      <w:rFonts w:ascii="Tahoma" w:hAnsi="Tahoma" w:cs="Tahoma"/>
      <w:color w:val="000000"/>
      <w:sz w:val="16"/>
      <w:szCs w:val="16"/>
    </w:rPr>
  </w:style>
  <w:style w:type="character" w:styleId="CommentReference">
    <w:name w:val="annotation reference"/>
    <w:basedOn w:val="DefaultParagraphFont"/>
    <w:uiPriority w:val="99"/>
    <w:semiHidden/>
    <w:unhideWhenUsed/>
    <w:rsid w:val="00A76900"/>
    <w:rPr>
      <w:sz w:val="16"/>
      <w:szCs w:val="16"/>
    </w:rPr>
  </w:style>
  <w:style w:type="paragraph" w:styleId="CommentText">
    <w:name w:val="annotation text"/>
    <w:basedOn w:val="Normal"/>
    <w:link w:val="CommentTextChar"/>
    <w:uiPriority w:val="99"/>
    <w:unhideWhenUsed/>
    <w:rsid w:val="00A76900"/>
    <w:rPr>
      <w:sz w:val="20"/>
      <w:szCs w:val="20"/>
    </w:rPr>
  </w:style>
  <w:style w:type="character" w:customStyle="1" w:styleId="CommentTextChar">
    <w:name w:val="Comment Text Char"/>
    <w:basedOn w:val="DefaultParagraphFont"/>
    <w:link w:val="CommentText"/>
    <w:uiPriority w:val="99"/>
    <w:rsid w:val="00A76900"/>
    <w:rPr>
      <w:color w:val="000000"/>
      <w:sz w:val="20"/>
      <w:szCs w:val="20"/>
    </w:rPr>
  </w:style>
  <w:style w:type="paragraph" w:styleId="CommentSubject">
    <w:name w:val="annotation subject"/>
    <w:basedOn w:val="CommentText"/>
    <w:next w:val="CommentText"/>
    <w:link w:val="CommentSubjectChar"/>
    <w:uiPriority w:val="99"/>
    <w:semiHidden/>
    <w:unhideWhenUsed/>
    <w:rsid w:val="00A76900"/>
    <w:rPr>
      <w:b/>
      <w:bCs/>
    </w:rPr>
  </w:style>
  <w:style w:type="character" w:customStyle="1" w:styleId="CommentSubjectChar">
    <w:name w:val="Comment Subject Char"/>
    <w:basedOn w:val="CommentTextChar"/>
    <w:link w:val="CommentSubject"/>
    <w:uiPriority w:val="99"/>
    <w:semiHidden/>
    <w:rsid w:val="00A76900"/>
    <w:rPr>
      <w:b/>
      <w:bCs/>
      <w:color w:val="000000"/>
      <w:sz w:val="20"/>
      <w:szCs w:val="20"/>
    </w:rPr>
  </w:style>
  <w:style w:type="character" w:styleId="FollowedHyperlink">
    <w:name w:val="FollowedHyperlink"/>
    <w:basedOn w:val="DefaultParagraphFont"/>
    <w:uiPriority w:val="99"/>
    <w:semiHidden/>
    <w:unhideWhenUsed/>
    <w:rsid w:val="00750C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07924">
      <w:bodyDiv w:val="1"/>
      <w:marLeft w:val="0"/>
      <w:marRight w:val="0"/>
      <w:marTop w:val="0"/>
      <w:marBottom w:val="0"/>
      <w:divBdr>
        <w:top w:val="none" w:sz="0" w:space="0" w:color="auto"/>
        <w:left w:val="none" w:sz="0" w:space="0" w:color="auto"/>
        <w:bottom w:val="none" w:sz="0" w:space="0" w:color="auto"/>
        <w:right w:val="none" w:sz="0" w:space="0" w:color="auto"/>
      </w:divBdr>
      <w:divsChild>
        <w:div w:id="405415983">
          <w:marLeft w:val="0"/>
          <w:marRight w:val="0"/>
          <w:marTop w:val="0"/>
          <w:marBottom w:val="0"/>
          <w:divBdr>
            <w:top w:val="none" w:sz="0" w:space="0" w:color="auto"/>
            <w:left w:val="none" w:sz="0" w:space="0" w:color="auto"/>
            <w:bottom w:val="none" w:sz="0" w:space="0" w:color="auto"/>
            <w:right w:val="none" w:sz="0" w:space="0" w:color="auto"/>
          </w:divBdr>
        </w:div>
        <w:div w:id="3721930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n/iachr/decisions/court/2019/12870Fondo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8450</Words>
  <Characters>48250</Characters>
  <DocSecurity>0</DocSecurity>
  <Lines>3015</Lines>
  <Paragraphs>1382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Strasbourg, 27 September 2012</vt:lpstr>
      <vt:lpstr>Strasbourg, 27 September 2012</vt:lpstr>
    </vt:vector>
  </TitlesOfParts>
  <Company/>
  <LinksUpToDate>false</LinksUpToDate>
  <CharactersWithSpaces>55318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2022-02-01T13:46:00Z</dcterms:created>
  <dcterms:modified xsi:type="dcterms:W3CDTF">2022-02-02T09:50:00Z</dcterms:modified>
</cp:coreProperties>
</file>