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charts/chart28.xml" ContentType="application/vnd.openxmlformats-officedocument.drawingml.chart+xml"/>
  <Override PartName="/word/theme/themeOverride2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B93" w:rsidRPr="00E51B93" w:rsidRDefault="00E51B93" w:rsidP="00E51B93">
      <w:pPr>
        <w:pStyle w:val="13"/>
        <w:spacing w:after="0" w:line="240" w:lineRule="auto"/>
        <w:ind w:firstLine="709"/>
        <w:contextualSpacing/>
        <w:jc w:val="center"/>
        <w:rPr>
          <w:rStyle w:val="afb"/>
          <w:i w:val="0"/>
          <w:color w:val="5F497A" w:themeColor="accent4" w:themeShade="BF"/>
          <w:sz w:val="28"/>
          <w:szCs w:val="28"/>
          <w:lang w:val="en-US"/>
        </w:rPr>
      </w:pPr>
      <w:r w:rsidRPr="00E51B93">
        <w:rPr>
          <w:rStyle w:val="afb"/>
          <w:i w:val="0"/>
          <w:color w:val="5F497A" w:themeColor="accent4" w:themeShade="BF"/>
          <w:sz w:val="28"/>
          <w:szCs w:val="28"/>
        </w:rPr>
        <w:t>РАЗДЕЛ I</w:t>
      </w:r>
    </w:p>
    <w:p w:rsidR="00E51B93" w:rsidRPr="00E51B93" w:rsidRDefault="00E51B93" w:rsidP="00E51B93">
      <w:pPr>
        <w:pStyle w:val="13"/>
        <w:spacing w:after="0" w:line="240" w:lineRule="auto"/>
        <w:ind w:firstLine="709"/>
        <w:contextualSpacing/>
        <w:jc w:val="center"/>
        <w:rPr>
          <w:rStyle w:val="afb"/>
          <w:b w:val="0"/>
          <w:i w:val="0"/>
          <w:color w:val="5F497A" w:themeColor="accent4" w:themeShade="BF"/>
          <w:sz w:val="28"/>
          <w:szCs w:val="28"/>
          <w:lang w:val="en-US"/>
        </w:rPr>
      </w:pPr>
    </w:p>
    <w:p w:rsidR="00E51B93" w:rsidRPr="00E51B93" w:rsidRDefault="00E51B93" w:rsidP="00E51B93">
      <w:pPr>
        <w:pStyle w:val="13"/>
        <w:spacing w:after="0" w:line="240" w:lineRule="auto"/>
        <w:ind w:firstLine="709"/>
        <w:contextualSpacing/>
        <w:jc w:val="center"/>
        <w:rPr>
          <w:rStyle w:val="afb"/>
          <w:b w:val="0"/>
          <w:i w:val="0"/>
          <w:color w:val="5F497A" w:themeColor="accent4" w:themeShade="BF"/>
          <w:sz w:val="28"/>
          <w:szCs w:val="28"/>
        </w:rPr>
      </w:pPr>
      <w:r w:rsidRPr="00E51B93">
        <w:rPr>
          <w:rStyle w:val="afb"/>
          <w:b w:val="0"/>
          <w:i w:val="0"/>
          <w:color w:val="5F497A" w:themeColor="accent4" w:themeShade="BF"/>
          <w:sz w:val="28"/>
          <w:szCs w:val="28"/>
        </w:rPr>
        <w:t>ОБОБЩЕНИ ИЗВОДИ ЗА ДЕЙНОСТТА НА ПРОКУРАТУРАТА.</w:t>
      </w:r>
    </w:p>
    <w:p w:rsidR="00E51B93" w:rsidRPr="00E51B93" w:rsidRDefault="00E51B93" w:rsidP="00943C1B">
      <w:pPr>
        <w:pStyle w:val="13"/>
        <w:spacing w:after="0" w:line="240" w:lineRule="auto"/>
        <w:ind w:firstLine="709"/>
        <w:contextualSpacing/>
        <w:jc w:val="center"/>
        <w:rPr>
          <w:rStyle w:val="afb"/>
          <w:b w:val="0"/>
          <w:i w:val="0"/>
          <w:color w:val="5F497A" w:themeColor="accent4" w:themeShade="BF"/>
          <w:sz w:val="28"/>
          <w:szCs w:val="28"/>
        </w:rPr>
      </w:pPr>
      <w:r w:rsidRPr="00E51B93">
        <w:rPr>
          <w:rStyle w:val="afb"/>
          <w:b w:val="0"/>
          <w:i w:val="0"/>
          <w:color w:val="5F497A" w:themeColor="accent4" w:themeShade="BF"/>
          <w:sz w:val="28"/>
          <w:szCs w:val="28"/>
        </w:rPr>
        <w:t>И НА РАЗСЛЕДВАЩИТЕ ОРГАНИ</w:t>
      </w:r>
    </w:p>
    <w:p w:rsidR="00E51B93" w:rsidRPr="00E51B93" w:rsidRDefault="00E51B93" w:rsidP="00943C1B">
      <w:pPr>
        <w:pStyle w:val="13"/>
        <w:spacing w:after="0" w:line="240" w:lineRule="auto"/>
        <w:ind w:firstLine="709"/>
        <w:contextualSpacing/>
        <w:jc w:val="center"/>
        <w:rPr>
          <w:rStyle w:val="afb"/>
          <w:b w:val="0"/>
          <w:i w:val="0"/>
          <w:color w:val="5F497A" w:themeColor="accent4" w:themeShade="BF"/>
          <w:sz w:val="28"/>
          <w:szCs w:val="28"/>
        </w:rPr>
      </w:pPr>
    </w:p>
    <w:p w:rsidR="00E51B93" w:rsidRDefault="00E51B93" w:rsidP="000059A2">
      <w:pPr>
        <w:pStyle w:val="13"/>
        <w:numPr>
          <w:ilvl w:val="0"/>
          <w:numId w:val="2"/>
        </w:numPr>
        <w:tabs>
          <w:tab w:val="left" w:pos="849"/>
        </w:tabs>
        <w:spacing w:after="0" w:line="240" w:lineRule="auto"/>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t>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7A7CE7" w:rsidRDefault="007A7CE7" w:rsidP="00943C1B">
      <w:pPr>
        <w:ind w:firstLine="709"/>
        <w:jc w:val="both"/>
        <w:rPr>
          <w:sz w:val="28"/>
          <w:szCs w:val="28"/>
        </w:rPr>
      </w:pPr>
      <w:r>
        <w:rPr>
          <w:sz w:val="28"/>
          <w:szCs w:val="28"/>
        </w:rPr>
        <w:t>Районът на  Окръжна прокуратура - Варна обхваща административна област Варна с център гр. Варна, 12 общини и 159 населени места. Официално броят на населението по данни на НСИ към 31.12.2022 г. възлиза на 430 847 души, но като се вземе предвид спецификата на областта</w:t>
      </w:r>
      <w:r>
        <w:rPr>
          <w:i/>
          <w:sz w:val="28"/>
          <w:szCs w:val="28"/>
        </w:rPr>
        <w:t xml:space="preserve">, </w:t>
      </w:r>
      <w:r>
        <w:rPr>
          <w:sz w:val="28"/>
          <w:szCs w:val="28"/>
        </w:rPr>
        <w:t xml:space="preserve">представляваща основния морски туристически център на страната, наличието на морско пристанище,  международно летище, няколко университети, силно развит икономически център и външна граница на ЕС, броят на реално пребиваващите хора в региона надхвърля 500 000. </w:t>
      </w:r>
    </w:p>
    <w:p w:rsidR="007A7CE7" w:rsidRDefault="007A7CE7" w:rsidP="00943C1B">
      <w:pPr>
        <w:ind w:firstLine="709"/>
        <w:jc w:val="both"/>
        <w:rPr>
          <w:sz w:val="28"/>
          <w:szCs w:val="28"/>
        </w:rPr>
      </w:pPr>
      <w:r>
        <w:rPr>
          <w:sz w:val="28"/>
          <w:szCs w:val="28"/>
        </w:rPr>
        <w:t xml:space="preserve">Горепосочените демографски и икономически особености на областта се намират в пряка зависимост и предопределят състоянието на престъпността в региона. Целогодишно са налице условия за извършване на престъпления, които нарастват изключително през активния туристически сезон. Силно застъпена е както битовата престъпност, така и всички видове стопански и общоопасни престъпления. </w:t>
      </w:r>
    </w:p>
    <w:p w:rsidR="007A7CE7" w:rsidRDefault="007A7CE7" w:rsidP="00943C1B">
      <w:pPr>
        <w:ind w:firstLine="709"/>
        <w:jc w:val="both"/>
        <w:rPr>
          <w:sz w:val="28"/>
          <w:szCs w:val="28"/>
        </w:rPr>
      </w:pPr>
      <w:r>
        <w:rPr>
          <w:sz w:val="28"/>
          <w:szCs w:val="28"/>
        </w:rPr>
        <w:t xml:space="preserve">В защита на обществения интерес, както и в защита на законовите права и интереси на гражданите през 2023 г. в Окръжна прокуратура - Варна са работили 27 прокурора, 25-ма следователи и 62 съдебни служители.  </w:t>
      </w:r>
    </w:p>
    <w:p w:rsidR="007A7CE7" w:rsidRDefault="007A7CE7" w:rsidP="00943C1B">
      <w:pPr>
        <w:ind w:firstLine="709"/>
        <w:jc w:val="both"/>
        <w:rPr>
          <w:sz w:val="28"/>
          <w:szCs w:val="28"/>
        </w:rPr>
      </w:pPr>
      <w:r>
        <w:rPr>
          <w:sz w:val="28"/>
          <w:szCs w:val="28"/>
        </w:rPr>
        <w:t xml:space="preserve">Основните принципи, към които са се придържали в работата си, както всяка година са - приемственост, надграждане на добрите практики, </w:t>
      </w:r>
      <w:proofErr w:type="spellStart"/>
      <w:r>
        <w:rPr>
          <w:sz w:val="28"/>
          <w:szCs w:val="28"/>
        </w:rPr>
        <w:t>екипност</w:t>
      </w:r>
      <w:proofErr w:type="spellEnd"/>
      <w:r>
        <w:rPr>
          <w:sz w:val="28"/>
          <w:szCs w:val="28"/>
        </w:rPr>
        <w:t xml:space="preserve">, добри колегиални отношения, отговорност, надграждане на квалификацията и знанията.   </w:t>
      </w:r>
    </w:p>
    <w:p w:rsidR="007A7CE7" w:rsidRDefault="007A7CE7" w:rsidP="00943C1B">
      <w:pPr>
        <w:ind w:firstLine="709"/>
        <w:jc w:val="both"/>
        <w:rPr>
          <w:sz w:val="28"/>
          <w:szCs w:val="28"/>
        </w:rPr>
      </w:pPr>
      <w:r>
        <w:rPr>
          <w:sz w:val="28"/>
          <w:szCs w:val="28"/>
        </w:rPr>
        <w:t xml:space="preserve"> Предприетите и през преходния отчетен период мерки по отношение качеството и срочността на работата в Окръжна прокуратура Варна бяха продължени и през 2023 г., като могат да се откроят четири основни направления в тази връзка:</w:t>
      </w:r>
    </w:p>
    <w:p w:rsidR="007A7CE7" w:rsidRPr="00943C1B" w:rsidRDefault="007A7CE7" w:rsidP="000059A2">
      <w:pPr>
        <w:numPr>
          <w:ilvl w:val="0"/>
          <w:numId w:val="19"/>
        </w:numPr>
        <w:ind w:left="0" w:firstLine="709"/>
        <w:contextualSpacing/>
        <w:jc w:val="both"/>
        <w:rPr>
          <w:sz w:val="28"/>
          <w:szCs w:val="28"/>
        </w:rPr>
      </w:pPr>
      <w:r>
        <w:rPr>
          <w:sz w:val="28"/>
          <w:szCs w:val="28"/>
          <w:u w:val="single"/>
        </w:rPr>
        <w:t>по отношение на прокурорската дейност</w:t>
      </w:r>
      <w:r>
        <w:rPr>
          <w:sz w:val="28"/>
          <w:szCs w:val="28"/>
        </w:rPr>
        <w:t xml:space="preserve"> – общи съвещания за уеднаквяване на практиката и взимане на решения по важни въпроси, работни съвещания по конкретни дела с фактическа и правна сложност, утвърждаване на екипния принцип на работа, оптимизиране на ефективността на деловодната дейност и отстраняване на затрудненията при </w:t>
      </w:r>
      <w:r w:rsidRPr="00943C1B">
        <w:rPr>
          <w:sz w:val="28"/>
          <w:szCs w:val="28"/>
        </w:rPr>
        <w:t>работата с УИС, водене на ефикасна медийна политика, в съответствие с указанията на Главния прокурор, строга финансова дисциплина при разходване на средства от бюджета на ОП - Варна и спазване правилата за възлагане на обществени поръчки;</w:t>
      </w:r>
    </w:p>
    <w:p w:rsidR="007A7CE7" w:rsidRPr="00943C1B" w:rsidRDefault="007A7CE7" w:rsidP="000059A2">
      <w:pPr>
        <w:numPr>
          <w:ilvl w:val="0"/>
          <w:numId w:val="19"/>
        </w:numPr>
        <w:ind w:left="0" w:firstLine="709"/>
        <w:contextualSpacing/>
        <w:jc w:val="both"/>
        <w:rPr>
          <w:sz w:val="28"/>
          <w:szCs w:val="28"/>
        </w:rPr>
      </w:pPr>
      <w:r w:rsidRPr="00943C1B">
        <w:rPr>
          <w:sz w:val="28"/>
          <w:szCs w:val="28"/>
          <w:u w:val="single"/>
        </w:rPr>
        <w:t>по отношение на досъдебните производства</w:t>
      </w:r>
      <w:r w:rsidRPr="00943C1B">
        <w:rPr>
          <w:sz w:val="28"/>
          <w:szCs w:val="28"/>
        </w:rPr>
        <w:t xml:space="preserve"> - регулярни срещи с отговорниците на разследващите органи, засилено използване на капацитета на следователите, стриктен контрол върху срочността на разследването, тясно </w:t>
      </w:r>
      <w:r w:rsidRPr="00943C1B">
        <w:rPr>
          <w:sz w:val="28"/>
          <w:szCs w:val="28"/>
        </w:rPr>
        <w:lastRenderedPageBreak/>
        <w:t xml:space="preserve">взаимодействие с </w:t>
      </w:r>
      <w:proofErr w:type="spellStart"/>
      <w:r w:rsidRPr="00943C1B">
        <w:rPr>
          <w:sz w:val="28"/>
          <w:szCs w:val="28"/>
        </w:rPr>
        <w:t>оперативно-издирвателните</w:t>
      </w:r>
      <w:proofErr w:type="spellEnd"/>
      <w:r w:rsidRPr="00943C1B">
        <w:rPr>
          <w:sz w:val="28"/>
          <w:szCs w:val="28"/>
        </w:rPr>
        <w:t xml:space="preserve"> органи на ОД на МВР Варна, Дирекция ”Вътрешна сигурност” МВР</w:t>
      </w:r>
      <w:r w:rsidR="006218D1">
        <w:rPr>
          <w:sz w:val="28"/>
          <w:szCs w:val="28"/>
        </w:rPr>
        <w:t>,</w:t>
      </w:r>
      <w:r w:rsidRPr="00943C1B">
        <w:rPr>
          <w:sz w:val="28"/>
          <w:szCs w:val="28"/>
        </w:rPr>
        <w:t xml:space="preserve"> сектор „БОП“ – Варна, ТД ”НС” Варна;</w:t>
      </w:r>
    </w:p>
    <w:p w:rsidR="007A7CE7" w:rsidRPr="00943C1B" w:rsidRDefault="007A7CE7" w:rsidP="000059A2">
      <w:pPr>
        <w:numPr>
          <w:ilvl w:val="0"/>
          <w:numId w:val="19"/>
        </w:numPr>
        <w:ind w:left="0" w:firstLine="709"/>
        <w:contextualSpacing/>
        <w:jc w:val="both"/>
        <w:rPr>
          <w:sz w:val="28"/>
          <w:szCs w:val="28"/>
        </w:rPr>
      </w:pPr>
      <w:r w:rsidRPr="00943C1B">
        <w:rPr>
          <w:sz w:val="28"/>
          <w:szCs w:val="28"/>
          <w:u w:val="single"/>
        </w:rPr>
        <w:t>по отношение на предварителните проверки и превантивната дейност</w:t>
      </w:r>
      <w:r w:rsidRPr="00943C1B">
        <w:rPr>
          <w:sz w:val="28"/>
          <w:szCs w:val="28"/>
        </w:rPr>
        <w:t xml:space="preserve"> - тясно сътрудничество, методическо и процесуално ръководство на проверките, извършвани от териториалните подразделения на контролните органи на министерства и централни ведомства;  </w:t>
      </w:r>
    </w:p>
    <w:p w:rsidR="007A7CE7" w:rsidRPr="00943C1B" w:rsidRDefault="007A7CE7" w:rsidP="000059A2">
      <w:pPr>
        <w:numPr>
          <w:ilvl w:val="0"/>
          <w:numId w:val="19"/>
        </w:numPr>
        <w:ind w:left="0" w:firstLine="709"/>
        <w:contextualSpacing/>
        <w:jc w:val="both"/>
        <w:rPr>
          <w:sz w:val="28"/>
          <w:szCs w:val="28"/>
        </w:rPr>
      </w:pPr>
      <w:r w:rsidRPr="00943C1B">
        <w:rPr>
          <w:sz w:val="28"/>
          <w:szCs w:val="28"/>
          <w:u w:val="single"/>
        </w:rPr>
        <w:t>по отношение на районната прокуратура и териториалните й подразделения</w:t>
      </w:r>
      <w:r w:rsidRPr="00943C1B">
        <w:rPr>
          <w:sz w:val="28"/>
          <w:szCs w:val="28"/>
        </w:rPr>
        <w:t xml:space="preserve"> - тематични и извънредни проверки, при констатиране на негативи в работата; постоянно наблюдение на данните от Електронния регистър за срочността на разследването и произнасянето от прокурор, наблюдение на сроковете по чл.368 ал.1 и чл.234 ал.8 от НПК; постоянни проверки на причините за продължителното разследване по някои категории дела, както и по конкретни дела; предприемане на мерки за разумно прилагане института на бързото производство; контрол върху работата по  засилване на противодействието срещу битовата престъпност; наблюдаване качеството на прокурорските актове, внасяни от районните прокуратури в съда, с оглед намаляване броя на оправдателните съдебни актове и на върнатите от съда дела; поддържане на постоянна връзка с административният ръководител на районната</w:t>
      </w:r>
      <w:r w:rsidRPr="00943C1B">
        <w:rPr>
          <w:sz w:val="28"/>
          <w:szCs w:val="28"/>
          <w:lang w:val="en-US"/>
        </w:rPr>
        <w:t xml:space="preserve"> </w:t>
      </w:r>
      <w:r w:rsidRPr="00943C1B">
        <w:rPr>
          <w:sz w:val="28"/>
          <w:szCs w:val="28"/>
        </w:rPr>
        <w:t>прокуратура за бързо и адекватно решаване на управленски проблеми и проблеми по надзори.</w:t>
      </w:r>
    </w:p>
    <w:p w:rsidR="007A7CE7" w:rsidRPr="00943C1B" w:rsidRDefault="007A7CE7" w:rsidP="00943C1B">
      <w:pPr>
        <w:ind w:firstLine="709"/>
        <w:jc w:val="both"/>
        <w:rPr>
          <w:sz w:val="28"/>
          <w:szCs w:val="28"/>
        </w:rPr>
      </w:pPr>
      <w:r w:rsidRPr="00943C1B">
        <w:rPr>
          <w:sz w:val="28"/>
          <w:szCs w:val="28"/>
        </w:rPr>
        <w:t>Относно състоянието, динамиката и структурата на престъпността в областта за отчетният период са налице следните данни:</w:t>
      </w:r>
    </w:p>
    <w:p w:rsidR="007A7CE7" w:rsidRPr="00943C1B" w:rsidRDefault="007A7CE7" w:rsidP="00943C1B">
      <w:pPr>
        <w:ind w:firstLine="709"/>
        <w:jc w:val="both"/>
        <w:rPr>
          <w:sz w:val="28"/>
          <w:szCs w:val="28"/>
        </w:rPr>
      </w:pPr>
      <w:r w:rsidRPr="00943C1B">
        <w:rPr>
          <w:sz w:val="28"/>
          <w:szCs w:val="28"/>
        </w:rPr>
        <w:t>На територията на ОД на МВР Варна за 2023 г. са регистрирани 6634 престъпление, през 2022 г. - 6838 престъпления, а през 2021 г. са регистрирани 6198 престъпления. Нивото на регистрираната престъпност в региона е нараснало спрямо 2021 г. с 640 престъпления и за 2022 г. е намалява с 204 престъпления, което се явява 10,03</w:t>
      </w:r>
      <w:r w:rsidR="00704100">
        <w:rPr>
          <w:sz w:val="28"/>
          <w:szCs w:val="28"/>
        </w:rPr>
        <w:t>%</w:t>
      </w:r>
      <w:r w:rsidRPr="00943C1B">
        <w:rPr>
          <w:sz w:val="28"/>
          <w:szCs w:val="28"/>
        </w:rPr>
        <w:t>увеличение спрямо 2021 г. и намаление с 2,98</w:t>
      </w:r>
      <w:r w:rsidR="00704100">
        <w:rPr>
          <w:sz w:val="28"/>
          <w:szCs w:val="28"/>
        </w:rPr>
        <w:t>%</w:t>
      </w:r>
      <w:r w:rsidRPr="00943C1B">
        <w:rPr>
          <w:sz w:val="28"/>
          <w:szCs w:val="28"/>
        </w:rPr>
        <w:t xml:space="preserve"> спрямо 2022 г.   През 2023 г. досъдебните производства на производство са били 12588 бр. Приключените ДП през 2023 г. са 7920 ДП, от тях срещу НИ - 5718 ДП и срещу ИИ - 2202 ДП.</w:t>
      </w:r>
    </w:p>
    <w:p w:rsidR="007A7CE7" w:rsidRPr="00943C1B" w:rsidRDefault="007A7CE7" w:rsidP="00943C1B">
      <w:pPr>
        <w:ind w:firstLine="709"/>
        <w:jc w:val="both"/>
        <w:rPr>
          <w:sz w:val="28"/>
          <w:szCs w:val="28"/>
        </w:rPr>
      </w:pPr>
      <w:r w:rsidRPr="00943C1B">
        <w:rPr>
          <w:sz w:val="28"/>
          <w:szCs w:val="28"/>
        </w:rPr>
        <w:t xml:space="preserve"> Процентът на разкритите престъпления за 2023 г. е 43,70</w:t>
      </w:r>
      <w:r w:rsidR="00704100">
        <w:rPr>
          <w:sz w:val="28"/>
          <w:szCs w:val="28"/>
        </w:rPr>
        <w:t>%</w:t>
      </w:r>
      <w:r w:rsidRPr="00943C1B">
        <w:rPr>
          <w:sz w:val="28"/>
          <w:szCs w:val="28"/>
        </w:rPr>
        <w:t>, за 2022 г. е 43,40</w:t>
      </w:r>
      <w:r w:rsidR="00704100">
        <w:rPr>
          <w:sz w:val="28"/>
          <w:szCs w:val="28"/>
        </w:rPr>
        <w:t>%</w:t>
      </w:r>
      <w:r w:rsidRPr="00943C1B">
        <w:rPr>
          <w:sz w:val="28"/>
          <w:szCs w:val="28"/>
        </w:rPr>
        <w:t>, при 39,50</w:t>
      </w:r>
      <w:r w:rsidR="00704100">
        <w:rPr>
          <w:sz w:val="28"/>
          <w:szCs w:val="28"/>
        </w:rPr>
        <w:t>%</w:t>
      </w:r>
      <w:r w:rsidRPr="00943C1B">
        <w:rPr>
          <w:sz w:val="28"/>
          <w:szCs w:val="28"/>
        </w:rPr>
        <w:t xml:space="preserve"> за 2021 г. Налице е леко повишение по отношение на преходните две години.</w:t>
      </w:r>
    </w:p>
    <w:p w:rsidR="007A7CE7" w:rsidRPr="00943C1B" w:rsidRDefault="007A7CE7" w:rsidP="00943C1B">
      <w:pPr>
        <w:ind w:firstLine="709"/>
        <w:jc w:val="both"/>
        <w:rPr>
          <w:sz w:val="28"/>
          <w:szCs w:val="28"/>
        </w:rPr>
      </w:pPr>
      <w:r w:rsidRPr="00943C1B">
        <w:rPr>
          <w:sz w:val="28"/>
          <w:szCs w:val="28"/>
        </w:rPr>
        <w:t>Реално работили разследващи полицаи през 2023 г. са 110, като общата средна натовареност е била 114 ДП и средно приключени ДП през периода са 72 ДП.</w:t>
      </w:r>
    </w:p>
    <w:p w:rsidR="007A7CE7" w:rsidRPr="00943C1B" w:rsidRDefault="007A7CE7" w:rsidP="00943C1B">
      <w:pPr>
        <w:ind w:firstLine="709"/>
        <w:jc w:val="both"/>
        <w:rPr>
          <w:sz w:val="28"/>
          <w:szCs w:val="28"/>
          <w:lang w:val="en-US"/>
        </w:rPr>
      </w:pPr>
      <w:r w:rsidRPr="00943C1B">
        <w:rPr>
          <w:sz w:val="28"/>
          <w:szCs w:val="28"/>
        </w:rPr>
        <w:t xml:space="preserve">Тенденцията, започнала от преходния отчетен период - по-малко регистрирани престъпления в съчетание с увеличаване процента на разкриваемостта, показва ефективност в работата на правоохранителните органи, както в превантивната дейност, така и в дейността им по разкриване на престъпленията. Този положителен резултат неминуемо е свързан и с  добрите практики, въведени през 2023 г. по отношение на противодействието на битовата престъпност. </w:t>
      </w:r>
    </w:p>
    <w:p w:rsidR="007A7CE7" w:rsidRPr="00943C1B" w:rsidRDefault="007A7CE7" w:rsidP="00943C1B">
      <w:pPr>
        <w:ind w:firstLine="709"/>
        <w:jc w:val="both"/>
        <w:rPr>
          <w:sz w:val="28"/>
          <w:szCs w:val="28"/>
          <w:lang w:val="en-US"/>
        </w:rPr>
      </w:pPr>
    </w:p>
    <w:p w:rsidR="007A7CE7" w:rsidRPr="00943C1B" w:rsidRDefault="007A7CE7" w:rsidP="00943C1B">
      <w:pPr>
        <w:ind w:firstLine="709"/>
        <w:jc w:val="both"/>
        <w:rPr>
          <w:i/>
          <w:sz w:val="28"/>
          <w:szCs w:val="28"/>
        </w:rPr>
      </w:pPr>
    </w:p>
    <w:p w:rsidR="007A7CE7" w:rsidRPr="00943C1B" w:rsidRDefault="007A7CE7" w:rsidP="00943C1B">
      <w:pPr>
        <w:tabs>
          <w:tab w:val="left" w:pos="0"/>
          <w:tab w:val="left" w:pos="360"/>
          <w:tab w:val="left" w:pos="1350"/>
        </w:tabs>
        <w:ind w:firstLine="709"/>
        <w:jc w:val="both"/>
        <w:rPr>
          <w:rFonts w:eastAsia="Calibri"/>
          <w:b/>
          <w:sz w:val="28"/>
          <w:szCs w:val="28"/>
        </w:rPr>
      </w:pPr>
      <w:r w:rsidRPr="00943C1B">
        <w:rPr>
          <w:rFonts w:eastAsia="Calibri"/>
          <w:b/>
          <w:sz w:val="28"/>
          <w:szCs w:val="28"/>
        </w:rPr>
        <w:lastRenderedPageBreak/>
        <w:t>ДЕЙНОСТ НА РАЗСЛЕДВАЩИТЕ ОРГАНИ</w:t>
      </w:r>
    </w:p>
    <w:p w:rsidR="007A7CE7" w:rsidRPr="00943C1B" w:rsidRDefault="007A7CE7" w:rsidP="00943C1B">
      <w:pPr>
        <w:shd w:val="clear" w:color="auto" w:fill="FFFFFF" w:themeFill="background1"/>
        <w:tabs>
          <w:tab w:val="left" w:pos="0"/>
          <w:tab w:val="left" w:pos="360"/>
          <w:tab w:val="left" w:pos="1350"/>
        </w:tabs>
        <w:ind w:firstLine="709"/>
        <w:jc w:val="both"/>
        <w:rPr>
          <w:rFonts w:eastAsia="Calibri"/>
          <w:sz w:val="28"/>
          <w:szCs w:val="28"/>
        </w:rPr>
      </w:pPr>
      <w:r w:rsidRPr="00943C1B">
        <w:rPr>
          <w:rFonts w:eastAsia="Calibri"/>
          <w:sz w:val="28"/>
          <w:szCs w:val="28"/>
        </w:rPr>
        <w:t>Разпределението на разследващите полицаи към ОД – МВР- Варна е следното: група „Тежка криминална престъпност”; група „Икономическа престъпност”; група „Пътна полиция”; 5 групи в РУ на МВР за гр.Варна, група РУ Девня, РУ Провадия и РУ Аксаково.</w:t>
      </w:r>
    </w:p>
    <w:p w:rsidR="007A7CE7" w:rsidRPr="00943C1B" w:rsidRDefault="007A7CE7" w:rsidP="00943C1B">
      <w:pPr>
        <w:shd w:val="clear" w:color="auto" w:fill="FFFFFF" w:themeFill="background1"/>
        <w:tabs>
          <w:tab w:val="left" w:pos="0"/>
          <w:tab w:val="left" w:pos="360"/>
          <w:tab w:val="left" w:pos="1350"/>
        </w:tabs>
        <w:ind w:firstLine="709"/>
        <w:jc w:val="both"/>
        <w:rPr>
          <w:rFonts w:eastAsia="Calibri"/>
          <w:sz w:val="28"/>
          <w:szCs w:val="28"/>
        </w:rPr>
      </w:pPr>
      <w:r w:rsidRPr="00943C1B">
        <w:rPr>
          <w:rFonts w:eastAsia="Calibri"/>
          <w:sz w:val="28"/>
          <w:szCs w:val="28"/>
        </w:rPr>
        <w:t xml:space="preserve">Основни резултати от работата на разследващите полицаи са отразени на следната таблица: </w:t>
      </w:r>
    </w:p>
    <w:p w:rsidR="007A7CE7" w:rsidRPr="00943C1B" w:rsidRDefault="007A7CE7" w:rsidP="00943C1B">
      <w:pPr>
        <w:shd w:val="clear" w:color="auto" w:fill="FFFFFF" w:themeFill="background1"/>
        <w:tabs>
          <w:tab w:val="left" w:pos="0"/>
          <w:tab w:val="left" w:pos="360"/>
          <w:tab w:val="left" w:pos="1350"/>
        </w:tabs>
        <w:ind w:firstLine="709"/>
        <w:jc w:val="both"/>
        <w:rPr>
          <w:rFonts w:eastAsia="Calibri"/>
          <w:sz w:val="28"/>
          <w:szCs w:val="28"/>
          <w:lang w:val="en-US"/>
        </w:rPr>
      </w:pPr>
    </w:p>
    <w:tbl>
      <w:tblPr>
        <w:tblW w:w="100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3"/>
        <w:gridCol w:w="1300"/>
        <w:gridCol w:w="1204"/>
        <w:gridCol w:w="1204"/>
      </w:tblGrid>
      <w:tr w:rsidR="00126A89" w:rsidRPr="00943C1B" w:rsidTr="00126A89">
        <w:trPr>
          <w:trHeight w:val="398"/>
        </w:trPr>
        <w:tc>
          <w:tcPr>
            <w:tcW w:w="6323" w:type="dxa"/>
            <w:tcBorders>
              <w:top w:val="single" w:sz="4" w:space="0" w:color="auto"/>
              <w:left w:val="single" w:sz="4" w:space="0" w:color="auto"/>
              <w:bottom w:val="single" w:sz="4" w:space="0" w:color="auto"/>
              <w:right w:val="single" w:sz="4" w:space="0" w:color="auto"/>
            </w:tcBorders>
            <w:vAlign w:val="center"/>
          </w:tcPr>
          <w:p w:rsidR="007A7CE7" w:rsidRPr="00943C1B" w:rsidRDefault="007A7CE7" w:rsidP="00126A89">
            <w:pPr>
              <w:shd w:val="clear" w:color="auto" w:fill="FFFFFF" w:themeFill="background1"/>
              <w:tabs>
                <w:tab w:val="left" w:pos="0"/>
                <w:tab w:val="left" w:pos="360"/>
                <w:tab w:val="left" w:pos="1350"/>
              </w:tabs>
              <w:spacing w:line="276" w:lineRule="auto"/>
              <w:ind w:firstLine="34"/>
              <w:rPr>
                <w:rFonts w:eastAsia="Calibri"/>
                <w:b/>
                <w:sz w:val="28"/>
                <w:szCs w:val="28"/>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b/>
                <w:sz w:val="28"/>
                <w:szCs w:val="28"/>
                <w:lang w:eastAsia="en-US"/>
              </w:rPr>
            </w:pPr>
            <w:r w:rsidRPr="00943C1B">
              <w:rPr>
                <w:rFonts w:eastAsia="Calibri"/>
                <w:b/>
                <w:sz w:val="28"/>
                <w:szCs w:val="28"/>
                <w:lang w:eastAsia="en-US"/>
              </w:rPr>
              <w:t>2023</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b/>
                <w:sz w:val="28"/>
                <w:szCs w:val="28"/>
                <w:lang w:eastAsia="en-US"/>
              </w:rPr>
            </w:pPr>
            <w:r w:rsidRPr="00943C1B">
              <w:rPr>
                <w:rFonts w:eastAsia="Calibri"/>
                <w:b/>
                <w:sz w:val="28"/>
                <w:szCs w:val="28"/>
                <w:lang w:eastAsia="en-US"/>
              </w:rPr>
              <w:t>2022</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b/>
                <w:sz w:val="28"/>
                <w:szCs w:val="28"/>
                <w:lang w:eastAsia="en-US"/>
              </w:rPr>
            </w:pPr>
            <w:r w:rsidRPr="00943C1B">
              <w:rPr>
                <w:rFonts w:eastAsia="Calibri"/>
                <w:b/>
                <w:sz w:val="28"/>
                <w:szCs w:val="28"/>
                <w:lang w:eastAsia="en-US"/>
              </w:rPr>
              <w:t>2021</w:t>
            </w:r>
          </w:p>
        </w:tc>
      </w:tr>
      <w:tr w:rsidR="00126A89" w:rsidRPr="00943C1B" w:rsidTr="00126A89">
        <w:tc>
          <w:tcPr>
            <w:tcW w:w="6323"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rPr>
                <w:rFonts w:eastAsia="Calibri"/>
                <w:sz w:val="28"/>
                <w:szCs w:val="28"/>
                <w:lang w:eastAsia="en-US"/>
              </w:rPr>
            </w:pPr>
            <w:r w:rsidRPr="00943C1B">
              <w:rPr>
                <w:rFonts w:eastAsia="Calibri"/>
                <w:sz w:val="28"/>
                <w:szCs w:val="28"/>
                <w:lang w:eastAsia="en-US"/>
              </w:rPr>
              <w:t>Общо разследвани ДП</w:t>
            </w:r>
          </w:p>
        </w:tc>
        <w:tc>
          <w:tcPr>
            <w:tcW w:w="1300"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12588</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12279</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12263</w:t>
            </w:r>
          </w:p>
        </w:tc>
      </w:tr>
      <w:tr w:rsidR="00126A89" w:rsidRPr="00943C1B" w:rsidTr="00126A89">
        <w:tc>
          <w:tcPr>
            <w:tcW w:w="6323"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rPr>
                <w:rFonts w:eastAsia="Calibri"/>
                <w:sz w:val="28"/>
                <w:szCs w:val="28"/>
                <w:lang w:eastAsia="en-US"/>
              </w:rPr>
            </w:pPr>
            <w:r w:rsidRPr="00943C1B">
              <w:rPr>
                <w:rFonts w:eastAsia="Calibri"/>
                <w:sz w:val="28"/>
                <w:szCs w:val="28"/>
                <w:lang w:eastAsia="en-US"/>
              </w:rPr>
              <w:t>Образувани ДП през периода</w:t>
            </w:r>
          </w:p>
        </w:tc>
        <w:tc>
          <w:tcPr>
            <w:tcW w:w="1300"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7726</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7997</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7727</w:t>
            </w:r>
          </w:p>
        </w:tc>
      </w:tr>
      <w:tr w:rsidR="00126A89" w:rsidRPr="00943C1B" w:rsidTr="00126A89">
        <w:tc>
          <w:tcPr>
            <w:tcW w:w="6323"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rPr>
                <w:rFonts w:eastAsia="Calibri"/>
                <w:sz w:val="28"/>
                <w:szCs w:val="28"/>
                <w:lang w:eastAsia="en-US"/>
              </w:rPr>
            </w:pPr>
            <w:r w:rsidRPr="00943C1B">
              <w:rPr>
                <w:rFonts w:eastAsia="Calibri"/>
                <w:sz w:val="28"/>
                <w:szCs w:val="28"/>
                <w:lang w:eastAsia="en-US"/>
              </w:rPr>
              <w:t>От тях: бързи производства</w:t>
            </w:r>
          </w:p>
        </w:tc>
        <w:tc>
          <w:tcPr>
            <w:tcW w:w="1300"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678</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835</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643</w:t>
            </w:r>
          </w:p>
        </w:tc>
      </w:tr>
      <w:tr w:rsidR="00126A89" w:rsidRPr="00943C1B" w:rsidTr="00126A89">
        <w:tc>
          <w:tcPr>
            <w:tcW w:w="6323"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rPr>
                <w:rFonts w:eastAsia="Calibri"/>
                <w:sz w:val="28"/>
                <w:szCs w:val="28"/>
                <w:lang w:eastAsia="en-US"/>
              </w:rPr>
            </w:pPr>
            <w:r w:rsidRPr="00943C1B">
              <w:rPr>
                <w:rFonts w:eastAsia="Calibri"/>
                <w:sz w:val="28"/>
                <w:szCs w:val="28"/>
                <w:lang w:eastAsia="en-US"/>
              </w:rPr>
              <w:t>Общо приключени ДП от разследваните, от тях:</w:t>
            </w:r>
          </w:p>
        </w:tc>
        <w:tc>
          <w:tcPr>
            <w:tcW w:w="1300"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7920</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7976</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8411</w:t>
            </w:r>
          </w:p>
        </w:tc>
      </w:tr>
      <w:tr w:rsidR="00126A89" w:rsidRPr="00943C1B" w:rsidTr="00126A89">
        <w:tc>
          <w:tcPr>
            <w:tcW w:w="6323"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rPr>
                <w:rFonts w:eastAsia="Calibri"/>
                <w:sz w:val="28"/>
                <w:szCs w:val="28"/>
                <w:lang w:eastAsia="en-US"/>
              </w:rPr>
            </w:pPr>
            <w:r w:rsidRPr="00943C1B">
              <w:rPr>
                <w:rFonts w:eastAsia="Calibri"/>
                <w:sz w:val="28"/>
                <w:szCs w:val="28"/>
                <w:lang w:eastAsia="en-US"/>
              </w:rPr>
              <w:t>Приключени с обвинително заключение (% от общо приключените)</w:t>
            </w:r>
          </w:p>
        </w:tc>
        <w:tc>
          <w:tcPr>
            <w:tcW w:w="1300"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2202</w:t>
            </w:r>
          </w:p>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(27,8%)</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2131</w:t>
            </w:r>
          </w:p>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(26,7%)</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2134</w:t>
            </w:r>
          </w:p>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(25,4%)</w:t>
            </w:r>
          </w:p>
        </w:tc>
      </w:tr>
      <w:tr w:rsidR="00126A89" w:rsidRPr="00943C1B" w:rsidTr="00126A89">
        <w:tc>
          <w:tcPr>
            <w:tcW w:w="6323"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4"/>
                <w:tab w:val="left" w:pos="360"/>
                <w:tab w:val="left" w:pos="1350"/>
              </w:tabs>
              <w:spacing w:line="276" w:lineRule="auto"/>
              <w:ind w:firstLine="34"/>
              <w:rPr>
                <w:rFonts w:eastAsia="Calibri"/>
                <w:sz w:val="28"/>
                <w:szCs w:val="28"/>
                <w:lang w:val="en-US" w:eastAsia="en-US"/>
              </w:rPr>
            </w:pPr>
            <w:r w:rsidRPr="00943C1B">
              <w:rPr>
                <w:rFonts w:eastAsia="Calibri"/>
                <w:sz w:val="28"/>
                <w:szCs w:val="28"/>
                <w:lang w:eastAsia="en-US"/>
              </w:rPr>
              <w:t>Приключени с мнение за спиране</w:t>
            </w:r>
          </w:p>
          <w:p w:rsidR="007A7CE7" w:rsidRPr="00943C1B" w:rsidRDefault="007A7CE7" w:rsidP="00126A89">
            <w:pPr>
              <w:shd w:val="clear" w:color="auto" w:fill="FFFFFF" w:themeFill="background1"/>
              <w:tabs>
                <w:tab w:val="left" w:pos="0"/>
                <w:tab w:val="left" w:pos="34"/>
                <w:tab w:val="left" w:pos="360"/>
                <w:tab w:val="left" w:pos="1350"/>
              </w:tabs>
              <w:spacing w:line="276" w:lineRule="auto"/>
              <w:ind w:firstLine="34"/>
              <w:rPr>
                <w:rFonts w:eastAsia="Calibri"/>
                <w:sz w:val="28"/>
                <w:szCs w:val="28"/>
                <w:lang w:eastAsia="en-US"/>
              </w:rPr>
            </w:pPr>
            <w:r w:rsidRPr="00943C1B">
              <w:rPr>
                <w:rFonts w:eastAsia="Calibri"/>
                <w:sz w:val="28"/>
                <w:szCs w:val="28"/>
                <w:lang w:eastAsia="en-US"/>
              </w:rPr>
              <w:t>(% от общо приключените)</w:t>
            </w:r>
          </w:p>
        </w:tc>
        <w:tc>
          <w:tcPr>
            <w:tcW w:w="1300"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3448</w:t>
            </w:r>
          </w:p>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(43,5%)</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3531</w:t>
            </w:r>
          </w:p>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(44,3%)</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3751</w:t>
            </w:r>
          </w:p>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(44,6%)</w:t>
            </w:r>
          </w:p>
        </w:tc>
      </w:tr>
      <w:tr w:rsidR="00126A89" w:rsidRPr="00943C1B" w:rsidTr="00126A89">
        <w:tc>
          <w:tcPr>
            <w:tcW w:w="6323"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rPr>
                <w:rFonts w:eastAsia="Calibri"/>
                <w:sz w:val="28"/>
                <w:szCs w:val="28"/>
                <w:lang w:eastAsia="en-US"/>
              </w:rPr>
            </w:pPr>
            <w:r w:rsidRPr="00943C1B">
              <w:rPr>
                <w:rFonts w:eastAsia="Calibri"/>
                <w:sz w:val="28"/>
                <w:szCs w:val="28"/>
                <w:lang w:eastAsia="en-US"/>
              </w:rPr>
              <w:t>Приключени с мнение за прекратяване (% от общо приключените)</w:t>
            </w:r>
          </w:p>
        </w:tc>
        <w:tc>
          <w:tcPr>
            <w:tcW w:w="1300"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2251</w:t>
            </w:r>
          </w:p>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(28,4%)</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2303</w:t>
            </w:r>
          </w:p>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(29,08)</w:t>
            </w:r>
          </w:p>
        </w:tc>
        <w:tc>
          <w:tcPr>
            <w:tcW w:w="1204"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2513</w:t>
            </w:r>
          </w:p>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(29,8%)</w:t>
            </w:r>
          </w:p>
        </w:tc>
      </w:tr>
      <w:tr w:rsidR="00126A89" w:rsidRPr="00943C1B" w:rsidTr="00126A89">
        <w:tc>
          <w:tcPr>
            <w:tcW w:w="6323"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rPr>
                <w:rFonts w:eastAsia="Calibri"/>
                <w:sz w:val="28"/>
                <w:szCs w:val="28"/>
                <w:lang w:eastAsia="en-US"/>
              </w:rPr>
            </w:pPr>
            <w:r w:rsidRPr="00943C1B">
              <w:rPr>
                <w:rFonts w:eastAsia="Calibri"/>
                <w:sz w:val="28"/>
                <w:szCs w:val="28"/>
                <w:lang w:eastAsia="en-US"/>
              </w:rPr>
              <w:t>Възложени на следовател</w:t>
            </w:r>
          </w:p>
        </w:tc>
        <w:tc>
          <w:tcPr>
            <w:tcW w:w="1300" w:type="dxa"/>
            <w:tcBorders>
              <w:top w:val="single" w:sz="4" w:space="0" w:color="auto"/>
              <w:left w:val="single" w:sz="4" w:space="0" w:color="auto"/>
              <w:bottom w:val="single" w:sz="4" w:space="0" w:color="auto"/>
              <w:right w:val="single" w:sz="4" w:space="0" w:color="auto"/>
            </w:tcBorders>
            <w:vAlign w:val="center"/>
            <w:hideMark/>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19</w:t>
            </w:r>
          </w:p>
        </w:tc>
        <w:tc>
          <w:tcPr>
            <w:tcW w:w="1204" w:type="dxa"/>
            <w:tcBorders>
              <w:top w:val="single" w:sz="4" w:space="0" w:color="auto"/>
              <w:left w:val="single" w:sz="4" w:space="0" w:color="auto"/>
              <w:bottom w:val="single" w:sz="4" w:space="0" w:color="auto"/>
              <w:right w:val="single" w:sz="4" w:space="0" w:color="auto"/>
            </w:tcBorders>
            <w:vAlign w:val="center"/>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11</w:t>
            </w:r>
          </w:p>
        </w:tc>
        <w:tc>
          <w:tcPr>
            <w:tcW w:w="1204" w:type="dxa"/>
            <w:tcBorders>
              <w:top w:val="single" w:sz="4" w:space="0" w:color="auto"/>
              <w:left w:val="single" w:sz="4" w:space="0" w:color="auto"/>
              <w:bottom w:val="single" w:sz="4" w:space="0" w:color="auto"/>
              <w:right w:val="single" w:sz="4" w:space="0" w:color="auto"/>
            </w:tcBorders>
            <w:vAlign w:val="center"/>
          </w:tcPr>
          <w:p w:rsidR="007A7CE7" w:rsidRPr="00943C1B" w:rsidRDefault="007A7CE7" w:rsidP="00126A89">
            <w:pPr>
              <w:shd w:val="clear" w:color="auto" w:fill="FFFFFF" w:themeFill="background1"/>
              <w:tabs>
                <w:tab w:val="left" w:pos="0"/>
                <w:tab w:val="left" w:pos="360"/>
                <w:tab w:val="left" w:pos="1350"/>
              </w:tabs>
              <w:spacing w:line="276" w:lineRule="auto"/>
              <w:ind w:firstLine="34"/>
              <w:jc w:val="center"/>
              <w:rPr>
                <w:rFonts w:eastAsia="Calibri"/>
                <w:sz w:val="28"/>
                <w:szCs w:val="28"/>
                <w:lang w:eastAsia="en-US"/>
              </w:rPr>
            </w:pPr>
            <w:r w:rsidRPr="00943C1B">
              <w:rPr>
                <w:rFonts w:eastAsia="Calibri"/>
                <w:sz w:val="28"/>
                <w:szCs w:val="28"/>
                <w:lang w:eastAsia="en-US"/>
              </w:rPr>
              <w:t>13</w:t>
            </w:r>
          </w:p>
        </w:tc>
      </w:tr>
    </w:tbl>
    <w:p w:rsidR="007A7CE7" w:rsidRPr="00943C1B" w:rsidRDefault="007A7CE7" w:rsidP="007A7CE7">
      <w:pPr>
        <w:ind w:firstLine="567"/>
        <w:jc w:val="both"/>
        <w:rPr>
          <w:sz w:val="28"/>
          <w:szCs w:val="28"/>
        </w:rPr>
      </w:pPr>
    </w:p>
    <w:p w:rsidR="007A7CE7" w:rsidRPr="00943C1B" w:rsidRDefault="007A7CE7" w:rsidP="00943C1B">
      <w:pPr>
        <w:tabs>
          <w:tab w:val="left" w:pos="142"/>
        </w:tabs>
        <w:ind w:firstLine="709"/>
        <w:jc w:val="both"/>
        <w:rPr>
          <w:sz w:val="28"/>
          <w:szCs w:val="28"/>
        </w:rPr>
      </w:pPr>
      <w:r w:rsidRPr="00943C1B">
        <w:rPr>
          <w:sz w:val="28"/>
          <w:szCs w:val="28"/>
        </w:rPr>
        <w:t xml:space="preserve">През 2023 г. регистрираните митнически престъпления и образуваните досъдебни производства в Митница Варна са били 8 бр. (4 бр. по чл. 255 и 4 бр. по чл. 234 от НК), през 2022 г. са били 12 бр. (5 бр. по чл. 242 и 7 бр. по чл. 234 от НК), през 2021 г. са 5 бр., а общо водените досъдебни производства са 16 бр.   </w:t>
      </w:r>
    </w:p>
    <w:p w:rsidR="007A7CE7" w:rsidRPr="00943C1B" w:rsidRDefault="007A7CE7" w:rsidP="00943C1B">
      <w:pPr>
        <w:tabs>
          <w:tab w:val="left" w:pos="142"/>
        </w:tabs>
        <w:ind w:firstLine="709"/>
        <w:jc w:val="both"/>
        <w:rPr>
          <w:sz w:val="28"/>
          <w:szCs w:val="28"/>
        </w:rPr>
      </w:pPr>
      <w:r w:rsidRPr="00943C1B">
        <w:rPr>
          <w:sz w:val="28"/>
          <w:szCs w:val="28"/>
        </w:rPr>
        <w:t xml:space="preserve"> Общо приключените досъдебни производства са 10 бр., през 2022 г. също са били 10 бр., а през 2021 г. са 15 бр.</w:t>
      </w:r>
    </w:p>
    <w:p w:rsidR="007A7CE7" w:rsidRPr="00943C1B" w:rsidRDefault="007A7CE7" w:rsidP="00943C1B">
      <w:pPr>
        <w:tabs>
          <w:tab w:val="left" w:pos="142"/>
        </w:tabs>
        <w:ind w:firstLine="709"/>
        <w:jc w:val="both"/>
        <w:rPr>
          <w:sz w:val="28"/>
          <w:szCs w:val="28"/>
        </w:rPr>
      </w:pPr>
      <w:r w:rsidRPr="00943C1B">
        <w:rPr>
          <w:sz w:val="28"/>
          <w:szCs w:val="28"/>
        </w:rPr>
        <w:t>Приключени с мнение за съд през 2023 г. – 3 бр., 2022 г. – 3                                                                                                                                                                                                                                                                                                                                                                                                                                                                                                                                                                                                                                                                                                                                                                                                                                                                                                                                                                                                                                                                                                                                          бр., през 2021 г. са били 3 бр. Приключените с мнение за прекратяване са: за 2023 г – 4 бр., 2022 г. - 8 бр., 9 бр. за 2021 г.</w:t>
      </w:r>
    </w:p>
    <w:p w:rsidR="007A7CE7" w:rsidRPr="00943C1B" w:rsidRDefault="007A7CE7" w:rsidP="00943C1B">
      <w:pPr>
        <w:tabs>
          <w:tab w:val="left" w:pos="142"/>
        </w:tabs>
        <w:ind w:firstLine="709"/>
        <w:jc w:val="both"/>
        <w:rPr>
          <w:sz w:val="28"/>
          <w:szCs w:val="28"/>
        </w:rPr>
      </w:pPr>
      <w:r w:rsidRPr="00943C1B">
        <w:rPr>
          <w:sz w:val="28"/>
          <w:szCs w:val="28"/>
        </w:rPr>
        <w:t>Приключени досъдебни производства от минали години – 8 бр., от тях с мнение за съд 3 бр.</w:t>
      </w:r>
    </w:p>
    <w:p w:rsidR="007A7CE7" w:rsidRPr="00943C1B" w:rsidRDefault="007A7CE7" w:rsidP="00943C1B">
      <w:pPr>
        <w:tabs>
          <w:tab w:val="left" w:pos="142"/>
        </w:tabs>
        <w:ind w:firstLine="709"/>
        <w:jc w:val="both"/>
        <w:rPr>
          <w:sz w:val="28"/>
          <w:szCs w:val="28"/>
        </w:rPr>
      </w:pPr>
      <w:r w:rsidRPr="00943C1B">
        <w:rPr>
          <w:sz w:val="28"/>
          <w:szCs w:val="28"/>
        </w:rPr>
        <w:t>През 2022 г. щатът на разследващите митнически инспектори е 2 щ.бр. Същите са разследвали 16 ДП. Средната натовареност на митнически инспектор е 8 ДП.</w:t>
      </w:r>
    </w:p>
    <w:p w:rsidR="007A7CE7" w:rsidRPr="00943C1B" w:rsidRDefault="007A7CE7" w:rsidP="00943C1B">
      <w:pPr>
        <w:tabs>
          <w:tab w:val="left" w:pos="142"/>
        </w:tabs>
        <w:ind w:firstLine="709"/>
        <w:jc w:val="both"/>
        <w:rPr>
          <w:sz w:val="28"/>
          <w:szCs w:val="28"/>
        </w:rPr>
      </w:pPr>
      <w:r w:rsidRPr="00943C1B">
        <w:rPr>
          <w:sz w:val="28"/>
          <w:szCs w:val="28"/>
        </w:rPr>
        <w:t>Предмет на митническите престъпления, разследвани през 2023 г. са държане на акцизни стоки без бандерол и избягване установяване и плащане на данъчни задължения в големи размери по отношение на ДДС от внос.</w:t>
      </w:r>
    </w:p>
    <w:p w:rsidR="007A7CE7" w:rsidRPr="00943C1B" w:rsidRDefault="007A7CE7" w:rsidP="00943C1B">
      <w:pPr>
        <w:tabs>
          <w:tab w:val="left" w:pos="142"/>
        </w:tabs>
        <w:ind w:firstLine="709"/>
        <w:jc w:val="both"/>
        <w:rPr>
          <w:sz w:val="28"/>
          <w:szCs w:val="28"/>
        </w:rPr>
      </w:pPr>
      <w:r w:rsidRPr="00943C1B">
        <w:rPr>
          <w:sz w:val="28"/>
          <w:szCs w:val="28"/>
        </w:rPr>
        <w:t xml:space="preserve">Досъдебните производства, заведени по описана ТД Митница-Варна, включват митнически престъпления извършени на </w:t>
      </w:r>
      <w:proofErr w:type="spellStart"/>
      <w:r w:rsidRPr="00943C1B">
        <w:rPr>
          <w:sz w:val="28"/>
          <w:szCs w:val="28"/>
        </w:rPr>
        <w:t>териториаята</w:t>
      </w:r>
      <w:proofErr w:type="spellEnd"/>
      <w:r w:rsidRPr="00943C1B">
        <w:rPr>
          <w:sz w:val="28"/>
          <w:szCs w:val="28"/>
        </w:rPr>
        <w:t xml:space="preserve"> на областите Варна, Добрич и Шумен.</w:t>
      </w:r>
    </w:p>
    <w:p w:rsidR="007A7CE7" w:rsidRPr="00943C1B" w:rsidRDefault="007A7CE7" w:rsidP="00943C1B">
      <w:pPr>
        <w:tabs>
          <w:tab w:val="left" w:pos="142"/>
        </w:tabs>
        <w:ind w:firstLine="709"/>
        <w:jc w:val="both"/>
        <w:rPr>
          <w:rFonts w:eastAsia="Calibri"/>
          <w:sz w:val="28"/>
          <w:szCs w:val="28"/>
        </w:rPr>
      </w:pPr>
      <w:r w:rsidRPr="00943C1B">
        <w:rPr>
          <w:rFonts w:eastAsia="Calibri"/>
          <w:sz w:val="28"/>
          <w:szCs w:val="28"/>
        </w:rPr>
        <w:t xml:space="preserve">През 2023 г. в ОСлО при ОП Варна са се намирали на производство общо 605 ДП при реално работили 21,50 следователи, през 2022 г. са 560 ДП при </w:t>
      </w:r>
      <w:r w:rsidRPr="00943C1B">
        <w:rPr>
          <w:rFonts w:eastAsia="Calibri"/>
          <w:sz w:val="28"/>
          <w:szCs w:val="28"/>
        </w:rPr>
        <w:lastRenderedPageBreak/>
        <w:t>реално работили 24,25</w:t>
      </w:r>
      <w:r w:rsidR="006218D1">
        <w:rPr>
          <w:rFonts w:eastAsia="Calibri"/>
          <w:sz w:val="28"/>
          <w:szCs w:val="28"/>
        </w:rPr>
        <w:t>,</w:t>
      </w:r>
      <w:r w:rsidRPr="00943C1B">
        <w:rPr>
          <w:rFonts w:eastAsia="Calibri"/>
          <w:sz w:val="28"/>
          <w:szCs w:val="28"/>
        </w:rPr>
        <w:t xml:space="preserve"> през 2021 г. - 595 при реално работили 24,25 следователя. Процентното увеличение на наблюдаваните ДП е 8,04</w:t>
      </w:r>
      <w:r w:rsidR="00704100">
        <w:rPr>
          <w:rFonts w:eastAsia="Calibri"/>
          <w:sz w:val="28"/>
          <w:szCs w:val="28"/>
        </w:rPr>
        <w:t>%</w:t>
      </w:r>
      <w:r w:rsidRPr="00943C1B">
        <w:rPr>
          <w:rFonts w:eastAsia="Calibri"/>
          <w:sz w:val="28"/>
          <w:szCs w:val="28"/>
        </w:rPr>
        <w:t xml:space="preserve">  спрямо предходната 2022 г.</w:t>
      </w:r>
    </w:p>
    <w:p w:rsidR="007A7CE7" w:rsidRDefault="007A7CE7" w:rsidP="00943C1B">
      <w:pPr>
        <w:tabs>
          <w:tab w:val="left" w:pos="142"/>
        </w:tabs>
        <w:ind w:firstLine="709"/>
        <w:jc w:val="both"/>
        <w:rPr>
          <w:rFonts w:eastAsia="Calibri"/>
          <w:sz w:val="28"/>
          <w:szCs w:val="28"/>
        </w:rPr>
      </w:pPr>
      <w:r w:rsidRPr="00943C1B">
        <w:rPr>
          <w:rFonts w:eastAsia="Calibri"/>
          <w:sz w:val="28"/>
          <w:szCs w:val="28"/>
        </w:rPr>
        <w:t>От посочения общ брой дела 605 ДП през 2023 г. са водени срещу ИИ – 33 ДП, срещу НИ – 572 ДП, през 2022 г. от 560 ДП са водени</w:t>
      </w:r>
      <w:r>
        <w:rPr>
          <w:rFonts w:eastAsia="Calibri"/>
          <w:sz w:val="28"/>
          <w:szCs w:val="28"/>
        </w:rPr>
        <w:t xml:space="preserve"> 43 ДП срещу ИИ и 517 ДП срещу НИ, а през 2021 г. са водени 51 ДП срещу ИИ и срещу НИ – 544 ДП.</w:t>
      </w:r>
    </w:p>
    <w:p w:rsidR="007A7CE7" w:rsidRDefault="007A7CE7" w:rsidP="00943C1B">
      <w:pPr>
        <w:tabs>
          <w:tab w:val="left" w:pos="142"/>
        </w:tabs>
        <w:ind w:firstLine="709"/>
        <w:jc w:val="both"/>
        <w:rPr>
          <w:rFonts w:eastAsia="Calibri"/>
          <w:sz w:val="28"/>
          <w:szCs w:val="28"/>
        </w:rPr>
      </w:pPr>
      <w:r>
        <w:rPr>
          <w:rFonts w:eastAsia="Calibri"/>
          <w:sz w:val="28"/>
          <w:szCs w:val="28"/>
          <w:shd w:val="clear" w:color="auto" w:fill="FFFFFF" w:themeFill="background1"/>
        </w:rPr>
        <w:t>Останали неприключени досъдебни производства в края на периода 344, през 2022 г. са били 311 ДП, а през 2021 г. - 303 бр.</w:t>
      </w:r>
    </w:p>
    <w:p w:rsidR="007A7CE7" w:rsidRDefault="007A7CE7" w:rsidP="00943C1B">
      <w:pPr>
        <w:tabs>
          <w:tab w:val="left" w:pos="142"/>
        </w:tabs>
        <w:ind w:firstLine="709"/>
        <w:jc w:val="both"/>
        <w:rPr>
          <w:rFonts w:eastAsia="Calibri"/>
          <w:sz w:val="28"/>
          <w:szCs w:val="28"/>
          <w:shd w:val="clear" w:color="auto" w:fill="FFFFFF" w:themeFill="background1"/>
        </w:rPr>
      </w:pPr>
      <w:r>
        <w:rPr>
          <w:rFonts w:eastAsia="Calibri"/>
          <w:sz w:val="28"/>
          <w:szCs w:val="28"/>
          <w:shd w:val="clear" w:color="auto" w:fill="FFFFFF" w:themeFill="background1"/>
        </w:rPr>
        <w:t>Новообразувани ДП, възложени на основание чл. 194, ал.1, т</w:t>
      </w:r>
      <w:r w:rsidR="006218D1">
        <w:rPr>
          <w:rFonts w:eastAsia="Calibri"/>
          <w:sz w:val="28"/>
          <w:szCs w:val="28"/>
          <w:shd w:val="clear" w:color="auto" w:fill="FFFFFF" w:themeFill="background1"/>
          <w:lang w:val="en-US"/>
        </w:rPr>
        <w:t>.</w:t>
      </w:r>
      <w:r>
        <w:rPr>
          <w:rFonts w:eastAsia="Calibri"/>
          <w:sz w:val="28"/>
          <w:szCs w:val="28"/>
          <w:shd w:val="clear" w:color="auto" w:fill="FFFFFF" w:themeFill="background1"/>
        </w:rPr>
        <w:t>1, т.2 и т.3 от НПК –110, през 2022 г. - 79 ДП, през 2021 г. – 84 бр.</w:t>
      </w:r>
    </w:p>
    <w:p w:rsidR="007A7CE7" w:rsidRDefault="007A7CE7" w:rsidP="00943C1B">
      <w:pPr>
        <w:tabs>
          <w:tab w:val="left" w:pos="142"/>
        </w:tabs>
        <w:ind w:firstLine="709"/>
        <w:jc w:val="both"/>
        <w:rPr>
          <w:rFonts w:eastAsia="Calibri"/>
          <w:sz w:val="28"/>
          <w:szCs w:val="28"/>
        </w:rPr>
      </w:pPr>
      <w:r>
        <w:rPr>
          <w:rFonts w:eastAsia="Calibri"/>
          <w:sz w:val="28"/>
          <w:szCs w:val="28"/>
          <w:shd w:val="clear" w:color="auto" w:fill="FFFFFF" w:themeFill="background1"/>
        </w:rPr>
        <w:t>Новообразувани дела</w:t>
      </w:r>
      <w:r>
        <w:rPr>
          <w:rFonts w:eastAsia="Calibri"/>
          <w:sz w:val="28"/>
          <w:szCs w:val="28"/>
        </w:rPr>
        <w:t xml:space="preserve"> възложени по реда на чл. 194 ал.1, т.4 от НПК – 116 бр., през 2022 г. - 117 бр., през 2021 г. - 104 бр.</w:t>
      </w:r>
    </w:p>
    <w:p w:rsidR="007A7CE7" w:rsidRDefault="007A7CE7" w:rsidP="00943C1B">
      <w:pPr>
        <w:tabs>
          <w:tab w:val="left" w:pos="142"/>
        </w:tabs>
        <w:ind w:firstLine="709"/>
        <w:jc w:val="both"/>
        <w:rPr>
          <w:rFonts w:eastAsia="Calibri"/>
          <w:color w:val="FF0000"/>
          <w:sz w:val="28"/>
          <w:szCs w:val="28"/>
          <w:shd w:val="clear" w:color="auto" w:fill="FFFFFF" w:themeFill="background1"/>
          <w:lang w:val="en-US"/>
        </w:rPr>
      </w:pPr>
      <w:r>
        <w:rPr>
          <w:rFonts w:eastAsia="Calibri"/>
          <w:sz w:val="28"/>
          <w:szCs w:val="28"/>
          <w:shd w:val="clear" w:color="auto" w:fill="FFFFFF" w:themeFill="background1"/>
        </w:rPr>
        <w:t>Възобновени през 2023 г. – 89 ДП, през 2022 г. – 75 ДП, през 2021 г. – 93 бр.</w:t>
      </w:r>
    </w:p>
    <w:p w:rsidR="007A7CE7" w:rsidRDefault="007A7CE7" w:rsidP="00943C1B">
      <w:pPr>
        <w:tabs>
          <w:tab w:val="left" w:pos="142"/>
        </w:tabs>
        <w:ind w:firstLine="709"/>
        <w:jc w:val="both"/>
        <w:rPr>
          <w:sz w:val="28"/>
          <w:szCs w:val="28"/>
        </w:rPr>
      </w:pPr>
      <w:r>
        <w:rPr>
          <w:sz w:val="28"/>
          <w:szCs w:val="28"/>
        </w:rPr>
        <w:t>Броят на следствените поръчки, получени по делегация и разследвани през 2023 г. са 518 бр., през 2022 г. са 576 бр., през 2021 г. е 615 СП.</w:t>
      </w:r>
    </w:p>
    <w:p w:rsidR="007A7CE7" w:rsidRDefault="007A7CE7" w:rsidP="00943C1B">
      <w:pPr>
        <w:tabs>
          <w:tab w:val="left" w:pos="142"/>
        </w:tabs>
        <w:ind w:firstLine="709"/>
        <w:jc w:val="both"/>
        <w:rPr>
          <w:sz w:val="28"/>
          <w:szCs w:val="28"/>
        </w:rPr>
      </w:pPr>
      <w:r>
        <w:rPr>
          <w:sz w:val="28"/>
          <w:szCs w:val="28"/>
        </w:rPr>
        <w:t>Броят на международните поръчки през 2023 г. е 106 бр., през  2022 г. е 74 бр., през 2021 г. е 76 бр.</w:t>
      </w:r>
    </w:p>
    <w:p w:rsidR="007A7CE7" w:rsidRDefault="007A7CE7" w:rsidP="00943C1B">
      <w:pPr>
        <w:tabs>
          <w:tab w:val="left" w:pos="142"/>
        </w:tabs>
        <w:ind w:firstLine="709"/>
        <w:jc w:val="both"/>
        <w:rPr>
          <w:sz w:val="28"/>
          <w:szCs w:val="28"/>
        </w:rPr>
      </w:pPr>
      <w:r>
        <w:rPr>
          <w:sz w:val="28"/>
          <w:szCs w:val="28"/>
        </w:rPr>
        <w:t>Средногодишното натоварване на един следовател през 2023 г. е 21,50 ДП, през 2022 г. е било 23,09 ДП, през 2021 г. е 24,54 ДП.</w:t>
      </w:r>
    </w:p>
    <w:p w:rsidR="007A7CE7" w:rsidRDefault="007A7CE7" w:rsidP="00943C1B">
      <w:pPr>
        <w:tabs>
          <w:tab w:val="left" w:pos="142"/>
        </w:tabs>
        <w:ind w:firstLine="709"/>
        <w:jc w:val="both"/>
        <w:rPr>
          <w:sz w:val="28"/>
          <w:szCs w:val="28"/>
        </w:rPr>
      </w:pPr>
      <w:r>
        <w:rPr>
          <w:sz w:val="28"/>
          <w:szCs w:val="28"/>
        </w:rPr>
        <w:t>Почти всички следователи за равномерно натоварени, с изключение на тези, които в началото на отчетния период са имали на производство по-голям брой ДП и през годината са им били възобновени/върнати повече дела.</w:t>
      </w:r>
    </w:p>
    <w:p w:rsidR="007A7CE7" w:rsidRDefault="007A7CE7" w:rsidP="00943C1B">
      <w:pPr>
        <w:shd w:val="clear" w:color="auto" w:fill="FFFFFF" w:themeFill="background1"/>
        <w:tabs>
          <w:tab w:val="left" w:pos="142"/>
        </w:tabs>
        <w:ind w:firstLine="709"/>
        <w:jc w:val="both"/>
        <w:rPr>
          <w:rFonts w:eastAsia="Calibri"/>
          <w:sz w:val="28"/>
          <w:szCs w:val="28"/>
        </w:rPr>
      </w:pPr>
      <w:r>
        <w:rPr>
          <w:rFonts w:eastAsia="Calibri"/>
          <w:sz w:val="28"/>
          <w:szCs w:val="28"/>
        </w:rPr>
        <w:t xml:space="preserve">Предвид посочените данни за средната натовареност на следователите, може да се направи извод, че техния потенциал не е разгърнат в пълна степен и през следващия отчетен период следва да се работи в тази посока. </w:t>
      </w:r>
    </w:p>
    <w:p w:rsidR="007A7CE7" w:rsidRDefault="007A7CE7" w:rsidP="00943C1B">
      <w:pPr>
        <w:shd w:val="clear" w:color="auto" w:fill="FFFFFF" w:themeFill="background1"/>
        <w:tabs>
          <w:tab w:val="left" w:pos="142"/>
        </w:tabs>
        <w:ind w:firstLine="709"/>
        <w:jc w:val="both"/>
        <w:rPr>
          <w:rFonts w:eastAsia="Calibri"/>
          <w:sz w:val="28"/>
          <w:szCs w:val="28"/>
          <w:shd w:val="clear" w:color="auto" w:fill="FFFFFF" w:themeFill="background1"/>
        </w:rPr>
      </w:pPr>
      <w:r>
        <w:rPr>
          <w:rFonts w:eastAsia="Calibri"/>
          <w:sz w:val="28"/>
          <w:szCs w:val="28"/>
        </w:rPr>
        <w:t xml:space="preserve">По </w:t>
      </w:r>
      <w:r>
        <w:rPr>
          <w:rFonts w:eastAsia="Calibri"/>
          <w:sz w:val="28"/>
          <w:szCs w:val="28"/>
          <w:shd w:val="clear" w:color="auto" w:fill="FFFFFF" w:themeFill="background1"/>
        </w:rPr>
        <w:t xml:space="preserve">начин на приключване на ДП данните за ОСлО са следните: </w:t>
      </w:r>
    </w:p>
    <w:p w:rsidR="007A7CE7" w:rsidRDefault="007A7CE7" w:rsidP="000059A2">
      <w:pPr>
        <w:numPr>
          <w:ilvl w:val="0"/>
          <w:numId w:val="19"/>
        </w:numPr>
        <w:shd w:val="clear" w:color="auto" w:fill="FFFFFF" w:themeFill="background1"/>
        <w:tabs>
          <w:tab w:val="left" w:pos="142"/>
        </w:tabs>
        <w:ind w:left="0" w:firstLine="709"/>
        <w:contextualSpacing/>
        <w:jc w:val="both"/>
        <w:rPr>
          <w:rFonts w:eastAsia="Calibri"/>
          <w:sz w:val="28"/>
          <w:szCs w:val="28"/>
          <w:shd w:val="clear" w:color="auto" w:fill="FFFFFF" w:themeFill="background1"/>
        </w:rPr>
      </w:pPr>
      <w:r>
        <w:rPr>
          <w:rFonts w:eastAsia="Calibri"/>
          <w:sz w:val="28"/>
          <w:szCs w:val="28"/>
          <w:shd w:val="clear" w:color="auto" w:fill="FFFFFF" w:themeFill="background1"/>
        </w:rPr>
        <w:t>общо решени от следовател за 2023 г. са 292 ДП, през 2022 г. са 249 ДП, през 2021 г. са 292 бр.</w:t>
      </w:r>
    </w:p>
    <w:p w:rsidR="007A7CE7" w:rsidRDefault="007A7CE7" w:rsidP="000059A2">
      <w:pPr>
        <w:numPr>
          <w:ilvl w:val="0"/>
          <w:numId w:val="19"/>
        </w:numPr>
        <w:shd w:val="clear" w:color="auto" w:fill="FFFFFF" w:themeFill="background1"/>
        <w:tabs>
          <w:tab w:val="left" w:pos="142"/>
        </w:tabs>
        <w:ind w:left="0" w:firstLine="709"/>
        <w:contextualSpacing/>
        <w:jc w:val="both"/>
        <w:rPr>
          <w:rFonts w:eastAsia="Calibri"/>
          <w:sz w:val="28"/>
          <w:szCs w:val="28"/>
          <w:shd w:val="clear" w:color="auto" w:fill="FFFFFF" w:themeFill="background1"/>
        </w:rPr>
      </w:pPr>
      <w:r>
        <w:rPr>
          <w:rFonts w:eastAsia="Calibri"/>
          <w:sz w:val="28"/>
          <w:szCs w:val="28"/>
          <w:shd w:val="clear" w:color="auto" w:fill="FFFFFF" w:themeFill="background1"/>
        </w:rPr>
        <w:t>с мнение за съд през 2023 г. са 44 ДП, през 2022 г. са 44 ДП, през 2021 г. – 56 ДП.</w:t>
      </w:r>
    </w:p>
    <w:p w:rsidR="007A7CE7" w:rsidRDefault="007A7CE7" w:rsidP="000059A2">
      <w:pPr>
        <w:numPr>
          <w:ilvl w:val="0"/>
          <w:numId w:val="19"/>
        </w:numPr>
        <w:shd w:val="clear" w:color="auto" w:fill="FFFFFF" w:themeFill="background1"/>
        <w:tabs>
          <w:tab w:val="left" w:pos="142"/>
        </w:tabs>
        <w:ind w:left="0" w:firstLine="709"/>
        <w:contextualSpacing/>
        <w:jc w:val="both"/>
        <w:rPr>
          <w:rFonts w:eastAsia="Calibri"/>
          <w:sz w:val="28"/>
          <w:szCs w:val="28"/>
          <w:shd w:val="clear" w:color="auto" w:fill="FFFFFF" w:themeFill="background1"/>
        </w:rPr>
      </w:pPr>
      <w:r>
        <w:rPr>
          <w:rFonts w:eastAsia="Calibri"/>
          <w:sz w:val="28"/>
          <w:szCs w:val="28"/>
          <w:shd w:val="clear" w:color="auto" w:fill="FFFFFF" w:themeFill="background1"/>
        </w:rPr>
        <w:t>с мнение за прекратяване през 2023 г. са 137, през 2022 г. са 104, през 2021 г. са 132 ДП.</w:t>
      </w:r>
    </w:p>
    <w:p w:rsidR="007A7CE7" w:rsidRDefault="007A7CE7" w:rsidP="000059A2">
      <w:pPr>
        <w:numPr>
          <w:ilvl w:val="0"/>
          <w:numId w:val="19"/>
        </w:numPr>
        <w:shd w:val="clear" w:color="auto" w:fill="FFFFFF" w:themeFill="background1"/>
        <w:tabs>
          <w:tab w:val="left" w:pos="142"/>
        </w:tabs>
        <w:ind w:left="0" w:firstLine="709"/>
        <w:contextualSpacing/>
        <w:jc w:val="both"/>
        <w:rPr>
          <w:rFonts w:eastAsia="Calibri"/>
          <w:sz w:val="28"/>
          <w:szCs w:val="28"/>
          <w:shd w:val="clear" w:color="auto" w:fill="FFFFFF" w:themeFill="background1"/>
        </w:rPr>
      </w:pPr>
      <w:r>
        <w:rPr>
          <w:rFonts w:eastAsia="Calibri"/>
          <w:sz w:val="28"/>
          <w:szCs w:val="28"/>
          <w:shd w:val="clear" w:color="auto" w:fill="FFFFFF" w:themeFill="background1"/>
        </w:rPr>
        <w:t>с мнение за спиране през 2023 г. са 62 ДП, през 2022 г. са 80 ДП, през 2021 г. са 83 ДП.</w:t>
      </w:r>
    </w:p>
    <w:p w:rsidR="007A7CE7" w:rsidRDefault="007A7CE7" w:rsidP="00943C1B">
      <w:pPr>
        <w:shd w:val="clear" w:color="auto" w:fill="FFFFFF" w:themeFill="background1"/>
        <w:tabs>
          <w:tab w:val="left" w:pos="142"/>
        </w:tabs>
        <w:ind w:firstLine="709"/>
        <w:jc w:val="both"/>
        <w:rPr>
          <w:rFonts w:eastAsia="Calibri"/>
          <w:sz w:val="28"/>
          <w:szCs w:val="28"/>
        </w:rPr>
      </w:pPr>
      <w:r>
        <w:rPr>
          <w:rFonts w:eastAsia="Calibri"/>
          <w:sz w:val="28"/>
          <w:szCs w:val="28"/>
        </w:rPr>
        <w:t xml:space="preserve">Анализът на тези данни показва запазване на броя на делата изпратени с мнение за съд спрямо предходния отчетен период. Намалял е броят на досъдебните производства с мнение за спиране срещу НИ. </w:t>
      </w:r>
    </w:p>
    <w:p w:rsidR="007A7CE7" w:rsidRDefault="007A7CE7" w:rsidP="00943C1B">
      <w:pPr>
        <w:tabs>
          <w:tab w:val="left" w:pos="142"/>
        </w:tabs>
        <w:ind w:firstLine="709"/>
        <w:jc w:val="both"/>
        <w:rPr>
          <w:b/>
          <w:sz w:val="28"/>
          <w:szCs w:val="28"/>
        </w:rPr>
      </w:pPr>
    </w:p>
    <w:p w:rsidR="007A7CE7" w:rsidRDefault="007A7CE7" w:rsidP="000059A2">
      <w:pPr>
        <w:pStyle w:val="13"/>
        <w:numPr>
          <w:ilvl w:val="0"/>
          <w:numId w:val="2"/>
        </w:numPr>
        <w:tabs>
          <w:tab w:val="left" w:pos="142"/>
          <w:tab w:val="left" w:pos="1374"/>
        </w:tabs>
        <w:spacing w:after="0" w:line="240" w:lineRule="auto"/>
        <w:ind w:left="0" w:firstLine="709"/>
        <w:contextualSpacing/>
        <w:jc w:val="both"/>
        <w:rPr>
          <w:rStyle w:val="afb"/>
          <w:i w:val="0"/>
          <w:color w:val="5F497A" w:themeColor="accent4" w:themeShade="BF"/>
        </w:rPr>
      </w:pPr>
      <w:r>
        <w:rPr>
          <w:rStyle w:val="afb"/>
          <w:color w:val="5F497A" w:themeColor="accent4" w:themeShade="BF"/>
          <w:sz w:val="28"/>
          <w:szCs w:val="28"/>
        </w:rPr>
        <w:t>Необходими мерки и законодателни промени.</w:t>
      </w:r>
    </w:p>
    <w:p w:rsidR="007A7CE7" w:rsidRPr="00943C1B" w:rsidRDefault="007A7CE7" w:rsidP="00943C1B">
      <w:pPr>
        <w:tabs>
          <w:tab w:val="left" w:pos="142"/>
        </w:tabs>
        <w:ind w:firstLine="709"/>
        <w:jc w:val="both"/>
        <w:rPr>
          <w:sz w:val="28"/>
          <w:szCs w:val="28"/>
        </w:rPr>
      </w:pPr>
      <w:r>
        <w:rPr>
          <w:sz w:val="28"/>
          <w:szCs w:val="28"/>
        </w:rPr>
        <w:t xml:space="preserve">С оглед непосредствените проблеми, с които магистратите в района на ОП – Варна са се сблъскали, считаме, че предложените по долу конкретни предложения за законодателни промени ще спомогнат за </w:t>
      </w:r>
      <w:r>
        <w:rPr>
          <w:b/>
          <w:sz w:val="28"/>
          <w:szCs w:val="28"/>
        </w:rPr>
        <w:t xml:space="preserve"> </w:t>
      </w:r>
      <w:r>
        <w:rPr>
          <w:sz w:val="28"/>
          <w:szCs w:val="28"/>
        </w:rPr>
        <w:t xml:space="preserve">синхронизиране с особеностите на бързо развиващата се и „модернизираща“ се престъпност, </w:t>
      </w:r>
      <w:r>
        <w:rPr>
          <w:sz w:val="28"/>
          <w:szCs w:val="28"/>
        </w:rPr>
        <w:lastRenderedPageBreak/>
        <w:t xml:space="preserve">отпадане на изключителния формализъм, с който се отличава наказателния </w:t>
      </w:r>
      <w:r w:rsidRPr="00943C1B">
        <w:rPr>
          <w:sz w:val="28"/>
          <w:szCs w:val="28"/>
        </w:rPr>
        <w:t xml:space="preserve">процес(което често е пречка за предприемане на бързи и адекватни мерки за осъществяване на бързо и качествено разследване) и ще помогнат за по- качественото и срочно разследване, което е и основната цел на прокурорската дейност. </w:t>
      </w:r>
    </w:p>
    <w:p w:rsidR="007A7CE7" w:rsidRPr="00943C1B" w:rsidRDefault="007A7CE7" w:rsidP="00943C1B">
      <w:pPr>
        <w:tabs>
          <w:tab w:val="left" w:pos="142"/>
        </w:tabs>
        <w:ind w:firstLine="709"/>
        <w:jc w:val="both"/>
        <w:rPr>
          <w:sz w:val="28"/>
          <w:szCs w:val="28"/>
        </w:rPr>
      </w:pPr>
      <w:r w:rsidRPr="00943C1B">
        <w:rPr>
          <w:sz w:val="28"/>
          <w:szCs w:val="28"/>
        </w:rPr>
        <w:t xml:space="preserve">В потвърждение на предложенията за необходими промени с оглед подобряване на </w:t>
      </w:r>
      <w:proofErr w:type="spellStart"/>
      <w:r w:rsidRPr="00943C1B">
        <w:rPr>
          <w:sz w:val="28"/>
          <w:szCs w:val="28"/>
        </w:rPr>
        <w:t>ефектичността</w:t>
      </w:r>
      <w:proofErr w:type="spellEnd"/>
      <w:r w:rsidRPr="00943C1B">
        <w:rPr>
          <w:sz w:val="28"/>
          <w:szCs w:val="28"/>
        </w:rPr>
        <w:t xml:space="preserve"> на дейността ни считаме, че тя следва да продължи в следните направления:</w:t>
      </w:r>
    </w:p>
    <w:p w:rsidR="007A7CE7" w:rsidRPr="00943C1B" w:rsidRDefault="007A7CE7" w:rsidP="00943C1B">
      <w:pPr>
        <w:tabs>
          <w:tab w:val="left" w:pos="142"/>
        </w:tabs>
        <w:ind w:firstLine="709"/>
        <w:jc w:val="both"/>
        <w:rPr>
          <w:sz w:val="28"/>
          <w:szCs w:val="28"/>
        </w:rPr>
      </w:pPr>
      <w:r w:rsidRPr="00943C1B">
        <w:rPr>
          <w:sz w:val="28"/>
          <w:szCs w:val="28"/>
        </w:rPr>
        <w:t xml:space="preserve">-с  оглед качественото и срочно решаване на делата следва да се вземат мерки за подобряване на комуникацията между оперативните служители и разследващите полицаи, решаване на проблема с кадровата обезпеченост на разследващите полицаи и разширяване на обхвата на работа между структурите на ГД БОП и териториалните прокуратури, задълбочаване на личния контакт;  </w:t>
      </w:r>
    </w:p>
    <w:p w:rsidR="007A7CE7" w:rsidRPr="00943C1B" w:rsidRDefault="007A7CE7" w:rsidP="000059A2">
      <w:pPr>
        <w:numPr>
          <w:ilvl w:val="0"/>
          <w:numId w:val="19"/>
        </w:numPr>
        <w:tabs>
          <w:tab w:val="left" w:pos="142"/>
        </w:tabs>
        <w:ind w:left="0" w:firstLine="709"/>
        <w:contextualSpacing/>
        <w:jc w:val="both"/>
        <w:rPr>
          <w:sz w:val="28"/>
          <w:szCs w:val="28"/>
        </w:rPr>
      </w:pPr>
      <w:r w:rsidRPr="00943C1B">
        <w:rPr>
          <w:sz w:val="28"/>
          <w:szCs w:val="28"/>
        </w:rPr>
        <w:t xml:space="preserve"> законодателни промени, които да засегнат ефективното изпълнение на наказанието „глоба”, тъй като в повечето случаи наказанието се налага, но реално не може да бъде изпълнено;</w:t>
      </w:r>
    </w:p>
    <w:p w:rsidR="007A7CE7" w:rsidRPr="00943C1B" w:rsidRDefault="007A7CE7" w:rsidP="000059A2">
      <w:pPr>
        <w:numPr>
          <w:ilvl w:val="0"/>
          <w:numId w:val="19"/>
        </w:numPr>
        <w:tabs>
          <w:tab w:val="left" w:pos="142"/>
        </w:tabs>
        <w:ind w:left="0" w:firstLine="709"/>
        <w:contextualSpacing/>
        <w:jc w:val="both"/>
        <w:rPr>
          <w:sz w:val="28"/>
          <w:szCs w:val="28"/>
        </w:rPr>
      </w:pPr>
      <w:r w:rsidRPr="00943C1B">
        <w:rPr>
          <w:sz w:val="28"/>
          <w:szCs w:val="28"/>
        </w:rPr>
        <w:t>с оглед зачестили случаи на т. нар. „дребни кражби“, чиято стойност на отнетите вещи</w:t>
      </w:r>
      <w:r>
        <w:rPr>
          <w:sz w:val="28"/>
          <w:szCs w:val="28"/>
        </w:rPr>
        <w:t xml:space="preserve"> е под размера на две минимални работни заплати,</w:t>
      </w:r>
      <w:r w:rsidRPr="00943C1B">
        <w:rPr>
          <w:sz w:val="28"/>
          <w:szCs w:val="28"/>
        </w:rPr>
        <w:t xml:space="preserve"> </w:t>
      </w:r>
      <w:r>
        <w:rPr>
          <w:sz w:val="28"/>
          <w:szCs w:val="28"/>
        </w:rPr>
        <w:t xml:space="preserve">но самото деяние осъществява някои от квалифициращите признаци, визирани в чл.195 ал.1 от НК, следва да се  разшири  приложното поле на чл.218б от НК, като се  избегне несправедливото от гледна точка на </w:t>
      </w:r>
      <w:r w:rsidRPr="00943C1B">
        <w:rPr>
          <w:sz w:val="28"/>
          <w:szCs w:val="28"/>
        </w:rPr>
        <w:t xml:space="preserve">пострадалите приложение на чл.9 ал.2 от НК, както и ще допринесе до уеднаквяване на практиката на отделните магистрати при решаване на казусите с аналогично съдържание;   </w:t>
      </w:r>
    </w:p>
    <w:p w:rsidR="007A7CE7" w:rsidRPr="00943C1B" w:rsidRDefault="007A7CE7" w:rsidP="000059A2">
      <w:pPr>
        <w:numPr>
          <w:ilvl w:val="0"/>
          <w:numId w:val="19"/>
        </w:numPr>
        <w:tabs>
          <w:tab w:val="left" w:pos="142"/>
        </w:tabs>
        <w:ind w:left="0" w:firstLine="709"/>
        <w:contextualSpacing/>
        <w:jc w:val="both"/>
        <w:rPr>
          <w:sz w:val="28"/>
          <w:szCs w:val="28"/>
        </w:rPr>
      </w:pPr>
      <w:r w:rsidRPr="00943C1B">
        <w:rPr>
          <w:sz w:val="28"/>
          <w:szCs w:val="28"/>
        </w:rPr>
        <w:t xml:space="preserve">с оглед по-лесното доказване, би могло да се помисли за </w:t>
      </w:r>
      <w:proofErr w:type="spellStart"/>
      <w:r w:rsidRPr="00943C1B">
        <w:rPr>
          <w:sz w:val="28"/>
          <w:szCs w:val="28"/>
        </w:rPr>
        <w:t>декриминализиране</w:t>
      </w:r>
      <w:proofErr w:type="spellEnd"/>
      <w:r w:rsidRPr="00943C1B">
        <w:rPr>
          <w:sz w:val="28"/>
          <w:szCs w:val="28"/>
        </w:rPr>
        <w:t xml:space="preserve"> на провокацията към подкуп по чл. 307 НК, отпадане на специалната цел по чл.282 ал.1 от НК;</w:t>
      </w:r>
    </w:p>
    <w:p w:rsidR="007A7CE7" w:rsidRPr="00943C1B" w:rsidRDefault="007A7CE7" w:rsidP="000059A2">
      <w:pPr>
        <w:numPr>
          <w:ilvl w:val="0"/>
          <w:numId w:val="19"/>
        </w:numPr>
        <w:tabs>
          <w:tab w:val="left" w:pos="142"/>
        </w:tabs>
        <w:ind w:left="0" w:firstLine="709"/>
        <w:contextualSpacing/>
        <w:jc w:val="both"/>
        <w:rPr>
          <w:sz w:val="28"/>
          <w:szCs w:val="28"/>
        </w:rPr>
      </w:pPr>
      <w:r w:rsidRPr="00943C1B">
        <w:rPr>
          <w:sz w:val="28"/>
          <w:szCs w:val="28"/>
        </w:rPr>
        <w:t xml:space="preserve"> с оглед избягване на неоснователното в някои случаи на образуване на досъдебни производства, да се увеличи срока за извършване на проверките по ЗСВ, като същият да има възможност за увеличаване до 6 месеца.  </w:t>
      </w:r>
    </w:p>
    <w:p w:rsidR="007A7CE7" w:rsidRPr="00943C1B" w:rsidRDefault="007A7CE7" w:rsidP="000059A2">
      <w:pPr>
        <w:numPr>
          <w:ilvl w:val="0"/>
          <w:numId w:val="19"/>
        </w:numPr>
        <w:tabs>
          <w:tab w:val="left" w:pos="142"/>
        </w:tabs>
        <w:ind w:left="0" w:firstLine="709"/>
        <w:contextualSpacing/>
        <w:jc w:val="both"/>
        <w:rPr>
          <w:sz w:val="28"/>
          <w:szCs w:val="28"/>
        </w:rPr>
      </w:pPr>
      <w:r w:rsidRPr="00943C1B">
        <w:rPr>
          <w:sz w:val="28"/>
          <w:szCs w:val="28"/>
        </w:rPr>
        <w:t xml:space="preserve">смятаме, че е крайно наложително и обявяването на някои по-леко наказуеми деяния за „простъпки“ и въвеждане на опростен процес за тяхното разглеждане, доколкото санкциите биха имали административно-наказателен характер. </w:t>
      </w:r>
    </w:p>
    <w:p w:rsidR="00F67F61" w:rsidRPr="00943C1B" w:rsidRDefault="00F67F61" w:rsidP="00943C1B">
      <w:pPr>
        <w:pStyle w:val="13"/>
        <w:tabs>
          <w:tab w:val="left" w:pos="142"/>
          <w:tab w:val="left" w:pos="1374"/>
        </w:tabs>
        <w:spacing w:after="0" w:line="240" w:lineRule="auto"/>
        <w:ind w:firstLine="709"/>
        <w:contextualSpacing/>
        <w:jc w:val="both"/>
        <w:rPr>
          <w:rStyle w:val="afb"/>
          <w:b w:val="0"/>
          <w:i w:val="0"/>
          <w:color w:val="5F497A" w:themeColor="accent4" w:themeShade="BF"/>
          <w:sz w:val="28"/>
          <w:szCs w:val="28"/>
        </w:rPr>
      </w:pPr>
    </w:p>
    <w:p w:rsidR="00F67F61" w:rsidRPr="00943C1B" w:rsidRDefault="00F67F61" w:rsidP="00943C1B">
      <w:pPr>
        <w:pStyle w:val="13"/>
        <w:tabs>
          <w:tab w:val="left" w:pos="142"/>
          <w:tab w:val="left" w:pos="1374"/>
        </w:tabs>
        <w:spacing w:after="0" w:line="240" w:lineRule="auto"/>
        <w:ind w:firstLine="709"/>
        <w:contextualSpacing/>
        <w:jc w:val="both"/>
        <w:rPr>
          <w:rStyle w:val="afb"/>
          <w:b w:val="0"/>
          <w:i w:val="0"/>
          <w:color w:val="5F497A" w:themeColor="accent4" w:themeShade="BF"/>
          <w:sz w:val="28"/>
          <w:szCs w:val="28"/>
          <w:lang w:val="en-US"/>
        </w:rPr>
      </w:pPr>
    </w:p>
    <w:p w:rsidR="00DF484C" w:rsidRPr="00943C1B" w:rsidRDefault="00DF484C" w:rsidP="00943C1B">
      <w:pPr>
        <w:pStyle w:val="13"/>
        <w:tabs>
          <w:tab w:val="left" w:pos="142"/>
          <w:tab w:val="left" w:pos="1374"/>
        </w:tabs>
        <w:spacing w:after="0" w:line="240" w:lineRule="auto"/>
        <w:ind w:firstLine="709"/>
        <w:contextualSpacing/>
        <w:jc w:val="both"/>
        <w:rPr>
          <w:rStyle w:val="afb"/>
          <w:b w:val="0"/>
          <w:i w:val="0"/>
          <w:color w:val="5F497A" w:themeColor="accent4" w:themeShade="BF"/>
          <w:sz w:val="28"/>
          <w:szCs w:val="28"/>
          <w:lang w:val="en-US"/>
        </w:rPr>
      </w:pPr>
    </w:p>
    <w:p w:rsidR="00F67F61" w:rsidRPr="00943C1B" w:rsidRDefault="00F67F61" w:rsidP="00943C1B">
      <w:pPr>
        <w:pStyle w:val="13"/>
        <w:tabs>
          <w:tab w:val="left" w:pos="142"/>
          <w:tab w:val="left" w:pos="1374"/>
        </w:tabs>
        <w:spacing w:after="0" w:line="240" w:lineRule="auto"/>
        <w:ind w:firstLine="709"/>
        <w:contextualSpacing/>
        <w:jc w:val="both"/>
        <w:rPr>
          <w:rStyle w:val="afb"/>
          <w:b w:val="0"/>
          <w:i w:val="0"/>
          <w:color w:val="5F497A" w:themeColor="accent4" w:themeShade="BF"/>
          <w:sz w:val="28"/>
          <w:szCs w:val="28"/>
        </w:rPr>
      </w:pPr>
    </w:p>
    <w:p w:rsidR="00F67F61" w:rsidRDefault="00F67F61" w:rsidP="00943C1B">
      <w:pPr>
        <w:tabs>
          <w:tab w:val="left" w:pos="142"/>
        </w:tabs>
        <w:ind w:firstLine="709"/>
        <w:jc w:val="center"/>
        <w:rPr>
          <w:sz w:val="28"/>
          <w:szCs w:val="28"/>
          <w:lang w:val="en-US"/>
        </w:rPr>
      </w:pPr>
    </w:p>
    <w:p w:rsidR="00943C1B" w:rsidRPr="00943C1B" w:rsidRDefault="00943C1B" w:rsidP="00943C1B">
      <w:pPr>
        <w:tabs>
          <w:tab w:val="left" w:pos="142"/>
        </w:tabs>
        <w:ind w:firstLine="709"/>
        <w:jc w:val="center"/>
        <w:rPr>
          <w:sz w:val="28"/>
          <w:szCs w:val="28"/>
          <w:lang w:val="en-US"/>
        </w:rPr>
      </w:pPr>
    </w:p>
    <w:p w:rsidR="00126A89" w:rsidRPr="00943C1B" w:rsidRDefault="00126A89" w:rsidP="00943C1B">
      <w:pPr>
        <w:tabs>
          <w:tab w:val="left" w:pos="142"/>
        </w:tabs>
        <w:ind w:firstLine="709"/>
        <w:jc w:val="center"/>
        <w:rPr>
          <w:sz w:val="28"/>
          <w:szCs w:val="28"/>
          <w:lang w:val="en-US"/>
        </w:rPr>
      </w:pPr>
    </w:p>
    <w:p w:rsidR="00126A89" w:rsidRPr="00943C1B" w:rsidRDefault="00126A89" w:rsidP="00943C1B">
      <w:pPr>
        <w:tabs>
          <w:tab w:val="left" w:pos="142"/>
        </w:tabs>
        <w:ind w:firstLine="709"/>
        <w:jc w:val="center"/>
        <w:rPr>
          <w:sz w:val="28"/>
          <w:szCs w:val="28"/>
          <w:lang w:val="en-US"/>
        </w:rPr>
      </w:pPr>
    </w:p>
    <w:p w:rsidR="00126A89" w:rsidRPr="00943C1B" w:rsidRDefault="00126A89" w:rsidP="00943C1B">
      <w:pPr>
        <w:tabs>
          <w:tab w:val="left" w:pos="142"/>
        </w:tabs>
        <w:ind w:firstLine="709"/>
        <w:jc w:val="center"/>
        <w:rPr>
          <w:sz w:val="28"/>
          <w:szCs w:val="28"/>
          <w:lang w:val="en-US"/>
        </w:rPr>
      </w:pPr>
    </w:p>
    <w:p w:rsidR="00126A89" w:rsidRPr="00943C1B" w:rsidRDefault="00126A89" w:rsidP="00943C1B">
      <w:pPr>
        <w:tabs>
          <w:tab w:val="left" w:pos="142"/>
        </w:tabs>
        <w:ind w:firstLine="709"/>
        <w:jc w:val="center"/>
        <w:rPr>
          <w:sz w:val="28"/>
          <w:szCs w:val="28"/>
          <w:lang w:val="en-US"/>
        </w:rPr>
      </w:pPr>
    </w:p>
    <w:p w:rsidR="00E75FDC" w:rsidRPr="00943C1B" w:rsidRDefault="00E75FDC" w:rsidP="00943C1B">
      <w:pPr>
        <w:tabs>
          <w:tab w:val="left" w:pos="142"/>
        </w:tabs>
        <w:ind w:firstLine="709"/>
        <w:jc w:val="center"/>
        <w:rPr>
          <w:sz w:val="28"/>
          <w:szCs w:val="28"/>
          <w:lang w:val="en-US"/>
        </w:rPr>
      </w:pPr>
    </w:p>
    <w:p w:rsidR="007A7CE7" w:rsidRPr="00943C1B" w:rsidRDefault="007A7CE7" w:rsidP="00943C1B">
      <w:pPr>
        <w:tabs>
          <w:tab w:val="left" w:pos="142"/>
        </w:tabs>
        <w:ind w:firstLine="709"/>
        <w:jc w:val="center"/>
        <w:rPr>
          <w:b/>
          <w:bCs/>
          <w:sz w:val="28"/>
          <w:szCs w:val="28"/>
          <w:lang w:val="en-US"/>
        </w:rPr>
      </w:pPr>
    </w:p>
    <w:p w:rsidR="00E75FDC" w:rsidRPr="00943C1B" w:rsidRDefault="00E75FDC" w:rsidP="00943C1B">
      <w:pPr>
        <w:tabs>
          <w:tab w:val="left" w:pos="142"/>
        </w:tabs>
        <w:ind w:firstLine="709"/>
        <w:jc w:val="center"/>
        <w:rPr>
          <w:b/>
          <w:bCs/>
          <w:sz w:val="28"/>
          <w:szCs w:val="28"/>
        </w:rPr>
      </w:pPr>
      <w:r w:rsidRPr="00943C1B">
        <w:rPr>
          <w:b/>
          <w:bCs/>
          <w:sz w:val="28"/>
          <w:szCs w:val="28"/>
        </w:rPr>
        <w:lastRenderedPageBreak/>
        <w:t xml:space="preserve">Д О К Л А Д </w:t>
      </w:r>
    </w:p>
    <w:p w:rsidR="00E75FDC" w:rsidRPr="00943C1B" w:rsidRDefault="00E75FDC" w:rsidP="00943C1B">
      <w:pPr>
        <w:tabs>
          <w:tab w:val="left" w:pos="142"/>
        </w:tabs>
        <w:ind w:firstLine="709"/>
        <w:jc w:val="center"/>
        <w:rPr>
          <w:b/>
          <w:bCs/>
          <w:sz w:val="28"/>
          <w:szCs w:val="28"/>
        </w:rPr>
      </w:pPr>
      <w:r w:rsidRPr="00943C1B">
        <w:rPr>
          <w:b/>
          <w:bCs/>
          <w:sz w:val="28"/>
          <w:szCs w:val="28"/>
        </w:rPr>
        <w:t>ЗА ДЕЙНОСТТА НА ОКРЪЖЕН СЛЕДСТВЕН ОТДЕЛ В ОКРЪЖНА ПРОКУРАТУРА – ВАРНА</w:t>
      </w:r>
    </w:p>
    <w:p w:rsidR="00E75FDC" w:rsidRPr="00943C1B" w:rsidRDefault="00E75FDC" w:rsidP="00943C1B">
      <w:pPr>
        <w:tabs>
          <w:tab w:val="left" w:pos="142"/>
        </w:tabs>
        <w:ind w:firstLine="709"/>
        <w:jc w:val="center"/>
        <w:rPr>
          <w:b/>
          <w:bCs/>
          <w:sz w:val="28"/>
          <w:szCs w:val="28"/>
        </w:rPr>
      </w:pPr>
    </w:p>
    <w:p w:rsidR="00E75FDC" w:rsidRPr="00943C1B" w:rsidRDefault="00E75FDC" w:rsidP="00943C1B">
      <w:pPr>
        <w:tabs>
          <w:tab w:val="left" w:pos="142"/>
        </w:tabs>
        <w:ind w:firstLine="709"/>
        <w:jc w:val="both"/>
        <w:rPr>
          <w:sz w:val="28"/>
          <w:szCs w:val="28"/>
        </w:rPr>
      </w:pPr>
      <w:r w:rsidRPr="00943C1B">
        <w:rPr>
          <w:sz w:val="28"/>
          <w:szCs w:val="28"/>
        </w:rPr>
        <w:t xml:space="preserve">През 2023 г. в ОСлО – ОП – Варна  са разследвани 605 ДП ( при реално работили 21,50 следователи), от тях срещу ИИ – </w:t>
      </w:r>
      <w:r w:rsidRPr="00943C1B">
        <w:rPr>
          <w:sz w:val="28"/>
          <w:szCs w:val="28"/>
          <w:lang w:val="en-US"/>
        </w:rPr>
        <w:t xml:space="preserve">33 </w:t>
      </w:r>
      <w:r w:rsidRPr="00943C1B">
        <w:rPr>
          <w:sz w:val="28"/>
          <w:szCs w:val="28"/>
        </w:rPr>
        <w:t xml:space="preserve">ДП, срещу НИ – </w:t>
      </w:r>
      <w:r w:rsidRPr="00943C1B">
        <w:rPr>
          <w:sz w:val="28"/>
          <w:szCs w:val="28"/>
          <w:lang w:val="en-US"/>
        </w:rPr>
        <w:t>572</w:t>
      </w:r>
      <w:r w:rsidRPr="00943C1B">
        <w:rPr>
          <w:sz w:val="28"/>
          <w:szCs w:val="28"/>
        </w:rPr>
        <w:t xml:space="preserve"> ДП, през 2022 г.  – 560 ДП ( при реално работили 24,25 следователи), и през 2021 г. –  595 ДП (при реално работили 24,25 следователи). </w:t>
      </w:r>
    </w:p>
    <w:p w:rsidR="00E75FDC" w:rsidRPr="00943C1B" w:rsidRDefault="00E75FDC" w:rsidP="00943C1B">
      <w:pPr>
        <w:tabs>
          <w:tab w:val="left" w:pos="142"/>
        </w:tabs>
        <w:ind w:firstLine="709"/>
        <w:jc w:val="both"/>
        <w:rPr>
          <w:sz w:val="28"/>
          <w:szCs w:val="28"/>
        </w:rPr>
      </w:pPr>
      <w:r w:rsidRPr="00943C1B">
        <w:rPr>
          <w:sz w:val="28"/>
          <w:szCs w:val="28"/>
        </w:rPr>
        <w:t xml:space="preserve">Досъдебните производства, разследвани на основание чл.194 ал.1 т.1, 2 и 3 от НПК през 2023 г. са общо 110 бр., като 18 ДП от тях са в резултат на  установяване на обстоятелствата, визирани в чл. 194 ал.1 т. 1, 2 и 3 от НПК. На основание чл. 194 ал.1 т. 4 от НПК са ни възложени 116 ДП, от които 68 ДП като нови и 48  ДП, като </w:t>
      </w:r>
      <w:proofErr w:type="spellStart"/>
      <w:r w:rsidRPr="00943C1B">
        <w:rPr>
          <w:sz w:val="28"/>
          <w:szCs w:val="28"/>
        </w:rPr>
        <w:t>превъзложени</w:t>
      </w:r>
      <w:proofErr w:type="spellEnd"/>
      <w:r w:rsidRPr="00943C1B">
        <w:rPr>
          <w:sz w:val="28"/>
          <w:szCs w:val="28"/>
        </w:rPr>
        <w:t xml:space="preserve"> от МВР. </w:t>
      </w:r>
    </w:p>
    <w:p w:rsidR="00E75FDC" w:rsidRPr="00943C1B" w:rsidRDefault="00E75FDC" w:rsidP="00943C1B">
      <w:pPr>
        <w:tabs>
          <w:tab w:val="left" w:pos="142"/>
        </w:tabs>
        <w:ind w:firstLine="709"/>
        <w:jc w:val="both"/>
        <w:rPr>
          <w:sz w:val="28"/>
          <w:szCs w:val="28"/>
        </w:rPr>
      </w:pPr>
      <w:r w:rsidRPr="00943C1B">
        <w:rPr>
          <w:sz w:val="28"/>
          <w:szCs w:val="28"/>
        </w:rPr>
        <w:t xml:space="preserve">Досъдебните производства, разследвани на основание чл.194 ал.1 т.1, 2 и 3 от НПК през 2022 г. са общо 79 бр., като 14 ДП от тях са в резултат на  установяване на обстоятелствата, визирани в чл. 194 ал.1 т. 1, 2 и 3 от НПК. На основание чл. 194 ал.1 т. 4 от НПК са ни възложени 117 ДП, от които 49 ДП като нови и 68  ДП, като </w:t>
      </w:r>
      <w:proofErr w:type="spellStart"/>
      <w:r w:rsidRPr="00943C1B">
        <w:rPr>
          <w:sz w:val="28"/>
          <w:szCs w:val="28"/>
        </w:rPr>
        <w:t>превъзложени</w:t>
      </w:r>
      <w:proofErr w:type="spellEnd"/>
      <w:r w:rsidRPr="00943C1B">
        <w:rPr>
          <w:sz w:val="28"/>
          <w:szCs w:val="28"/>
        </w:rPr>
        <w:t xml:space="preserve"> от МВР. </w:t>
      </w:r>
    </w:p>
    <w:p w:rsidR="00E75FDC" w:rsidRPr="00943C1B" w:rsidRDefault="00E75FDC" w:rsidP="00943C1B">
      <w:pPr>
        <w:tabs>
          <w:tab w:val="left" w:pos="142"/>
        </w:tabs>
        <w:ind w:firstLine="709"/>
        <w:jc w:val="both"/>
        <w:rPr>
          <w:sz w:val="28"/>
          <w:szCs w:val="28"/>
        </w:rPr>
      </w:pPr>
      <w:r w:rsidRPr="00943C1B">
        <w:rPr>
          <w:sz w:val="28"/>
          <w:szCs w:val="28"/>
        </w:rPr>
        <w:t xml:space="preserve">Досъдебните производства, разследвани на основание чл.194 ал.1 т.1, 2 и 3 от НПК през 2021 г. са общо 84 бр., като 14 ДП от тях са в резултат на  установяване на обстоятелствата, визирани в чл. 194 ал.1 т. 1, 2 и 3 от НПК. На основание чл. 194 ал.1 т. 4 от НПК са ни възложени 92 ДП, от които 36 ДП като нови и 56  ДП, като </w:t>
      </w:r>
      <w:proofErr w:type="spellStart"/>
      <w:r w:rsidRPr="00943C1B">
        <w:rPr>
          <w:sz w:val="28"/>
          <w:szCs w:val="28"/>
        </w:rPr>
        <w:t>превъзложени</w:t>
      </w:r>
      <w:proofErr w:type="spellEnd"/>
      <w:r w:rsidRPr="00943C1B">
        <w:rPr>
          <w:sz w:val="28"/>
          <w:szCs w:val="28"/>
        </w:rPr>
        <w:t xml:space="preserve"> от МВР. </w:t>
      </w:r>
    </w:p>
    <w:p w:rsidR="00E75FDC" w:rsidRPr="00943C1B" w:rsidRDefault="00E75FDC" w:rsidP="00943C1B">
      <w:pPr>
        <w:tabs>
          <w:tab w:val="left" w:pos="142"/>
        </w:tabs>
        <w:ind w:firstLine="709"/>
        <w:jc w:val="both"/>
        <w:rPr>
          <w:sz w:val="28"/>
          <w:szCs w:val="28"/>
        </w:rPr>
      </w:pPr>
      <w:r w:rsidRPr="00943C1B">
        <w:rPr>
          <w:sz w:val="28"/>
          <w:szCs w:val="28"/>
        </w:rPr>
        <w:t xml:space="preserve">По време на дежурства са били започнати 27 ДП, когато е било необходимо да се извършат конкретни и неотложни действия по разследването и това е била единствената възможност за събиране и запазване на доказателствата. </w:t>
      </w:r>
    </w:p>
    <w:p w:rsidR="00E75FDC" w:rsidRPr="00943C1B" w:rsidRDefault="00E75FDC" w:rsidP="00943C1B">
      <w:pPr>
        <w:tabs>
          <w:tab w:val="left" w:pos="142"/>
        </w:tabs>
        <w:ind w:firstLine="709"/>
        <w:jc w:val="both"/>
        <w:rPr>
          <w:sz w:val="28"/>
          <w:szCs w:val="28"/>
        </w:rPr>
      </w:pPr>
      <w:r w:rsidRPr="00943C1B">
        <w:rPr>
          <w:sz w:val="28"/>
          <w:szCs w:val="28"/>
        </w:rPr>
        <w:t>През отчетната година Окръжна прокуратура е наблюдавала 249 ДП, 138 бр., от които са били останали в края на предходния отчетен период. Районна прокуратура – Варна е наблюдавала общо 326  ДП, като 164 бр. от тях са били на производство в ОСлО – ОП – Варна в предходния отчетен период. Териториално отделение Девня е наблюдавало 17 бр., от които 5 бр. от предходния период. Териториално отделение Провадия е наблюдавала общо по 13 ДП, като 4 ДП са наблюдавали в предходен период.</w:t>
      </w:r>
    </w:p>
    <w:p w:rsidR="00E75FDC" w:rsidRPr="00E75FDC" w:rsidRDefault="00E75FDC" w:rsidP="00943C1B">
      <w:pPr>
        <w:tabs>
          <w:tab w:val="left" w:pos="142"/>
        </w:tabs>
        <w:ind w:firstLine="709"/>
        <w:jc w:val="both"/>
        <w:rPr>
          <w:sz w:val="28"/>
          <w:szCs w:val="28"/>
        </w:rPr>
      </w:pPr>
      <w:r w:rsidRPr="00943C1B">
        <w:rPr>
          <w:sz w:val="28"/>
          <w:szCs w:val="28"/>
        </w:rPr>
        <w:t>Общо възобновените</w:t>
      </w:r>
      <w:r w:rsidRPr="00E75FDC">
        <w:rPr>
          <w:sz w:val="28"/>
          <w:szCs w:val="28"/>
        </w:rPr>
        <w:t xml:space="preserve"> досъдебни производства през 2023 г. –  89 бр., през 2022 г. са 75 бр., през 2021 г. са били 93. От възобновените производства през 2023 г. към 31.12.2023 г. са приключени 50 ДП.</w:t>
      </w:r>
    </w:p>
    <w:p w:rsidR="00E75FDC" w:rsidRPr="00E75FDC" w:rsidRDefault="00E75FDC" w:rsidP="00943C1B">
      <w:pPr>
        <w:tabs>
          <w:tab w:val="left" w:pos="142"/>
        </w:tabs>
        <w:ind w:firstLine="709"/>
        <w:jc w:val="both"/>
        <w:rPr>
          <w:sz w:val="28"/>
          <w:szCs w:val="28"/>
        </w:rPr>
      </w:pPr>
      <w:r w:rsidRPr="00E75FDC">
        <w:rPr>
          <w:sz w:val="28"/>
          <w:szCs w:val="28"/>
        </w:rPr>
        <w:t>Изпратени с мнение за съд са 44 бр. ДП с 56 обвиняеми лица:</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по 4 ДП от тях има влязла в сила осъдителна присъда;</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по 2 ДП има осъдителни присъди, които не са влезли в сила;</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по 1 ДП има постановена осъдителна присъда, която се обжалва;</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по 13 ДП от тях има внесени в съда обвинителни актове и са образувани съдебни дела;</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по 1 ДП има изготвен обвинителен акт, който не е внесен в съда;</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lastRenderedPageBreak/>
        <w:t>по 1 ДП има внесен обвинителен акт, но съдебното дело е прекратено. Досъдебното производство е прекратено от прокурор;</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по 1 ДП има внесен обвинителен акт, който е върнат от съда. Досъдебното производство е спряно от прокурор, след което е възобновено;</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9 ДП от тях са прекратени от съда със споразумение;</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По 1 ДП са внесени изготвени споразумения, но са върнати след отказ на съда да бъдат одобрени;</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по 1 ДП има постановено решение на съда за освобождаване от наказателна отговорност с налагане на административно наказание;</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 xml:space="preserve">по 4 ДП няма произнасяне от прокурор; </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2 ДП са прекратени от прокурор;</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1 ДП е прекратено от прокурор, но след жалба постановлението е отменено;</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 xml:space="preserve">по 2 ДП има частично прекратяване от прокурор и предстои </w:t>
      </w:r>
      <w:proofErr w:type="spellStart"/>
      <w:r w:rsidRPr="00E75FDC">
        <w:rPr>
          <w:sz w:val="28"/>
          <w:szCs w:val="28"/>
        </w:rPr>
        <w:t>последващо</w:t>
      </w:r>
      <w:proofErr w:type="spellEnd"/>
      <w:r w:rsidRPr="00E75FDC">
        <w:rPr>
          <w:sz w:val="28"/>
          <w:szCs w:val="28"/>
        </w:rPr>
        <w:t xml:space="preserve"> произнасяне;</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1 ДП е спряно от прокурор;</w:t>
      </w:r>
    </w:p>
    <w:p w:rsidR="00E75FDC" w:rsidRPr="00E75FDC" w:rsidRDefault="00E75FDC" w:rsidP="000059A2">
      <w:pPr>
        <w:pStyle w:val="a3"/>
        <w:numPr>
          <w:ilvl w:val="0"/>
          <w:numId w:val="12"/>
        </w:numPr>
        <w:tabs>
          <w:tab w:val="left" w:pos="142"/>
        </w:tabs>
        <w:ind w:left="0" w:firstLine="709"/>
        <w:contextualSpacing w:val="0"/>
        <w:jc w:val="both"/>
        <w:rPr>
          <w:sz w:val="28"/>
          <w:szCs w:val="28"/>
        </w:rPr>
      </w:pPr>
      <w:r w:rsidRPr="00E75FDC">
        <w:rPr>
          <w:sz w:val="28"/>
          <w:szCs w:val="28"/>
        </w:rPr>
        <w:t>по 1 ДП има постановление за разделяне на материали от ДП;</w:t>
      </w:r>
    </w:p>
    <w:p w:rsidR="00E75FDC" w:rsidRPr="00E75FDC" w:rsidRDefault="00E75FDC" w:rsidP="00943C1B">
      <w:pPr>
        <w:tabs>
          <w:tab w:val="left" w:pos="142"/>
        </w:tabs>
        <w:ind w:firstLine="709"/>
        <w:jc w:val="both"/>
        <w:rPr>
          <w:sz w:val="28"/>
          <w:szCs w:val="28"/>
        </w:rPr>
      </w:pPr>
      <w:r w:rsidRPr="00E75FDC">
        <w:rPr>
          <w:sz w:val="28"/>
          <w:szCs w:val="28"/>
        </w:rPr>
        <w:t xml:space="preserve">През 2023 г. са били изпратени общо </w:t>
      </w:r>
      <w:r w:rsidRPr="00E75FDC">
        <w:rPr>
          <w:sz w:val="28"/>
          <w:szCs w:val="28"/>
          <w:lang w:val="en-US"/>
        </w:rPr>
        <w:t>80</w:t>
      </w:r>
      <w:r w:rsidRPr="00E75FDC">
        <w:rPr>
          <w:sz w:val="28"/>
          <w:szCs w:val="28"/>
        </w:rPr>
        <w:t xml:space="preserve"> бр. международни следствени поръчки по 7 ДП на ВОП и 73 ДП на ВРП. По-голямата част от тях се изпълняват бавно от замолените страни. За отчетния период, във връзка с работата по досъдебните производства са били изготвени и изпратени  общо 621 бр. следствени поръчки в страната.</w:t>
      </w:r>
    </w:p>
    <w:p w:rsidR="00E75FDC" w:rsidRPr="00E75FDC" w:rsidRDefault="00E75FDC" w:rsidP="00943C1B">
      <w:pPr>
        <w:shd w:val="clear" w:color="auto" w:fill="FFFFFF"/>
        <w:tabs>
          <w:tab w:val="left" w:pos="142"/>
        </w:tabs>
        <w:ind w:firstLine="709"/>
        <w:jc w:val="both"/>
        <w:rPr>
          <w:sz w:val="28"/>
          <w:szCs w:val="28"/>
        </w:rPr>
      </w:pPr>
      <w:r w:rsidRPr="00E75FDC">
        <w:rPr>
          <w:sz w:val="28"/>
          <w:szCs w:val="28"/>
        </w:rPr>
        <w:t>След съпоставяне на статистиката за общия брой разследвани дела, с броя на приключените и изпратените на други поделения, е установено, че в края на 2023 г. в отдела са останали като неприключени 344 бр., наблюдавани както следва: 152 ДП от Окръжна прокуратура, Районна прокуратура – Варна – 172 ДП, 11 ДП от ТО – Девня и  9 ДП от ТО – Провадия.</w:t>
      </w:r>
    </w:p>
    <w:p w:rsidR="00E75FDC" w:rsidRPr="00E75FDC" w:rsidRDefault="00E75FDC" w:rsidP="00943C1B">
      <w:pPr>
        <w:tabs>
          <w:tab w:val="left" w:pos="142"/>
        </w:tabs>
        <w:ind w:firstLine="709"/>
        <w:jc w:val="both"/>
        <w:rPr>
          <w:sz w:val="28"/>
          <w:szCs w:val="28"/>
        </w:rPr>
      </w:pPr>
      <w:r w:rsidRPr="00E75FDC">
        <w:rPr>
          <w:sz w:val="28"/>
          <w:szCs w:val="28"/>
        </w:rPr>
        <w:t xml:space="preserve">На магистратите от ОСлО – ВОП през 2023 г. са възложени 518 бр. следствени поръчки от другите отдели в страната и 110 международни следствени поръчки. Приключени са 495 бр. СП, от които изпълнени – 414 бр., неизпълнени –80 бр. и дублирана – 1 бр. От изпълнените СП са разпитани 403 лица. Също са предавани досъдебни производства и документи на вещи лица и са връчвани съобщения – призовки и писма. Приключени са 106 бр. МПП, от които изпълнени – 88 бр., частично изпълнени – 3 бр. и неизпълнени – 12 бр. От изпълнените МПП са разпитани 29 лица. Освен разпитите, следователите са връчвали различни документи /съдебни книжа, призовки, обвинителни актове и др./, изисквали са извлечения по банкови сметки, установявали са </w:t>
      </w:r>
      <w:proofErr w:type="spellStart"/>
      <w:r w:rsidRPr="00E75FDC">
        <w:rPr>
          <w:sz w:val="28"/>
          <w:szCs w:val="28"/>
        </w:rPr>
        <w:t>самоличности</w:t>
      </w:r>
      <w:proofErr w:type="spellEnd"/>
      <w:r w:rsidRPr="00E75FDC">
        <w:rPr>
          <w:sz w:val="28"/>
          <w:szCs w:val="28"/>
        </w:rPr>
        <w:t xml:space="preserve">, местопребиваване и адрес; събиране на данъчна и счетоводна информация; събиране на информация във връзка с осъществяване на изнудване чрез софтуер; изискване на информация от </w:t>
      </w:r>
      <w:proofErr w:type="spellStart"/>
      <w:r w:rsidRPr="00E75FDC">
        <w:rPr>
          <w:sz w:val="28"/>
          <w:szCs w:val="28"/>
          <w:lang w:val="de-DE"/>
        </w:rPr>
        <w:t>iCard</w:t>
      </w:r>
      <w:proofErr w:type="spellEnd"/>
      <w:r w:rsidRPr="00E75FDC">
        <w:rPr>
          <w:sz w:val="28"/>
          <w:szCs w:val="28"/>
        </w:rPr>
        <w:t>; изискване на фирмени документи;</w:t>
      </w:r>
    </w:p>
    <w:p w:rsidR="00E75FDC" w:rsidRPr="00E75FDC" w:rsidRDefault="00E75FDC" w:rsidP="00943C1B">
      <w:pPr>
        <w:shd w:val="clear" w:color="auto" w:fill="FFFFFF"/>
        <w:tabs>
          <w:tab w:val="left" w:pos="142"/>
        </w:tabs>
        <w:ind w:firstLine="709"/>
        <w:jc w:val="both"/>
        <w:rPr>
          <w:b/>
          <w:bCs/>
          <w:color w:val="000000"/>
          <w:sz w:val="28"/>
          <w:szCs w:val="28"/>
        </w:rPr>
      </w:pPr>
      <w:r w:rsidRPr="00E75FDC">
        <w:rPr>
          <w:b/>
          <w:bCs/>
          <w:color w:val="000000"/>
          <w:sz w:val="28"/>
          <w:szCs w:val="28"/>
        </w:rPr>
        <w:t xml:space="preserve">4. Обем на следователската дейност и средна натовареност на следователите. </w:t>
      </w:r>
    </w:p>
    <w:p w:rsidR="00E75FDC" w:rsidRDefault="00E75FDC" w:rsidP="00943C1B">
      <w:pPr>
        <w:tabs>
          <w:tab w:val="left" w:pos="142"/>
        </w:tabs>
        <w:ind w:firstLine="709"/>
        <w:jc w:val="both"/>
        <w:rPr>
          <w:sz w:val="28"/>
          <w:szCs w:val="28"/>
          <w:lang w:val="en-US"/>
        </w:rPr>
      </w:pPr>
      <w:r w:rsidRPr="00E75FDC">
        <w:rPr>
          <w:sz w:val="28"/>
          <w:szCs w:val="28"/>
        </w:rPr>
        <w:t xml:space="preserve">Средногодишното натоварване на 1 следовател през 2023 г. е 21,50 ДП, през 2022 г. е 24,25 ДП, през 2021 г. е 24,25 ДП. Почти всички следователи са равномерно натоварени, с изключение на тези от следователите, които в </w:t>
      </w:r>
      <w:r w:rsidRPr="00E75FDC">
        <w:rPr>
          <w:sz w:val="28"/>
          <w:szCs w:val="28"/>
        </w:rPr>
        <w:lastRenderedPageBreak/>
        <w:t>началото на отчетния период са имали на производство по – голям брой ДП и през годината са им били възобновени/върнати повече дела.</w:t>
      </w:r>
    </w:p>
    <w:p w:rsidR="00E75FDC" w:rsidRPr="00E75FDC" w:rsidRDefault="00E75FDC" w:rsidP="00943C1B">
      <w:pPr>
        <w:tabs>
          <w:tab w:val="left" w:pos="142"/>
        </w:tabs>
        <w:ind w:firstLine="709"/>
        <w:jc w:val="both"/>
        <w:rPr>
          <w:b/>
          <w:bCs/>
          <w:sz w:val="28"/>
          <w:szCs w:val="28"/>
        </w:rPr>
      </w:pPr>
      <w:r w:rsidRPr="00E75FDC">
        <w:rPr>
          <w:b/>
          <w:bCs/>
          <w:sz w:val="28"/>
          <w:szCs w:val="28"/>
        </w:rPr>
        <w:t>Раздел ІІІ. Анализ на причините за върнатите за доразследване досъдебни производства от съда и наблюдаващите прокурори.</w:t>
      </w:r>
    </w:p>
    <w:p w:rsidR="00E75FDC" w:rsidRPr="00E75FDC" w:rsidRDefault="00E75FDC" w:rsidP="00943C1B">
      <w:pPr>
        <w:tabs>
          <w:tab w:val="left" w:pos="142"/>
        </w:tabs>
        <w:ind w:firstLine="709"/>
        <w:jc w:val="both"/>
        <w:rPr>
          <w:color w:val="0070C0"/>
          <w:sz w:val="28"/>
          <w:szCs w:val="28"/>
        </w:rPr>
      </w:pPr>
      <w:r w:rsidRPr="00E75FDC">
        <w:rPr>
          <w:sz w:val="28"/>
          <w:szCs w:val="28"/>
        </w:rPr>
        <w:t xml:space="preserve">Постъпилите в отдела върнати дела по показател за доразследване от съда или от прокуратурата с констатирани съществени </w:t>
      </w:r>
      <w:proofErr w:type="spellStart"/>
      <w:r w:rsidRPr="00E75FDC">
        <w:rPr>
          <w:sz w:val="28"/>
          <w:szCs w:val="28"/>
        </w:rPr>
        <w:t>отстраними</w:t>
      </w:r>
      <w:proofErr w:type="spellEnd"/>
      <w:r w:rsidRPr="00E75FDC">
        <w:rPr>
          <w:sz w:val="28"/>
          <w:szCs w:val="28"/>
        </w:rPr>
        <w:t xml:space="preserve"> процесуални нарушения в хода на досъдебното производство за отчетния период са 2 ДП, от които 1 ДП върнато от прокурора на следователя за отстраняване на съществени процесуални нарушения и 1 върнато на прокурора от компетентния съд, респективно изпратено от </w:t>
      </w:r>
      <w:proofErr w:type="spellStart"/>
      <w:r w:rsidRPr="00E75FDC">
        <w:rPr>
          <w:sz w:val="28"/>
          <w:szCs w:val="28"/>
        </w:rPr>
        <w:t>набл</w:t>
      </w:r>
      <w:proofErr w:type="spellEnd"/>
      <w:r w:rsidRPr="00E75FDC">
        <w:rPr>
          <w:sz w:val="28"/>
          <w:szCs w:val="28"/>
        </w:rPr>
        <w:t xml:space="preserve">. прокурор до разследващия за премахване на установените от съда пороци. И двете върнати ДП към края на отчетния период са приключили. </w:t>
      </w:r>
    </w:p>
    <w:p w:rsidR="00E75FDC" w:rsidRPr="00E75FDC" w:rsidRDefault="00E75FDC" w:rsidP="00943C1B">
      <w:pPr>
        <w:tabs>
          <w:tab w:val="left" w:pos="142"/>
        </w:tabs>
        <w:ind w:firstLine="709"/>
        <w:jc w:val="both"/>
        <w:rPr>
          <w:sz w:val="28"/>
          <w:szCs w:val="28"/>
        </w:rPr>
      </w:pPr>
      <w:r w:rsidRPr="00E75FDC">
        <w:rPr>
          <w:sz w:val="28"/>
          <w:szCs w:val="28"/>
        </w:rPr>
        <w:t xml:space="preserve">   Останалите  21 бр. ДП са върнати от наблюдаващите прокурори на различни основания - отменени постановления за прекратяване от </w:t>
      </w:r>
      <w:proofErr w:type="spellStart"/>
      <w:r w:rsidRPr="00E75FDC">
        <w:rPr>
          <w:sz w:val="28"/>
          <w:szCs w:val="28"/>
        </w:rPr>
        <w:t>първоинстанционния</w:t>
      </w:r>
      <w:proofErr w:type="spellEnd"/>
      <w:r w:rsidRPr="00E75FDC">
        <w:rPr>
          <w:sz w:val="28"/>
          <w:szCs w:val="28"/>
        </w:rPr>
        <w:t xml:space="preserve"> съд или от по-горната прокуратура, с нови указания, отменени постановления за спиране.</w:t>
      </w:r>
    </w:p>
    <w:p w:rsidR="00E75FDC" w:rsidRPr="00E75FDC" w:rsidRDefault="00E75FDC" w:rsidP="00943C1B">
      <w:pPr>
        <w:tabs>
          <w:tab w:val="left" w:pos="142"/>
        </w:tabs>
        <w:ind w:firstLine="709"/>
        <w:jc w:val="both"/>
        <w:rPr>
          <w:sz w:val="28"/>
          <w:szCs w:val="28"/>
        </w:rPr>
      </w:pPr>
      <w:r w:rsidRPr="00E75FDC">
        <w:rPr>
          <w:sz w:val="28"/>
          <w:szCs w:val="28"/>
        </w:rPr>
        <w:t xml:space="preserve">В края на отчетния период са останали неприключени 15 ДП. </w:t>
      </w:r>
    </w:p>
    <w:p w:rsidR="00E75FDC" w:rsidRPr="00E75FDC" w:rsidRDefault="00E75FDC" w:rsidP="00943C1B">
      <w:pPr>
        <w:tabs>
          <w:tab w:val="left" w:pos="142"/>
        </w:tabs>
        <w:ind w:firstLine="709"/>
        <w:jc w:val="both"/>
        <w:rPr>
          <w:b/>
          <w:bCs/>
          <w:sz w:val="28"/>
          <w:szCs w:val="28"/>
        </w:rPr>
      </w:pPr>
      <w:r w:rsidRPr="00E75FDC">
        <w:rPr>
          <w:b/>
          <w:bCs/>
          <w:sz w:val="28"/>
          <w:szCs w:val="28"/>
        </w:rPr>
        <w:t>Раздел І</w:t>
      </w:r>
      <w:r w:rsidRPr="00E75FDC">
        <w:rPr>
          <w:b/>
          <w:bCs/>
          <w:sz w:val="28"/>
          <w:szCs w:val="28"/>
          <w:lang w:val="en-US"/>
        </w:rPr>
        <w:t>V</w:t>
      </w:r>
      <w:r w:rsidRPr="00E75FDC">
        <w:rPr>
          <w:b/>
          <w:bCs/>
          <w:sz w:val="28"/>
          <w:szCs w:val="28"/>
        </w:rPr>
        <w:t>. Обобщени изводи за дейността на следователите, работили в ОСлО – ОП – Варна.</w:t>
      </w:r>
    </w:p>
    <w:p w:rsidR="00E75FDC" w:rsidRPr="00E75FDC" w:rsidRDefault="00E75FDC" w:rsidP="00943C1B">
      <w:pPr>
        <w:tabs>
          <w:tab w:val="left" w:pos="142"/>
        </w:tabs>
        <w:ind w:firstLine="709"/>
        <w:jc w:val="both"/>
        <w:rPr>
          <w:sz w:val="28"/>
          <w:szCs w:val="28"/>
        </w:rPr>
      </w:pPr>
      <w:r w:rsidRPr="00E75FDC">
        <w:rPr>
          <w:sz w:val="28"/>
          <w:szCs w:val="28"/>
        </w:rPr>
        <w:t xml:space="preserve">През отчетната 2023 г. в ОСлО – ОП – Варна общо са разследвани 605 ДП, от които 226 </w:t>
      </w:r>
      <w:proofErr w:type="spellStart"/>
      <w:r w:rsidRPr="00E75FDC">
        <w:rPr>
          <w:sz w:val="28"/>
          <w:szCs w:val="28"/>
        </w:rPr>
        <w:t>новоразпределени</w:t>
      </w:r>
      <w:proofErr w:type="spellEnd"/>
      <w:r w:rsidRPr="00E75FDC">
        <w:rPr>
          <w:sz w:val="28"/>
          <w:szCs w:val="28"/>
        </w:rPr>
        <w:t xml:space="preserve">  ДП, разследвани от средно 21,50 следователя, като всеки един от тях е разследвал 28 ДП, от които 10,5 ДП са били </w:t>
      </w:r>
      <w:proofErr w:type="spellStart"/>
      <w:r w:rsidRPr="00E75FDC">
        <w:rPr>
          <w:sz w:val="28"/>
          <w:szCs w:val="28"/>
        </w:rPr>
        <w:t>новоразпределени</w:t>
      </w:r>
      <w:proofErr w:type="spellEnd"/>
      <w:r w:rsidRPr="00E75FDC">
        <w:rPr>
          <w:sz w:val="28"/>
          <w:szCs w:val="28"/>
        </w:rPr>
        <w:t xml:space="preserve">. Средно приключени на ДП от реално работилите следователи са 12 ДП.  </w:t>
      </w:r>
    </w:p>
    <w:p w:rsidR="00E75FDC" w:rsidRPr="00E75FDC" w:rsidRDefault="00E75FDC" w:rsidP="00943C1B">
      <w:pPr>
        <w:tabs>
          <w:tab w:val="left" w:pos="142"/>
        </w:tabs>
        <w:ind w:firstLine="709"/>
        <w:jc w:val="both"/>
        <w:rPr>
          <w:sz w:val="28"/>
          <w:szCs w:val="28"/>
        </w:rPr>
      </w:pPr>
      <w:r w:rsidRPr="00E75FDC">
        <w:rPr>
          <w:sz w:val="28"/>
          <w:szCs w:val="28"/>
        </w:rPr>
        <w:t xml:space="preserve">При извършен сравнителен анализ се забелязва ръст на разследваните и приключени ДП от реално работилите следователи, като за 2022 г. </w:t>
      </w:r>
      <w:bookmarkStart w:id="0" w:name="OLE_LINK4"/>
      <w:r w:rsidRPr="00E75FDC">
        <w:rPr>
          <w:sz w:val="28"/>
          <w:szCs w:val="28"/>
        </w:rPr>
        <w:t xml:space="preserve">реално работилите следователи са разследвали по 23 ДП, от които 8 ДП са били </w:t>
      </w:r>
      <w:proofErr w:type="spellStart"/>
      <w:r w:rsidRPr="00E75FDC">
        <w:rPr>
          <w:sz w:val="28"/>
          <w:szCs w:val="28"/>
        </w:rPr>
        <w:t>новоразпределени</w:t>
      </w:r>
      <w:proofErr w:type="spellEnd"/>
      <w:r w:rsidRPr="00E75FDC">
        <w:rPr>
          <w:sz w:val="28"/>
          <w:szCs w:val="28"/>
        </w:rPr>
        <w:t>, като са приключили средно по 10 ДП.</w:t>
      </w:r>
    </w:p>
    <w:bookmarkEnd w:id="0"/>
    <w:p w:rsidR="00E75FDC" w:rsidRPr="00E75FDC" w:rsidRDefault="00E75FDC" w:rsidP="00943C1B">
      <w:pPr>
        <w:tabs>
          <w:tab w:val="left" w:pos="142"/>
        </w:tabs>
        <w:ind w:firstLine="709"/>
        <w:jc w:val="both"/>
        <w:rPr>
          <w:sz w:val="28"/>
          <w:szCs w:val="28"/>
        </w:rPr>
      </w:pPr>
      <w:r w:rsidRPr="00E75FDC">
        <w:rPr>
          <w:sz w:val="28"/>
          <w:szCs w:val="28"/>
        </w:rPr>
        <w:t xml:space="preserve">За 2021 г.  реално работилите следователи са разследвали по 24,5 ДП, от които 7,25  ДП са били </w:t>
      </w:r>
      <w:proofErr w:type="spellStart"/>
      <w:r w:rsidRPr="00E75FDC">
        <w:rPr>
          <w:sz w:val="28"/>
          <w:szCs w:val="28"/>
        </w:rPr>
        <w:t>новоразпределени</w:t>
      </w:r>
      <w:proofErr w:type="spellEnd"/>
      <w:r w:rsidRPr="00E75FDC">
        <w:rPr>
          <w:sz w:val="28"/>
          <w:szCs w:val="28"/>
        </w:rPr>
        <w:t>, като са приключили средно по 12 ДП.</w:t>
      </w:r>
    </w:p>
    <w:p w:rsidR="00E75FDC" w:rsidRPr="00E75FDC" w:rsidRDefault="00E75FDC" w:rsidP="00943C1B">
      <w:pPr>
        <w:tabs>
          <w:tab w:val="left" w:pos="142"/>
        </w:tabs>
        <w:ind w:firstLine="709"/>
        <w:jc w:val="both"/>
        <w:rPr>
          <w:sz w:val="28"/>
          <w:szCs w:val="28"/>
        </w:rPr>
      </w:pPr>
      <w:r w:rsidRPr="00E75FDC">
        <w:rPr>
          <w:sz w:val="28"/>
          <w:szCs w:val="28"/>
        </w:rPr>
        <w:t>По тези показатели се забелязва значителен ръст на разследваните ДП от отделен следовател, като следва да се отбележи, че на 4 пъти през годината са преразпределяни ДП от следователи, които са били в продължителен болничен или командироване, което от своя страна изисква време на новия разследващ да се запознае с материалите и да предприеме съответните действия по разследване.</w:t>
      </w:r>
    </w:p>
    <w:p w:rsidR="00E75FDC" w:rsidRPr="00E75FDC" w:rsidRDefault="00E75FDC" w:rsidP="00943C1B">
      <w:pPr>
        <w:tabs>
          <w:tab w:val="left" w:pos="142"/>
        </w:tabs>
        <w:ind w:firstLine="709"/>
        <w:jc w:val="both"/>
        <w:rPr>
          <w:sz w:val="28"/>
          <w:szCs w:val="28"/>
        </w:rPr>
      </w:pPr>
      <w:r w:rsidRPr="00E75FDC">
        <w:rPr>
          <w:sz w:val="28"/>
          <w:szCs w:val="28"/>
        </w:rPr>
        <w:t xml:space="preserve">Запазва се положителния </w:t>
      </w:r>
      <w:proofErr w:type="spellStart"/>
      <w:r w:rsidRPr="00E75FDC">
        <w:rPr>
          <w:sz w:val="28"/>
          <w:szCs w:val="28"/>
        </w:rPr>
        <w:t>тренд</w:t>
      </w:r>
      <w:proofErr w:type="spellEnd"/>
      <w:r w:rsidRPr="00E75FDC">
        <w:rPr>
          <w:sz w:val="28"/>
          <w:szCs w:val="28"/>
        </w:rPr>
        <w:t xml:space="preserve"> в отдела на приключените досъдебни производства над 3, 4 и 5 години. Част от </w:t>
      </w:r>
      <w:proofErr w:type="spellStart"/>
      <w:r w:rsidRPr="00E75FDC">
        <w:rPr>
          <w:sz w:val="28"/>
          <w:szCs w:val="28"/>
        </w:rPr>
        <w:t>новоразпределените</w:t>
      </w:r>
      <w:proofErr w:type="spellEnd"/>
      <w:r w:rsidRPr="00E75FDC">
        <w:rPr>
          <w:sz w:val="28"/>
          <w:szCs w:val="28"/>
        </w:rPr>
        <w:t xml:space="preserve"> ДП за 2023 г. и продължените такива от изминал период, са възложени за разследване в ОСлО – ОП – Варна, след като са били вече разследвани продължителен период от време в други структури.</w:t>
      </w:r>
    </w:p>
    <w:p w:rsidR="00E75FDC" w:rsidRPr="00E75FDC" w:rsidRDefault="00E75FDC" w:rsidP="00943C1B">
      <w:pPr>
        <w:tabs>
          <w:tab w:val="left" w:pos="142"/>
        </w:tabs>
        <w:ind w:firstLine="709"/>
        <w:jc w:val="both"/>
        <w:rPr>
          <w:sz w:val="28"/>
          <w:szCs w:val="28"/>
        </w:rPr>
      </w:pPr>
      <w:r w:rsidRPr="00E75FDC">
        <w:rPr>
          <w:sz w:val="28"/>
          <w:szCs w:val="28"/>
        </w:rPr>
        <w:t xml:space="preserve">Друг положителен резултат е увеличаването на приключените досъдебни производства с мнение за съд по признаците „Корупционни, данъчни, финансови престъпления“  и „Организирана престъпност“. </w:t>
      </w:r>
    </w:p>
    <w:p w:rsidR="00E75FDC" w:rsidRPr="00E75FDC" w:rsidRDefault="00E75FDC" w:rsidP="00943C1B">
      <w:pPr>
        <w:tabs>
          <w:tab w:val="left" w:pos="142"/>
        </w:tabs>
        <w:ind w:firstLine="709"/>
        <w:jc w:val="both"/>
        <w:rPr>
          <w:sz w:val="28"/>
          <w:szCs w:val="28"/>
        </w:rPr>
      </w:pPr>
      <w:r w:rsidRPr="00E75FDC">
        <w:rPr>
          <w:sz w:val="28"/>
          <w:szCs w:val="28"/>
        </w:rPr>
        <w:lastRenderedPageBreak/>
        <w:t xml:space="preserve">Също така са запазва и ниския процент на върнатите дела по показател за доразследване от съда или от прокуратурата с констатирани съществени </w:t>
      </w:r>
      <w:proofErr w:type="spellStart"/>
      <w:r w:rsidRPr="00E75FDC">
        <w:rPr>
          <w:sz w:val="28"/>
          <w:szCs w:val="28"/>
        </w:rPr>
        <w:t>отстраними</w:t>
      </w:r>
      <w:proofErr w:type="spellEnd"/>
      <w:r w:rsidRPr="00E75FDC">
        <w:rPr>
          <w:sz w:val="28"/>
          <w:szCs w:val="28"/>
        </w:rPr>
        <w:t xml:space="preserve"> процесуални нарушения в хода на досъдебното производство.</w:t>
      </w:r>
    </w:p>
    <w:p w:rsidR="00E75FDC" w:rsidRPr="00E75FDC" w:rsidRDefault="00E75FDC" w:rsidP="00943C1B">
      <w:pPr>
        <w:tabs>
          <w:tab w:val="left" w:pos="142"/>
        </w:tabs>
        <w:ind w:firstLine="709"/>
        <w:jc w:val="both"/>
        <w:rPr>
          <w:sz w:val="28"/>
          <w:szCs w:val="28"/>
        </w:rPr>
      </w:pPr>
      <w:r w:rsidRPr="00E75FDC">
        <w:rPr>
          <w:sz w:val="28"/>
          <w:szCs w:val="28"/>
        </w:rPr>
        <w:t>Постигнатото е в резултат на подобреното взаимодействие с МВР, ДАНС, НАП и други контролни органи. Допълнителен ефект оказва повишената отговорност на всеки следовател. Положителна роля има и разширяващото се международно правно сътрудничество по наказателни дела.</w:t>
      </w:r>
    </w:p>
    <w:p w:rsidR="00E75FDC" w:rsidRPr="00E75FDC" w:rsidRDefault="00E75FDC" w:rsidP="00943C1B">
      <w:pPr>
        <w:tabs>
          <w:tab w:val="left" w:pos="142"/>
          <w:tab w:val="left" w:pos="851"/>
        </w:tabs>
        <w:ind w:firstLine="709"/>
        <w:jc w:val="both"/>
        <w:rPr>
          <w:sz w:val="28"/>
          <w:szCs w:val="28"/>
        </w:rPr>
      </w:pPr>
      <w:r w:rsidRPr="00E75FDC">
        <w:rPr>
          <w:sz w:val="28"/>
          <w:szCs w:val="28"/>
        </w:rPr>
        <w:tab/>
        <w:t xml:space="preserve">Подобрено е взаимодействието и координацията с Национална следствена служба относно изготвяне на компютърни експертизи посредством използването на специализиран софтуер както и указване на методическа подкрепа от специализираните отдели в НСлС. </w:t>
      </w:r>
    </w:p>
    <w:p w:rsidR="00E75FDC" w:rsidRPr="00E75FDC" w:rsidRDefault="00E75FDC" w:rsidP="00943C1B">
      <w:pPr>
        <w:tabs>
          <w:tab w:val="left" w:pos="142"/>
        </w:tabs>
        <w:ind w:firstLine="709"/>
        <w:jc w:val="both"/>
        <w:rPr>
          <w:b/>
          <w:bCs/>
          <w:sz w:val="28"/>
          <w:szCs w:val="28"/>
        </w:rPr>
      </w:pPr>
      <w:r w:rsidRPr="00E75FDC">
        <w:rPr>
          <w:b/>
          <w:bCs/>
          <w:sz w:val="28"/>
          <w:szCs w:val="28"/>
        </w:rPr>
        <w:t>Раздел V. Приоритети в дейността на разследващите органи в ОСлО - ВОП през 2023 г. и дългосрочно.</w:t>
      </w:r>
    </w:p>
    <w:p w:rsidR="00E75FDC" w:rsidRPr="00E75FDC" w:rsidRDefault="00E75FDC" w:rsidP="000059A2">
      <w:pPr>
        <w:numPr>
          <w:ilvl w:val="0"/>
          <w:numId w:val="13"/>
        </w:numPr>
        <w:shd w:val="clear" w:color="auto" w:fill="FFFFFF"/>
        <w:tabs>
          <w:tab w:val="left" w:pos="142"/>
          <w:tab w:val="left" w:pos="1276"/>
        </w:tabs>
        <w:ind w:left="0" w:firstLine="709"/>
        <w:jc w:val="both"/>
        <w:rPr>
          <w:sz w:val="28"/>
          <w:szCs w:val="28"/>
        </w:rPr>
      </w:pPr>
      <w:r w:rsidRPr="00E75FDC">
        <w:rPr>
          <w:sz w:val="28"/>
          <w:szCs w:val="28"/>
        </w:rPr>
        <w:t xml:space="preserve">  срочно и качествено приключване на досъдебните производства;</w:t>
      </w:r>
    </w:p>
    <w:p w:rsidR="00E75FDC" w:rsidRPr="00E75FDC" w:rsidRDefault="00E75FDC" w:rsidP="000059A2">
      <w:pPr>
        <w:pStyle w:val="a3"/>
        <w:numPr>
          <w:ilvl w:val="0"/>
          <w:numId w:val="13"/>
        </w:numPr>
        <w:shd w:val="clear" w:color="auto" w:fill="FFFFFF"/>
        <w:tabs>
          <w:tab w:val="left" w:pos="142"/>
          <w:tab w:val="left" w:pos="1276"/>
        </w:tabs>
        <w:ind w:left="0" w:right="-54" w:firstLine="709"/>
        <w:contextualSpacing w:val="0"/>
        <w:jc w:val="both"/>
        <w:rPr>
          <w:sz w:val="28"/>
          <w:szCs w:val="28"/>
        </w:rPr>
      </w:pPr>
      <w:r w:rsidRPr="00E75FDC">
        <w:rPr>
          <w:sz w:val="28"/>
          <w:szCs w:val="28"/>
        </w:rPr>
        <w:t>приоритетно приключване на делата с продължителност на разследването над 3 години и тези, които са постъпили след закриването на специализирания съд и прокуратура;</w:t>
      </w:r>
    </w:p>
    <w:p w:rsidR="00E75FDC" w:rsidRPr="00E75FDC" w:rsidRDefault="00E75FDC" w:rsidP="000059A2">
      <w:pPr>
        <w:numPr>
          <w:ilvl w:val="0"/>
          <w:numId w:val="13"/>
        </w:numPr>
        <w:shd w:val="clear" w:color="auto" w:fill="FFFFFF"/>
        <w:tabs>
          <w:tab w:val="left" w:pos="142"/>
          <w:tab w:val="left" w:pos="1276"/>
        </w:tabs>
        <w:ind w:left="0" w:firstLine="709"/>
        <w:jc w:val="both"/>
        <w:rPr>
          <w:sz w:val="28"/>
          <w:szCs w:val="28"/>
        </w:rPr>
      </w:pPr>
      <w:r w:rsidRPr="00E75FDC">
        <w:rPr>
          <w:sz w:val="28"/>
          <w:szCs w:val="28"/>
        </w:rPr>
        <w:t>подобряване качеството на процесуално–следствените действия, извършвани от следователите;</w:t>
      </w:r>
    </w:p>
    <w:p w:rsidR="00E75FDC" w:rsidRPr="00E75FDC" w:rsidRDefault="00E75FDC" w:rsidP="000059A2">
      <w:pPr>
        <w:numPr>
          <w:ilvl w:val="0"/>
          <w:numId w:val="13"/>
        </w:numPr>
        <w:shd w:val="clear" w:color="auto" w:fill="FFFFFF"/>
        <w:tabs>
          <w:tab w:val="left" w:pos="142"/>
          <w:tab w:val="left" w:pos="1276"/>
        </w:tabs>
        <w:ind w:left="0" w:firstLine="709"/>
        <w:jc w:val="both"/>
        <w:rPr>
          <w:sz w:val="28"/>
          <w:szCs w:val="28"/>
        </w:rPr>
      </w:pPr>
      <w:r w:rsidRPr="00E75FDC">
        <w:rPr>
          <w:sz w:val="28"/>
          <w:szCs w:val="28"/>
        </w:rPr>
        <w:t xml:space="preserve">запазване взаимодействието между разследващите органи и наблюдаващите прокурори при докладите по чл. 203, ал. 4 и чл. 226, ал.1 от НПК, с цел недопускане връщането на досъдебни производства за продължаване на разследването, след фактическото им приключване. </w:t>
      </w:r>
    </w:p>
    <w:p w:rsidR="00E75FDC" w:rsidRPr="00E75FDC" w:rsidRDefault="00E75FDC" w:rsidP="000059A2">
      <w:pPr>
        <w:pStyle w:val="a3"/>
        <w:numPr>
          <w:ilvl w:val="0"/>
          <w:numId w:val="13"/>
        </w:numPr>
        <w:shd w:val="clear" w:color="auto" w:fill="FFFFFF"/>
        <w:tabs>
          <w:tab w:val="left" w:pos="142"/>
          <w:tab w:val="left" w:pos="1276"/>
        </w:tabs>
        <w:ind w:left="0" w:right="-54" w:firstLine="709"/>
        <w:contextualSpacing w:val="0"/>
        <w:jc w:val="both"/>
        <w:rPr>
          <w:sz w:val="28"/>
          <w:szCs w:val="28"/>
        </w:rPr>
      </w:pPr>
      <w:r w:rsidRPr="00E75FDC">
        <w:rPr>
          <w:sz w:val="28"/>
          <w:szCs w:val="28"/>
        </w:rPr>
        <w:t>увеличаване броя на възложените ни за разследване дела с фактическа и правна сложност, както и подобряване на ефективността на тяхната работа;</w:t>
      </w:r>
    </w:p>
    <w:p w:rsidR="00E75FDC" w:rsidRPr="00E75FDC" w:rsidRDefault="00E75FDC" w:rsidP="000059A2">
      <w:pPr>
        <w:pStyle w:val="a3"/>
        <w:numPr>
          <w:ilvl w:val="0"/>
          <w:numId w:val="13"/>
        </w:numPr>
        <w:shd w:val="clear" w:color="auto" w:fill="FFFFFF"/>
        <w:tabs>
          <w:tab w:val="left" w:pos="142"/>
          <w:tab w:val="left" w:pos="1276"/>
        </w:tabs>
        <w:ind w:left="0" w:firstLine="709"/>
        <w:contextualSpacing w:val="0"/>
        <w:jc w:val="both"/>
        <w:rPr>
          <w:sz w:val="28"/>
          <w:szCs w:val="28"/>
        </w:rPr>
      </w:pPr>
      <w:r w:rsidRPr="00E75FDC">
        <w:rPr>
          <w:sz w:val="28"/>
          <w:szCs w:val="28"/>
        </w:rPr>
        <w:t xml:space="preserve">стриктно спазване на процесуалната дисциплина и срочността на разследването; </w:t>
      </w:r>
    </w:p>
    <w:p w:rsidR="00E75FDC" w:rsidRPr="00E75FDC" w:rsidRDefault="00E75FDC" w:rsidP="000059A2">
      <w:pPr>
        <w:numPr>
          <w:ilvl w:val="0"/>
          <w:numId w:val="13"/>
        </w:numPr>
        <w:shd w:val="clear" w:color="auto" w:fill="FFFFFF"/>
        <w:tabs>
          <w:tab w:val="left" w:pos="142"/>
          <w:tab w:val="left" w:pos="1276"/>
        </w:tabs>
        <w:ind w:left="0" w:firstLine="709"/>
        <w:jc w:val="both"/>
        <w:rPr>
          <w:sz w:val="28"/>
          <w:szCs w:val="28"/>
        </w:rPr>
      </w:pPr>
      <w:r w:rsidRPr="00E75FDC">
        <w:rPr>
          <w:sz w:val="28"/>
          <w:szCs w:val="28"/>
        </w:rPr>
        <w:t>повишаване професионалната квалификация на следователите, посредством включването им в повече организирани семинари и обучителни програми.</w:t>
      </w: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943C1B" w:rsidRPr="00E75FDC" w:rsidRDefault="00943C1B"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75FDC" w:rsidRPr="00E75FDC" w:rsidRDefault="00E75FDC"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p>
    <w:p w:rsidR="00E51B93" w:rsidRPr="00E51B93" w:rsidRDefault="00E51B93" w:rsidP="00943C1B">
      <w:pPr>
        <w:pStyle w:val="13"/>
        <w:tabs>
          <w:tab w:val="left" w:pos="142"/>
        </w:tabs>
        <w:spacing w:after="0" w:line="240" w:lineRule="auto"/>
        <w:ind w:firstLine="709"/>
        <w:contextualSpacing/>
        <w:jc w:val="center"/>
        <w:rPr>
          <w:rStyle w:val="afb"/>
          <w:i w:val="0"/>
          <w:color w:val="5F497A" w:themeColor="accent4" w:themeShade="BF"/>
          <w:sz w:val="28"/>
          <w:szCs w:val="28"/>
          <w:lang w:val="en-US"/>
        </w:rPr>
      </w:pPr>
      <w:r w:rsidRPr="00E51B93">
        <w:rPr>
          <w:rStyle w:val="afb"/>
          <w:i w:val="0"/>
          <w:color w:val="5F497A" w:themeColor="accent4" w:themeShade="BF"/>
          <w:sz w:val="28"/>
          <w:szCs w:val="28"/>
        </w:rPr>
        <w:lastRenderedPageBreak/>
        <w:t>РАЗДЕЛ II</w:t>
      </w:r>
    </w:p>
    <w:p w:rsidR="00E51B93" w:rsidRPr="00E51B93" w:rsidRDefault="00E51B93" w:rsidP="00943C1B">
      <w:pPr>
        <w:pStyle w:val="13"/>
        <w:tabs>
          <w:tab w:val="left" w:pos="142"/>
        </w:tabs>
        <w:spacing w:after="0" w:line="240" w:lineRule="auto"/>
        <w:ind w:firstLine="709"/>
        <w:contextualSpacing/>
        <w:jc w:val="center"/>
        <w:rPr>
          <w:rStyle w:val="afb"/>
          <w:b w:val="0"/>
          <w:i w:val="0"/>
          <w:color w:val="5F497A" w:themeColor="accent4" w:themeShade="BF"/>
          <w:sz w:val="28"/>
          <w:szCs w:val="28"/>
          <w:lang w:val="en-US"/>
        </w:rPr>
      </w:pPr>
    </w:p>
    <w:p w:rsidR="00E51B93" w:rsidRPr="00E51B93" w:rsidRDefault="00E51B93" w:rsidP="00943C1B">
      <w:pPr>
        <w:pStyle w:val="13"/>
        <w:tabs>
          <w:tab w:val="left" w:pos="142"/>
        </w:tabs>
        <w:spacing w:after="0" w:line="240" w:lineRule="auto"/>
        <w:ind w:firstLine="709"/>
        <w:contextualSpacing/>
        <w:jc w:val="center"/>
        <w:rPr>
          <w:rStyle w:val="afb"/>
          <w:b w:val="0"/>
          <w:i w:val="0"/>
          <w:color w:val="5F497A" w:themeColor="accent4" w:themeShade="BF"/>
          <w:sz w:val="28"/>
          <w:szCs w:val="28"/>
        </w:rPr>
      </w:pPr>
      <w:r w:rsidRPr="00E51B93">
        <w:rPr>
          <w:rStyle w:val="afb"/>
          <w:b w:val="0"/>
          <w:i w:val="0"/>
          <w:color w:val="5F497A" w:themeColor="accent4" w:themeShade="BF"/>
          <w:sz w:val="28"/>
          <w:szCs w:val="28"/>
        </w:rPr>
        <w:t>ДЕЙНОСТ НА ТЕРИТОРИАЛНИТЕ ПРОКУРАТУРИ</w:t>
      </w:r>
    </w:p>
    <w:p w:rsidR="00E51B93" w:rsidRPr="00E51B93" w:rsidRDefault="00E51B93" w:rsidP="000059A2">
      <w:pPr>
        <w:pStyle w:val="33"/>
        <w:numPr>
          <w:ilvl w:val="0"/>
          <w:numId w:val="3"/>
        </w:numPr>
        <w:tabs>
          <w:tab w:val="left" w:pos="142"/>
          <w:tab w:val="left" w:pos="812"/>
        </w:tabs>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t>ДОСЪДЕБНА ФАЗА.</w:t>
      </w:r>
    </w:p>
    <w:p w:rsidR="00E51B93" w:rsidRPr="00FD0EB3" w:rsidRDefault="00E51B93" w:rsidP="000059A2">
      <w:pPr>
        <w:pStyle w:val="13"/>
        <w:numPr>
          <w:ilvl w:val="0"/>
          <w:numId w:val="4"/>
        </w:numPr>
        <w:tabs>
          <w:tab w:val="left" w:pos="836"/>
        </w:tabs>
        <w:spacing w:after="0" w:line="240" w:lineRule="auto"/>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t>Преписки. Проверки по чл. 145 ЗСВ — срочност, резултати, мерки.</w:t>
      </w:r>
    </w:p>
    <w:p w:rsidR="00FD0EB3" w:rsidRDefault="00FD0EB3" w:rsidP="00444BD6">
      <w:pPr>
        <w:pStyle w:val="13"/>
        <w:tabs>
          <w:tab w:val="left" w:pos="836"/>
        </w:tabs>
        <w:spacing w:after="0" w:line="240" w:lineRule="auto"/>
        <w:ind w:firstLine="709"/>
        <w:contextualSpacing/>
        <w:jc w:val="both"/>
        <w:rPr>
          <w:rStyle w:val="afb"/>
          <w:b w:val="0"/>
          <w:i w:val="0"/>
          <w:color w:val="5F497A" w:themeColor="accent4" w:themeShade="BF"/>
          <w:sz w:val="28"/>
          <w:szCs w:val="28"/>
          <w:lang w:val="en-US"/>
        </w:rPr>
      </w:pPr>
    </w:p>
    <w:p w:rsidR="00FD0EB3" w:rsidRPr="00FD0EB3" w:rsidRDefault="00FD0EB3" w:rsidP="00444BD6">
      <w:pPr>
        <w:ind w:right="1"/>
        <w:jc w:val="center"/>
        <w:rPr>
          <w:b/>
          <w:color w:val="000000" w:themeColor="text1"/>
          <w:sz w:val="20"/>
          <w:szCs w:val="20"/>
        </w:rPr>
      </w:pPr>
      <w:r w:rsidRPr="00FD0EB3">
        <w:rPr>
          <w:rFonts w:ascii="Calibri" w:eastAsia="Calibri" w:hAnsi="Calibri"/>
          <w:noProof/>
          <w:color w:val="000000" w:themeColor="text1"/>
          <w:sz w:val="22"/>
          <w:szCs w:val="22"/>
        </w:rPr>
        <w:drawing>
          <wp:inline distT="0" distB="0" distL="0" distR="0" wp14:anchorId="07051CE3" wp14:editId="6A31D9E6">
            <wp:extent cx="6080125" cy="3253740"/>
            <wp:effectExtent l="133350" t="133350" r="149225" b="156210"/>
            <wp:docPr id="1"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 xml:space="preserve">Броят на преписките на производство потвърждава наложилата се </w:t>
      </w:r>
      <w:r w:rsidRPr="00FD0EB3">
        <w:rPr>
          <w:sz w:val="28"/>
          <w:szCs w:val="28"/>
        </w:rPr>
        <w:t xml:space="preserve">девет </w:t>
      </w:r>
      <w:r w:rsidRPr="00FD0EB3">
        <w:rPr>
          <w:color w:val="000000" w:themeColor="text1"/>
          <w:sz w:val="28"/>
          <w:szCs w:val="28"/>
        </w:rPr>
        <w:t xml:space="preserve">годишна обща тенденция към намаляването им, след пик през 2014 г., което се илюстрира с горната диаграма. Налице е увеличаването на преписките на производство спрямо 2022 год. и намаляването им спрямо 2021 год. </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Общо 965 бр. повече новообразувани преписки /14372 бр./, съпоставено с предходния отчетен период.</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 xml:space="preserve">Тенденция за относителна устойчивост на общия брой на преписките по следствения надзор с повишаването на новообразуваните преписки през настоящата година.  </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 xml:space="preserve">Високи стойности на решените преписки в края на отчетния период- 96,9% при подобни стойности пред предходните години. </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 xml:space="preserve">Броят на решените до 1 месец преписки за района на </w:t>
      </w:r>
      <w:r w:rsidR="00182FBD">
        <w:rPr>
          <w:color w:val="000000" w:themeColor="text1"/>
          <w:sz w:val="28"/>
          <w:szCs w:val="28"/>
        </w:rPr>
        <w:t>ОП-Варна</w:t>
      </w:r>
      <w:r w:rsidRPr="00FD0EB3">
        <w:rPr>
          <w:color w:val="000000" w:themeColor="text1"/>
          <w:sz w:val="28"/>
          <w:szCs w:val="28"/>
        </w:rPr>
        <w:t xml:space="preserve"> е 17054, при общо решени 17110 за годината, което е 100,3</w:t>
      </w:r>
      <w:r w:rsidR="00182FBD">
        <w:rPr>
          <w:color w:val="000000" w:themeColor="text1"/>
          <w:sz w:val="28"/>
          <w:szCs w:val="28"/>
        </w:rPr>
        <w:t>%</w:t>
      </w:r>
      <w:r w:rsidRPr="00FD0EB3">
        <w:rPr>
          <w:color w:val="000000" w:themeColor="text1"/>
          <w:sz w:val="28"/>
          <w:szCs w:val="28"/>
        </w:rPr>
        <w:t xml:space="preserve"> от общия брой преписки. В  предходните два отчетни периода е същата процентна зависимост. </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 xml:space="preserve">Запазва се тенденцията по спазването на процесуалните срокове при произнасянето по преписките по следствения надзор. </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 xml:space="preserve">Принципно законосъобразно произнасяне на прокурорите по преписките от гледна точка бързина. </w:t>
      </w:r>
    </w:p>
    <w:p w:rsidR="00FD0EB3" w:rsidRPr="00FD0EB3" w:rsidRDefault="00FD0EB3" w:rsidP="002752BE">
      <w:pPr>
        <w:contextualSpacing/>
        <w:jc w:val="both"/>
        <w:rPr>
          <w:color w:val="000000" w:themeColor="text1"/>
          <w:sz w:val="28"/>
          <w:szCs w:val="28"/>
        </w:rPr>
      </w:pPr>
    </w:p>
    <w:p w:rsidR="00FD0EB3" w:rsidRPr="00FD0EB3" w:rsidRDefault="00FD0EB3" w:rsidP="002752BE">
      <w:pPr>
        <w:spacing w:after="200" w:line="276" w:lineRule="auto"/>
        <w:rPr>
          <w:rFonts w:ascii="Calibri" w:eastAsia="Calibri" w:hAnsi="Calibri"/>
          <w:color w:val="000000" w:themeColor="text1"/>
          <w:sz w:val="22"/>
          <w:szCs w:val="22"/>
          <w:lang w:eastAsia="en-US"/>
        </w:rPr>
      </w:pPr>
      <w:r w:rsidRPr="00FD0EB3">
        <w:rPr>
          <w:rFonts w:ascii="Calibri" w:eastAsia="Calibri" w:hAnsi="Calibri"/>
          <w:noProof/>
          <w:color w:val="000000" w:themeColor="text1"/>
          <w:sz w:val="22"/>
          <w:szCs w:val="22"/>
        </w:rPr>
        <w:drawing>
          <wp:inline distT="0" distB="0" distL="0" distR="0" wp14:anchorId="1581378E" wp14:editId="193D04C0">
            <wp:extent cx="6127750" cy="3360420"/>
            <wp:effectExtent l="133350" t="133350" r="158750" b="144780"/>
            <wp:docPr id="2" name="Ди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D0EB3" w:rsidRPr="00FD0EB3" w:rsidRDefault="00FD0EB3" w:rsidP="007833EF">
      <w:pPr>
        <w:ind w:firstLine="709"/>
        <w:jc w:val="both"/>
        <w:rPr>
          <w:sz w:val="28"/>
          <w:szCs w:val="28"/>
        </w:rPr>
      </w:pPr>
      <w:r w:rsidRPr="00FD0EB3">
        <w:rPr>
          <w:sz w:val="28"/>
          <w:szCs w:val="28"/>
        </w:rPr>
        <w:t>Подобряване работата и качеството на актовете на първоинстанционните прокурори:</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 xml:space="preserve">Увеличаване със 75 бр. на потвърдените актове на </w:t>
      </w:r>
      <w:proofErr w:type="spellStart"/>
      <w:r w:rsidRPr="00FD0EB3">
        <w:rPr>
          <w:color w:val="000000" w:themeColor="text1"/>
          <w:sz w:val="28"/>
          <w:szCs w:val="28"/>
        </w:rPr>
        <w:t>долустоящата</w:t>
      </w:r>
      <w:proofErr w:type="spellEnd"/>
      <w:r w:rsidRPr="00FD0EB3">
        <w:rPr>
          <w:color w:val="000000" w:themeColor="text1"/>
          <w:sz w:val="28"/>
          <w:szCs w:val="28"/>
        </w:rPr>
        <w:t xml:space="preserve"> прокуратура спрямо 2022 год., а спрямо 2021 г. с 259 бр. повече.</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 xml:space="preserve"> Устойчивост, но все още недостатъчно извършвани лични проверки от прокурор спрямо 2022 год. За 2023 г. за района на </w:t>
      </w:r>
      <w:r w:rsidR="00182FBD">
        <w:rPr>
          <w:color w:val="000000" w:themeColor="text1"/>
          <w:sz w:val="28"/>
          <w:szCs w:val="28"/>
        </w:rPr>
        <w:t>ОП-Варна</w:t>
      </w:r>
      <w:r w:rsidRPr="00FD0EB3">
        <w:rPr>
          <w:color w:val="000000" w:themeColor="text1"/>
          <w:sz w:val="28"/>
          <w:szCs w:val="28"/>
        </w:rPr>
        <w:t xml:space="preserve"> са били извършени общо 3 бр. лични проверки, като две от тях са извършени от прокурори от </w:t>
      </w:r>
      <w:r w:rsidR="00182FBD">
        <w:rPr>
          <w:color w:val="000000" w:themeColor="text1"/>
          <w:sz w:val="28"/>
          <w:szCs w:val="28"/>
        </w:rPr>
        <w:t>РП-Варна</w:t>
      </w:r>
      <w:r w:rsidRPr="00FD0EB3">
        <w:rPr>
          <w:color w:val="000000" w:themeColor="text1"/>
          <w:sz w:val="28"/>
          <w:szCs w:val="28"/>
        </w:rPr>
        <w:t xml:space="preserve">, а за </w:t>
      </w:r>
      <w:r w:rsidR="00182FBD">
        <w:rPr>
          <w:color w:val="000000" w:themeColor="text1"/>
          <w:sz w:val="28"/>
          <w:szCs w:val="28"/>
        </w:rPr>
        <w:t xml:space="preserve">ОП-Варна </w:t>
      </w:r>
      <w:r w:rsidRPr="00FD0EB3">
        <w:rPr>
          <w:color w:val="000000" w:themeColor="text1"/>
          <w:sz w:val="28"/>
          <w:szCs w:val="28"/>
        </w:rPr>
        <w:t xml:space="preserve">- една. </w:t>
      </w:r>
    </w:p>
    <w:p w:rsidR="00FD0EB3" w:rsidRPr="00FD0EB3" w:rsidRDefault="00FD0EB3" w:rsidP="007833EF">
      <w:pPr>
        <w:ind w:firstLine="709"/>
        <w:jc w:val="both"/>
        <w:rPr>
          <w:sz w:val="28"/>
          <w:szCs w:val="28"/>
          <w:u w:val="single"/>
        </w:rPr>
      </w:pPr>
      <w:r w:rsidRPr="00FD0EB3">
        <w:rPr>
          <w:sz w:val="28"/>
          <w:szCs w:val="28"/>
          <w:u w:val="single"/>
        </w:rPr>
        <w:t>Преписки, образувани след самосезиране, по сигнали на контролните органи и по материали от ДАНС.</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Увеличаване на преписките, образувани след самосезиране- 27 бр., което в процентно съотношение с предходния отчетен период бележи ръст от 440</w:t>
      </w:r>
      <w:r w:rsidR="00182FBD">
        <w:rPr>
          <w:color w:val="000000" w:themeColor="text1"/>
          <w:sz w:val="28"/>
          <w:szCs w:val="28"/>
        </w:rPr>
        <w:t>%</w:t>
      </w:r>
      <w:r w:rsidRPr="00FD0EB3">
        <w:rPr>
          <w:color w:val="000000" w:themeColor="text1"/>
          <w:sz w:val="28"/>
          <w:szCs w:val="28"/>
        </w:rPr>
        <w:t xml:space="preserve">. </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Отчита се 15,63</w:t>
      </w:r>
      <w:r w:rsidR="00182FBD">
        <w:rPr>
          <w:color w:val="000000" w:themeColor="text1"/>
          <w:sz w:val="28"/>
          <w:szCs w:val="28"/>
        </w:rPr>
        <w:t>%</w:t>
      </w:r>
      <w:r w:rsidRPr="00FD0EB3">
        <w:rPr>
          <w:color w:val="000000" w:themeColor="text1"/>
          <w:sz w:val="28"/>
          <w:szCs w:val="28"/>
        </w:rPr>
        <w:t xml:space="preserve"> намаление на регистрираните преписки  от тази категория в сравнение с 2022 г. и 74,22</w:t>
      </w:r>
      <w:r w:rsidR="00182FBD">
        <w:rPr>
          <w:color w:val="000000" w:themeColor="text1"/>
          <w:sz w:val="28"/>
          <w:szCs w:val="28"/>
        </w:rPr>
        <w:t>%</w:t>
      </w:r>
      <w:r w:rsidRPr="00FD0EB3">
        <w:rPr>
          <w:color w:val="000000" w:themeColor="text1"/>
          <w:sz w:val="28"/>
          <w:szCs w:val="28"/>
        </w:rPr>
        <w:t xml:space="preserve"> намаление спрямо 2021 г.</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 xml:space="preserve">108 бр.сигнали от контролни органи, при 128 бр. за 2022 г. и 419 бр. за 2021 г. </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Образуваните ДП по тези сигнали през отчетния период са 55 бр.</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Въпреки отбелязания спад в сигналите на контролните органи, продължава доброто взаимодействие между прокуратурата и органите на НАП.. През отчетния период от НАП са постъпили общо 67 бр. преписки, при 84 бр. за 2022 г. Съпоставено с броя на преписките образувани през 2021 г. - 410 бр. се установява 83,7% спад, а сравнено с 2022 г. процентът е 20,24.</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lastRenderedPageBreak/>
        <w:t>Лек спад в броя на сигналите от Агенция „Митници“ от 42 бр. през предходния отчетен период на 34 бр. за 2023 г. или 19</w:t>
      </w:r>
      <w:r w:rsidR="00182FBD">
        <w:rPr>
          <w:color w:val="000000" w:themeColor="text1"/>
          <w:sz w:val="28"/>
          <w:szCs w:val="28"/>
        </w:rPr>
        <w:t>%</w:t>
      </w:r>
      <w:r w:rsidRPr="00FD0EB3">
        <w:rPr>
          <w:color w:val="000000" w:themeColor="text1"/>
          <w:sz w:val="28"/>
          <w:szCs w:val="28"/>
        </w:rPr>
        <w:t xml:space="preserve"> намаление, през 2021 г. са били едва 6 бр. </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 xml:space="preserve">През 2023 г. в района на </w:t>
      </w:r>
      <w:r w:rsidR="00182FBD">
        <w:rPr>
          <w:color w:val="000000" w:themeColor="text1"/>
          <w:sz w:val="28"/>
          <w:szCs w:val="28"/>
        </w:rPr>
        <w:t>ОП-Варна</w:t>
      </w:r>
      <w:r w:rsidRPr="00FD0EB3">
        <w:rPr>
          <w:color w:val="000000" w:themeColor="text1"/>
          <w:sz w:val="28"/>
          <w:szCs w:val="28"/>
        </w:rPr>
        <w:t xml:space="preserve"> са били наблюдавани 7 бр. преписки и 2 бр. ДП по постъпили от АДФИ материали. </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 xml:space="preserve">За поредна година се отчита липса на сигнали от Сметна палата, Агенцията за следприватизационен контрол и Дирекция за национален строителен контрол. </w:t>
      </w:r>
    </w:p>
    <w:p w:rsidR="00FD0EB3" w:rsidRPr="00FD0EB3" w:rsidRDefault="00FD0EB3" w:rsidP="000059A2">
      <w:pPr>
        <w:numPr>
          <w:ilvl w:val="0"/>
          <w:numId w:val="14"/>
        </w:numPr>
        <w:spacing w:after="200" w:line="276" w:lineRule="auto"/>
        <w:ind w:left="0" w:firstLine="0"/>
        <w:contextualSpacing/>
        <w:jc w:val="both"/>
        <w:rPr>
          <w:sz w:val="28"/>
          <w:szCs w:val="28"/>
        </w:rPr>
      </w:pPr>
      <w:r w:rsidRPr="00FD0EB3">
        <w:rPr>
          <w:sz w:val="28"/>
          <w:szCs w:val="28"/>
        </w:rPr>
        <w:t>образувани 9 бр. преписки по материали от ДАНС.</w:t>
      </w:r>
    </w:p>
    <w:p w:rsidR="00FD0EB3" w:rsidRPr="00FD0EB3" w:rsidRDefault="00FD0EB3" w:rsidP="000059A2">
      <w:pPr>
        <w:numPr>
          <w:ilvl w:val="0"/>
          <w:numId w:val="14"/>
        </w:numPr>
        <w:spacing w:after="200" w:line="276" w:lineRule="auto"/>
        <w:ind w:left="0" w:firstLine="0"/>
        <w:contextualSpacing/>
        <w:jc w:val="both"/>
        <w:rPr>
          <w:color w:val="000000" w:themeColor="text1"/>
          <w:sz w:val="28"/>
          <w:szCs w:val="28"/>
        </w:rPr>
      </w:pPr>
      <w:r w:rsidRPr="00FD0EB3">
        <w:rPr>
          <w:color w:val="000000" w:themeColor="text1"/>
          <w:sz w:val="28"/>
          <w:szCs w:val="28"/>
        </w:rPr>
        <w:t xml:space="preserve">Увеличение в броя на наблюдаваните преписки, образувани по материали на Дирекция „Вътрешна сигурност“- МВР за района на </w:t>
      </w:r>
      <w:r w:rsidR="00182FBD">
        <w:rPr>
          <w:color w:val="000000" w:themeColor="text1"/>
          <w:sz w:val="28"/>
          <w:szCs w:val="28"/>
        </w:rPr>
        <w:t>ОП-Варна</w:t>
      </w:r>
      <w:r w:rsidR="007833EF">
        <w:rPr>
          <w:color w:val="000000" w:themeColor="text1"/>
          <w:sz w:val="28"/>
          <w:szCs w:val="28"/>
        </w:rPr>
        <w:t xml:space="preserve">- 14 бр. /9 бр. за </w:t>
      </w:r>
      <w:r w:rsidR="00182FBD">
        <w:rPr>
          <w:color w:val="000000" w:themeColor="text1"/>
          <w:sz w:val="28"/>
          <w:szCs w:val="28"/>
        </w:rPr>
        <w:t>ОП-Варна</w:t>
      </w:r>
      <w:r w:rsidRPr="00FD0EB3">
        <w:rPr>
          <w:color w:val="000000" w:themeColor="text1"/>
          <w:sz w:val="28"/>
          <w:szCs w:val="28"/>
        </w:rPr>
        <w:t xml:space="preserve"> и 5 бр. за </w:t>
      </w:r>
      <w:r w:rsidR="00182FBD">
        <w:rPr>
          <w:color w:val="000000" w:themeColor="text1"/>
          <w:sz w:val="28"/>
          <w:szCs w:val="28"/>
        </w:rPr>
        <w:t>РП-Варна</w:t>
      </w:r>
      <w:r w:rsidRPr="00FD0EB3">
        <w:rPr>
          <w:color w:val="000000" w:themeColor="text1"/>
          <w:sz w:val="28"/>
          <w:szCs w:val="28"/>
        </w:rPr>
        <w:t xml:space="preserve">/, при 7 бр. за 2022 г. /3 бр. за </w:t>
      </w:r>
      <w:r w:rsidR="00182FBD">
        <w:rPr>
          <w:color w:val="000000" w:themeColor="text1"/>
          <w:sz w:val="28"/>
          <w:szCs w:val="28"/>
        </w:rPr>
        <w:t>ОП-Варна</w:t>
      </w:r>
      <w:r w:rsidRPr="00FD0EB3">
        <w:rPr>
          <w:color w:val="000000" w:themeColor="text1"/>
          <w:sz w:val="28"/>
          <w:szCs w:val="28"/>
        </w:rPr>
        <w:t xml:space="preserve"> и 4 бр. за </w:t>
      </w:r>
      <w:r w:rsidR="00182FBD">
        <w:rPr>
          <w:color w:val="000000" w:themeColor="text1"/>
          <w:sz w:val="28"/>
          <w:szCs w:val="28"/>
        </w:rPr>
        <w:t>РП-Варна</w:t>
      </w:r>
      <w:r w:rsidRPr="00FD0EB3">
        <w:rPr>
          <w:color w:val="000000" w:themeColor="text1"/>
          <w:sz w:val="28"/>
          <w:szCs w:val="28"/>
        </w:rPr>
        <w:t>/, като за 2021 г. са били 19 бр.</w:t>
      </w:r>
    </w:p>
    <w:p w:rsidR="00E51B93" w:rsidRPr="00E51B93" w:rsidRDefault="00E51B93" w:rsidP="000059A2">
      <w:pPr>
        <w:pStyle w:val="13"/>
        <w:numPr>
          <w:ilvl w:val="0"/>
          <w:numId w:val="4"/>
        </w:numPr>
        <w:tabs>
          <w:tab w:val="left" w:pos="855"/>
        </w:tabs>
        <w:spacing w:after="0" w:line="240" w:lineRule="auto"/>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t>Следствен надзор.</w:t>
      </w:r>
    </w:p>
    <w:p w:rsidR="00E51B93" w:rsidRDefault="00E51B93" w:rsidP="000059A2">
      <w:pPr>
        <w:pStyle w:val="13"/>
        <w:numPr>
          <w:ilvl w:val="1"/>
          <w:numId w:val="5"/>
        </w:numPr>
        <w:tabs>
          <w:tab w:val="left" w:pos="1012"/>
        </w:tabs>
        <w:spacing w:after="0" w:line="240" w:lineRule="auto"/>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t>Обобщени данни по видове досъдебии производства и съобразно систематиката на НК, вкл. по отношение на пострадалите лица и на ощетените юридически лица от престъпления.</w:t>
      </w:r>
    </w:p>
    <w:p w:rsidR="00642A46" w:rsidRDefault="00642A46" w:rsidP="00642A46">
      <w:pPr>
        <w:pStyle w:val="13"/>
        <w:tabs>
          <w:tab w:val="left" w:pos="1012"/>
        </w:tabs>
        <w:spacing w:after="0" w:line="240" w:lineRule="auto"/>
        <w:contextualSpacing/>
        <w:jc w:val="both"/>
        <w:rPr>
          <w:rStyle w:val="afb"/>
          <w:b w:val="0"/>
          <w:i w:val="0"/>
          <w:color w:val="auto"/>
          <w:sz w:val="28"/>
          <w:szCs w:val="28"/>
          <w:lang w:val="en-US"/>
        </w:rPr>
      </w:pPr>
    </w:p>
    <w:p w:rsidR="00FD0EB3" w:rsidRDefault="00FD0EB3" w:rsidP="00FD0EB3">
      <w:r>
        <w:rPr>
          <w:noProof/>
        </w:rPr>
        <w:drawing>
          <wp:inline distT="0" distB="0" distL="0" distR="0" wp14:anchorId="54EBFC23" wp14:editId="7C34A201">
            <wp:extent cx="5890260" cy="3040380"/>
            <wp:effectExtent l="133350" t="133350" r="148590" b="160020"/>
            <wp:docPr id="7" name="Ди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D0EB3" w:rsidRDefault="00FD0EB3" w:rsidP="000059A2">
      <w:pPr>
        <w:numPr>
          <w:ilvl w:val="0"/>
          <w:numId w:val="14"/>
        </w:numPr>
        <w:ind w:left="0" w:firstLine="0"/>
        <w:contextualSpacing/>
        <w:jc w:val="both"/>
        <w:rPr>
          <w:color w:val="000000" w:themeColor="text1"/>
          <w:sz w:val="28"/>
          <w:szCs w:val="28"/>
        </w:rPr>
      </w:pPr>
      <w:r>
        <w:rPr>
          <w:color w:val="000000" w:themeColor="text1"/>
          <w:sz w:val="28"/>
          <w:szCs w:val="28"/>
        </w:rPr>
        <w:t>Сравнението на данните през последните 3 /три/ години сочи ръст от 5,34</w:t>
      </w:r>
      <w:r w:rsidR="00182FBD">
        <w:rPr>
          <w:color w:val="000000" w:themeColor="text1"/>
          <w:sz w:val="28"/>
          <w:szCs w:val="28"/>
        </w:rPr>
        <w:t>%</w:t>
      </w:r>
      <w:r>
        <w:rPr>
          <w:color w:val="000000" w:themeColor="text1"/>
          <w:sz w:val="28"/>
          <w:szCs w:val="28"/>
        </w:rPr>
        <w:t xml:space="preserve"> в наблюдаваните досъдебни производства в сравнение с предходния отчетен период и 48,74</w:t>
      </w:r>
      <w:r w:rsidR="00182FBD">
        <w:rPr>
          <w:color w:val="000000" w:themeColor="text1"/>
          <w:sz w:val="28"/>
          <w:szCs w:val="28"/>
        </w:rPr>
        <w:t>%</w:t>
      </w:r>
      <w:r>
        <w:rPr>
          <w:color w:val="000000" w:themeColor="text1"/>
          <w:sz w:val="28"/>
          <w:szCs w:val="28"/>
        </w:rPr>
        <w:t xml:space="preserve"> при съпоставка на данните от 2021 г.</w:t>
      </w:r>
    </w:p>
    <w:p w:rsidR="00FD0EB3" w:rsidRDefault="00FD0EB3" w:rsidP="002752BE">
      <w:pPr>
        <w:rPr>
          <w:rFonts w:asciiTheme="minorHAnsi" w:eastAsiaTheme="minorHAnsi" w:hAnsiTheme="minorHAnsi" w:cstheme="minorBidi"/>
          <w:sz w:val="22"/>
          <w:szCs w:val="22"/>
          <w:lang w:eastAsia="en-US"/>
        </w:rPr>
      </w:pPr>
      <w:r>
        <w:rPr>
          <w:noProof/>
          <w:sz w:val="20"/>
          <w:szCs w:val="20"/>
        </w:rPr>
        <w:lastRenderedPageBreak/>
        <w:drawing>
          <wp:inline distT="0" distB="0" distL="0" distR="0" wp14:anchorId="0A37F1A9" wp14:editId="1F3E8616">
            <wp:extent cx="5902325" cy="3087370"/>
            <wp:effectExtent l="133350" t="133350" r="155575" b="151130"/>
            <wp:docPr id="6" name="Ди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D0EB3" w:rsidRDefault="00FD0EB3" w:rsidP="000059A2">
      <w:pPr>
        <w:numPr>
          <w:ilvl w:val="0"/>
          <w:numId w:val="14"/>
        </w:numPr>
        <w:ind w:left="0" w:firstLine="0"/>
        <w:contextualSpacing/>
        <w:jc w:val="both"/>
        <w:rPr>
          <w:color w:val="000000" w:themeColor="text1"/>
          <w:sz w:val="28"/>
          <w:szCs w:val="28"/>
        </w:rPr>
      </w:pPr>
      <w:r>
        <w:rPr>
          <w:color w:val="000000" w:themeColor="text1"/>
          <w:sz w:val="28"/>
          <w:szCs w:val="28"/>
        </w:rPr>
        <w:t xml:space="preserve">Новообразуваните ДП през 2023 г. за съдебния окръг на </w:t>
      </w:r>
      <w:r w:rsidR="00182FBD">
        <w:rPr>
          <w:color w:val="000000" w:themeColor="text1"/>
          <w:sz w:val="28"/>
          <w:szCs w:val="28"/>
        </w:rPr>
        <w:t>ОП-Варна</w:t>
      </w:r>
      <w:r>
        <w:rPr>
          <w:color w:val="000000" w:themeColor="text1"/>
          <w:sz w:val="28"/>
          <w:szCs w:val="28"/>
        </w:rPr>
        <w:t xml:space="preserve"> са 7702, и се отбелязва спад с 2,31%</w:t>
      </w:r>
      <w:r w:rsidR="006218D1">
        <w:rPr>
          <w:color w:val="000000" w:themeColor="text1"/>
          <w:sz w:val="28"/>
          <w:szCs w:val="28"/>
        </w:rPr>
        <w:t>,</w:t>
      </w:r>
      <w:r>
        <w:rPr>
          <w:color w:val="000000" w:themeColor="text1"/>
          <w:sz w:val="28"/>
          <w:szCs w:val="28"/>
        </w:rPr>
        <w:t xml:space="preserve"> но спрямо 2021</w:t>
      </w:r>
      <w:r w:rsidR="007833EF">
        <w:rPr>
          <w:color w:val="000000" w:themeColor="text1"/>
          <w:sz w:val="28"/>
          <w:szCs w:val="28"/>
        </w:rPr>
        <w:t xml:space="preserve"> г. се отчита увеличение с 6,47</w:t>
      </w:r>
      <w:r>
        <w:rPr>
          <w:color w:val="000000" w:themeColor="text1"/>
          <w:sz w:val="28"/>
          <w:szCs w:val="28"/>
        </w:rPr>
        <w:t>%</w:t>
      </w:r>
    </w:p>
    <w:p w:rsidR="00FD0EB3" w:rsidRDefault="00FD0EB3" w:rsidP="000059A2">
      <w:pPr>
        <w:numPr>
          <w:ilvl w:val="0"/>
          <w:numId w:val="14"/>
        </w:numPr>
        <w:ind w:left="0" w:firstLine="0"/>
        <w:contextualSpacing/>
        <w:jc w:val="both"/>
        <w:rPr>
          <w:color w:val="000000" w:themeColor="text1"/>
          <w:sz w:val="28"/>
          <w:szCs w:val="28"/>
        </w:rPr>
      </w:pPr>
      <w:r>
        <w:rPr>
          <w:color w:val="000000" w:themeColor="text1"/>
          <w:sz w:val="28"/>
          <w:szCs w:val="28"/>
        </w:rPr>
        <w:t xml:space="preserve">През последните години новообразуваните дела са относително константна величина от гледна точка на процентното им съотношение към наблюдаваните. </w:t>
      </w:r>
    </w:p>
    <w:p w:rsidR="00FD0EB3" w:rsidRDefault="00FD0EB3" w:rsidP="002752BE">
      <w:pPr>
        <w:contextualSpacing/>
        <w:jc w:val="both"/>
        <w:rPr>
          <w:color w:val="000000" w:themeColor="text1"/>
          <w:sz w:val="28"/>
          <w:szCs w:val="28"/>
        </w:rPr>
      </w:pPr>
    </w:p>
    <w:p w:rsidR="00FD0EB3" w:rsidRDefault="00444BD6" w:rsidP="002752BE">
      <w:pPr>
        <w:contextualSpacing/>
        <w:jc w:val="both"/>
        <w:rPr>
          <w:color w:val="000000" w:themeColor="text1"/>
          <w:sz w:val="28"/>
          <w:szCs w:val="28"/>
        </w:rPr>
      </w:pPr>
      <w:r>
        <w:rPr>
          <w:noProof/>
        </w:rPr>
        <w:drawing>
          <wp:inline distT="0" distB="0" distL="0" distR="0" wp14:anchorId="3CAABB7B" wp14:editId="7CE72E14">
            <wp:extent cx="5866130" cy="2957195"/>
            <wp:effectExtent l="247650" t="190500" r="248920" b="300355"/>
            <wp:docPr id="8" name="Ди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D0EB3" w:rsidRDefault="00FD0EB3" w:rsidP="000059A2">
      <w:pPr>
        <w:numPr>
          <w:ilvl w:val="0"/>
          <w:numId w:val="14"/>
        </w:numPr>
        <w:ind w:left="0" w:firstLine="0"/>
        <w:contextualSpacing/>
        <w:jc w:val="both"/>
        <w:rPr>
          <w:color w:val="000000" w:themeColor="text1"/>
          <w:sz w:val="28"/>
          <w:szCs w:val="28"/>
        </w:rPr>
      </w:pPr>
      <w:r>
        <w:rPr>
          <w:color w:val="000000" w:themeColor="text1"/>
          <w:sz w:val="28"/>
          <w:szCs w:val="28"/>
        </w:rPr>
        <w:t>Намалял е броя</w:t>
      </w:r>
      <w:r w:rsidR="003E3928">
        <w:rPr>
          <w:color w:val="000000" w:themeColor="text1"/>
          <w:sz w:val="28"/>
          <w:szCs w:val="28"/>
        </w:rPr>
        <w:t>т</w:t>
      </w:r>
      <w:r>
        <w:rPr>
          <w:color w:val="000000" w:themeColor="text1"/>
          <w:sz w:val="28"/>
          <w:szCs w:val="28"/>
        </w:rPr>
        <w:t xml:space="preserve"> на новообразуваните бързи производства. Сравнено с данните от 2021 г. се отчита увеличение  и намаление спрямо 2022 год. </w:t>
      </w:r>
    </w:p>
    <w:p w:rsidR="00FD0EB3" w:rsidRDefault="00FD0EB3" w:rsidP="000059A2">
      <w:pPr>
        <w:numPr>
          <w:ilvl w:val="0"/>
          <w:numId w:val="14"/>
        </w:numPr>
        <w:ind w:left="0" w:firstLine="0"/>
        <w:contextualSpacing/>
        <w:jc w:val="both"/>
        <w:rPr>
          <w:color w:val="000000" w:themeColor="text1"/>
          <w:sz w:val="28"/>
          <w:szCs w:val="28"/>
        </w:rPr>
      </w:pPr>
      <w:r>
        <w:rPr>
          <w:color w:val="000000" w:themeColor="text1"/>
          <w:sz w:val="28"/>
          <w:szCs w:val="28"/>
        </w:rPr>
        <w:t>Относителният дял на новообразуваните БП, спрямо общия брой новообразувани дела през 2023 г. е 10,8</w:t>
      </w:r>
      <w:r w:rsidR="00182FBD">
        <w:rPr>
          <w:color w:val="000000" w:themeColor="text1"/>
          <w:sz w:val="28"/>
          <w:szCs w:val="28"/>
        </w:rPr>
        <w:t>%</w:t>
      </w:r>
      <w:r>
        <w:rPr>
          <w:color w:val="000000" w:themeColor="text1"/>
          <w:sz w:val="28"/>
          <w:szCs w:val="28"/>
        </w:rPr>
        <w:t>, при 12,6</w:t>
      </w:r>
      <w:r w:rsidR="00182FBD">
        <w:rPr>
          <w:color w:val="000000" w:themeColor="text1"/>
          <w:sz w:val="28"/>
          <w:szCs w:val="28"/>
        </w:rPr>
        <w:t>%</w:t>
      </w:r>
      <w:r>
        <w:rPr>
          <w:color w:val="000000" w:themeColor="text1"/>
          <w:sz w:val="28"/>
          <w:szCs w:val="28"/>
        </w:rPr>
        <w:t xml:space="preserve"> за 2022 г. и 10,3</w:t>
      </w:r>
      <w:r w:rsidR="00182FBD">
        <w:rPr>
          <w:color w:val="000000" w:themeColor="text1"/>
          <w:sz w:val="28"/>
          <w:szCs w:val="28"/>
        </w:rPr>
        <w:t>%</w:t>
      </w:r>
      <w:r>
        <w:rPr>
          <w:color w:val="000000" w:themeColor="text1"/>
          <w:sz w:val="28"/>
          <w:szCs w:val="28"/>
        </w:rPr>
        <w:t xml:space="preserve"> за 2021г. В </w:t>
      </w:r>
      <w:r w:rsidR="00182FBD">
        <w:rPr>
          <w:color w:val="000000" w:themeColor="text1"/>
          <w:sz w:val="28"/>
          <w:szCs w:val="28"/>
        </w:rPr>
        <w:t>ОП-Варна</w:t>
      </w:r>
      <w:r>
        <w:rPr>
          <w:color w:val="000000" w:themeColor="text1"/>
          <w:sz w:val="28"/>
          <w:szCs w:val="28"/>
        </w:rPr>
        <w:t xml:space="preserve"> е било образувано 1 БП, като останалите 832 бр. се водят под ръководството и надзора на прокурори от </w:t>
      </w:r>
      <w:r w:rsidR="00182FBD">
        <w:rPr>
          <w:color w:val="000000" w:themeColor="text1"/>
          <w:sz w:val="28"/>
          <w:szCs w:val="28"/>
        </w:rPr>
        <w:t>РП-Варна</w:t>
      </w:r>
      <w:r>
        <w:rPr>
          <w:color w:val="000000" w:themeColor="text1"/>
          <w:sz w:val="28"/>
          <w:szCs w:val="28"/>
        </w:rPr>
        <w:t xml:space="preserve">. </w:t>
      </w:r>
    </w:p>
    <w:p w:rsidR="00FD0EB3" w:rsidRDefault="00FD0EB3" w:rsidP="000059A2">
      <w:pPr>
        <w:numPr>
          <w:ilvl w:val="0"/>
          <w:numId w:val="14"/>
        </w:numPr>
        <w:ind w:left="0" w:firstLine="0"/>
        <w:contextualSpacing/>
        <w:jc w:val="both"/>
        <w:rPr>
          <w:color w:val="000000" w:themeColor="text1"/>
          <w:sz w:val="28"/>
          <w:szCs w:val="28"/>
        </w:rPr>
      </w:pPr>
      <w:r>
        <w:rPr>
          <w:color w:val="000000" w:themeColor="text1"/>
          <w:sz w:val="28"/>
          <w:szCs w:val="28"/>
        </w:rPr>
        <w:lastRenderedPageBreak/>
        <w:t xml:space="preserve">В отчетния период по 206 производства от този вид наблюдаващият прокурор е разпоредил разследването да продължи по общия ред, при 211 бр. за 2022 г. и 157 бр. за 2021 г. </w:t>
      </w:r>
    </w:p>
    <w:p w:rsidR="00FD0EB3" w:rsidRDefault="00FD0EB3" w:rsidP="000059A2">
      <w:pPr>
        <w:numPr>
          <w:ilvl w:val="0"/>
          <w:numId w:val="14"/>
        </w:numPr>
        <w:ind w:left="0" w:firstLine="0"/>
        <w:contextualSpacing/>
        <w:jc w:val="both"/>
        <w:rPr>
          <w:color w:val="000000" w:themeColor="text1"/>
          <w:sz w:val="28"/>
          <w:szCs w:val="28"/>
        </w:rPr>
      </w:pPr>
      <w:r>
        <w:rPr>
          <w:color w:val="000000" w:themeColor="text1"/>
          <w:sz w:val="28"/>
          <w:szCs w:val="28"/>
        </w:rPr>
        <w:t xml:space="preserve">И през този отчетен период се запазва добрата координация между полицейските органи, разследващите полицаи и прокурорите от </w:t>
      </w:r>
      <w:r w:rsidR="00182FBD">
        <w:rPr>
          <w:color w:val="000000" w:themeColor="text1"/>
          <w:sz w:val="28"/>
          <w:szCs w:val="28"/>
        </w:rPr>
        <w:t>РП-Варна</w:t>
      </w:r>
      <w:r>
        <w:rPr>
          <w:color w:val="000000" w:themeColor="text1"/>
          <w:sz w:val="28"/>
          <w:szCs w:val="28"/>
        </w:rPr>
        <w:t>, което се отразява и на бързината при провеждане на разследването и приключване на бързите производства в нормативно установените срокове.</w:t>
      </w:r>
    </w:p>
    <w:p w:rsidR="00FD0EB3" w:rsidRDefault="00FD0EB3" w:rsidP="000059A2">
      <w:pPr>
        <w:numPr>
          <w:ilvl w:val="0"/>
          <w:numId w:val="14"/>
        </w:numPr>
        <w:ind w:left="0" w:firstLine="0"/>
        <w:contextualSpacing/>
        <w:jc w:val="both"/>
        <w:rPr>
          <w:color w:val="000000" w:themeColor="text1"/>
          <w:sz w:val="28"/>
          <w:szCs w:val="28"/>
        </w:rPr>
      </w:pPr>
      <w:r>
        <w:rPr>
          <w:color w:val="000000" w:themeColor="text1"/>
          <w:sz w:val="28"/>
          <w:szCs w:val="28"/>
        </w:rPr>
        <w:t xml:space="preserve"> </w:t>
      </w:r>
      <w:r>
        <w:rPr>
          <w:sz w:val="28"/>
          <w:szCs w:val="28"/>
        </w:rPr>
        <w:t xml:space="preserve">Онагледено от диаграмата по- долу, през отчетния период за пореден път се </w:t>
      </w:r>
      <w:proofErr w:type="spellStart"/>
      <w:r>
        <w:rPr>
          <w:sz w:val="28"/>
          <w:szCs w:val="28"/>
        </w:rPr>
        <w:t>затвърждава</w:t>
      </w:r>
      <w:proofErr w:type="spellEnd"/>
      <w:r>
        <w:rPr>
          <w:sz w:val="28"/>
          <w:szCs w:val="28"/>
        </w:rPr>
        <w:t xml:space="preserve"> констатацията, че основният дял в делата на производство в съдебния окръг на </w:t>
      </w:r>
      <w:r w:rsidR="00182FBD">
        <w:rPr>
          <w:sz w:val="28"/>
          <w:szCs w:val="28"/>
        </w:rPr>
        <w:t>ОП-Варна</w:t>
      </w:r>
      <w:r>
        <w:rPr>
          <w:sz w:val="28"/>
          <w:szCs w:val="28"/>
        </w:rPr>
        <w:t xml:space="preserve"> представляват тези разследвани по общия ред от разследващ полицай, което се обяснява с действащата законодателна уредба. </w:t>
      </w:r>
    </w:p>
    <w:p w:rsidR="00FD0EB3" w:rsidRDefault="00FD0EB3" w:rsidP="002752BE">
      <w:pPr>
        <w:jc w:val="both"/>
        <w:rPr>
          <w:sz w:val="28"/>
          <w:szCs w:val="28"/>
        </w:rPr>
      </w:pPr>
    </w:p>
    <w:p w:rsidR="00FD0EB3" w:rsidRDefault="00FD0EB3" w:rsidP="002752BE">
      <w:pPr>
        <w:jc w:val="both"/>
        <w:rPr>
          <w:sz w:val="28"/>
          <w:szCs w:val="28"/>
        </w:rPr>
      </w:pPr>
      <w:r>
        <w:rPr>
          <w:noProof/>
        </w:rPr>
        <w:drawing>
          <wp:inline distT="0" distB="0" distL="0" distR="0" wp14:anchorId="4BDFB1A5" wp14:editId="5FAEF4DC">
            <wp:extent cx="5747385" cy="2339340"/>
            <wp:effectExtent l="0" t="0" r="24765" b="22860"/>
            <wp:docPr id="19" name="Ди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0EB3" w:rsidRDefault="00FD0EB3" w:rsidP="000059A2">
      <w:pPr>
        <w:numPr>
          <w:ilvl w:val="0"/>
          <w:numId w:val="14"/>
        </w:numPr>
        <w:ind w:left="0" w:firstLine="0"/>
        <w:contextualSpacing/>
        <w:jc w:val="both"/>
        <w:rPr>
          <w:sz w:val="28"/>
          <w:szCs w:val="28"/>
        </w:rPr>
      </w:pPr>
      <w:r>
        <w:rPr>
          <w:sz w:val="28"/>
          <w:szCs w:val="28"/>
        </w:rPr>
        <w:t>Разследващите полицаи традиционно водят над 95</w:t>
      </w:r>
      <w:r w:rsidR="00182FBD">
        <w:rPr>
          <w:sz w:val="28"/>
          <w:szCs w:val="28"/>
        </w:rPr>
        <w:t>%</w:t>
      </w:r>
      <w:r>
        <w:rPr>
          <w:sz w:val="28"/>
          <w:szCs w:val="28"/>
        </w:rPr>
        <w:t xml:space="preserve"> от делата.  </w:t>
      </w:r>
    </w:p>
    <w:p w:rsidR="00FD0EB3" w:rsidRDefault="00FD0EB3" w:rsidP="002752BE">
      <w:pPr>
        <w:jc w:val="both"/>
        <w:rPr>
          <w:sz w:val="28"/>
          <w:szCs w:val="28"/>
        </w:rPr>
      </w:pPr>
      <w:r>
        <w:rPr>
          <w:sz w:val="28"/>
          <w:szCs w:val="28"/>
        </w:rPr>
        <w:t>Броят на новообразуваните дела, разследвани от следовател за 2023 г. е 110,</w:t>
      </w:r>
      <w:r>
        <w:t xml:space="preserve"> </w:t>
      </w:r>
      <w:r>
        <w:rPr>
          <w:sz w:val="28"/>
          <w:szCs w:val="28"/>
        </w:rPr>
        <w:t>като заедно с възложените  по реда на чл.194, ал.1, т.4 от НПК са общо 236 /при 562 бр. на производство/. Наблюдава се увеличение на наблюдаваните ДП, разследвани от следовател с 13,1</w:t>
      </w:r>
      <w:r w:rsidR="00182FBD">
        <w:rPr>
          <w:sz w:val="28"/>
          <w:szCs w:val="28"/>
        </w:rPr>
        <w:t>%</w:t>
      </w:r>
      <w:r>
        <w:rPr>
          <w:sz w:val="28"/>
          <w:szCs w:val="28"/>
        </w:rPr>
        <w:t xml:space="preserve"> в сравнение с предходния отчетен период и със 7,87</w:t>
      </w:r>
      <w:r w:rsidR="00182FBD">
        <w:rPr>
          <w:sz w:val="28"/>
          <w:szCs w:val="28"/>
        </w:rPr>
        <w:t>%</w:t>
      </w:r>
      <w:r>
        <w:rPr>
          <w:sz w:val="28"/>
          <w:szCs w:val="28"/>
        </w:rPr>
        <w:t xml:space="preserve"> сравнено с 2021 г. </w:t>
      </w:r>
    </w:p>
    <w:p w:rsidR="00FD0EB3" w:rsidRDefault="00FD0EB3" w:rsidP="000059A2">
      <w:pPr>
        <w:numPr>
          <w:ilvl w:val="0"/>
          <w:numId w:val="14"/>
        </w:numPr>
        <w:ind w:left="0" w:firstLine="0"/>
        <w:contextualSpacing/>
        <w:jc w:val="both"/>
        <w:rPr>
          <w:sz w:val="28"/>
          <w:szCs w:val="28"/>
        </w:rPr>
      </w:pPr>
      <w:r>
        <w:rPr>
          <w:sz w:val="28"/>
          <w:szCs w:val="28"/>
        </w:rPr>
        <w:t>Съотношението между общ брой разследвани дела и тези, разследвани от следовател е 2,5</w:t>
      </w:r>
      <w:r w:rsidR="00182FBD">
        <w:rPr>
          <w:sz w:val="28"/>
          <w:szCs w:val="28"/>
        </w:rPr>
        <w:t>%</w:t>
      </w:r>
      <w:r>
        <w:rPr>
          <w:sz w:val="28"/>
          <w:szCs w:val="28"/>
        </w:rPr>
        <w:t>. Факт е, че делата от компетентност на следствените органи по волята на законодателя, както и тези, възложени им от административния ръководител, се отличават с фактическа и правна сложност, значителен обем от фактически материал и многообразие на инкриминираната дейност, но ресурсът на този разследващ орган все още не е усвоен в достатъчна степен.</w:t>
      </w:r>
    </w:p>
    <w:p w:rsidR="00FD0EB3" w:rsidRDefault="00FD0EB3" w:rsidP="002752BE">
      <w:pPr>
        <w:jc w:val="both"/>
        <w:rPr>
          <w:sz w:val="28"/>
          <w:szCs w:val="28"/>
        </w:rPr>
      </w:pPr>
    </w:p>
    <w:p w:rsidR="00FD0EB3" w:rsidRDefault="00FD0EB3" w:rsidP="002752BE">
      <w:pPr>
        <w:jc w:val="both"/>
        <w:rPr>
          <w:sz w:val="28"/>
          <w:szCs w:val="28"/>
        </w:rPr>
      </w:pPr>
      <w:r>
        <w:rPr>
          <w:b/>
          <w:noProof/>
          <w:color w:val="FFC000"/>
        </w:rPr>
        <w:lastRenderedPageBreak/>
        <w:drawing>
          <wp:inline distT="0" distB="0" distL="0" distR="0" wp14:anchorId="55F487AB" wp14:editId="21058C9B">
            <wp:extent cx="6056630" cy="3313430"/>
            <wp:effectExtent l="247650" t="190500" r="248920" b="306070"/>
            <wp:docPr id="20" name="Диагра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0EB3" w:rsidRDefault="00FD0EB3" w:rsidP="000059A2">
      <w:pPr>
        <w:numPr>
          <w:ilvl w:val="0"/>
          <w:numId w:val="14"/>
        </w:numPr>
        <w:ind w:left="0" w:firstLine="0"/>
        <w:contextualSpacing/>
        <w:jc w:val="both"/>
        <w:rPr>
          <w:sz w:val="28"/>
          <w:szCs w:val="28"/>
        </w:rPr>
      </w:pPr>
      <w:r>
        <w:rPr>
          <w:sz w:val="28"/>
          <w:szCs w:val="28"/>
        </w:rPr>
        <w:t xml:space="preserve">По данни, предоставени от Директора на ОД на МВР процентът </w:t>
      </w:r>
      <w:proofErr w:type="spellStart"/>
      <w:r>
        <w:rPr>
          <w:sz w:val="28"/>
          <w:szCs w:val="28"/>
        </w:rPr>
        <w:t>разкриваемост</w:t>
      </w:r>
      <w:proofErr w:type="spellEnd"/>
      <w:r>
        <w:rPr>
          <w:sz w:val="28"/>
          <w:szCs w:val="28"/>
        </w:rPr>
        <w:t xml:space="preserve"> на регистрираните престъпления за 2023 г. 43,7</w:t>
      </w:r>
      <w:r w:rsidR="00182FBD">
        <w:rPr>
          <w:sz w:val="28"/>
          <w:szCs w:val="28"/>
        </w:rPr>
        <w:t>%</w:t>
      </w:r>
      <w:r w:rsidR="006218D1">
        <w:rPr>
          <w:sz w:val="28"/>
          <w:szCs w:val="28"/>
        </w:rPr>
        <w:t>,</w:t>
      </w:r>
      <w:r>
        <w:rPr>
          <w:sz w:val="28"/>
          <w:szCs w:val="28"/>
        </w:rPr>
        <w:t xml:space="preserve"> като за 2022 г. е 43,4</w:t>
      </w:r>
      <w:r w:rsidR="00182FBD">
        <w:rPr>
          <w:sz w:val="28"/>
          <w:szCs w:val="28"/>
        </w:rPr>
        <w:t>%</w:t>
      </w:r>
      <w:r>
        <w:rPr>
          <w:sz w:val="28"/>
          <w:szCs w:val="28"/>
        </w:rPr>
        <w:t>, а за 2021 г. е бил 39,5</w:t>
      </w:r>
      <w:r w:rsidR="00182FBD">
        <w:rPr>
          <w:sz w:val="28"/>
          <w:szCs w:val="28"/>
        </w:rPr>
        <w:t>%</w:t>
      </w:r>
      <w:r>
        <w:rPr>
          <w:sz w:val="28"/>
          <w:szCs w:val="28"/>
        </w:rPr>
        <w:t xml:space="preserve">. Видна е тенденцията за  относителна устойчивост по този показател, което е един добър белег за дейността на полицейските органи. </w:t>
      </w:r>
    </w:p>
    <w:p w:rsidR="00FD0EB3" w:rsidRDefault="00FD0EB3" w:rsidP="000059A2">
      <w:pPr>
        <w:numPr>
          <w:ilvl w:val="0"/>
          <w:numId w:val="14"/>
        </w:numPr>
        <w:ind w:left="0" w:firstLine="0"/>
        <w:contextualSpacing/>
        <w:jc w:val="both"/>
        <w:rPr>
          <w:sz w:val="28"/>
          <w:szCs w:val="28"/>
        </w:rPr>
      </w:pPr>
      <w:r>
        <w:rPr>
          <w:sz w:val="28"/>
          <w:szCs w:val="28"/>
        </w:rPr>
        <w:t>Най- много образувани ДП има по глава V от НК „Престъпления против собствеността“- 3771 бр., следвани от тези по глава ХІ „</w:t>
      </w:r>
      <w:proofErr w:type="spellStart"/>
      <w:r>
        <w:rPr>
          <w:sz w:val="28"/>
          <w:szCs w:val="28"/>
        </w:rPr>
        <w:t>Общоопасни</w:t>
      </w:r>
      <w:proofErr w:type="spellEnd"/>
      <w:r>
        <w:rPr>
          <w:sz w:val="28"/>
          <w:szCs w:val="28"/>
        </w:rPr>
        <w:t xml:space="preserve"> престъпления”- 2056 бр., а на трето място- по глава ІІ „Престъпления против личността” – 869 бр. </w:t>
      </w:r>
    </w:p>
    <w:p w:rsidR="00FD0EB3" w:rsidRDefault="00FD0EB3" w:rsidP="000059A2">
      <w:pPr>
        <w:numPr>
          <w:ilvl w:val="0"/>
          <w:numId w:val="14"/>
        </w:numPr>
        <w:ind w:left="0" w:firstLine="0"/>
        <w:contextualSpacing/>
        <w:jc w:val="both"/>
        <w:rPr>
          <w:sz w:val="28"/>
          <w:szCs w:val="28"/>
        </w:rPr>
      </w:pPr>
      <w:r>
        <w:rPr>
          <w:sz w:val="28"/>
          <w:szCs w:val="28"/>
        </w:rPr>
        <w:t xml:space="preserve">Забелязва се </w:t>
      </w:r>
      <w:r>
        <w:rPr>
          <w:sz w:val="28"/>
          <w:szCs w:val="28"/>
          <w:u w:val="single"/>
        </w:rPr>
        <w:t>значителен ръст</w:t>
      </w:r>
      <w:r>
        <w:rPr>
          <w:sz w:val="28"/>
          <w:szCs w:val="28"/>
        </w:rPr>
        <w:t xml:space="preserve"> при пострадалите физически лица през отчетния период- 5028, от които 2966 мъже и 2062 жени. В сравнение с 2022 г., когато пострадалите лица са били 3878 се наблюдава драстично завишаване на данните с 29,65</w:t>
      </w:r>
      <w:r w:rsidR="00182FBD">
        <w:rPr>
          <w:sz w:val="28"/>
          <w:szCs w:val="28"/>
        </w:rPr>
        <w:t>%</w:t>
      </w:r>
      <w:r>
        <w:rPr>
          <w:sz w:val="28"/>
          <w:szCs w:val="28"/>
        </w:rPr>
        <w:t>, а спрямо 2021 г. нарастването е 41,4%</w:t>
      </w:r>
      <w:r w:rsidR="006218D1">
        <w:rPr>
          <w:sz w:val="28"/>
          <w:szCs w:val="28"/>
        </w:rPr>
        <w:t>.</w:t>
      </w:r>
    </w:p>
    <w:p w:rsidR="00FD0EB3" w:rsidRDefault="00FD0EB3" w:rsidP="000059A2">
      <w:pPr>
        <w:numPr>
          <w:ilvl w:val="0"/>
          <w:numId w:val="14"/>
        </w:numPr>
        <w:ind w:left="0" w:firstLine="0"/>
        <w:contextualSpacing/>
        <w:jc w:val="both"/>
        <w:rPr>
          <w:sz w:val="28"/>
          <w:szCs w:val="28"/>
        </w:rPr>
      </w:pPr>
      <w:r>
        <w:rPr>
          <w:sz w:val="28"/>
          <w:szCs w:val="28"/>
        </w:rPr>
        <w:t>Отчита се тревожна тенденция в увеличаване на броя пострадали лица, които са малолетни и непълнолетни. За отчетния период процентът на пострадали непълнолетни лица се е увеличил с 85</w:t>
      </w:r>
      <w:r w:rsidR="00182FBD">
        <w:rPr>
          <w:sz w:val="28"/>
          <w:szCs w:val="28"/>
        </w:rPr>
        <w:t>%</w:t>
      </w:r>
      <w:r>
        <w:rPr>
          <w:sz w:val="28"/>
          <w:szCs w:val="28"/>
        </w:rPr>
        <w:t>, а при малолетните пострадали лица увеличението е 73,17</w:t>
      </w:r>
      <w:r w:rsidR="00182FBD">
        <w:rPr>
          <w:sz w:val="28"/>
          <w:szCs w:val="28"/>
        </w:rPr>
        <w:t>%</w:t>
      </w:r>
      <w:r>
        <w:rPr>
          <w:sz w:val="28"/>
          <w:szCs w:val="28"/>
        </w:rPr>
        <w:t>.</w:t>
      </w:r>
    </w:p>
    <w:p w:rsidR="00FD0EB3" w:rsidRDefault="00FD0EB3" w:rsidP="000059A2">
      <w:pPr>
        <w:numPr>
          <w:ilvl w:val="0"/>
          <w:numId w:val="14"/>
        </w:numPr>
        <w:ind w:left="0" w:firstLine="0"/>
        <w:contextualSpacing/>
        <w:jc w:val="both"/>
        <w:rPr>
          <w:sz w:val="28"/>
          <w:szCs w:val="28"/>
        </w:rPr>
      </w:pPr>
      <w:r>
        <w:rPr>
          <w:sz w:val="28"/>
          <w:szCs w:val="28"/>
        </w:rPr>
        <w:t xml:space="preserve"> Ощетените юридически лица за периода са 251, което в сравнение с 2022 г.- 48 бележи значителен ръст от 422</w:t>
      </w:r>
      <w:r w:rsidR="00182FBD">
        <w:rPr>
          <w:sz w:val="28"/>
          <w:szCs w:val="28"/>
        </w:rPr>
        <w:t>%</w:t>
      </w:r>
      <w:r>
        <w:rPr>
          <w:sz w:val="28"/>
          <w:szCs w:val="28"/>
        </w:rPr>
        <w:t>, а спрямо 2021 г. е 617</w:t>
      </w:r>
      <w:r w:rsidR="00182FBD">
        <w:rPr>
          <w:sz w:val="28"/>
          <w:szCs w:val="28"/>
        </w:rPr>
        <w:t>%</w:t>
      </w:r>
      <w:r>
        <w:rPr>
          <w:sz w:val="28"/>
          <w:szCs w:val="28"/>
        </w:rPr>
        <w:t>.</w:t>
      </w:r>
    </w:p>
    <w:p w:rsidR="002752BE" w:rsidRDefault="002752BE" w:rsidP="00FD0EB3">
      <w:pPr>
        <w:ind w:firstLine="426"/>
        <w:jc w:val="both"/>
        <w:rPr>
          <w:color w:val="948A54" w:themeColor="background2" w:themeShade="80"/>
          <w:sz w:val="28"/>
          <w:szCs w:val="28"/>
          <w:lang w:val="en-US"/>
        </w:rPr>
      </w:pPr>
    </w:p>
    <w:p w:rsidR="002752BE" w:rsidRDefault="002752BE" w:rsidP="00FD0EB3">
      <w:pPr>
        <w:ind w:firstLine="426"/>
        <w:jc w:val="both"/>
        <w:rPr>
          <w:color w:val="948A54" w:themeColor="background2" w:themeShade="80"/>
          <w:sz w:val="28"/>
          <w:szCs w:val="28"/>
          <w:lang w:val="en-US"/>
        </w:rPr>
      </w:pPr>
    </w:p>
    <w:p w:rsidR="002752BE" w:rsidRDefault="002752BE" w:rsidP="00FD0EB3">
      <w:pPr>
        <w:ind w:firstLine="426"/>
        <w:jc w:val="both"/>
        <w:rPr>
          <w:color w:val="948A54" w:themeColor="background2" w:themeShade="80"/>
          <w:sz w:val="28"/>
          <w:szCs w:val="28"/>
          <w:lang w:val="en-US"/>
        </w:rPr>
      </w:pPr>
    </w:p>
    <w:p w:rsidR="002752BE" w:rsidRDefault="002752BE" w:rsidP="00FD0EB3">
      <w:pPr>
        <w:ind w:firstLine="426"/>
        <w:jc w:val="both"/>
        <w:rPr>
          <w:color w:val="948A54" w:themeColor="background2" w:themeShade="80"/>
          <w:sz w:val="28"/>
          <w:szCs w:val="28"/>
          <w:lang w:val="en-US"/>
        </w:rPr>
      </w:pPr>
    </w:p>
    <w:p w:rsidR="002752BE" w:rsidRDefault="002752BE" w:rsidP="00FD0EB3">
      <w:pPr>
        <w:ind w:firstLine="426"/>
        <w:jc w:val="both"/>
        <w:rPr>
          <w:color w:val="948A54" w:themeColor="background2" w:themeShade="80"/>
          <w:sz w:val="28"/>
          <w:szCs w:val="28"/>
          <w:lang w:val="en-US"/>
        </w:rPr>
      </w:pPr>
    </w:p>
    <w:p w:rsidR="00FD0EB3" w:rsidRPr="003E3928" w:rsidRDefault="00FD0EB3" w:rsidP="00FD0EB3">
      <w:pPr>
        <w:ind w:firstLine="426"/>
        <w:jc w:val="both"/>
        <w:rPr>
          <w:color w:val="002060"/>
          <w:sz w:val="28"/>
          <w:szCs w:val="28"/>
        </w:rPr>
      </w:pPr>
      <w:r w:rsidRPr="003E3928">
        <w:rPr>
          <w:color w:val="002060"/>
          <w:sz w:val="28"/>
          <w:szCs w:val="28"/>
        </w:rPr>
        <w:lastRenderedPageBreak/>
        <w:t xml:space="preserve">Онагледено данните за разследванията, съобразно систематиката на НК, са представени в съпоставителната таблица по-долу, която илюстрира тенденциите през последните три години: </w:t>
      </w:r>
    </w:p>
    <w:tbl>
      <w:tblPr>
        <w:tblW w:w="9989" w:type="dxa"/>
        <w:tblInd w:w="-214" w:type="dxa"/>
        <w:tblCellMar>
          <w:left w:w="70" w:type="dxa"/>
          <w:right w:w="70" w:type="dxa"/>
        </w:tblCellMar>
        <w:tblLook w:val="04A0" w:firstRow="1" w:lastRow="0" w:firstColumn="1" w:lastColumn="0" w:noHBand="0" w:noVBand="1"/>
      </w:tblPr>
      <w:tblGrid>
        <w:gridCol w:w="1820"/>
        <w:gridCol w:w="541"/>
        <w:gridCol w:w="541"/>
        <w:gridCol w:w="600"/>
        <w:gridCol w:w="541"/>
        <w:gridCol w:w="487"/>
        <w:gridCol w:w="541"/>
        <w:gridCol w:w="541"/>
        <w:gridCol w:w="600"/>
        <w:gridCol w:w="541"/>
        <w:gridCol w:w="487"/>
        <w:gridCol w:w="541"/>
        <w:gridCol w:w="541"/>
        <w:gridCol w:w="600"/>
        <w:gridCol w:w="580"/>
        <w:gridCol w:w="487"/>
      </w:tblGrid>
      <w:tr w:rsidR="00FD0EB3" w:rsidTr="00FD0EB3">
        <w:trPr>
          <w:trHeight w:val="293"/>
        </w:trPr>
        <w:tc>
          <w:tcPr>
            <w:tcW w:w="1820" w:type="dxa"/>
            <w:vMerge w:val="restart"/>
            <w:tcBorders>
              <w:top w:val="single" w:sz="8" w:space="0" w:color="auto"/>
              <w:left w:val="single" w:sz="8" w:space="0" w:color="auto"/>
              <w:bottom w:val="single" w:sz="8" w:space="0" w:color="000000"/>
              <w:right w:val="single" w:sz="8" w:space="0" w:color="auto"/>
            </w:tcBorders>
            <w:shd w:val="clear" w:color="auto" w:fill="F2F2F2"/>
            <w:noWrap/>
            <w:vAlign w:val="center"/>
            <w:hideMark/>
          </w:tcPr>
          <w:p w:rsidR="00FD0EB3" w:rsidRDefault="00FD0EB3">
            <w:pPr>
              <w:jc w:val="center"/>
              <w:rPr>
                <w:rFonts w:ascii="Arial" w:hAnsi="Arial" w:cs="Arial"/>
                <w:sz w:val="20"/>
                <w:szCs w:val="20"/>
              </w:rPr>
            </w:pPr>
            <w:bookmarkStart w:id="1" w:name="_Hlk157610751"/>
            <w:bookmarkStart w:id="2" w:name="_Hlk157608408"/>
            <w:bookmarkStart w:id="3" w:name="_Hlk157608459"/>
            <w:r>
              <w:rPr>
                <w:rFonts w:ascii="Arial" w:hAnsi="Arial" w:cs="Arial"/>
                <w:sz w:val="20"/>
                <w:szCs w:val="20"/>
              </w:rPr>
              <w:t>Глава от НК</w:t>
            </w:r>
          </w:p>
        </w:tc>
        <w:tc>
          <w:tcPr>
            <w:tcW w:w="2710" w:type="dxa"/>
            <w:gridSpan w:val="5"/>
            <w:tcBorders>
              <w:top w:val="single" w:sz="8" w:space="0" w:color="auto"/>
              <w:left w:val="nil"/>
              <w:bottom w:val="single" w:sz="8" w:space="0" w:color="auto"/>
              <w:right w:val="single" w:sz="8" w:space="0" w:color="000000"/>
            </w:tcBorders>
            <w:shd w:val="clear" w:color="auto" w:fill="FDE9D9"/>
            <w:noWrap/>
            <w:vAlign w:val="bottom"/>
            <w:hideMark/>
          </w:tcPr>
          <w:p w:rsidR="00FD0EB3" w:rsidRDefault="00FD0EB3">
            <w:pPr>
              <w:jc w:val="center"/>
              <w:rPr>
                <w:rFonts w:ascii="Arial" w:hAnsi="Arial" w:cs="Arial"/>
                <w:b/>
                <w:sz w:val="20"/>
                <w:szCs w:val="20"/>
              </w:rPr>
            </w:pPr>
            <w:r>
              <w:rPr>
                <w:rFonts w:ascii="Arial" w:hAnsi="Arial" w:cs="Arial"/>
                <w:b/>
                <w:sz w:val="20"/>
                <w:szCs w:val="20"/>
              </w:rPr>
              <w:t>2021 г.</w:t>
            </w:r>
          </w:p>
        </w:tc>
        <w:tc>
          <w:tcPr>
            <w:tcW w:w="2710" w:type="dxa"/>
            <w:gridSpan w:val="5"/>
            <w:tcBorders>
              <w:top w:val="single" w:sz="8" w:space="0" w:color="auto"/>
              <w:left w:val="nil"/>
              <w:bottom w:val="single" w:sz="8" w:space="0" w:color="auto"/>
              <w:right w:val="single" w:sz="8" w:space="0" w:color="000000"/>
            </w:tcBorders>
            <w:shd w:val="clear" w:color="auto" w:fill="DCE6F1"/>
            <w:noWrap/>
            <w:vAlign w:val="bottom"/>
            <w:hideMark/>
          </w:tcPr>
          <w:p w:rsidR="00FD0EB3" w:rsidRDefault="00FD0EB3">
            <w:pPr>
              <w:jc w:val="center"/>
              <w:rPr>
                <w:rFonts w:ascii="Arial" w:hAnsi="Arial" w:cs="Arial"/>
                <w:b/>
                <w:bCs/>
                <w:sz w:val="20"/>
                <w:szCs w:val="20"/>
              </w:rPr>
            </w:pPr>
            <w:r>
              <w:rPr>
                <w:rFonts w:ascii="Arial" w:hAnsi="Arial" w:cs="Arial"/>
                <w:b/>
                <w:bCs/>
                <w:sz w:val="20"/>
                <w:szCs w:val="20"/>
              </w:rPr>
              <w:t>2022 г.</w:t>
            </w:r>
          </w:p>
        </w:tc>
        <w:tc>
          <w:tcPr>
            <w:tcW w:w="2749" w:type="dxa"/>
            <w:gridSpan w:val="5"/>
            <w:tcBorders>
              <w:top w:val="single" w:sz="8" w:space="0" w:color="auto"/>
              <w:left w:val="nil"/>
              <w:bottom w:val="single" w:sz="8" w:space="0" w:color="auto"/>
              <w:right w:val="single" w:sz="8" w:space="0" w:color="000000"/>
            </w:tcBorders>
            <w:shd w:val="clear" w:color="auto" w:fill="F2F2F2"/>
            <w:noWrap/>
            <w:vAlign w:val="bottom"/>
            <w:hideMark/>
          </w:tcPr>
          <w:p w:rsidR="00FD0EB3" w:rsidRDefault="00FD0EB3">
            <w:pPr>
              <w:jc w:val="center"/>
              <w:rPr>
                <w:rFonts w:ascii="Arial" w:hAnsi="Arial" w:cs="Arial"/>
                <w:b/>
                <w:sz w:val="20"/>
                <w:szCs w:val="20"/>
              </w:rPr>
            </w:pPr>
            <w:r>
              <w:rPr>
                <w:rFonts w:ascii="Arial" w:hAnsi="Arial" w:cs="Arial"/>
                <w:b/>
                <w:sz w:val="20"/>
                <w:szCs w:val="20"/>
              </w:rPr>
              <w:t>2023 г.</w:t>
            </w:r>
          </w:p>
        </w:tc>
      </w:tr>
      <w:tr w:rsidR="00FD0EB3" w:rsidTr="00FD0EB3">
        <w:trPr>
          <w:trHeight w:val="41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D0EB3" w:rsidRDefault="00FD0EB3">
            <w:pPr>
              <w:rPr>
                <w:rFonts w:ascii="Arial" w:hAnsi="Arial" w:cs="Arial"/>
                <w:sz w:val="20"/>
                <w:szCs w:val="20"/>
              </w:rPr>
            </w:pPr>
            <w:bookmarkStart w:id="4" w:name="_Hlk157608574" w:colFirst="1" w:colLast="14"/>
            <w:bookmarkStart w:id="5" w:name="_Hlk157608490" w:colFirst="1" w:colLast="15"/>
          </w:p>
        </w:tc>
        <w:tc>
          <w:tcPr>
            <w:tcW w:w="541" w:type="dxa"/>
            <w:vMerge w:val="restart"/>
            <w:tcBorders>
              <w:top w:val="nil"/>
              <w:left w:val="nil"/>
              <w:bottom w:val="single" w:sz="4" w:space="0" w:color="000000"/>
              <w:right w:val="single" w:sz="4" w:space="0" w:color="auto"/>
            </w:tcBorders>
            <w:shd w:val="clear" w:color="auto" w:fill="FDE9D9"/>
            <w:textDirection w:val="btLr"/>
            <w:vAlign w:val="center"/>
            <w:hideMark/>
          </w:tcPr>
          <w:p w:rsidR="00FD0EB3" w:rsidRDefault="00FD0EB3">
            <w:pPr>
              <w:jc w:val="center"/>
              <w:rPr>
                <w:rFonts w:ascii="Arial" w:hAnsi="Arial" w:cs="Arial"/>
                <w:sz w:val="20"/>
                <w:szCs w:val="20"/>
              </w:rPr>
            </w:pPr>
            <w:r>
              <w:rPr>
                <w:rFonts w:ascii="Arial" w:hAnsi="Arial" w:cs="Arial"/>
                <w:sz w:val="20"/>
                <w:szCs w:val="20"/>
              </w:rPr>
              <w:t>Новообразувани ДП</w:t>
            </w:r>
          </w:p>
        </w:tc>
        <w:tc>
          <w:tcPr>
            <w:tcW w:w="541" w:type="dxa"/>
            <w:vMerge w:val="restart"/>
            <w:tcBorders>
              <w:top w:val="nil"/>
              <w:left w:val="single" w:sz="4" w:space="0" w:color="auto"/>
              <w:bottom w:val="single" w:sz="4" w:space="0" w:color="000000"/>
              <w:right w:val="single" w:sz="4" w:space="0" w:color="auto"/>
            </w:tcBorders>
            <w:shd w:val="clear" w:color="auto" w:fill="FDE9D9"/>
            <w:textDirection w:val="btLr"/>
            <w:vAlign w:val="center"/>
            <w:hideMark/>
          </w:tcPr>
          <w:p w:rsidR="00FD0EB3" w:rsidRDefault="00FD0EB3">
            <w:pPr>
              <w:jc w:val="center"/>
              <w:rPr>
                <w:rFonts w:ascii="Arial" w:hAnsi="Arial" w:cs="Arial"/>
                <w:sz w:val="20"/>
                <w:szCs w:val="20"/>
              </w:rPr>
            </w:pPr>
            <w:r>
              <w:rPr>
                <w:rFonts w:ascii="Arial" w:hAnsi="Arial" w:cs="Arial"/>
                <w:sz w:val="20"/>
                <w:szCs w:val="20"/>
              </w:rPr>
              <w:t>Внесени в съда прокурорски актове</w:t>
            </w:r>
          </w:p>
        </w:tc>
        <w:tc>
          <w:tcPr>
            <w:tcW w:w="600" w:type="dxa"/>
            <w:vMerge w:val="restart"/>
            <w:tcBorders>
              <w:top w:val="nil"/>
              <w:left w:val="single" w:sz="4" w:space="0" w:color="auto"/>
              <w:bottom w:val="single" w:sz="4" w:space="0" w:color="000000"/>
              <w:right w:val="single" w:sz="4" w:space="0" w:color="auto"/>
            </w:tcBorders>
            <w:shd w:val="clear" w:color="auto" w:fill="FDE9D9"/>
            <w:textDirection w:val="btLr"/>
            <w:vAlign w:val="center"/>
            <w:hideMark/>
          </w:tcPr>
          <w:p w:rsidR="00FD0EB3" w:rsidRDefault="00FD0EB3">
            <w:pPr>
              <w:jc w:val="center"/>
              <w:rPr>
                <w:rFonts w:ascii="Arial" w:hAnsi="Arial" w:cs="Arial"/>
                <w:sz w:val="20"/>
                <w:szCs w:val="20"/>
              </w:rPr>
            </w:pPr>
            <w:r>
              <w:rPr>
                <w:rFonts w:ascii="Arial" w:hAnsi="Arial" w:cs="Arial"/>
                <w:sz w:val="20"/>
                <w:szCs w:val="20"/>
              </w:rPr>
              <w:t>Общ брой лица по внесените прокурорски актове</w:t>
            </w:r>
          </w:p>
        </w:tc>
        <w:tc>
          <w:tcPr>
            <w:tcW w:w="1028" w:type="dxa"/>
            <w:gridSpan w:val="2"/>
            <w:tcBorders>
              <w:top w:val="nil"/>
              <w:left w:val="nil"/>
              <w:bottom w:val="single" w:sz="4" w:space="0" w:color="auto"/>
              <w:right w:val="single" w:sz="4" w:space="0" w:color="auto"/>
            </w:tcBorders>
            <w:shd w:val="clear" w:color="auto" w:fill="FDE9D9"/>
            <w:textDirection w:val="btLr"/>
            <w:vAlign w:val="center"/>
            <w:hideMark/>
          </w:tcPr>
          <w:p w:rsidR="00FD0EB3" w:rsidRDefault="00FD0EB3">
            <w:pPr>
              <w:jc w:val="center"/>
              <w:rPr>
                <w:rFonts w:ascii="Arial" w:hAnsi="Arial" w:cs="Arial"/>
                <w:sz w:val="20"/>
                <w:szCs w:val="20"/>
              </w:rPr>
            </w:pPr>
            <w:r>
              <w:rPr>
                <w:rFonts w:ascii="Arial" w:hAnsi="Arial" w:cs="Arial"/>
                <w:sz w:val="20"/>
                <w:szCs w:val="20"/>
              </w:rPr>
              <w:t>Пострадали физически и юридически лица по новообразувани ДП</w:t>
            </w:r>
          </w:p>
        </w:tc>
        <w:tc>
          <w:tcPr>
            <w:tcW w:w="541" w:type="dxa"/>
            <w:vMerge w:val="restart"/>
            <w:tcBorders>
              <w:top w:val="nil"/>
              <w:left w:val="single" w:sz="4" w:space="0" w:color="auto"/>
              <w:bottom w:val="single" w:sz="4" w:space="0" w:color="000000"/>
              <w:right w:val="single" w:sz="4" w:space="0" w:color="auto"/>
            </w:tcBorders>
            <w:shd w:val="clear" w:color="auto" w:fill="DCE6F1"/>
            <w:textDirection w:val="btLr"/>
            <w:vAlign w:val="center"/>
            <w:hideMark/>
          </w:tcPr>
          <w:p w:rsidR="00FD0EB3" w:rsidRDefault="00FD0EB3">
            <w:pPr>
              <w:jc w:val="center"/>
              <w:rPr>
                <w:rFonts w:ascii="Arial" w:hAnsi="Arial" w:cs="Arial"/>
                <w:sz w:val="20"/>
                <w:szCs w:val="20"/>
              </w:rPr>
            </w:pPr>
            <w:r>
              <w:rPr>
                <w:rFonts w:ascii="Arial" w:hAnsi="Arial" w:cs="Arial"/>
                <w:sz w:val="20"/>
                <w:szCs w:val="20"/>
              </w:rPr>
              <w:t>Новообразувани ДП</w:t>
            </w:r>
          </w:p>
        </w:tc>
        <w:tc>
          <w:tcPr>
            <w:tcW w:w="541" w:type="dxa"/>
            <w:vMerge w:val="restart"/>
            <w:tcBorders>
              <w:top w:val="nil"/>
              <w:left w:val="single" w:sz="4" w:space="0" w:color="auto"/>
              <w:bottom w:val="single" w:sz="4" w:space="0" w:color="000000"/>
              <w:right w:val="single" w:sz="4" w:space="0" w:color="auto"/>
            </w:tcBorders>
            <w:shd w:val="clear" w:color="auto" w:fill="DCE6F1"/>
            <w:textDirection w:val="btLr"/>
            <w:vAlign w:val="center"/>
            <w:hideMark/>
          </w:tcPr>
          <w:p w:rsidR="00FD0EB3" w:rsidRDefault="00FD0EB3">
            <w:pPr>
              <w:jc w:val="center"/>
              <w:rPr>
                <w:rFonts w:ascii="Arial" w:hAnsi="Arial" w:cs="Arial"/>
                <w:sz w:val="20"/>
                <w:szCs w:val="20"/>
              </w:rPr>
            </w:pPr>
            <w:r>
              <w:rPr>
                <w:rFonts w:ascii="Arial" w:hAnsi="Arial" w:cs="Arial"/>
                <w:sz w:val="20"/>
                <w:szCs w:val="20"/>
              </w:rPr>
              <w:t>Внесени в съда прокурорски актове</w:t>
            </w:r>
          </w:p>
        </w:tc>
        <w:tc>
          <w:tcPr>
            <w:tcW w:w="600" w:type="dxa"/>
            <w:vMerge w:val="restart"/>
            <w:tcBorders>
              <w:top w:val="nil"/>
              <w:left w:val="single" w:sz="4" w:space="0" w:color="auto"/>
              <w:bottom w:val="single" w:sz="4" w:space="0" w:color="000000"/>
              <w:right w:val="single" w:sz="4" w:space="0" w:color="auto"/>
            </w:tcBorders>
            <w:shd w:val="clear" w:color="auto" w:fill="DCE6F1"/>
            <w:textDirection w:val="btLr"/>
            <w:vAlign w:val="center"/>
            <w:hideMark/>
          </w:tcPr>
          <w:p w:rsidR="00FD0EB3" w:rsidRDefault="00FD0EB3">
            <w:pPr>
              <w:jc w:val="center"/>
              <w:rPr>
                <w:rFonts w:ascii="Arial" w:hAnsi="Arial" w:cs="Arial"/>
                <w:sz w:val="20"/>
                <w:szCs w:val="20"/>
              </w:rPr>
            </w:pPr>
            <w:r>
              <w:rPr>
                <w:rFonts w:ascii="Arial" w:hAnsi="Arial" w:cs="Arial"/>
                <w:sz w:val="20"/>
                <w:szCs w:val="20"/>
              </w:rPr>
              <w:t>Общ брой лица по внесените прокурорски актове</w:t>
            </w:r>
          </w:p>
        </w:tc>
        <w:tc>
          <w:tcPr>
            <w:tcW w:w="1028" w:type="dxa"/>
            <w:gridSpan w:val="2"/>
            <w:tcBorders>
              <w:top w:val="nil"/>
              <w:left w:val="nil"/>
              <w:bottom w:val="single" w:sz="4" w:space="0" w:color="auto"/>
              <w:right w:val="single" w:sz="4" w:space="0" w:color="000000"/>
            </w:tcBorders>
            <w:shd w:val="clear" w:color="auto" w:fill="DCE6F1"/>
            <w:textDirection w:val="btLr"/>
            <w:vAlign w:val="center"/>
            <w:hideMark/>
          </w:tcPr>
          <w:p w:rsidR="00FD0EB3" w:rsidRDefault="00FD0EB3">
            <w:pPr>
              <w:jc w:val="center"/>
              <w:rPr>
                <w:rFonts w:ascii="Arial" w:hAnsi="Arial" w:cs="Arial"/>
                <w:sz w:val="20"/>
                <w:szCs w:val="20"/>
              </w:rPr>
            </w:pPr>
            <w:r>
              <w:rPr>
                <w:rFonts w:ascii="Arial" w:hAnsi="Arial" w:cs="Arial"/>
                <w:sz w:val="20"/>
                <w:szCs w:val="20"/>
              </w:rPr>
              <w:t>Пострадали физически и юридически лица по новообразувани ДП</w:t>
            </w:r>
          </w:p>
        </w:tc>
        <w:tc>
          <w:tcPr>
            <w:tcW w:w="541" w:type="dxa"/>
            <w:vMerge w:val="restart"/>
            <w:tcBorders>
              <w:top w:val="nil"/>
              <w:left w:val="single" w:sz="4" w:space="0" w:color="auto"/>
              <w:bottom w:val="single" w:sz="4" w:space="0" w:color="000000"/>
              <w:right w:val="single" w:sz="4" w:space="0" w:color="auto"/>
            </w:tcBorders>
            <w:shd w:val="clear" w:color="auto" w:fill="F2F2F2"/>
            <w:textDirection w:val="btLr"/>
            <w:vAlign w:val="center"/>
            <w:hideMark/>
          </w:tcPr>
          <w:p w:rsidR="00FD0EB3" w:rsidRDefault="00FD0EB3">
            <w:pPr>
              <w:jc w:val="center"/>
              <w:rPr>
                <w:rFonts w:ascii="Arial" w:hAnsi="Arial" w:cs="Arial"/>
                <w:sz w:val="20"/>
                <w:szCs w:val="20"/>
              </w:rPr>
            </w:pPr>
            <w:r>
              <w:rPr>
                <w:rFonts w:ascii="Arial" w:hAnsi="Arial" w:cs="Arial"/>
                <w:sz w:val="20"/>
                <w:szCs w:val="20"/>
              </w:rPr>
              <w:t>Новообразувани ДП</w:t>
            </w:r>
          </w:p>
        </w:tc>
        <w:tc>
          <w:tcPr>
            <w:tcW w:w="541" w:type="dxa"/>
            <w:vMerge w:val="restart"/>
            <w:tcBorders>
              <w:top w:val="nil"/>
              <w:left w:val="single" w:sz="4" w:space="0" w:color="auto"/>
              <w:bottom w:val="single" w:sz="4" w:space="0" w:color="000000"/>
              <w:right w:val="single" w:sz="4" w:space="0" w:color="auto"/>
            </w:tcBorders>
            <w:shd w:val="clear" w:color="auto" w:fill="F2F2F2"/>
            <w:textDirection w:val="btLr"/>
            <w:vAlign w:val="center"/>
            <w:hideMark/>
          </w:tcPr>
          <w:p w:rsidR="00FD0EB3" w:rsidRDefault="00FD0EB3">
            <w:pPr>
              <w:jc w:val="center"/>
              <w:rPr>
                <w:rFonts w:ascii="Arial" w:hAnsi="Arial" w:cs="Arial"/>
                <w:sz w:val="20"/>
                <w:szCs w:val="20"/>
              </w:rPr>
            </w:pPr>
            <w:r>
              <w:rPr>
                <w:rFonts w:ascii="Arial" w:hAnsi="Arial" w:cs="Arial"/>
                <w:sz w:val="20"/>
                <w:szCs w:val="20"/>
              </w:rPr>
              <w:t>Внесени в съда прокурорски актове</w:t>
            </w:r>
          </w:p>
        </w:tc>
        <w:tc>
          <w:tcPr>
            <w:tcW w:w="600" w:type="dxa"/>
            <w:vMerge w:val="restart"/>
            <w:tcBorders>
              <w:top w:val="nil"/>
              <w:left w:val="single" w:sz="4" w:space="0" w:color="auto"/>
              <w:bottom w:val="single" w:sz="4" w:space="0" w:color="000000"/>
              <w:right w:val="single" w:sz="4" w:space="0" w:color="auto"/>
            </w:tcBorders>
            <w:shd w:val="clear" w:color="auto" w:fill="F2F2F2"/>
            <w:textDirection w:val="btLr"/>
            <w:vAlign w:val="center"/>
            <w:hideMark/>
          </w:tcPr>
          <w:p w:rsidR="00FD0EB3" w:rsidRDefault="00FD0EB3">
            <w:pPr>
              <w:jc w:val="center"/>
              <w:rPr>
                <w:rFonts w:ascii="Arial" w:hAnsi="Arial" w:cs="Arial"/>
                <w:sz w:val="20"/>
                <w:szCs w:val="20"/>
              </w:rPr>
            </w:pPr>
            <w:r>
              <w:rPr>
                <w:rFonts w:ascii="Arial" w:hAnsi="Arial" w:cs="Arial"/>
                <w:sz w:val="20"/>
                <w:szCs w:val="20"/>
              </w:rPr>
              <w:t>Общ брой лица по внесените прокурорски актове</w:t>
            </w:r>
          </w:p>
        </w:tc>
        <w:tc>
          <w:tcPr>
            <w:tcW w:w="1067" w:type="dxa"/>
            <w:gridSpan w:val="2"/>
            <w:tcBorders>
              <w:top w:val="nil"/>
              <w:left w:val="nil"/>
              <w:bottom w:val="single" w:sz="4" w:space="0" w:color="auto"/>
              <w:right w:val="single" w:sz="8" w:space="0" w:color="000000"/>
            </w:tcBorders>
            <w:shd w:val="clear" w:color="auto" w:fill="F2F2F2"/>
            <w:textDirection w:val="btLr"/>
            <w:vAlign w:val="center"/>
            <w:hideMark/>
          </w:tcPr>
          <w:p w:rsidR="00FD0EB3" w:rsidRDefault="00FD0EB3">
            <w:pPr>
              <w:jc w:val="center"/>
              <w:rPr>
                <w:rFonts w:ascii="Arial" w:hAnsi="Arial" w:cs="Arial"/>
                <w:sz w:val="20"/>
                <w:szCs w:val="20"/>
              </w:rPr>
            </w:pPr>
            <w:r>
              <w:rPr>
                <w:rFonts w:ascii="Arial" w:hAnsi="Arial" w:cs="Arial"/>
                <w:sz w:val="20"/>
                <w:szCs w:val="20"/>
              </w:rPr>
              <w:t>Пострадали физически и юридически лица по новообразувани ДП</w:t>
            </w:r>
          </w:p>
        </w:tc>
      </w:tr>
      <w:tr w:rsidR="00FD0EB3" w:rsidTr="00FD0EB3">
        <w:trPr>
          <w:trHeight w:val="61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D0EB3" w:rsidRDefault="00FD0EB3">
            <w:pPr>
              <w:rPr>
                <w:rFonts w:ascii="Arial" w:hAnsi="Arial" w:cs="Arial"/>
                <w:sz w:val="20"/>
                <w:szCs w:val="20"/>
              </w:rPr>
            </w:pPr>
            <w:bookmarkStart w:id="6" w:name="_Hlk157608581" w:colFirst="4" w:colLast="15"/>
            <w:bookmarkEnd w:id="4"/>
          </w:p>
        </w:tc>
        <w:tc>
          <w:tcPr>
            <w:tcW w:w="0" w:type="auto"/>
            <w:vMerge/>
            <w:tcBorders>
              <w:top w:val="nil"/>
              <w:left w:val="nil"/>
              <w:bottom w:val="single" w:sz="4" w:space="0" w:color="000000"/>
              <w:right w:val="single" w:sz="4" w:space="0" w:color="auto"/>
            </w:tcBorders>
            <w:vAlign w:val="center"/>
            <w:hideMark/>
          </w:tcPr>
          <w:p w:rsidR="00FD0EB3" w:rsidRDefault="00FD0EB3">
            <w:pPr>
              <w:rPr>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FD0EB3" w:rsidRDefault="00FD0EB3">
            <w:pPr>
              <w:rPr>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FD0EB3" w:rsidRDefault="00FD0EB3">
            <w:pPr>
              <w:rPr>
                <w:rFonts w:ascii="Arial" w:hAnsi="Arial" w:cs="Arial"/>
                <w:sz w:val="20"/>
                <w:szCs w:val="20"/>
              </w:rPr>
            </w:pPr>
          </w:p>
        </w:tc>
        <w:tc>
          <w:tcPr>
            <w:tcW w:w="541"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rFonts w:ascii="Arial" w:hAnsi="Arial" w:cs="Arial"/>
                <w:b/>
                <w:bCs/>
                <w:sz w:val="20"/>
                <w:szCs w:val="20"/>
              </w:rPr>
            </w:pPr>
            <w:r>
              <w:rPr>
                <w:rFonts w:ascii="Arial" w:hAnsi="Arial" w:cs="Arial"/>
                <w:b/>
                <w:bCs/>
                <w:sz w:val="20"/>
                <w:szCs w:val="20"/>
              </w:rPr>
              <w:t>ФЛ</w:t>
            </w:r>
          </w:p>
        </w:tc>
        <w:tc>
          <w:tcPr>
            <w:tcW w:w="487"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rFonts w:ascii="Arial" w:hAnsi="Arial" w:cs="Arial"/>
                <w:b/>
                <w:bCs/>
                <w:sz w:val="20"/>
                <w:szCs w:val="20"/>
              </w:rPr>
            </w:pPr>
            <w:r>
              <w:rPr>
                <w:rFonts w:ascii="Arial" w:hAnsi="Arial" w:cs="Arial"/>
                <w:b/>
                <w:bCs/>
                <w:sz w:val="20"/>
                <w:szCs w:val="20"/>
              </w:rPr>
              <w:t>ЮЛ</w:t>
            </w:r>
          </w:p>
        </w:tc>
        <w:tc>
          <w:tcPr>
            <w:tcW w:w="0" w:type="auto"/>
            <w:vMerge/>
            <w:tcBorders>
              <w:top w:val="nil"/>
              <w:left w:val="single" w:sz="4" w:space="0" w:color="auto"/>
              <w:bottom w:val="single" w:sz="4" w:space="0" w:color="000000"/>
              <w:right w:val="single" w:sz="4" w:space="0" w:color="auto"/>
            </w:tcBorders>
            <w:vAlign w:val="center"/>
            <w:hideMark/>
          </w:tcPr>
          <w:p w:rsidR="00FD0EB3" w:rsidRDefault="00FD0EB3">
            <w:pPr>
              <w:rPr>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FD0EB3" w:rsidRDefault="00FD0EB3">
            <w:pPr>
              <w:rPr>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FD0EB3" w:rsidRDefault="00FD0EB3">
            <w:pPr>
              <w:rPr>
                <w:rFonts w:ascii="Arial" w:hAnsi="Arial" w:cs="Arial"/>
                <w:sz w:val="20"/>
                <w:szCs w:val="20"/>
              </w:rPr>
            </w:pP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b/>
                <w:bCs/>
                <w:sz w:val="20"/>
                <w:szCs w:val="20"/>
              </w:rPr>
            </w:pPr>
            <w:r>
              <w:rPr>
                <w:rFonts w:ascii="Arial" w:hAnsi="Arial" w:cs="Arial"/>
                <w:b/>
                <w:bCs/>
                <w:sz w:val="20"/>
                <w:szCs w:val="20"/>
              </w:rPr>
              <w:t>ФЛ</w:t>
            </w:r>
          </w:p>
        </w:tc>
        <w:tc>
          <w:tcPr>
            <w:tcW w:w="487"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b/>
                <w:bCs/>
                <w:sz w:val="20"/>
                <w:szCs w:val="20"/>
              </w:rPr>
            </w:pPr>
            <w:r>
              <w:rPr>
                <w:rFonts w:ascii="Arial" w:hAnsi="Arial" w:cs="Arial"/>
                <w:b/>
                <w:bCs/>
                <w:sz w:val="20"/>
                <w:szCs w:val="20"/>
              </w:rPr>
              <w:t>ЮЛ</w:t>
            </w:r>
          </w:p>
        </w:tc>
        <w:tc>
          <w:tcPr>
            <w:tcW w:w="0" w:type="auto"/>
            <w:vMerge/>
            <w:tcBorders>
              <w:top w:val="nil"/>
              <w:left w:val="single" w:sz="4" w:space="0" w:color="auto"/>
              <w:bottom w:val="single" w:sz="4" w:space="0" w:color="000000"/>
              <w:right w:val="single" w:sz="4" w:space="0" w:color="auto"/>
            </w:tcBorders>
            <w:vAlign w:val="center"/>
            <w:hideMark/>
          </w:tcPr>
          <w:p w:rsidR="00FD0EB3" w:rsidRDefault="00FD0EB3">
            <w:pPr>
              <w:rPr>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FD0EB3" w:rsidRDefault="00FD0EB3">
            <w:pPr>
              <w:rPr>
                <w:rFonts w:ascii="Arial" w:hAnsi="Arial" w:cs="Arial"/>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FD0EB3" w:rsidRDefault="00FD0EB3">
            <w:pPr>
              <w:rPr>
                <w:rFonts w:ascii="Arial" w:hAnsi="Arial" w:cs="Arial"/>
                <w:sz w:val="20"/>
                <w:szCs w:val="20"/>
              </w:rPr>
            </w:pPr>
          </w:p>
        </w:tc>
        <w:tc>
          <w:tcPr>
            <w:tcW w:w="580" w:type="dxa"/>
            <w:tcBorders>
              <w:top w:val="nil"/>
              <w:left w:val="nil"/>
              <w:bottom w:val="single" w:sz="4" w:space="0" w:color="auto"/>
              <w:right w:val="single" w:sz="4" w:space="0" w:color="auto"/>
            </w:tcBorders>
            <w:shd w:val="clear" w:color="auto" w:fill="F2F2F2"/>
            <w:vAlign w:val="center"/>
            <w:hideMark/>
          </w:tcPr>
          <w:p w:rsidR="00FD0EB3" w:rsidRDefault="00FD0EB3">
            <w:pPr>
              <w:jc w:val="center"/>
              <w:rPr>
                <w:rFonts w:ascii="Arial" w:hAnsi="Arial" w:cs="Arial"/>
                <w:b/>
                <w:bCs/>
                <w:sz w:val="20"/>
                <w:szCs w:val="20"/>
              </w:rPr>
            </w:pPr>
            <w:r>
              <w:rPr>
                <w:rFonts w:ascii="Arial" w:hAnsi="Arial" w:cs="Arial"/>
                <w:b/>
                <w:bCs/>
                <w:sz w:val="20"/>
                <w:szCs w:val="20"/>
              </w:rPr>
              <w:t>ФЛ</w:t>
            </w:r>
          </w:p>
        </w:tc>
        <w:tc>
          <w:tcPr>
            <w:tcW w:w="487" w:type="dxa"/>
            <w:tcBorders>
              <w:top w:val="nil"/>
              <w:left w:val="nil"/>
              <w:bottom w:val="single" w:sz="4" w:space="0" w:color="auto"/>
              <w:right w:val="single" w:sz="8" w:space="0" w:color="auto"/>
            </w:tcBorders>
            <w:shd w:val="clear" w:color="auto" w:fill="F2F2F2"/>
            <w:vAlign w:val="center"/>
            <w:hideMark/>
          </w:tcPr>
          <w:p w:rsidR="00FD0EB3" w:rsidRDefault="00FD0EB3">
            <w:pPr>
              <w:jc w:val="center"/>
              <w:rPr>
                <w:rFonts w:ascii="Arial" w:hAnsi="Arial" w:cs="Arial"/>
                <w:b/>
                <w:bCs/>
                <w:sz w:val="20"/>
                <w:szCs w:val="20"/>
              </w:rPr>
            </w:pPr>
            <w:r>
              <w:rPr>
                <w:rFonts w:ascii="Arial" w:hAnsi="Arial" w:cs="Arial"/>
                <w:b/>
                <w:bCs/>
                <w:sz w:val="20"/>
                <w:szCs w:val="20"/>
              </w:rPr>
              <w:t>ЮЛ</w:t>
            </w:r>
          </w:p>
        </w:tc>
      </w:tr>
      <w:tr w:rsidR="00FD0EB3" w:rsidTr="00FD0EB3">
        <w:trPr>
          <w:trHeight w:val="885"/>
        </w:trPr>
        <w:tc>
          <w:tcPr>
            <w:tcW w:w="1820" w:type="dxa"/>
            <w:tcBorders>
              <w:top w:val="nil"/>
              <w:left w:val="single" w:sz="8" w:space="0" w:color="auto"/>
              <w:bottom w:val="single" w:sz="4" w:space="0" w:color="auto"/>
              <w:right w:val="nil"/>
            </w:tcBorders>
            <w:shd w:val="clear" w:color="auto" w:fill="FFFFFF"/>
            <w:vAlign w:val="center"/>
            <w:hideMark/>
          </w:tcPr>
          <w:p w:rsidR="00FD0EB3" w:rsidRDefault="00FD0EB3">
            <w:pPr>
              <w:jc w:val="center"/>
              <w:rPr>
                <w:sz w:val="18"/>
                <w:szCs w:val="18"/>
              </w:rPr>
            </w:pPr>
            <w:bookmarkStart w:id="7" w:name="_Hlk157608516"/>
            <w:bookmarkEnd w:id="1"/>
            <w:bookmarkEnd w:id="2"/>
            <w:bookmarkEnd w:id="6"/>
            <w:r>
              <w:rPr>
                <w:sz w:val="18"/>
                <w:szCs w:val="18"/>
              </w:rPr>
              <w:t>Глава II „Престъпления против личността”</w:t>
            </w:r>
          </w:p>
        </w:tc>
        <w:tc>
          <w:tcPr>
            <w:tcW w:w="541" w:type="dxa"/>
            <w:tcBorders>
              <w:top w:val="nil"/>
              <w:left w:val="single" w:sz="4" w:space="0" w:color="auto"/>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696</w:t>
            </w:r>
          </w:p>
        </w:tc>
        <w:tc>
          <w:tcPr>
            <w:tcW w:w="541"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110</w:t>
            </w:r>
          </w:p>
        </w:tc>
        <w:tc>
          <w:tcPr>
            <w:tcW w:w="600"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139</w:t>
            </w:r>
          </w:p>
        </w:tc>
        <w:tc>
          <w:tcPr>
            <w:tcW w:w="541"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553</w:t>
            </w:r>
          </w:p>
        </w:tc>
        <w:tc>
          <w:tcPr>
            <w:tcW w:w="487"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694</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103</w:t>
            </w:r>
          </w:p>
        </w:tc>
        <w:tc>
          <w:tcPr>
            <w:tcW w:w="600"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119</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549</w:t>
            </w:r>
          </w:p>
        </w:tc>
        <w:tc>
          <w:tcPr>
            <w:tcW w:w="487"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869</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101</w:t>
            </w:r>
          </w:p>
        </w:tc>
        <w:tc>
          <w:tcPr>
            <w:tcW w:w="60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114</w:t>
            </w:r>
          </w:p>
        </w:tc>
        <w:tc>
          <w:tcPr>
            <w:tcW w:w="58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849</w:t>
            </w:r>
          </w:p>
        </w:tc>
        <w:tc>
          <w:tcPr>
            <w:tcW w:w="487" w:type="dxa"/>
            <w:tcBorders>
              <w:top w:val="nil"/>
              <w:left w:val="nil"/>
              <w:bottom w:val="single" w:sz="4" w:space="0" w:color="auto"/>
              <w:right w:val="single" w:sz="8"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r>
      <w:tr w:rsidR="00FD0EB3" w:rsidTr="00FD0EB3">
        <w:trPr>
          <w:trHeight w:val="1020"/>
        </w:trPr>
        <w:tc>
          <w:tcPr>
            <w:tcW w:w="1820" w:type="dxa"/>
            <w:tcBorders>
              <w:top w:val="nil"/>
              <w:left w:val="single" w:sz="8" w:space="0" w:color="auto"/>
              <w:bottom w:val="single" w:sz="4" w:space="0" w:color="auto"/>
              <w:right w:val="nil"/>
            </w:tcBorders>
            <w:vAlign w:val="center"/>
            <w:hideMark/>
          </w:tcPr>
          <w:p w:rsidR="00FD0EB3" w:rsidRDefault="00FD0EB3">
            <w:pPr>
              <w:jc w:val="center"/>
              <w:rPr>
                <w:sz w:val="18"/>
                <w:szCs w:val="18"/>
              </w:rPr>
            </w:pPr>
            <w:r>
              <w:rPr>
                <w:sz w:val="18"/>
                <w:szCs w:val="18"/>
              </w:rPr>
              <w:t xml:space="preserve">Глава ІІІ „Престъпления против правата на гражданите” </w:t>
            </w:r>
          </w:p>
        </w:tc>
        <w:tc>
          <w:tcPr>
            <w:tcW w:w="541" w:type="dxa"/>
            <w:tcBorders>
              <w:top w:val="nil"/>
              <w:left w:val="single" w:sz="4" w:space="0" w:color="auto"/>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56</w:t>
            </w:r>
          </w:p>
        </w:tc>
        <w:tc>
          <w:tcPr>
            <w:tcW w:w="541"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11</w:t>
            </w:r>
          </w:p>
        </w:tc>
        <w:tc>
          <w:tcPr>
            <w:tcW w:w="600"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11</w:t>
            </w:r>
          </w:p>
        </w:tc>
        <w:tc>
          <w:tcPr>
            <w:tcW w:w="541"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11</w:t>
            </w:r>
          </w:p>
        </w:tc>
        <w:tc>
          <w:tcPr>
            <w:tcW w:w="487"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1</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52</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11</w:t>
            </w:r>
          </w:p>
        </w:tc>
        <w:tc>
          <w:tcPr>
            <w:tcW w:w="600"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14</w:t>
            </w:r>
          </w:p>
        </w:tc>
        <w:tc>
          <w:tcPr>
            <w:tcW w:w="541"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5</w:t>
            </w:r>
          </w:p>
        </w:tc>
        <w:tc>
          <w:tcPr>
            <w:tcW w:w="487"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67</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17</w:t>
            </w:r>
          </w:p>
        </w:tc>
        <w:tc>
          <w:tcPr>
            <w:tcW w:w="60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18</w:t>
            </w:r>
          </w:p>
        </w:tc>
        <w:tc>
          <w:tcPr>
            <w:tcW w:w="58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w:t>
            </w:r>
          </w:p>
        </w:tc>
        <w:tc>
          <w:tcPr>
            <w:tcW w:w="487" w:type="dxa"/>
            <w:tcBorders>
              <w:top w:val="nil"/>
              <w:left w:val="nil"/>
              <w:bottom w:val="single" w:sz="4" w:space="0" w:color="auto"/>
              <w:right w:val="single" w:sz="8"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w:t>
            </w:r>
          </w:p>
        </w:tc>
      </w:tr>
      <w:tr w:rsidR="00FD0EB3" w:rsidTr="00FD0EB3">
        <w:trPr>
          <w:trHeight w:val="1020"/>
        </w:trPr>
        <w:tc>
          <w:tcPr>
            <w:tcW w:w="1820" w:type="dxa"/>
            <w:tcBorders>
              <w:top w:val="nil"/>
              <w:left w:val="single" w:sz="8" w:space="0" w:color="auto"/>
              <w:bottom w:val="single" w:sz="4" w:space="0" w:color="auto"/>
              <w:right w:val="nil"/>
            </w:tcBorders>
            <w:vAlign w:val="center"/>
            <w:hideMark/>
          </w:tcPr>
          <w:p w:rsidR="00FD0EB3" w:rsidRDefault="00FD0EB3">
            <w:pPr>
              <w:jc w:val="center"/>
              <w:rPr>
                <w:sz w:val="18"/>
                <w:szCs w:val="18"/>
              </w:rPr>
            </w:pPr>
            <w:r>
              <w:rPr>
                <w:sz w:val="18"/>
                <w:szCs w:val="18"/>
              </w:rPr>
              <w:t xml:space="preserve">Глава ІV „Престъпления против брака и семейството” </w:t>
            </w:r>
          </w:p>
        </w:tc>
        <w:tc>
          <w:tcPr>
            <w:tcW w:w="541" w:type="dxa"/>
            <w:tcBorders>
              <w:top w:val="nil"/>
              <w:left w:val="single" w:sz="4" w:space="0" w:color="auto"/>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115</w:t>
            </w:r>
          </w:p>
        </w:tc>
        <w:tc>
          <w:tcPr>
            <w:tcW w:w="541"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57</w:t>
            </w:r>
          </w:p>
        </w:tc>
        <w:tc>
          <w:tcPr>
            <w:tcW w:w="600"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57</w:t>
            </w:r>
          </w:p>
        </w:tc>
        <w:tc>
          <w:tcPr>
            <w:tcW w:w="541"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52</w:t>
            </w:r>
          </w:p>
        </w:tc>
        <w:tc>
          <w:tcPr>
            <w:tcW w:w="487"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112</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47</w:t>
            </w:r>
          </w:p>
        </w:tc>
        <w:tc>
          <w:tcPr>
            <w:tcW w:w="600"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50</w:t>
            </w:r>
          </w:p>
        </w:tc>
        <w:tc>
          <w:tcPr>
            <w:tcW w:w="541"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30</w:t>
            </w:r>
          </w:p>
        </w:tc>
        <w:tc>
          <w:tcPr>
            <w:tcW w:w="487"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97</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47</w:t>
            </w:r>
          </w:p>
        </w:tc>
        <w:tc>
          <w:tcPr>
            <w:tcW w:w="60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47</w:t>
            </w:r>
          </w:p>
        </w:tc>
        <w:tc>
          <w:tcPr>
            <w:tcW w:w="58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81</w:t>
            </w:r>
          </w:p>
        </w:tc>
        <w:tc>
          <w:tcPr>
            <w:tcW w:w="487" w:type="dxa"/>
            <w:tcBorders>
              <w:top w:val="nil"/>
              <w:left w:val="nil"/>
              <w:bottom w:val="single" w:sz="4" w:space="0" w:color="auto"/>
              <w:right w:val="single" w:sz="8"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r>
      <w:tr w:rsidR="00FD0EB3" w:rsidTr="00FD0EB3">
        <w:trPr>
          <w:trHeight w:val="1020"/>
        </w:trPr>
        <w:tc>
          <w:tcPr>
            <w:tcW w:w="1820" w:type="dxa"/>
            <w:tcBorders>
              <w:top w:val="nil"/>
              <w:left w:val="single" w:sz="8" w:space="0" w:color="auto"/>
              <w:bottom w:val="single" w:sz="4" w:space="0" w:color="auto"/>
              <w:right w:val="nil"/>
            </w:tcBorders>
            <w:vAlign w:val="center"/>
            <w:hideMark/>
          </w:tcPr>
          <w:p w:rsidR="00FD0EB3" w:rsidRDefault="00FD0EB3">
            <w:pPr>
              <w:jc w:val="center"/>
              <w:rPr>
                <w:sz w:val="18"/>
                <w:szCs w:val="18"/>
              </w:rPr>
            </w:pPr>
            <w:r>
              <w:rPr>
                <w:sz w:val="18"/>
                <w:szCs w:val="18"/>
              </w:rPr>
              <w:t>Глава V „Престъпления против собствеността”</w:t>
            </w:r>
          </w:p>
        </w:tc>
        <w:tc>
          <w:tcPr>
            <w:tcW w:w="541" w:type="dxa"/>
            <w:tcBorders>
              <w:top w:val="nil"/>
              <w:left w:val="single" w:sz="4" w:space="0" w:color="auto"/>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3645</w:t>
            </w:r>
          </w:p>
        </w:tc>
        <w:tc>
          <w:tcPr>
            <w:tcW w:w="541"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436</w:t>
            </w:r>
          </w:p>
        </w:tc>
        <w:tc>
          <w:tcPr>
            <w:tcW w:w="600"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563</w:t>
            </w:r>
          </w:p>
        </w:tc>
        <w:tc>
          <w:tcPr>
            <w:tcW w:w="541"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2546</w:t>
            </w:r>
          </w:p>
        </w:tc>
        <w:tc>
          <w:tcPr>
            <w:tcW w:w="487"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25</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4105</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423</w:t>
            </w:r>
          </w:p>
        </w:tc>
        <w:tc>
          <w:tcPr>
            <w:tcW w:w="600"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490</w:t>
            </w:r>
          </w:p>
        </w:tc>
        <w:tc>
          <w:tcPr>
            <w:tcW w:w="541"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2744</w:t>
            </w:r>
          </w:p>
        </w:tc>
        <w:tc>
          <w:tcPr>
            <w:tcW w:w="487"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35</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3771</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454</w:t>
            </w:r>
          </w:p>
        </w:tc>
        <w:tc>
          <w:tcPr>
            <w:tcW w:w="60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532</w:t>
            </w:r>
          </w:p>
        </w:tc>
        <w:tc>
          <w:tcPr>
            <w:tcW w:w="58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3449</w:t>
            </w:r>
          </w:p>
        </w:tc>
        <w:tc>
          <w:tcPr>
            <w:tcW w:w="487" w:type="dxa"/>
            <w:tcBorders>
              <w:top w:val="nil"/>
              <w:left w:val="nil"/>
              <w:bottom w:val="single" w:sz="4" w:space="0" w:color="auto"/>
              <w:right w:val="single" w:sz="8"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215</w:t>
            </w:r>
          </w:p>
        </w:tc>
      </w:tr>
      <w:tr w:rsidR="00FD0EB3" w:rsidTr="00FD0EB3">
        <w:trPr>
          <w:trHeight w:val="1020"/>
        </w:trPr>
        <w:tc>
          <w:tcPr>
            <w:tcW w:w="1820" w:type="dxa"/>
            <w:tcBorders>
              <w:top w:val="single" w:sz="4" w:space="0" w:color="auto"/>
              <w:left w:val="single" w:sz="4" w:space="0" w:color="auto"/>
              <w:bottom w:val="single" w:sz="4" w:space="0" w:color="auto"/>
              <w:right w:val="nil"/>
            </w:tcBorders>
            <w:vAlign w:val="center"/>
            <w:hideMark/>
          </w:tcPr>
          <w:p w:rsidR="00FD0EB3" w:rsidRDefault="00FD0EB3">
            <w:pPr>
              <w:jc w:val="center"/>
              <w:rPr>
                <w:sz w:val="18"/>
                <w:szCs w:val="18"/>
              </w:rPr>
            </w:pPr>
            <w:r>
              <w:rPr>
                <w:sz w:val="18"/>
                <w:szCs w:val="18"/>
              </w:rPr>
              <w:t xml:space="preserve">Глава VІ „Престъпления против стопанството” </w:t>
            </w:r>
          </w:p>
        </w:tc>
        <w:tc>
          <w:tcPr>
            <w:tcW w:w="54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375</w:t>
            </w:r>
          </w:p>
        </w:tc>
        <w:tc>
          <w:tcPr>
            <w:tcW w:w="541" w:type="dxa"/>
            <w:tcBorders>
              <w:top w:val="single" w:sz="4" w:space="0" w:color="auto"/>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50</w:t>
            </w:r>
          </w:p>
        </w:tc>
        <w:tc>
          <w:tcPr>
            <w:tcW w:w="600" w:type="dxa"/>
            <w:tcBorders>
              <w:top w:val="single" w:sz="4" w:space="0" w:color="auto"/>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53</w:t>
            </w:r>
          </w:p>
        </w:tc>
        <w:tc>
          <w:tcPr>
            <w:tcW w:w="541" w:type="dxa"/>
            <w:tcBorders>
              <w:top w:val="single" w:sz="4" w:space="0" w:color="auto"/>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89</w:t>
            </w:r>
          </w:p>
        </w:tc>
        <w:tc>
          <w:tcPr>
            <w:tcW w:w="487" w:type="dxa"/>
            <w:tcBorders>
              <w:top w:val="single" w:sz="4" w:space="0" w:color="auto"/>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7</w:t>
            </w:r>
          </w:p>
        </w:tc>
        <w:tc>
          <w:tcPr>
            <w:tcW w:w="541" w:type="dxa"/>
            <w:tcBorders>
              <w:top w:val="single" w:sz="4" w:space="0" w:color="auto"/>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290</w:t>
            </w:r>
          </w:p>
        </w:tc>
        <w:tc>
          <w:tcPr>
            <w:tcW w:w="541" w:type="dxa"/>
            <w:tcBorders>
              <w:top w:val="single" w:sz="4" w:space="0" w:color="auto"/>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69</w:t>
            </w:r>
          </w:p>
        </w:tc>
        <w:tc>
          <w:tcPr>
            <w:tcW w:w="600" w:type="dxa"/>
            <w:tcBorders>
              <w:top w:val="single" w:sz="4" w:space="0" w:color="auto"/>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77</w:t>
            </w:r>
          </w:p>
        </w:tc>
        <w:tc>
          <w:tcPr>
            <w:tcW w:w="541" w:type="dxa"/>
            <w:tcBorders>
              <w:top w:val="single" w:sz="4" w:space="0" w:color="auto"/>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145</w:t>
            </w:r>
          </w:p>
        </w:tc>
        <w:tc>
          <w:tcPr>
            <w:tcW w:w="487" w:type="dxa"/>
            <w:tcBorders>
              <w:top w:val="single" w:sz="4" w:space="0" w:color="auto"/>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12</w:t>
            </w:r>
          </w:p>
        </w:tc>
        <w:tc>
          <w:tcPr>
            <w:tcW w:w="541"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277</w:t>
            </w:r>
          </w:p>
        </w:tc>
        <w:tc>
          <w:tcPr>
            <w:tcW w:w="541"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52</w:t>
            </w:r>
          </w:p>
        </w:tc>
        <w:tc>
          <w:tcPr>
            <w:tcW w:w="600"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63</w:t>
            </w:r>
          </w:p>
        </w:tc>
        <w:tc>
          <w:tcPr>
            <w:tcW w:w="580"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148</w:t>
            </w:r>
          </w:p>
        </w:tc>
        <w:tc>
          <w:tcPr>
            <w:tcW w:w="487"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19</w:t>
            </w:r>
          </w:p>
        </w:tc>
      </w:tr>
      <w:tr w:rsidR="00FD0EB3" w:rsidTr="00FD0EB3">
        <w:trPr>
          <w:trHeight w:val="1529"/>
        </w:trPr>
        <w:tc>
          <w:tcPr>
            <w:tcW w:w="1820" w:type="dxa"/>
            <w:tcBorders>
              <w:top w:val="nil"/>
              <w:left w:val="single" w:sz="8" w:space="0" w:color="auto"/>
              <w:bottom w:val="single" w:sz="4" w:space="0" w:color="auto"/>
              <w:right w:val="nil"/>
            </w:tcBorders>
            <w:vAlign w:val="center"/>
            <w:hideMark/>
          </w:tcPr>
          <w:p w:rsidR="00FD0EB3" w:rsidRDefault="00FD0EB3">
            <w:pPr>
              <w:jc w:val="center"/>
              <w:rPr>
                <w:sz w:val="18"/>
                <w:szCs w:val="18"/>
              </w:rPr>
            </w:pPr>
            <w:r>
              <w:rPr>
                <w:sz w:val="18"/>
                <w:szCs w:val="18"/>
              </w:rPr>
              <w:t>Глава VІІ „Престъпления против финансовата, данъчната и осигурителната система”</w:t>
            </w:r>
          </w:p>
        </w:tc>
        <w:tc>
          <w:tcPr>
            <w:tcW w:w="541" w:type="dxa"/>
            <w:tcBorders>
              <w:top w:val="nil"/>
              <w:left w:val="single" w:sz="4" w:space="0" w:color="auto"/>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76</w:t>
            </w:r>
          </w:p>
        </w:tc>
        <w:tc>
          <w:tcPr>
            <w:tcW w:w="541"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19</w:t>
            </w:r>
          </w:p>
        </w:tc>
        <w:tc>
          <w:tcPr>
            <w:tcW w:w="600"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24</w:t>
            </w:r>
          </w:p>
        </w:tc>
        <w:tc>
          <w:tcPr>
            <w:tcW w:w="541"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487"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64</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10</w:t>
            </w:r>
          </w:p>
        </w:tc>
        <w:tc>
          <w:tcPr>
            <w:tcW w:w="600"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11</w:t>
            </w:r>
          </w:p>
        </w:tc>
        <w:tc>
          <w:tcPr>
            <w:tcW w:w="541"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487"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86</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9</w:t>
            </w:r>
          </w:p>
        </w:tc>
        <w:tc>
          <w:tcPr>
            <w:tcW w:w="60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11</w:t>
            </w:r>
          </w:p>
        </w:tc>
        <w:tc>
          <w:tcPr>
            <w:tcW w:w="58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487" w:type="dxa"/>
            <w:tcBorders>
              <w:top w:val="nil"/>
              <w:left w:val="nil"/>
              <w:bottom w:val="single" w:sz="4" w:space="0" w:color="auto"/>
              <w:right w:val="single" w:sz="8"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r>
      <w:tr w:rsidR="00FD0EB3" w:rsidTr="00FD0EB3">
        <w:trPr>
          <w:trHeight w:val="1285"/>
        </w:trPr>
        <w:tc>
          <w:tcPr>
            <w:tcW w:w="1820" w:type="dxa"/>
            <w:tcBorders>
              <w:top w:val="nil"/>
              <w:left w:val="single" w:sz="8" w:space="0" w:color="auto"/>
              <w:bottom w:val="single" w:sz="4" w:space="0" w:color="auto"/>
              <w:right w:val="nil"/>
            </w:tcBorders>
            <w:vAlign w:val="center"/>
            <w:hideMark/>
          </w:tcPr>
          <w:p w:rsidR="00FD0EB3" w:rsidRDefault="00FD0EB3">
            <w:pPr>
              <w:jc w:val="center"/>
              <w:rPr>
                <w:sz w:val="18"/>
                <w:szCs w:val="18"/>
              </w:rPr>
            </w:pPr>
            <w:r>
              <w:rPr>
                <w:sz w:val="18"/>
                <w:szCs w:val="18"/>
              </w:rPr>
              <w:t>Глава VІІІ „Престъпления против дейността на държавни органи и обществени организации”</w:t>
            </w:r>
          </w:p>
        </w:tc>
        <w:tc>
          <w:tcPr>
            <w:tcW w:w="541" w:type="dxa"/>
            <w:tcBorders>
              <w:top w:val="nil"/>
              <w:left w:val="single" w:sz="4" w:space="0" w:color="auto"/>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120</w:t>
            </w:r>
          </w:p>
        </w:tc>
        <w:tc>
          <w:tcPr>
            <w:tcW w:w="541"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24</w:t>
            </w:r>
          </w:p>
        </w:tc>
        <w:tc>
          <w:tcPr>
            <w:tcW w:w="600"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29</w:t>
            </w:r>
          </w:p>
        </w:tc>
        <w:tc>
          <w:tcPr>
            <w:tcW w:w="541"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35</w:t>
            </w:r>
          </w:p>
        </w:tc>
        <w:tc>
          <w:tcPr>
            <w:tcW w:w="487"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123</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44</w:t>
            </w:r>
          </w:p>
        </w:tc>
        <w:tc>
          <w:tcPr>
            <w:tcW w:w="600"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48</w:t>
            </w:r>
          </w:p>
        </w:tc>
        <w:tc>
          <w:tcPr>
            <w:tcW w:w="541"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47</w:t>
            </w:r>
          </w:p>
        </w:tc>
        <w:tc>
          <w:tcPr>
            <w:tcW w:w="487"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117</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36</w:t>
            </w:r>
          </w:p>
        </w:tc>
        <w:tc>
          <w:tcPr>
            <w:tcW w:w="60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39</w:t>
            </w:r>
          </w:p>
        </w:tc>
        <w:tc>
          <w:tcPr>
            <w:tcW w:w="58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50</w:t>
            </w:r>
          </w:p>
        </w:tc>
        <w:tc>
          <w:tcPr>
            <w:tcW w:w="487" w:type="dxa"/>
            <w:tcBorders>
              <w:top w:val="nil"/>
              <w:left w:val="nil"/>
              <w:bottom w:val="single" w:sz="4" w:space="0" w:color="auto"/>
              <w:right w:val="single" w:sz="8"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w:t>
            </w:r>
          </w:p>
        </w:tc>
      </w:tr>
      <w:tr w:rsidR="00FD0EB3" w:rsidTr="00FD0EB3">
        <w:trPr>
          <w:trHeight w:val="765"/>
        </w:trPr>
        <w:tc>
          <w:tcPr>
            <w:tcW w:w="1820" w:type="dxa"/>
            <w:tcBorders>
              <w:top w:val="single" w:sz="4" w:space="0" w:color="auto"/>
              <w:left w:val="single" w:sz="4" w:space="0" w:color="auto"/>
              <w:bottom w:val="single" w:sz="4" w:space="0" w:color="auto"/>
              <w:right w:val="nil"/>
            </w:tcBorders>
            <w:vAlign w:val="center"/>
            <w:hideMark/>
          </w:tcPr>
          <w:p w:rsidR="00FD0EB3" w:rsidRDefault="00FD0EB3">
            <w:pPr>
              <w:jc w:val="center"/>
              <w:rPr>
                <w:sz w:val="18"/>
                <w:szCs w:val="18"/>
              </w:rPr>
            </w:pPr>
            <w:r>
              <w:rPr>
                <w:sz w:val="18"/>
                <w:szCs w:val="18"/>
              </w:rPr>
              <w:lastRenderedPageBreak/>
              <w:t>Глава ІХ „Документни престъпления”</w:t>
            </w:r>
          </w:p>
        </w:tc>
        <w:tc>
          <w:tcPr>
            <w:tcW w:w="54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206</w:t>
            </w:r>
          </w:p>
        </w:tc>
        <w:tc>
          <w:tcPr>
            <w:tcW w:w="541" w:type="dxa"/>
            <w:tcBorders>
              <w:top w:val="single" w:sz="4" w:space="0" w:color="auto"/>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77</w:t>
            </w:r>
          </w:p>
        </w:tc>
        <w:tc>
          <w:tcPr>
            <w:tcW w:w="600" w:type="dxa"/>
            <w:tcBorders>
              <w:top w:val="single" w:sz="4" w:space="0" w:color="auto"/>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78</w:t>
            </w:r>
          </w:p>
        </w:tc>
        <w:tc>
          <w:tcPr>
            <w:tcW w:w="541" w:type="dxa"/>
            <w:tcBorders>
              <w:top w:val="single" w:sz="4" w:space="0" w:color="auto"/>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16</w:t>
            </w:r>
          </w:p>
        </w:tc>
        <w:tc>
          <w:tcPr>
            <w:tcW w:w="487" w:type="dxa"/>
            <w:tcBorders>
              <w:top w:val="single" w:sz="4" w:space="0" w:color="auto"/>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single" w:sz="4" w:space="0" w:color="auto"/>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198</w:t>
            </w:r>
          </w:p>
        </w:tc>
        <w:tc>
          <w:tcPr>
            <w:tcW w:w="541" w:type="dxa"/>
            <w:tcBorders>
              <w:top w:val="single" w:sz="4" w:space="0" w:color="auto"/>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62</w:t>
            </w:r>
          </w:p>
        </w:tc>
        <w:tc>
          <w:tcPr>
            <w:tcW w:w="600" w:type="dxa"/>
            <w:tcBorders>
              <w:top w:val="single" w:sz="4" w:space="0" w:color="auto"/>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67</w:t>
            </w:r>
          </w:p>
        </w:tc>
        <w:tc>
          <w:tcPr>
            <w:tcW w:w="541" w:type="dxa"/>
            <w:tcBorders>
              <w:top w:val="single" w:sz="4" w:space="0" w:color="auto"/>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6</w:t>
            </w:r>
          </w:p>
        </w:tc>
        <w:tc>
          <w:tcPr>
            <w:tcW w:w="487" w:type="dxa"/>
            <w:tcBorders>
              <w:top w:val="single" w:sz="4" w:space="0" w:color="auto"/>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179</w:t>
            </w:r>
          </w:p>
        </w:tc>
        <w:tc>
          <w:tcPr>
            <w:tcW w:w="541"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77</w:t>
            </w:r>
          </w:p>
        </w:tc>
        <w:tc>
          <w:tcPr>
            <w:tcW w:w="600"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99</w:t>
            </w:r>
          </w:p>
        </w:tc>
        <w:tc>
          <w:tcPr>
            <w:tcW w:w="580"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487"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r>
      <w:tr w:rsidR="00FD0EB3" w:rsidTr="00FD0EB3">
        <w:trPr>
          <w:trHeight w:val="765"/>
        </w:trPr>
        <w:tc>
          <w:tcPr>
            <w:tcW w:w="1820" w:type="dxa"/>
            <w:tcBorders>
              <w:top w:val="single" w:sz="4" w:space="0" w:color="auto"/>
              <w:left w:val="single" w:sz="4" w:space="0" w:color="auto"/>
              <w:bottom w:val="single" w:sz="4" w:space="0" w:color="auto"/>
              <w:right w:val="nil"/>
            </w:tcBorders>
            <w:vAlign w:val="center"/>
            <w:hideMark/>
          </w:tcPr>
          <w:p w:rsidR="00FD0EB3" w:rsidRDefault="00FD0EB3">
            <w:pPr>
              <w:jc w:val="center"/>
              <w:rPr>
                <w:sz w:val="18"/>
                <w:szCs w:val="18"/>
              </w:rPr>
            </w:pPr>
            <w:r>
              <w:rPr>
                <w:sz w:val="18"/>
                <w:szCs w:val="18"/>
              </w:rPr>
              <w:t xml:space="preserve">Глава </w:t>
            </w:r>
            <w:proofErr w:type="spellStart"/>
            <w:r>
              <w:rPr>
                <w:sz w:val="18"/>
                <w:szCs w:val="18"/>
              </w:rPr>
              <w:t>ІХа</w:t>
            </w:r>
            <w:proofErr w:type="spellEnd"/>
            <w:r>
              <w:rPr>
                <w:sz w:val="18"/>
                <w:szCs w:val="18"/>
              </w:rPr>
              <w:t xml:space="preserve"> „Компютърни престъпления”</w:t>
            </w:r>
          </w:p>
        </w:tc>
        <w:tc>
          <w:tcPr>
            <w:tcW w:w="54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15</w:t>
            </w:r>
          </w:p>
        </w:tc>
        <w:tc>
          <w:tcPr>
            <w:tcW w:w="541" w:type="dxa"/>
            <w:tcBorders>
              <w:top w:val="single" w:sz="4" w:space="0" w:color="auto"/>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0</w:t>
            </w:r>
          </w:p>
        </w:tc>
        <w:tc>
          <w:tcPr>
            <w:tcW w:w="600" w:type="dxa"/>
            <w:tcBorders>
              <w:top w:val="single" w:sz="4" w:space="0" w:color="auto"/>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0</w:t>
            </w:r>
          </w:p>
        </w:tc>
        <w:tc>
          <w:tcPr>
            <w:tcW w:w="541" w:type="dxa"/>
            <w:tcBorders>
              <w:top w:val="single" w:sz="4" w:space="0" w:color="auto"/>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7</w:t>
            </w:r>
          </w:p>
        </w:tc>
        <w:tc>
          <w:tcPr>
            <w:tcW w:w="487" w:type="dxa"/>
            <w:tcBorders>
              <w:top w:val="single" w:sz="4" w:space="0" w:color="auto"/>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single" w:sz="4" w:space="0" w:color="auto"/>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12</w:t>
            </w:r>
          </w:p>
        </w:tc>
        <w:tc>
          <w:tcPr>
            <w:tcW w:w="541" w:type="dxa"/>
            <w:tcBorders>
              <w:top w:val="single" w:sz="4" w:space="0" w:color="auto"/>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600" w:type="dxa"/>
            <w:tcBorders>
              <w:top w:val="single" w:sz="4" w:space="0" w:color="auto"/>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single" w:sz="4" w:space="0" w:color="auto"/>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10</w:t>
            </w:r>
          </w:p>
        </w:tc>
        <w:tc>
          <w:tcPr>
            <w:tcW w:w="487" w:type="dxa"/>
            <w:tcBorders>
              <w:top w:val="single" w:sz="4" w:space="0" w:color="auto"/>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1</w:t>
            </w:r>
          </w:p>
        </w:tc>
        <w:tc>
          <w:tcPr>
            <w:tcW w:w="541"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25</w:t>
            </w:r>
          </w:p>
        </w:tc>
        <w:tc>
          <w:tcPr>
            <w:tcW w:w="541"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600"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80"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18</w:t>
            </w:r>
          </w:p>
        </w:tc>
        <w:tc>
          <w:tcPr>
            <w:tcW w:w="487" w:type="dxa"/>
            <w:tcBorders>
              <w:top w:val="single" w:sz="4" w:space="0" w:color="auto"/>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r>
      <w:tr w:rsidR="00FD0EB3" w:rsidTr="00FD0EB3">
        <w:trPr>
          <w:trHeight w:val="1275"/>
        </w:trPr>
        <w:tc>
          <w:tcPr>
            <w:tcW w:w="1820" w:type="dxa"/>
            <w:tcBorders>
              <w:top w:val="nil"/>
              <w:left w:val="single" w:sz="8" w:space="0" w:color="auto"/>
              <w:bottom w:val="single" w:sz="4" w:space="0" w:color="auto"/>
              <w:right w:val="nil"/>
            </w:tcBorders>
            <w:vAlign w:val="center"/>
            <w:hideMark/>
          </w:tcPr>
          <w:p w:rsidR="00FD0EB3" w:rsidRDefault="00FD0EB3">
            <w:pPr>
              <w:jc w:val="center"/>
              <w:rPr>
                <w:sz w:val="18"/>
                <w:szCs w:val="18"/>
              </w:rPr>
            </w:pPr>
            <w:r>
              <w:rPr>
                <w:sz w:val="18"/>
                <w:szCs w:val="18"/>
              </w:rPr>
              <w:t>Глава Х „Престъпления против реда и общественото спокойствие”</w:t>
            </w:r>
          </w:p>
        </w:tc>
        <w:tc>
          <w:tcPr>
            <w:tcW w:w="541" w:type="dxa"/>
            <w:tcBorders>
              <w:top w:val="nil"/>
              <w:left w:val="single" w:sz="4" w:space="0" w:color="auto"/>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157</w:t>
            </w:r>
          </w:p>
        </w:tc>
        <w:tc>
          <w:tcPr>
            <w:tcW w:w="541"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35</w:t>
            </w:r>
          </w:p>
        </w:tc>
        <w:tc>
          <w:tcPr>
            <w:tcW w:w="600"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39</w:t>
            </w:r>
          </w:p>
        </w:tc>
        <w:tc>
          <w:tcPr>
            <w:tcW w:w="541"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20</w:t>
            </w:r>
          </w:p>
        </w:tc>
        <w:tc>
          <w:tcPr>
            <w:tcW w:w="487"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1</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130</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31</w:t>
            </w:r>
          </w:p>
        </w:tc>
        <w:tc>
          <w:tcPr>
            <w:tcW w:w="600"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32</w:t>
            </w:r>
          </w:p>
        </w:tc>
        <w:tc>
          <w:tcPr>
            <w:tcW w:w="541"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29</w:t>
            </w:r>
          </w:p>
        </w:tc>
        <w:tc>
          <w:tcPr>
            <w:tcW w:w="487"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158</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22</w:t>
            </w:r>
          </w:p>
        </w:tc>
        <w:tc>
          <w:tcPr>
            <w:tcW w:w="60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28</w:t>
            </w:r>
          </w:p>
        </w:tc>
        <w:tc>
          <w:tcPr>
            <w:tcW w:w="58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66</w:t>
            </w:r>
          </w:p>
        </w:tc>
        <w:tc>
          <w:tcPr>
            <w:tcW w:w="487" w:type="dxa"/>
            <w:tcBorders>
              <w:top w:val="nil"/>
              <w:left w:val="nil"/>
              <w:bottom w:val="single" w:sz="4" w:space="0" w:color="auto"/>
              <w:right w:val="single" w:sz="8"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r>
      <w:tr w:rsidR="00FD0EB3" w:rsidTr="00FD0EB3">
        <w:trPr>
          <w:trHeight w:val="765"/>
        </w:trPr>
        <w:tc>
          <w:tcPr>
            <w:tcW w:w="1820" w:type="dxa"/>
            <w:tcBorders>
              <w:top w:val="nil"/>
              <w:left w:val="single" w:sz="8" w:space="0" w:color="auto"/>
              <w:bottom w:val="single" w:sz="4" w:space="0" w:color="auto"/>
              <w:right w:val="nil"/>
            </w:tcBorders>
            <w:vAlign w:val="center"/>
            <w:hideMark/>
          </w:tcPr>
          <w:p w:rsidR="00FD0EB3" w:rsidRDefault="00FD0EB3">
            <w:pPr>
              <w:jc w:val="center"/>
              <w:rPr>
                <w:sz w:val="18"/>
                <w:szCs w:val="18"/>
              </w:rPr>
            </w:pPr>
            <w:r>
              <w:rPr>
                <w:sz w:val="18"/>
                <w:szCs w:val="18"/>
              </w:rPr>
              <w:t>Глава ХІ „</w:t>
            </w:r>
            <w:proofErr w:type="spellStart"/>
            <w:r>
              <w:rPr>
                <w:sz w:val="18"/>
                <w:szCs w:val="18"/>
              </w:rPr>
              <w:t>Общоопасни</w:t>
            </w:r>
            <w:proofErr w:type="spellEnd"/>
            <w:r>
              <w:rPr>
                <w:sz w:val="18"/>
                <w:szCs w:val="18"/>
              </w:rPr>
              <w:t xml:space="preserve"> престъпления”</w:t>
            </w:r>
          </w:p>
        </w:tc>
        <w:tc>
          <w:tcPr>
            <w:tcW w:w="541" w:type="dxa"/>
            <w:tcBorders>
              <w:top w:val="nil"/>
              <w:left w:val="single" w:sz="4" w:space="0" w:color="auto"/>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1772</w:t>
            </w:r>
          </w:p>
        </w:tc>
        <w:tc>
          <w:tcPr>
            <w:tcW w:w="541"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860</w:t>
            </w:r>
          </w:p>
        </w:tc>
        <w:tc>
          <w:tcPr>
            <w:tcW w:w="600" w:type="dxa"/>
            <w:tcBorders>
              <w:top w:val="nil"/>
              <w:left w:val="nil"/>
              <w:bottom w:val="single" w:sz="4" w:space="0" w:color="auto"/>
              <w:right w:val="single" w:sz="4" w:space="0" w:color="auto"/>
            </w:tcBorders>
            <w:shd w:val="clear" w:color="auto" w:fill="FDE9D9"/>
            <w:vAlign w:val="center"/>
            <w:hideMark/>
          </w:tcPr>
          <w:p w:rsidR="00FD0EB3" w:rsidRDefault="00FD0EB3">
            <w:pPr>
              <w:jc w:val="center"/>
              <w:rPr>
                <w:sz w:val="18"/>
                <w:szCs w:val="18"/>
              </w:rPr>
            </w:pPr>
            <w:r>
              <w:rPr>
                <w:sz w:val="18"/>
                <w:szCs w:val="18"/>
              </w:rPr>
              <w:t>873</w:t>
            </w:r>
          </w:p>
        </w:tc>
        <w:tc>
          <w:tcPr>
            <w:tcW w:w="541"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236</w:t>
            </w:r>
          </w:p>
        </w:tc>
        <w:tc>
          <w:tcPr>
            <w:tcW w:w="487" w:type="dxa"/>
            <w:tcBorders>
              <w:top w:val="nil"/>
              <w:left w:val="nil"/>
              <w:bottom w:val="single" w:sz="4" w:space="0" w:color="auto"/>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1</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2104</w:t>
            </w:r>
          </w:p>
        </w:tc>
        <w:tc>
          <w:tcPr>
            <w:tcW w:w="541"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1030</w:t>
            </w:r>
          </w:p>
        </w:tc>
        <w:tc>
          <w:tcPr>
            <w:tcW w:w="600" w:type="dxa"/>
            <w:tcBorders>
              <w:top w:val="nil"/>
              <w:left w:val="nil"/>
              <w:bottom w:val="single" w:sz="4" w:space="0" w:color="auto"/>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1044</w:t>
            </w:r>
          </w:p>
        </w:tc>
        <w:tc>
          <w:tcPr>
            <w:tcW w:w="541"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313</w:t>
            </w:r>
          </w:p>
        </w:tc>
        <w:tc>
          <w:tcPr>
            <w:tcW w:w="487" w:type="dxa"/>
            <w:tcBorders>
              <w:top w:val="nil"/>
              <w:left w:val="nil"/>
              <w:bottom w:val="single" w:sz="4" w:space="0" w:color="auto"/>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2056</w:t>
            </w:r>
          </w:p>
        </w:tc>
        <w:tc>
          <w:tcPr>
            <w:tcW w:w="541"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986</w:t>
            </w:r>
          </w:p>
        </w:tc>
        <w:tc>
          <w:tcPr>
            <w:tcW w:w="60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1028</w:t>
            </w:r>
          </w:p>
        </w:tc>
        <w:tc>
          <w:tcPr>
            <w:tcW w:w="580" w:type="dxa"/>
            <w:tcBorders>
              <w:top w:val="nil"/>
              <w:left w:val="nil"/>
              <w:bottom w:val="single" w:sz="4" w:space="0" w:color="auto"/>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366</w:t>
            </w:r>
          </w:p>
        </w:tc>
        <w:tc>
          <w:tcPr>
            <w:tcW w:w="487" w:type="dxa"/>
            <w:tcBorders>
              <w:top w:val="nil"/>
              <w:left w:val="nil"/>
              <w:bottom w:val="single" w:sz="4" w:space="0" w:color="auto"/>
              <w:right w:val="single" w:sz="8"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15</w:t>
            </w:r>
          </w:p>
        </w:tc>
      </w:tr>
      <w:tr w:rsidR="00FD0EB3" w:rsidTr="00FD0EB3">
        <w:trPr>
          <w:trHeight w:val="1344"/>
        </w:trPr>
        <w:tc>
          <w:tcPr>
            <w:tcW w:w="1820" w:type="dxa"/>
            <w:tcBorders>
              <w:top w:val="nil"/>
              <w:left w:val="single" w:sz="8" w:space="0" w:color="auto"/>
              <w:bottom w:val="nil"/>
              <w:right w:val="nil"/>
            </w:tcBorders>
            <w:vAlign w:val="center"/>
            <w:hideMark/>
          </w:tcPr>
          <w:p w:rsidR="00FD0EB3" w:rsidRDefault="00FD0EB3">
            <w:pPr>
              <w:jc w:val="center"/>
              <w:rPr>
                <w:sz w:val="18"/>
                <w:szCs w:val="18"/>
              </w:rPr>
            </w:pPr>
            <w:r>
              <w:rPr>
                <w:sz w:val="18"/>
                <w:szCs w:val="18"/>
              </w:rPr>
              <w:t>Глава XII “Престъпления против отбранителната способност на републиката”</w:t>
            </w:r>
          </w:p>
        </w:tc>
        <w:tc>
          <w:tcPr>
            <w:tcW w:w="541" w:type="dxa"/>
            <w:tcBorders>
              <w:top w:val="nil"/>
              <w:left w:val="single" w:sz="4" w:space="0" w:color="auto"/>
              <w:bottom w:val="nil"/>
              <w:right w:val="single" w:sz="4" w:space="0" w:color="auto"/>
            </w:tcBorders>
            <w:shd w:val="clear" w:color="auto" w:fill="FDE9D9"/>
            <w:vAlign w:val="center"/>
            <w:hideMark/>
          </w:tcPr>
          <w:p w:rsidR="00FD0EB3" w:rsidRDefault="00FD0EB3">
            <w:pPr>
              <w:jc w:val="center"/>
              <w:rPr>
                <w:sz w:val="18"/>
                <w:szCs w:val="18"/>
              </w:rPr>
            </w:pPr>
            <w:r>
              <w:rPr>
                <w:sz w:val="18"/>
                <w:szCs w:val="18"/>
              </w:rPr>
              <w:t>1</w:t>
            </w:r>
          </w:p>
        </w:tc>
        <w:tc>
          <w:tcPr>
            <w:tcW w:w="541" w:type="dxa"/>
            <w:tcBorders>
              <w:top w:val="nil"/>
              <w:left w:val="nil"/>
              <w:bottom w:val="nil"/>
              <w:right w:val="single" w:sz="4" w:space="0" w:color="auto"/>
            </w:tcBorders>
            <w:shd w:val="clear" w:color="auto" w:fill="FDE9D9"/>
            <w:vAlign w:val="center"/>
            <w:hideMark/>
          </w:tcPr>
          <w:p w:rsidR="00FD0EB3" w:rsidRDefault="00FD0EB3">
            <w:pPr>
              <w:jc w:val="center"/>
              <w:rPr>
                <w:sz w:val="18"/>
                <w:szCs w:val="18"/>
              </w:rPr>
            </w:pPr>
            <w:r>
              <w:rPr>
                <w:sz w:val="18"/>
                <w:szCs w:val="18"/>
              </w:rPr>
              <w:t>1</w:t>
            </w:r>
          </w:p>
        </w:tc>
        <w:tc>
          <w:tcPr>
            <w:tcW w:w="600" w:type="dxa"/>
            <w:tcBorders>
              <w:top w:val="nil"/>
              <w:left w:val="nil"/>
              <w:bottom w:val="nil"/>
              <w:right w:val="single" w:sz="4" w:space="0" w:color="auto"/>
            </w:tcBorders>
            <w:shd w:val="clear" w:color="auto" w:fill="FDE9D9"/>
            <w:vAlign w:val="center"/>
            <w:hideMark/>
          </w:tcPr>
          <w:p w:rsidR="00FD0EB3" w:rsidRDefault="00FD0EB3">
            <w:pPr>
              <w:jc w:val="center"/>
              <w:rPr>
                <w:sz w:val="18"/>
                <w:szCs w:val="18"/>
              </w:rPr>
            </w:pPr>
            <w:r>
              <w:rPr>
                <w:sz w:val="18"/>
                <w:szCs w:val="18"/>
              </w:rPr>
              <w:t>1</w:t>
            </w:r>
          </w:p>
        </w:tc>
        <w:tc>
          <w:tcPr>
            <w:tcW w:w="541" w:type="dxa"/>
            <w:tcBorders>
              <w:top w:val="nil"/>
              <w:left w:val="nil"/>
              <w:bottom w:val="nil"/>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487" w:type="dxa"/>
            <w:tcBorders>
              <w:top w:val="nil"/>
              <w:left w:val="nil"/>
              <w:bottom w:val="nil"/>
              <w:right w:val="single" w:sz="4" w:space="0" w:color="auto"/>
            </w:tcBorders>
            <w:shd w:val="clear" w:color="auto" w:fill="FDE9D9"/>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nil"/>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nil"/>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600" w:type="dxa"/>
            <w:tcBorders>
              <w:top w:val="nil"/>
              <w:left w:val="nil"/>
              <w:bottom w:val="nil"/>
              <w:right w:val="single" w:sz="4" w:space="0" w:color="auto"/>
            </w:tcBorders>
            <w:shd w:val="clear" w:color="auto" w:fill="DCE6F1"/>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nil"/>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487" w:type="dxa"/>
            <w:tcBorders>
              <w:top w:val="nil"/>
              <w:left w:val="nil"/>
              <w:bottom w:val="nil"/>
              <w:right w:val="single" w:sz="4" w:space="0" w:color="auto"/>
            </w:tcBorders>
            <w:shd w:val="clear" w:color="auto" w:fill="DCE6F1"/>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nil"/>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41" w:type="dxa"/>
            <w:tcBorders>
              <w:top w:val="nil"/>
              <w:left w:val="nil"/>
              <w:bottom w:val="nil"/>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600" w:type="dxa"/>
            <w:tcBorders>
              <w:top w:val="nil"/>
              <w:left w:val="nil"/>
              <w:bottom w:val="nil"/>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580" w:type="dxa"/>
            <w:tcBorders>
              <w:top w:val="nil"/>
              <w:left w:val="nil"/>
              <w:bottom w:val="nil"/>
              <w:right w:val="single" w:sz="4"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c>
          <w:tcPr>
            <w:tcW w:w="487" w:type="dxa"/>
            <w:tcBorders>
              <w:top w:val="nil"/>
              <w:left w:val="nil"/>
              <w:bottom w:val="nil"/>
              <w:right w:val="single" w:sz="8" w:space="0" w:color="auto"/>
            </w:tcBorders>
            <w:shd w:val="clear" w:color="auto" w:fill="F2F2F2"/>
            <w:noWrap/>
            <w:vAlign w:val="center"/>
            <w:hideMark/>
          </w:tcPr>
          <w:p w:rsidR="00FD0EB3" w:rsidRDefault="00FD0EB3">
            <w:pPr>
              <w:jc w:val="center"/>
              <w:rPr>
                <w:rFonts w:ascii="Arial" w:hAnsi="Arial" w:cs="Arial"/>
                <w:sz w:val="18"/>
                <w:szCs w:val="18"/>
              </w:rPr>
            </w:pPr>
            <w:r>
              <w:rPr>
                <w:rFonts w:ascii="Arial" w:hAnsi="Arial" w:cs="Arial"/>
                <w:sz w:val="18"/>
                <w:szCs w:val="18"/>
              </w:rPr>
              <w:t>0</w:t>
            </w:r>
          </w:p>
        </w:tc>
      </w:tr>
      <w:tr w:rsidR="00FD0EB3" w:rsidTr="00FD0EB3">
        <w:trPr>
          <w:trHeight w:val="405"/>
        </w:trPr>
        <w:tc>
          <w:tcPr>
            <w:tcW w:w="1820" w:type="dxa"/>
            <w:tcBorders>
              <w:top w:val="single" w:sz="8" w:space="0" w:color="auto"/>
              <w:left w:val="single" w:sz="8" w:space="0" w:color="auto"/>
              <w:bottom w:val="single" w:sz="8" w:space="0" w:color="auto"/>
              <w:right w:val="nil"/>
            </w:tcBorders>
            <w:shd w:val="clear" w:color="auto" w:fill="BFBFBF"/>
            <w:noWrap/>
            <w:vAlign w:val="center"/>
            <w:hideMark/>
          </w:tcPr>
          <w:p w:rsidR="00FD0EB3" w:rsidRDefault="00FD0EB3">
            <w:pPr>
              <w:jc w:val="center"/>
              <w:rPr>
                <w:rFonts w:ascii="Arial" w:hAnsi="Arial" w:cs="Arial"/>
                <w:sz w:val="20"/>
                <w:szCs w:val="20"/>
              </w:rPr>
            </w:pPr>
            <w:r>
              <w:rPr>
                <w:rFonts w:ascii="Arial" w:hAnsi="Arial" w:cs="Arial"/>
                <w:sz w:val="20"/>
                <w:szCs w:val="20"/>
              </w:rPr>
              <w:t>ОБЩО</w:t>
            </w:r>
          </w:p>
        </w:tc>
        <w:tc>
          <w:tcPr>
            <w:tcW w:w="541" w:type="dxa"/>
            <w:tcBorders>
              <w:top w:val="single" w:sz="8" w:space="0" w:color="auto"/>
              <w:left w:val="single" w:sz="4" w:space="0" w:color="auto"/>
              <w:bottom w:val="single" w:sz="8" w:space="0" w:color="auto"/>
              <w:right w:val="single" w:sz="4" w:space="0" w:color="auto"/>
            </w:tcBorders>
            <w:shd w:val="clear" w:color="auto" w:fill="BFBFBF"/>
            <w:vAlign w:val="center"/>
            <w:hideMark/>
          </w:tcPr>
          <w:p w:rsidR="00FD0EB3" w:rsidRDefault="00FD0EB3">
            <w:pPr>
              <w:jc w:val="center"/>
              <w:rPr>
                <w:rFonts w:ascii="Arial" w:hAnsi="Arial" w:cs="Arial"/>
                <w:b/>
                <w:bCs/>
                <w:sz w:val="18"/>
                <w:szCs w:val="18"/>
              </w:rPr>
            </w:pPr>
            <w:r>
              <w:rPr>
                <w:rFonts w:ascii="Arial" w:hAnsi="Arial" w:cs="Arial"/>
                <w:b/>
                <w:bCs/>
                <w:sz w:val="18"/>
                <w:szCs w:val="18"/>
              </w:rPr>
              <w:t>7234</w:t>
            </w:r>
          </w:p>
        </w:tc>
        <w:tc>
          <w:tcPr>
            <w:tcW w:w="541" w:type="dxa"/>
            <w:tcBorders>
              <w:top w:val="single" w:sz="8" w:space="0" w:color="auto"/>
              <w:left w:val="nil"/>
              <w:bottom w:val="single" w:sz="8" w:space="0" w:color="auto"/>
              <w:right w:val="single" w:sz="4" w:space="0" w:color="auto"/>
            </w:tcBorders>
            <w:shd w:val="clear" w:color="auto" w:fill="BFBFBF"/>
            <w:vAlign w:val="center"/>
            <w:hideMark/>
          </w:tcPr>
          <w:p w:rsidR="00FD0EB3" w:rsidRDefault="00FD0EB3">
            <w:pPr>
              <w:jc w:val="center"/>
              <w:rPr>
                <w:rFonts w:ascii="Arial" w:hAnsi="Arial" w:cs="Arial"/>
                <w:b/>
                <w:bCs/>
                <w:sz w:val="18"/>
                <w:szCs w:val="18"/>
              </w:rPr>
            </w:pPr>
            <w:r>
              <w:rPr>
                <w:rFonts w:ascii="Arial" w:hAnsi="Arial" w:cs="Arial"/>
                <w:b/>
                <w:bCs/>
                <w:sz w:val="18"/>
                <w:szCs w:val="18"/>
              </w:rPr>
              <w:t>1680</w:t>
            </w:r>
          </w:p>
        </w:tc>
        <w:tc>
          <w:tcPr>
            <w:tcW w:w="600" w:type="dxa"/>
            <w:tcBorders>
              <w:top w:val="single" w:sz="8" w:space="0" w:color="auto"/>
              <w:left w:val="nil"/>
              <w:bottom w:val="single" w:sz="8" w:space="0" w:color="auto"/>
              <w:right w:val="single" w:sz="4"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1867</w:t>
            </w:r>
          </w:p>
        </w:tc>
        <w:tc>
          <w:tcPr>
            <w:tcW w:w="541" w:type="dxa"/>
            <w:tcBorders>
              <w:top w:val="single" w:sz="8" w:space="0" w:color="auto"/>
              <w:left w:val="nil"/>
              <w:bottom w:val="single" w:sz="8" w:space="0" w:color="auto"/>
              <w:right w:val="single" w:sz="4"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3565</w:t>
            </w:r>
          </w:p>
        </w:tc>
        <w:tc>
          <w:tcPr>
            <w:tcW w:w="487" w:type="dxa"/>
            <w:tcBorders>
              <w:top w:val="single" w:sz="8" w:space="0" w:color="auto"/>
              <w:left w:val="nil"/>
              <w:bottom w:val="single" w:sz="8" w:space="0" w:color="auto"/>
              <w:right w:val="single" w:sz="4"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35</w:t>
            </w:r>
          </w:p>
        </w:tc>
        <w:tc>
          <w:tcPr>
            <w:tcW w:w="541" w:type="dxa"/>
            <w:tcBorders>
              <w:top w:val="single" w:sz="8" w:space="0" w:color="auto"/>
              <w:left w:val="nil"/>
              <w:bottom w:val="single" w:sz="8" w:space="0" w:color="auto"/>
              <w:right w:val="single" w:sz="4"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7884</w:t>
            </w:r>
          </w:p>
        </w:tc>
        <w:tc>
          <w:tcPr>
            <w:tcW w:w="541" w:type="dxa"/>
            <w:tcBorders>
              <w:top w:val="single" w:sz="8" w:space="0" w:color="auto"/>
              <w:left w:val="nil"/>
              <w:bottom w:val="single" w:sz="8" w:space="0" w:color="auto"/>
              <w:right w:val="single" w:sz="4"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1830</w:t>
            </w:r>
          </w:p>
        </w:tc>
        <w:tc>
          <w:tcPr>
            <w:tcW w:w="600" w:type="dxa"/>
            <w:tcBorders>
              <w:top w:val="single" w:sz="8" w:space="0" w:color="auto"/>
              <w:left w:val="nil"/>
              <w:bottom w:val="single" w:sz="8" w:space="0" w:color="auto"/>
              <w:right w:val="single" w:sz="4"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1952</w:t>
            </w:r>
          </w:p>
        </w:tc>
        <w:tc>
          <w:tcPr>
            <w:tcW w:w="541" w:type="dxa"/>
            <w:tcBorders>
              <w:top w:val="single" w:sz="8" w:space="0" w:color="auto"/>
              <w:left w:val="nil"/>
              <w:bottom w:val="single" w:sz="8" w:space="0" w:color="auto"/>
              <w:right w:val="single" w:sz="4"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3878</w:t>
            </w:r>
          </w:p>
        </w:tc>
        <w:tc>
          <w:tcPr>
            <w:tcW w:w="487" w:type="dxa"/>
            <w:tcBorders>
              <w:top w:val="single" w:sz="8" w:space="0" w:color="auto"/>
              <w:left w:val="nil"/>
              <w:bottom w:val="single" w:sz="8" w:space="0" w:color="auto"/>
              <w:right w:val="single" w:sz="4"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48</w:t>
            </w:r>
          </w:p>
        </w:tc>
        <w:tc>
          <w:tcPr>
            <w:tcW w:w="541" w:type="dxa"/>
            <w:tcBorders>
              <w:top w:val="single" w:sz="8" w:space="0" w:color="auto"/>
              <w:left w:val="nil"/>
              <w:bottom w:val="single" w:sz="8" w:space="0" w:color="auto"/>
              <w:right w:val="single" w:sz="4"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7702</w:t>
            </w:r>
          </w:p>
        </w:tc>
        <w:tc>
          <w:tcPr>
            <w:tcW w:w="541" w:type="dxa"/>
            <w:tcBorders>
              <w:top w:val="single" w:sz="8" w:space="0" w:color="auto"/>
              <w:left w:val="nil"/>
              <w:bottom w:val="single" w:sz="8" w:space="0" w:color="auto"/>
              <w:right w:val="single" w:sz="4"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1801</w:t>
            </w:r>
          </w:p>
        </w:tc>
        <w:tc>
          <w:tcPr>
            <w:tcW w:w="600" w:type="dxa"/>
            <w:tcBorders>
              <w:top w:val="single" w:sz="8" w:space="0" w:color="auto"/>
              <w:left w:val="nil"/>
              <w:bottom w:val="single" w:sz="8" w:space="0" w:color="auto"/>
              <w:right w:val="single" w:sz="4"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1959</w:t>
            </w:r>
          </w:p>
        </w:tc>
        <w:tc>
          <w:tcPr>
            <w:tcW w:w="580" w:type="dxa"/>
            <w:tcBorders>
              <w:top w:val="single" w:sz="8" w:space="0" w:color="auto"/>
              <w:left w:val="nil"/>
              <w:bottom w:val="single" w:sz="8" w:space="0" w:color="auto"/>
              <w:right w:val="single" w:sz="4"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5028</w:t>
            </w:r>
          </w:p>
        </w:tc>
        <w:tc>
          <w:tcPr>
            <w:tcW w:w="487" w:type="dxa"/>
            <w:tcBorders>
              <w:top w:val="single" w:sz="8" w:space="0" w:color="auto"/>
              <w:left w:val="nil"/>
              <w:bottom w:val="single" w:sz="8" w:space="0" w:color="auto"/>
              <w:right w:val="single" w:sz="8" w:space="0" w:color="auto"/>
            </w:tcBorders>
            <w:shd w:val="clear" w:color="auto" w:fill="BFBFBF"/>
            <w:noWrap/>
            <w:vAlign w:val="center"/>
            <w:hideMark/>
          </w:tcPr>
          <w:p w:rsidR="00FD0EB3" w:rsidRDefault="00FD0EB3">
            <w:pPr>
              <w:jc w:val="center"/>
              <w:rPr>
                <w:rFonts w:ascii="Arial" w:hAnsi="Arial" w:cs="Arial"/>
                <w:b/>
                <w:bCs/>
                <w:sz w:val="18"/>
                <w:szCs w:val="18"/>
              </w:rPr>
            </w:pPr>
            <w:r>
              <w:rPr>
                <w:rFonts w:ascii="Arial" w:hAnsi="Arial" w:cs="Arial"/>
                <w:b/>
                <w:bCs/>
                <w:sz w:val="18"/>
                <w:szCs w:val="18"/>
              </w:rPr>
              <w:t>251</w:t>
            </w:r>
          </w:p>
        </w:tc>
      </w:tr>
      <w:bookmarkEnd w:id="3"/>
      <w:bookmarkEnd w:id="5"/>
      <w:bookmarkEnd w:id="7"/>
    </w:tbl>
    <w:p w:rsidR="00FD0EB3" w:rsidRDefault="00FD0EB3" w:rsidP="00FD0EB3">
      <w:pPr>
        <w:ind w:firstLine="426"/>
        <w:jc w:val="both"/>
        <w:rPr>
          <w:rFonts w:asciiTheme="minorHAnsi" w:eastAsiaTheme="minorHAnsi" w:hAnsiTheme="minorHAnsi" w:cstheme="minorBidi"/>
          <w:sz w:val="22"/>
          <w:szCs w:val="22"/>
          <w:lang w:eastAsia="en-US"/>
        </w:rPr>
      </w:pPr>
    </w:p>
    <w:p w:rsidR="00FD0EB3" w:rsidRDefault="00FD0EB3" w:rsidP="002752BE">
      <w:pPr>
        <w:ind w:firstLine="426"/>
        <w:jc w:val="both"/>
        <w:rPr>
          <w:sz w:val="28"/>
          <w:szCs w:val="28"/>
        </w:rPr>
      </w:pPr>
      <w:r>
        <w:t xml:space="preserve"> </w:t>
      </w:r>
      <w:r>
        <w:rPr>
          <w:sz w:val="28"/>
          <w:szCs w:val="28"/>
        </w:rPr>
        <w:t>Обобщени данните от нея изглеждат така:</w:t>
      </w:r>
    </w:p>
    <w:p w:rsidR="00FD0EB3" w:rsidRDefault="00FD0EB3" w:rsidP="000059A2">
      <w:pPr>
        <w:pStyle w:val="a3"/>
        <w:numPr>
          <w:ilvl w:val="0"/>
          <w:numId w:val="15"/>
        </w:numPr>
        <w:shd w:val="clear" w:color="auto" w:fill="FFFFFF" w:themeFill="background1"/>
        <w:ind w:left="0" w:firstLine="426"/>
        <w:jc w:val="both"/>
        <w:rPr>
          <w:sz w:val="28"/>
          <w:szCs w:val="28"/>
        </w:rPr>
      </w:pPr>
      <w:r>
        <w:rPr>
          <w:sz w:val="28"/>
          <w:szCs w:val="28"/>
        </w:rPr>
        <w:t>увеличение в престъпленията против личността спрямо 2022 г, а спрямо 2021 г. се забелязва намаляване ;</w:t>
      </w:r>
    </w:p>
    <w:p w:rsidR="00FD0EB3" w:rsidRDefault="00FD0EB3" w:rsidP="000059A2">
      <w:pPr>
        <w:pStyle w:val="a3"/>
        <w:numPr>
          <w:ilvl w:val="0"/>
          <w:numId w:val="15"/>
        </w:numPr>
        <w:shd w:val="clear" w:color="auto" w:fill="FFFFFF" w:themeFill="background1"/>
        <w:ind w:left="0" w:firstLine="426"/>
        <w:jc w:val="both"/>
        <w:rPr>
          <w:sz w:val="28"/>
          <w:szCs w:val="28"/>
        </w:rPr>
      </w:pPr>
      <w:r>
        <w:rPr>
          <w:sz w:val="28"/>
          <w:szCs w:val="28"/>
        </w:rPr>
        <w:t>увеличение в престъпленията против правата на гражданите спрямо предходната година  и намаляване с   спрямо 2021г.;</w:t>
      </w:r>
    </w:p>
    <w:p w:rsidR="00FD0EB3" w:rsidRDefault="00FD0EB3" w:rsidP="000059A2">
      <w:pPr>
        <w:pStyle w:val="a3"/>
        <w:numPr>
          <w:ilvl w:val="0"/>
          <w:numId w:val="15"/>
        </w:numPr>
        <w:shd w:val="clear" w:color="auto" w:fill="FFFFFF" w:themeFill="background1"/>
        <w:ind w:left="0" w:firstLine="426"/>
        <w:jc w:val="both"/>
        <w:rPr>
          <w:sz w:val="28"/>
          <w:szCs w:val="28"/>
        </w:rPr>
      </w:pPr>
      <w:r>
        <w:rPr>
          <w:sz w:val="28"/>
          <w:szCs w:val="28"/>
        </w:rPr>
        <w:t>отчита се намаление на новообразуваните ДП за престъпления против собствеността спрямо 2022 г. и спрямо 2021 г.;</w:t>
      </w:r>
    </w:p>
    <w:p w:rsidR="00FD0EB3" w:rsidRDefault="00FD0EB3" w:rsidP="000059A2">
      <w:pPr>
        <w:pStyle w:val="a3"/>
        <w:numPr>
          <w:ilvl w:val="0"/>
          <w:numId w:val="15"/>
        </w:numPr>
        <w:shd w:val="clear" w:color="auto" w:fill="FFFFFF" w:themeFill="background1"/>
        <w:ind w:left="0" w:firstLine="426"/>
        <w:jc w:val="both"/>
        <w:rPr>
          <w:sz w:val="28"/>
          <w:szCs w:val="28"/>
        </w:rPr>
      </w:pPr>
      <w:r>
        <w:rPr>
          <w:sz w:val="28"/>
          <w:szCs w:val="28"/>
        </w:rPr>
        <w:t xml:space="preserve"> увеличение с 23,3</w:t>
      </w:r>
      <w:r w:rsidR="00182FBD">
        <w:rPr>
          <w:sz w:val="28"/>
          <w:szCs w:val="28"/>
        </w:rPr>
        <w:t>%</w:t>
      </w:r>
      <w:r>
        <w:rPr>
          <w:sz w:val="28"/>
          <w:szCs w:val="28"/>
        </w:rPr>
        <w:t xml:space="preserve"> спрямо 2022 г. и с 33,38</w:t>
      </w:r>
      <w:r w:rsidR="00182FBD">
        <w:rPr>
          <w:sz w:val="28"/>
          <w:szCs w:val="28"/>
        </w:rPr>
        <w:t>%</w:t>
      </w:r>
      <w:r>
        <w:rPr>
          <w:sz w:val="28"/>
          <w:szCs w:val="28"/>
        </w:rPr>
        <w:t xml:space="preserve"> спрямо 2021 г. се забелязва и в престъпленията против стопанството; </w:t>
      </w:r>
    </w:p>
    <w:p w:rsidR="00FD0EB3" w:rsidRDefault="00FD0EB3" w:rsidP="000059A2">
      <w:pPr>
        <w:pStyle w:val="a3"/>
        <w:numPr>
          <w:ilvl w:val="0"/>
          <w:numId w:val="15"/>
        </w:numPr>
        <w:shd w:val="clear" w:color="auto" w:fill="FFFFFF" w:themeFill="background1"/>
        <w:ind w:left="0" w:firstLine="426"/>
        <w:jc w:val="both"/>
        <w:rPr>
          <w:sz w:val="28"/>
          <w:szCs w:val="28"/>
        </w:rPr>
      </w:pPr>
      <w:r>
        <w:rPr>
          <w:sz w:val="28"/>
          <w:szCs w:val="28"/>
        </w:rPr>
        <w:t>увеличение на финансовите престъпления спрямо 2022 г., но се отчита намаление спрямо данните за 2021 г.;</w:t>
      </w:r>
    </w:p>
    <w:p w:rsidR="00FD0EB3" w:rsidRDefault="00FD0EB3" w:rsidP="000059A2">
      <w:pPr>
        <w:pStyle w:val="a3"/>
        <w:numPr>
          <w:ilvl w:val="0"/>
          <w:numId w:val="15"/>
        </w:numPr>
        <w:shd w:val="clear" w:color="auto" w:fill="FFFFFF" w:themeFill="background1"/>
        <w:ind w:left="0" w:firstLine="426"/>
        <w:jc w:val="both"/>
        <w:rPr>
          <w:sz w:val="28"/>
          <w:szCs w:val="28"/>
        </w:rPr>
      </w:pPr>
      <w:r>
        <w:rPr>
          <w:sz w:val="28"/>
          <w:szCs w:val="28"/>
        </w:rPr>
        <w:t xml:space="preserve">увеличение при документните престъпления спрямо предходните две години; </w:t>
      </w:r>
    </w:p>
    <w:p w:rsidR="00FD0EB3" w:rsidRDefault="00FD0EB3" w:rsidP="000059A2">
      <w:pPr>
        <w:pStyle w:val="a3"/>
        <w:numPr>
          <w:ilvl w:val="0"/>
          <w:numId w:val="15"/>
        </w:numPr>
        <w:shd w:val="clear" w:color="auto" w:fill="FFFFFF" w:themeFill="background1"/>
        <w:ind w:left="0" w:firstLine="426"/>
        <w:jc w:val="both"/>
        <w:rPr>
          <w:sz w:val="28"/>
          <w:szCs w:val="28"/>
        </w:rPr>
      </w:pPr>
      <w:r>
        <w:rPr>
          <w:sz w:val="28"/>
          <w:szCs w:val="28"/>
        </w:rPr>
        <w:t>новообразуваните дела за компютърни престъпления са се увеличили спрямо 2022 г., но се отчита намаление спрямо  2021 г.;</w:t>
      </w:r>
    </w:p>
    <w:p w:rsidR="00FD0EB3" w:rsidRDefault="00FD0EB3" w:rsidP="000059A2">
      <w:pPr>
        <w:pStyle w:val="a3"/>
        <w:numPr>
          <w:ilvl w:val="0"/>
          <w:numId w:val="15"/>
        </w:numPr>
        <w:shd w:val="clear" w:color="auto" w:fill="FFFFFF" w:themeFill="background1"/>
        <w:ind w:left="0" w:firstLine="426"/>
        <w:jc w:val="both"/>
        <w:rPr>
          <w:sz w:val="28"/>
          <w:szCs w:val="28"/>
        </w:rPr>
      </w:pPr>
      <w:r>
        <w:rPr>
          <w:sz w:val="28"/>
          <w:szCs w:val="28"/>
        </w:rPr>
        <w:t>новообразуваните дела за общоопасни престъпления са намалели  спрямо предходните два отчетни периода</w:t>
      </w:r>
      <w:r w:rsidR="006218D1">
        <w:rPr>
          <w:sz w:val="28"/>
          <w:szCs w:val="28"/>
        </w:rPr>
        <w:t>.</w:t>
      </w:r>
      <w:r>
        <w:rPr>
          <w:sz w:val="28"/>
          <w:szCs w:val="28"/>
        </w:rPr>
        <w:t xml:space="preserve"> </w:t>
      </w:r>
    </w:p>
    <w:p w:rsidR="00FD0EB3" w:rsidRPr="003E3928" w:rsidRDefault="00FD0EB3" w:rsidP="002752BE">
      <w:pPr>
        <w:autoSpaceDE w:val="0"/>
        <w:autoSpaceDN w:val="0"/>
        <w:adjustRightInd w:val="0"/>
        <w:spacing w:before="200"/>
        <w:ind w:firstLine="709"/>
        <w:jc w:val="both"/>
        <w:rPr>
          <w:rFonts w:eastAsia="Calibri"/>
          <w:b/>
          <w:color w:val="000000" w:themeColor="text1"/>
          <w:sz w:val="28"/>
          <w:szCs w:val="28"/>
          <w:lang w:eastAsia="en-US"/>
        </w:rPr>
      </w:pPr>
      <w:r w:rsidRPr="003E3928">
        <w:rPr>
          <w:sz w:val="28"/>
          <w:szCs w:val="28"/>
        </w:rPr>
        <w:t xml:space="preserve">  </w:t>
      </w:r>
      <w:bookmarkStart w:id="8" w:name="OLE_LINK11"/>
      <w:r w:rsidRPr="003E3928">
        <w:rPr>
          <w:rFonts w:eastAsia="Calibri"/>
          <w:b/>
          <w:color w:val="000000" w:themeColor="text1"/>
          <w:sz w:val="28"/>
          <w:szCs w:val="28"/>
        </w:rPr>
        <w:t>Преписки и досъдебни производства, образувани за престъпления, свързани домашно насилие</w:t>
      </w:r>
      <w:bookmarkEnd w:id="8"/>
      <w:r w:rsidRPr="003E3928">
        <w:rPr>
          <w:rFonts w:eastAsia="Calibri"/>
          <w:b/>
          <w:color w:val="000000" w:themeColor="text1"/>
          <w:sz w:val="28"/>
          <w:szCs w:val="28"/>
        </w:rPr>
        <w:t xml:space="preserve">: </w:t>
      </w:r>
    </w:p>
    <w:p w:rsidR="002752BE" w:rsidRPr="002752BE" w:rsidRDefault="002752BE" w:rsidP="002752BE">
      <w:pPr>
        <w:ind w:firstLine="709"/>
        <w:rPr>
          <w:b/>
          <w:color w:val="000000" w:themeColor="text1"/>
          <w:lang w:val="en-US"/>
        </w:rPr>
      </w:pPr>
      <w:bookmarkStart w:id="9" w:name="OLE_LINK6"/>
      <w:bookmarkStart w:id="10" w:name="OLE_LINK5"/>
      <w:bookmarkStart w:id="11" w:name="OLE_LINK2"/>
    </w:p>
    <w:p w:rsidR="00FD0EB3" w:rsidRDefault="00FD0EB3" w:rsidP="00FD0EB3">
      <w:pPr>
        <w:ind w:firstLine="426"/>
        <w:jc w:val="both"/>
        <w:rPr>
          <w:color w:val="FF0000"/>
          <w:sz w:val="28"/>
          <w:szCs w:val="28"/>
        </w:rPr>
      </w:pPr>
      <w:r>
        <w:rPr>
          <w:noProof/>
        </w:rPr>
        <w:lastRenderedPageBreak/>
        <w:drawing>
          <wp:inline distT="0" distB="0" distL="0" distR="0" wp14:anchorId="480AD509" wp14:editId="629B82A6">
            <wp:extent cx="5391150" cy="2493645"/>
            <wp:effectExtent l="0" t="0" r="19050" b="20955"/>
            <wp:docPr id="4" name="Ди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0EB3" w:rsidRDefault="00FD0EB3" w:rsidP="00FD0EB3">
      <w:pPr>
        <w:jc w:val="both"/>
        <w:rPr>
          <w:rFonts w:eastAsiaTheme="minorHAnsi"/>
          <w:color w:val="FF0000"/>
          <w:sz w:val="28"/>
          <w:szCs w:val="28"/>
          <w:lang w:eastAsia="en-US"/>
        </w:rPr>
      </w:pPr>
    </w:p>
    <w:bookmarkEnd w:id="9"/>
    <w:bookmarkEnd w:id="10"/>
    <w:p w:rsidR="00FD0EB3" w:rsidRDefault="00FD0EB3" w:rsidP="000059A2">
      <w:pPr>
        <w:numPr>
          <w:ilvl w:val="0"/>
          <w:numId w:val="14"/>
        </w:numPr>
        <w:tabs>
          <w:tab w:val="left" w:pos="426"/>
        </w:tabs>
        <w:ind w:left="0" w:firstLine="0"/>
        <w:contextualSpacing/>
        <w:jc w:val="both"/>
        <w:rPr>
          <w:sz w:val="28"/>
          <w:szCs w:val="28"/>
        </w:rPr>
      </w:pPr>
      <w:r>
        <w:rPr>
          <w:sz w:val="28"/>
          <w:szCs w:val="28"/>
        </w:rPr>
        <w:t xml:space="preserve">    </w:t>
      </w:r>
      <w:r>
        <w:rPr>
          <w:sz w:val="28"/>
          <w:szCs w:val="28"/>
        </w:rPr>
        <w:tab/>
        <w:t xml:space="preserve">В района на </w:t>
      </w:r>
      <w:r w:rsidR="00182FBD">
        <w:rPr>
          <w:sz w:val="28"/>
          <w:szCs w:val="28"/>
        </w:rPr>
        <w:t>ОП-Варна</w:t>
      </w:r>
      <w:r>
        <w:rPr>
          <w:sz w:val="28"/>
          <w:szCs w:val="28"/>
        </w:rPr>
        <w:t>, през 2023 г. са наблюдавани общо 303 преписки и 283 ДП, образувани за престъпления, свързани с домашно насилие. Отчита се  увеличение на такива преписки и дела спрямо предходните два отчетни периода.</w:t>
      </w:r>
    </w:p>
    <w:p w:rsidR="00FD0EB3" w:rsidRDefault="00FD0EB3" w:rsidP="000059A2">
      <w:pPr>
        <w:numPr>
          <w:ilvl w:val="0"/>
          <w:numId w:val="14"/>
        </w:numPr>
        <w:tabs>
          <w:tab w:val="left" w:pos="426"/>
        </w:tabs>
        <w:ind w:left="0" w:firstLine="0"/>
        <w:contextualSpacing/>
        <w:jc w:val="both"/>
        <w:rPr>
          <w:sz w:val="28"/>
          <w:szCs w:val="28"/>
        </w:rPr>
      </w:pPr>
      <w:r>
        <w:rPr>
          <w:sz w:val="28"/>
          <w:szCs w:val="28"/>
        </w:rPr>
        <w:tab/>
        <w:t xml:space="preserve">От тях са новообразувани 291 преписки, а решените са 287. При новообразувани 199 досъдебни производства /от общо наблюдаваните 283 бр./ в съда се внесени общо 25 бр. актове, от които 15 бр. обвинителни актове, 5 бр. споразумения и 5 бр. предложения по 78а от НК. Осъдените лица са 19 бр.    </w:t>
      </w:r>
    </w:p>
    <w:p w:rsidR="00FD0EB3" w:rsidRDefault="00FD0EB3" w:rsidP="000059A2">
      <w:pPr>
        <w:numPr>
          <w:ilvl w:val="0"/>
          <w:numId w:val="14"/>
        </w:numPr>
        <w:tabs>
          <w:tab w:val="left" w:pos="426"/>
        </w:tabs>
        <w:ind w:left="0" w:firstLine="0"/>
        <w:contextualSpacing/>
        <w:jc w:val="both"/>
        <w:rPr>
          <w:sz w:val="28"/>
          <w:szCs w:val="28"/>
        </w:rPr>
      </w:pPr>
      <w:r>
        <w:rPr>
          <w:sz w:val="28"/>
          <w:szCs w:val="28"/>
        </w:rPr>
        <w:tab/>
        <w:t>Общо пострадали по новообразуваните дела са били 194 бр., от които 8 непълнолетни лица /4 момичета и 4 момчета/ и 3 малолетни лица /1 момче и 2 момичета/. В сравнение с предходния отчетен период, когато пострадалите лица са били 88 лица /от които 2 малолетни момичета и 1 непълнолетно момче/ се отчита 120,5</w:t>
      </w:r>
      <w:r w:rsidR="00182FBD">
        <w:rPr>
          <w:sz w:val="28"/>
          <w:szCs w:val="28"/>
        </w:rPr>
        <w:t>%</w:t>
      </w:r>
      <w:r>
        <w:rPr>
          <w:sz w:val="28"/>
          <w:szCs w:val="28"/>
        </w:rPr>
        <w:t xml:space="preserve"> увеличение.</w:t>
      </w:r>
    </w:p>
    <w:p w:rsidR="00FD0EB3" w:rsidRDefault="00FD0EB3" w:rsidP="000059A2">
      <w:pPr>
        <w:numPr>
          <w:ilvl w:val="0"/>
          <w:numId w:val="14"/>
        </w:numPr>
        <w:tabs>
          <w:tab w:val="left" w:pos="709"/>
        </w:tabs>
        <w:ind w:left="0" w:firstLine="0"/>
        <w:contextualSpacing/>
        <w:jc w:val="both"/>
        <w:rPr>
          <w:sz w:val="28"/>
          <w:szCs w:val="28"/>
        </w:rPr>
      </w:pPr>
      <w:r>
        <w:rPr>
          <w:sz w:val="28"/>
          <w:szCs w:val="28"/>
        </w:rPr>
        <w:t xml:space="preserve">Въпреки усилията, положени от правоохранителните органи, изразяващи се в превенция и борба с домашното насилие, тревожната тенденция на увеличаване на случаите е осезаема. Причината според нас е, че след засилване на фокуса върху деянията, извършени в условията на домашно насилие, пострадалите лица се доверяват повече на </w:t>
      </w:r>
      <w:proofErr w:type="spellStart"/>
      <w:r>
        <w:rPr>
          <w:sz w:val="28"/>
          <w:szCs w:val="28"/>
        </w:rPr>
        <w:t>праовоохранителните</w:t>
      </w:r>
      <w:proofErr w:type="spellEnd"/>
      <w:r>
        <w:rPr>
          <w:sz w:val="28"/>
          <w:szCs w:val="28"/>
        </w:rPr>
        <w:t xml:space="preserve"> органи и подават сигнали за</w:t>
      </w:r>
      <w:bookmarkEnd w:id="11"/>
      <w:r>
        <w:rPr>
          <w:sz w:val="28"/>
          <w:szCs w:val="28"/>
        </w:rPr>
        <w:t xml:space="preserve"> извършените престъпления. </w:t>
      </w:r>
    </w:p>
    <w:p w:rsidR="00FD0EB3" w:rsidRDefault="00FD0EB3" w:rsidP="000059A2">
      <w:pPr>
        <w:numPr>
          <w:ilvl w:val="0"/>
          <w:numId w:val="14"/>
        </w:numPr>
        <w:tabs>
          <w:tab w:val="left" w:pos="709"/>
        </w:tabs>
        <w:ind w:left="0" w:firstLine="0"/>
        <w:contextualSpacing/>
        <w:jc w:val="both"/>
        <w:rPr>
          <w:sz w:val="28"/>
          <w:szCs w:val="28"/>
        </w:rPr>
      </w:pPr>
      <w:r>
        <w:rPr>
          <w:sz w:val="28"/>
          <w:szCs w:val="28"/>
        </w:rPr>
        <w:t xml:space="preserve">Налице е много добра координация между полицията, прокуратурата и неправителствените организации, ангажирани със защитата на жертвите от домашно насилие. В същото време, установена бе и основната трудност, която се среща при този вид престъпления, предвид тяхната специфика, че тя е свързана с най- вече с поведението на пострадалите – жертви на домашно насилие и съдействието, което те са склонни да окажат. </w:t>
      </w:r>
    </w:p>
    <w:p w:rsidR="00FD0EB3" w:rsidRDefault="00FD0EB3" w:rsidP="000059A2">
      <w:pPr>
        <w:numPr>
          <w:ilvl w:val="0"/>
          <w:numId w:val="14"/>
        </w:numPr>
        <w:tabs>
          <w:tab w:val="left" w:pos="709"/>
        </w:tabs>
        <w:ind w:left="0" w:firstLine="0"/>
        <w:contextualSpacing/>
        <w:jc w:val="both"/>
        <w:rPr>
          <w:sz w:val="28"/>
          <w:szCs w:val="28"/>
        </w:rPr>
      </w:pPr>
      <w:r>
        <w:rPr>
          <w:sz w:val="28"/>
          <w:szCs w:val="28"/>
        </w:rPr>
        <w:t xml:space="preserve">За улеснение на гражданите, на видно място в сградите на </w:t>
      </w:r>
      <w:r w:rsidR="00182FBD">
        <w:rPr>
          <w:sz w:val="28"/>
          <w:szCs w:val="28"/>
        </w:rPr>
        <w:t>ОП-Варна</w:t>
      </w:r>
      <w:r>
        <w:rPr>
          <w:sz w:val="28"/>
          <w:szCs w:val="28"/>
        </w:rPr>
        <w:t xml:space="preserve"> и </w:t>
      </w:r>
      <w:r w:rsidR="00182FBD">
        <w:rPr>
          <w:sz w:val="28"/>
          <w:szCs w:val="28"/>
        </w:rPr>
        <w:t>РП-Варна</w:t>
      </w:r>
      <w:r>
        <w:rPr>
          <w:sz w:val="28"/>
          <w:szCs w:val="28"/>
        </w:rPr>
        <w:t xml:space="preserve"> бяха поставени материали, с разяснения от кои органи на територията на Варненска област каква помощ имат възможност да получат в случаите на домашно насилие, какви права имат в такива случаи и др.</w:t>
      </w:r>
    </w:p>
    <w:p w:rsidR="00E5590F" w:rsidRDefault="00E5590F" w:rsidP="00E5590F">
      <w:pPr>
        <w:tabs>
          <w:tab w:val="left" w:pos="6845"/>
        </w:tabs>
        <w:ind w:firstLine="426"/>
        <w:jc w:val="both"/>
        <w:rPr>
          <w:b/>
          <w:sz w:val="28"/>
          <w:szCs w:val="28"/>
          <w:lang w:val="en-US"/>
        </w:rPr>
      </w:pPr>
    </w:p>
    <w:p w:rsidR="00E5590F" w:rsidRDefault="00E5590F" w:rsidP="00E5590F">
      <w:pPr>
        <w:tabs>
          <w:tab w:val="left" w:pos="6845"/>
        </w:tabs>
        <w:ind w:firstLine="426"/>
        <w:jc w:val="both"/>
        <w:rPr>
          <w:b/>
          <w:sz w:val="28"/>
          <w:szCs w:val="28"/>
          <w:lang w:val="en-US"/>
        </w:rPr>
      </w:pPr>
    </w:p>
    <w:p w:rsidR="00FD0EB3" w:rsidRDefault="00E5590F" w:rsidP="00E5590F">
      <w:pPr>
        <w:tabs>
          <w:tab w:val="left" w:pos="6845"/>
        </w:tabs>
        <w:ind w:firstLine="426"/>
        <w:jc w:val="both"/>
        <w:rPr>
          <w:b/>
          <w:sz w:val="28"/>
          <w:szCs w:val="28"/>
        </w:rPr>
      </w:pPr>
      <w:r>
        <w:rPr>
          <w:b/>
          <w:sz w:val="28"/>
          <w:szCs w:val="28"/>
        </w:rPr>
        <w:tab/>
      </w:r>
    </w:p>
    <w:p w:rsidR="00FD0EB3" w:rsidRDefault="00FD0EB3" w:rsidP="00FD0EB3">
      <w:pPr>
        <w:ind w:firstLine="426"/>
        <w:jc w:val="both"/>
        <w:rPr>
          <w:b/>
          <w:color w:val="FF0000"/>
          <w:sz w:val="28"/>
          <w:szCs w:val="28"/>
        </w:rPr>
      </w:pPr>
      <w:bookmarkStart w:id="12" w:name="OLE_LINK13"/>
      <w:r>
        <w:rPr>
          <w:b/>
          <w:sz w:val="28"/>
          <w:szCs w:val="28"/>
        </w:rPr>
        <w:lastRenderedPageBreak/>
        <w:t>Организация и дейност при използването на СРС</w:t>
      </w:r>
      <w:bookmarkEnd w:id="12"/>
      <w:r>
        <w:rPr>
          <w:b/>
          <w:sz w:val="28"/>
          <w:szCs w:val="28"/>
        </w:rPr>
        <w:t xml:space="preserve">. </w:t>
      </w:r>
    </w:p>
    <w:p w:rsidR="00FD0EB3" w:rsidRDefault="00FD0EB3" w:rsidP="00FD0EB3">
      <w:pPr>
        <w:jc w:val="both"/>
        <w:rPr>
          <w:color w:val="FF0000"/>
          <w:sz w:val="28"/>
          <w:szCs w:val="28"/>
        </w:rPr>
      </w:pPr>
      <w:bookmarkStart w:id="13" w:name="OLE_LINK3"/>
      <w:bookmarkStart w:id="14" w:name="OLE_LINK1"/>
      <w:r>
        <w:rPr>
          <w:noProof/>
        </w:rPr>
        <w:drawing>
          <wp:inline distT="0" distB="0" distL="0" distR="0" wp14:anchorId="02F005FB" wp14:editId="4D222255">
            <wp:extent cx="5996940" cy="2434590"/>
            <wp:effectExtent l="0" t="0" r="22860" b="22860"/>
            <wp:docPr id="5" name="Ди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0EB3" w:rsidRDefault="00FD0EB3" w:rsidP="00FD0EB3">
      <w:pPr>
        <w:jc w:val="both"/>
        <w:rPr>
          <w:rFonts w:eastAsiaTheme="minorHAnsi"/>
          <w:color w:val="FF0000"/>
          <w:sz w:val="28"/>
          <w:szCs w:val="28"/>
          <w:lang w:eastAsia="en-US"/>
        </w:rPr>
      </w:pPr>
    </w:p>
    <w:bookmarkEnd w:id="13"/>
    <w:p w:rsidR="00FD0EB3" w:rsidRDefault="00FD0EB3" w:rsidP="000059A2">
      <w:pPr>
        <w:numPr>
          <w:ilvl w:val="0"/>
          <w:numId w:val="14"/>
        </w:numPr>
        <w:ind w:left="0" w:firstLine="0"/>
        <w:contextualSpacing/>
        <w:jc w:val="both"/>
        <w:rPr>
          <w:sz w:val="28"/>
          <w:szCs w:val="28"/>
        </w:rPr>
      </w:pPr>
      <w:r>
        <w:rPr>
          <w:sz w:val="28"/>
          <w:szCs w:val="28"/>
        </w:rPr>
        <w:t xml:space="preserve">Продължава тенденцията от предходния отчетен период за намаляване на направените искания за използване на СРС. Намалели  </w:t>
      </w:r>
      <w:proofErr w:type="spellStart"/>
      <w:r>
        <w:rPr>
          <w:sz w:val="28"/>
          <w:szCs w:val="28"/>
        </w:rPr>
        <w:t>саа</w:t>
      </w:r>
      <w:proofErr w:type="spellEnd"/>
      <w:r>
        <w:rPr>
          <w:sz w:val="28"/>
          <w:szCs w:val="28"/>
        </w:rPr>
        <w:t xml:space="preserve"> исканията за използване на СРС в сравнение с предходните отчетни периоди.</w:t>
      </w:r>
    </w:p>
    <w:p w:rsidR="00FD0EB3" w:rsidRDefault="00FD0EB3" w:rsidP="000059A2">
      <w:pPr>
        <w:numPr>
          <w:ilvl w:val="0"/>
          <w:numId w:val="14"/>
        </w:numPr>
        <w:ind w:left="0" w:firstLine="0"/>
        <w:contextualSpacing/>
        <w:jc w:val="both"/>
        <w:rPr>
          <w:sz w:val="28"/>
          <w:szCs w:val="28"/>
        </w:rPr>
      </w:pPr>
      <w:r>
        <w:rPr>
          <w:sz w:val="28"/>
          <w:szCs w:val="28"/>
        </w:rPr>
        <w:t xml:space="preserve">През 2023 г. исканията за прилагане на различни оперативни способи  са засегнали общо 36 лица, като за 2022 г. са били 37 лица, а през 2021 г. - 35.  </w:t>
      </w:r>
    </w:p>
    <w:p w:rsidR="00FD0EB3" w:rsidRDefault="00FD0EB3" w:rsidP="000059A2">
      <w:pPr>
        <w:numPr>
          <w:ilvl w:val="0"/>
          <w:numId w:val="14"/>
        </w:numPr>
        <w:ind w:left="0" w:firstLine="0"/>
        <w:contextualSpacing/>
        <w:jc w:val="both"/>
        <w:rPr>
          <w:sz w:val="28"/>
          <w:szCs w:val="28"/>
        </w:rPr>
      </w:pPr>
      <w:r>
        <w:rPr>
          <w:sz w:val="28"/>
          <w:szCs w:val="28"/>
        </w:rPr>
        <w:t xml:space="preserve">Отказите на съда да разреши използване на СРС за 2023 г. са общо 7 бр., предходния отчетен период са били 10 бр. /5 бр. за </w:t>
      </w:r>
      <w:r w:rsidR="00182FBD">
        <w:rPr>
          <w:sz w:val="28"/>
          <w:szCs w:val="28"/>
        </w:rPr>
        <w:t>ОП-Варна</w:t>
      </w:r>
      <w:r>
        <w:rPr>
          <w:sz w:val="28"/>
          <w:szCs w:val="28"/>
        </w:rPr>
        <w:t xml:space="preserve"> и 5 бр. за РП-Варна, а през 2021 г. са били 16. На база отчетените данни по този показател са регистрира подобрение при преценката на прокурорите за изготвяне на искане за използване на СРС.</w:t>
      </w:r>
    </w:p>
    <w:p w:rsidR="00FD0EB3" w:rsidRDefault="00FD0EB3" w:rsidP="000059A2">
      <w:pPr>
        <w:numPr>
          <w:ilvl w:val="0"/>
          <w:numId w:val="14"/>
        </w:numPr>
        <w:ind w:left="0" w:firstLine="0"/>
        <w:contextualSpacing/>
        <w:jc w:val="both"/>
        <w:rPr>
          <w:sz w:val="28"/>
          <w:szCs w:val="28"/>
        </w:rPr>
      </w:pPr>
      <w:r>
        <w:rPr>
          <w:sz w:val="28"/>
          <w:szCs w:val="28"/>
        </w:rPr>
        <w:t>През 2023</w:t>
      </w:r>
      <w:bookmarkEnd w:id="14"/>
      <w:r>
        <w:rPr>
          <w:sz w:val="28"/>
          <w:szCs w:val="28"/>
        </w:rPr>
        <w:t xml:space="preserve"> г. за района на </w:t>
      </w:r>
      <w:r w:rsidR="00182FBD">
        <w:rPr>
          <w:sz w:val="28"/>
          <w:szCs w:val="28"/>
        </w:rPr>
        <w:t>ОП-Варна</w:t>
      </w:r>
      <w:r>
        <w:rPr>
          <w:sz w:val="28"/>
          <w:szCs w:val="28"/>
        </w:rPr>
        <w:t xml:space="preserve"> са били изготвени общо 899 бр. искания за справки с данни по реда на чл.159а, ал.1 от НПК </w:t>
      </w:r>
      <w:proofErr w:type="spellStart"/>
      <w:r>
        <w:rPr>
          <w:sz w:val="28"/>
          <w:szCs w:val="28"/>
        </w:rPr>
        <w:t>вр</w:t>
      </w:r>
      <w:proofErr w:type="spellEnd"/>
      <w:r>
        <w:rPr>
          <w:sz w:val="28"/>
          <w:szCs w:val="28"/>
        </w:rPr>
        <w:t xml:space="preserve">. чл.250в, ал.4 </w:t>
      </w:r>
      <w:proofErr w:type="spellStart"/>
      <w:r>
        <w:rPr>
          <w:sz w:val="28"/>
          <w:szCs w:val="28"/>
        </w:rPr>
        <w:t>вр</w:t>
      </w:r>
      <w:proofErr w:type="spellEnd"/>
      <w:r>
        <w:rPr>
          <w:sz w:val="28"/>
          <w:szCs w:val="28"/>
        </w:rPr>
        <w:t>. чл.250а, ал.1 от ЗЕС при 869 бр. за 2022 г. и 838 бр. за 2021 г. т.е отчита се ръст с 3,5% спрямо 2022 г. и с 7,3% спрямо 2021 г. по този показател.</w:t>
      </w:r>
    </w:p>
    <w:p w:rsidR="00FD0EB3" w:rsidRDefault="00FD0EB3" w:rsidP="001C15C6">
      <w:pPr>
        <w:ind w:firstLine="709"/>
        <w:jc w:val="both"/>
        <w:rPr>
          <w:sz w:val="28"/>
          <w:szCs w:val="28"/>
          <w:lang w:val="en-US"/>
        </w:rPr>
      </w:pPr>
    </w:p>
    <w:p w:rsidR="001C15C6" w:rsidRDefault="001C15C6" w:rsidP="001C15C6">
      <w:pPr>
        <w:ind w:firstLine="709"/>
        <w:jc w:val="both"/>
        <w:rPr>
          <w:sz w:val="28"/>
          <w:szCs w:val="28"/>
          <w:lang w:val="en-US"/>
        </w:rPr>
      </w:pPr>
    </w:p>
    <w:p w:rsidR="001C15C6" w:rsidRDefault="001C15C6" w:rsidP="001C15C6">
      <w:pPr>
        <w:ind w:firstLine="709"/>
        <w:jc w:val="both"/>
        <w:rPr>
          <w:sz w:val="28"/>
          <w:szCs w:val="28"/>
          <w:lang w:val="en-US"/>
        </w:rPr>
      </w:pPr>
    </w:p>
    <w:p w:rsidR="00E5590F" w:rsidRDefault="00E5590F" w:rsidP="001C15C6">
      <w:pPr>
        <w:ind w:firstLine="709"/>
        <w:jc w:val="both"/>
        <w:rPr>
          <w:sz w:val="28"/>
          <w:szCs w:val="28"/>
          <w:lang w:val="en-US"/>
        </w:rPr>
      </w:pPr>
    </w:p>
    <w:p w:rsidR="00E5590F" w:rsidRDefault="00E5590F" w:rsidP="001C15C6">
      <w:pPr>
        <w:ind w:firstLine="709"/>
        <w:jc w:val="both"/>
        <w:rPr>
          <w:sz w:val="28"/>
          <w:szCs w:val="28"/>
          <w:lang w:val="en-US"/>
        </w:rPr>
      </w:pPr>
    </w:p>
    <w:p w:rsidR="00E5590F" w:rsidRDefault="00E5590F" w:rsidP="001C15C6">
      <w:pPr>
        <w:ind w:firstLine="709"/>
        <w:jc w:val="both"/>
        <w:rPr>
          <w:sz w:val="28"/>
          <w:szCs w:val="28"/>
          <w:lang w:val="en-US"/>
        </w:rPr>
      </w:pPr>
    </w:p>
    <w:p w:rsidR="00E5590F" w:rsidRDefault="00E5590F" w:rsidP="001C15C6">
      <w:pPr>
        <w:ind w:firstLine="709"/>
        <w:jc w:val="both"/>
        <w:rPr>
          <w:sz w:val="28"/>
          <w:szCs w:val="28"/>
          <w:lang w:val="en-US"/>
        </w:rPr>
      </w:pPr>
    </w:p>
    <w:p w:rsidR="00E5590F" w:rsidRDefault="00E5590F" w:rsidP="001C15C6">
      <w:pPr>
        <w:ind w:firstLine="709"/>
        <w:jc w:val="both"/>
        <w:rPr>
          <w:sz w:val="28"/>
          <w:szCs w:val="28"/>
          <w:lang w:val="en-US"/>
        </w:rPr>
      </w:pPr>
    </w:p>
    <w:p w:rsidR="00E5590F" w:rsidRDefault="00E5590F" w:rsidP="001C15C6">
      <w:pPr>
        <w:ind w:firstLine="709"/>
        <w:jc w:val="both"/>
        <w:rPr>
          <w:sz w:val="28"/>
          <w:szCs w:val="28"/>
          <w:lang w:val="en-US"/>
        </w:rPr>
      </w:pPr>
    </w:p>
    <w:p w:rsidR="00E5590F" w:rsidRDefault="00E5590F" w:rsidP="001C15C6">
      <w:pPr>
        <w:ind w:firstLine="709"/>
        <w:jc w:val="both"/>
        <w:rPr>
          <w:sz w:val="28"/>
          <w:szCs w:val="28"/>
          <w:lang w:val="en-US"/>
        </w:rPr>
      </w:pPr>
    </w:p>
    <w:p w:rsidR="001C15C6" w:rsidRDefault="001C15C6" w:rsidP="001C15C6">
      <w:pPr>
        <w:ind w:firstLine="709"/>
        <w:jc w:val="both"/>
        <w:rPr>
          <w:sz w:val="28"/>
          <w:szCs w:val="28"/>
          <w:lang w:val="en-US"/>
        </w:rPr>
      </w:pPr>
    </w:p>
    <w:p w:rsidR="001C15C6" w:rsidRDefault="001C15C6" w:rsidP="001C15C6">
      <w:pPr>
        <w:ind w:firstLine="709"/>
        <w:jc w:val="both"/>
        <w:rPr>
          <w:sz w:val="28"/>
          <w:szCs w:val="28"/>
        </w:rPr>
      </w:pPr>
    </w:p>
    <w:p w:rsidR="002E1C4E" w:rsidRPr="002E1C4E" w:rsidRDefault="002E1C4E" w:rsidP="001C15C6">
      <w:pPr>
        <w:ind w:firstLine="709"/>
        <w:jc w:val="both"/>
        <w:rPr>
          <w:sz w:val="28"/>
          <w:szCs w:val="28"/>
        </w:rPr>
      </w:pPr>
    </w:p>
    <w:p w:rsidR="001C15C6" w:rsidRDefault="001C15C6" w:rsidP="001C15C6">
      <w:pPr>
        <w:ind w:firstLine="709"/>
        <w:jc w:val="both"/>
        <w:rPr>
          <w:sz w:val="28"/>
          <w:szCs w:val="28"/>
          <w:lang w:val="en-US"/>
        </w:rPr>
      </w:pPr>
    </w:p>
    <w:p w:rsidR="001C15C6" w:rsidRDefault="001C15C6" w:rsidP="001C15C6">
      <w:pPr>
        <w:ind w:firstLine="709"/>
        <w:jc w:val="both"/>
        <w:rPr>
          <w:sz w:val="28"/>
          <w:szCs w:val="28"/>
          <w:lang w:val="en-US"/>
        </w:rPr>
      </w:pPr>
    </w:p>
    <w:p w:rsidR="001C15C6" w:rsidRPr="001C15C6" w:rsidRDefault="001C15C6" w:rsidP="001C15C6">
      <w:pPr>
        <w:ind w:firstLine="709"/>
        <w:jc w:val="both"/>
        <w:rPr>
          <w:sz w:val="28"/>
          <w:szCs w:val="28"/>
          <w:lang w:val="en-US"/>
        </w:rPr>
      </w:pPr>
    </w:p>
    <w:p w:rsidR="00FD0EB3" w:rsidRDefault="00FD0EB3" w:rsidP="001C15C6">
      <w:pPr>
        <w:ind w:firstLine="709"/>
        <w:jc w:val="both"/>
        <w:rPr>
          <w:b/>
          <w:sz w:val="28"/>
          <w:szCs w:val="28"/>
        </w:rPr>
      </w:pPr>
      <w:bookmarkStart w:id="15" w:name="OLE_LINK14"/>
      <w:r>
        <w:rPr>
          <w:b/>
          <w:sz w:val="28"/>
          <w:szCs w:val="28"/>
        </w:rPr>
        <w:lastRenderedPageBreak/>
        <w:t>Мерки за неотклонение</w:t>
      </w:r>
      <w:bookmarkEnd w:id="15"/>
      <w:r>
        <w:rPr>
          <w:b/>
          <w:sz w:val="28"/>
          <w:szCs w:val="28"/>
        </w:rPr>
        <w:t>.</w:t>
      </w:r>
    </w:p>
    <w:p w:rsidR="00FD0EB3" w:rsidRDefault="00FD0EB3" w:rsidP="00FD0EB3">
      <w:pPr>
        <w:ind w:firstLine="426"/>
        <w:jc w:val="both"/>
        <w:rPr>
          <w:color w:val="FF0000"/>
          <w:sz w:val="28"/>
          <w:szCs w:val="28"/>
        </w:rPr>
      </w:pPr>
      <w:r>
        <w:rPr>
          <w:noProof/>
          <w:color w:val="FF0000"/>
          <w:sz w:val="28"/>
          <w:szCs w:val="28"/>
        </w:rPr>
        <w:drawing>
          <wp:inline distT="0" distB="0" distL="0" distR="0" wp14:anchorId="318C00E8" wp14:editId="630B8F95">
            <wp:extent cx="5367655" cy="2624455"/>
            <wp:effectExtent l="0" t="0" r="23495" b="23495"/>
            <wp:docPr id="3"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0EB3" w:rsidRDefault="00FD0EB3" w:rsidP="00FD0EB3">
      <w:pPr>
        <w:ind w:firstLine="426"/>
        <w:jc w:val="both"/>
        <w:rPr>
          <w:color w:val="FF0000"/>
          <w:sz w:val="28"/>
          <w:szCs w:val="28"/>
        </w:rPr>
      </w:pPr>
    </w:p>
    <w:p w:rsidR="00FD0EB3" w:rsidRDefault="00FD0EB3" w:rsidP="000059A2">
      <w:pPr>
        <w:pStyle w:val="a3"/>
        <w:numPr>
          <w:ilvl w:val="0"/>
          <w:numId w:val="14"/>
        </w:numPr>
        <w:ind w:left="0" w:firstLine="0"/>
        <w:jc w:val="both"/>
        <w:rPr>
          <w:rFonts w:eastAsiaTheme="minorHAnsi"/>
          <w:sz w:val="28"/>
          <w:szCs w:val="28"/>
          <w:lang w:eastAsia="en-US"/>
        </w:rPr>
      </w:pPr>
      <w:r>
        <w:rPr>
          <w:sz w:val="28"/>
          <w:szCs w:val="28"/>
        </w:rPr>
        <w:t>Относително стабилно за предходните  отчетни периоди е съотношението уважени спрямо внесени искания, тъй като се отчита 86.7</w:t>
      </w:r>
      <w:r w:rsidR="00182FBD">
        <w:rPr>
          <w:sz w:val="28"/>
          <w:szCs w:val="28"/>
        </w:rPr>
        <w:t>%</w:t>
      </w:r>
      <w:r>
        <w:rPr>
          <w:sz w:val="28"/>
          <w:szCs w:val="28"/>
        </w:rPr>
        <w:t xml:space="preserve"> от внесените искания са уважени, съпоставимо спрямо 2021 г., когато този процент е бил 82,2, а през 2022 год. - 87%. </w:t>
      </w:r>
    </w:p>
    <w:p w:rsidR="00FD0EB3" w:rsidRDefault="00FD0EB3" w:rsidP="000059A2">
      <w:pPr>
        <w:numPr>
          <w:ilvl w:val="0"/>
          <w:numId w:val="14"/>
        </w:numPr>
        <w:tabs>
          <w:tab w:val="left" w:pos="709"/>
        </w:tabs>
        <w:ind w:left="0" w:firstLine="0"/>
        <w:contextualSpacing/>
        <w:jc w:val="both"/>
        <w:rPr>
          <w:sz w:val="28"/>
          <w:szCs w:val="28"/>
        </w:rPr>
      </w:pPr>
      <w:r>
        <w:rPr>
          <w:sz w:val="28"/>
          <w:szCs w:val="28"/>
        </w:rPr>
        <w:t>Стабилитет се бележи и по другия показател в съотношението неуважени искания, в които съдът не се е съгласил с тезата на прокурора за взимане на най-тежката МНО “Задържане под стража“.</w:t>
      </w:r>
    </w:p>
    <w:p w:rsidR="00FD0EB3" w:rsidRDefault="00FD0EB3" w:rsidP="000059A2">
      <w:pPr>
        <w:numPr>
          <w:ilvl w:val="0"/>
          <w:numId w:val="14"/>
        </w:numPr>
        <w:tabs>
          <w:tab w:val="left" w:pos="709"/>
        </w:tabs>
        <w:ind w:left="0" w:firstLine="0"/>
        <w:contextualSpacing/>
        <w:jc w:val="both"/>
        <w:rPr>
          <w:sz w:val="28"/>
          <w:szCs w:val="28"/>
        </w:rPr>
      </w:pPr>
      <w:r>
        <w:rPr>
          <w:sz w:val="28"/>
          <w:szCs w:val="28"/>
        </w:rPr>
        <w:t xml:space="preserve">  Лицата с наложена мярка „задържане под стража“ са били 160, при 152 за 2022 год. и  при 116 за 2021 г., т.е налице е увеличение  спрямо предходните отчетни  периода</w:t>
      </w:r>
      <w:r w:rsidR="006218D1">
        <w:rPr>
          <w:sz w:val="28"/>
          <w:szCs w:val="28"/>
        </w:rPr>
        <w:t>.</w:t>
      </w:r>
    </w:p>
    <w:p w:rsidR="00FD0EB3" w:rsidRDefault="00FD0EB3" w:rsidP="000059A2">
      <w:pPr>
        <w:numPr>
          <w:ilvl w:val="0"/>
          <w:numId w:val="14"/>
        </w:numPr>
        <w:tabs>
          <w:tab w:val="left" w:pos="709"/>
        </w:tabs>
        <w:ind w:left="0" w:firstLine="0"/>
        <w:contextualSpacing/>
        <w:jc w:val="both"/>
        <w:rPr>
          <w:sz w:val="28"/>
          <w:szCs w:val="28"/>
        </w:rPr>
      </w:pPr>
      <w:r>
        <w:rPr>
          <w:sz w:val="28"/>
          <w:szCs w:val="28"/>
        </w:rPr>
        <w:t>През отчетния период като алтернатива на неуважените искания за задържане на лицата, съдът е определил втората по тежест мярка за неотклонение в 11 случая, което е 47,8</w:t>
      </w:r>
      <w:r w:rsidR="00182FBD">
        <w:rPr>
          <w:sz w:val="28"/>
          <w:szCs w:val="28"/>
        </w:rPr>
        <w:t>%</w:t>
      </w:r>
      <w:r>
        <w:rPr>
          <w:sz w:val="28"/>
          <w:szCs w:val="28"/>
        </w:rPr>
        <w:t xml:space="preserve"> от неуважените искания за взимане на МНО “Задържане под стража“, при 33,3</w:t>
      </w:r>
      <w:r w:rsidR="00182FBD">
        <w:rPr>
          <w:sz w:val="28"/>
          <w:szCs w:val="28"/>
        </w:rPr>
        <w:t>%</w:t>
      </w:r>
      <w:r>
        <w:rPr>
          <w:sz w:val="28"/>
          <w:szCs w:val="28"/>
        </w:rPr>
        <w:t xml:space="preserve"> от неуважените искания за задържане за 2022 г. и  70</w:t>
      </w:r>
      <w:r w:rsidR="00182FBD">
        <w:rPr>
          <w:sz w:val="28"/>
          <w:szCs w:val="28"/>
        </w:rPr>
        <w:t>%</w:t>
      </w:r>
      <w:r>
        <w:rPr>
          <w:sz w:val="28"/>
          <w:szCs w:val="28"/>
        </w:rPr>
        <w:t xml:space="preserve"> за 2021 г.</w:t>
      </w:r>
    </w:p>
    <w:p w:rsidR="00FD0EB3" w:rsidRDefault="00FD0EB3" w:rsidP="000059A2">
      <w:pPr>
        <w:numPr>
          <w:ilvl w:val="0"/>
          <w:numId w:val="14"/>
        </w:numPr>
        <w:tabs>
          <w:tab w:val="left" w:pos="709"/>
        </w:tabs>
        <w:ind w:left="0" w:firstLine="0"/>
        <w:contextualSpacing/>
        <w:jc w:val="both"/>
        <w:rPr>
          <w:sz w:val="28"/>
          <w:szCs w:val="28"/>
        </w:rPr>
      </w:pPr>
      <w:r>
        <w:rPr>
          <w:sz w:val="28"/>
          <w:szCs w:val="28"/>
        </w:rPr>
        <w:t xml:space="preserve">В края на отчетния период по неприключени досъдебни производства с мярка за неотклонение „задържане под стража“ са останали 32  обвиняеми лица. </w:t>
      </w:r>
    </w:p>
    <w:p w:rsidR="00FD0EB3" w:rsidRDefault="00FD0EB3" w:rsidP="000059A2">
      <w:pPr>
        <w:numPr>
          <w:ilvl w:val="0"/>
          <w:numId w:val="14"/>
        </w:numPr>
        <w:tabs>
          <w:tab w:val="left" w:pos="709"/>
        </w:tabs>
        <w:ind w:left="0" w:firstLine="0"/>
        <w:contextualSpacing/>
        <w:jc w:val="both"/>
        <w:rPr>
          <w:sz w:val="28"/>
          <w:szCs w:val="28"/>
        </w:rPr>
      </w:pPr>
      <w:r>
        <w:rPr>
          <w:sz w:val="28"/>
          <w:szCs w:val="28"/>
        </w:rPr>
        <w:t xml:space="preserve">Резултатите сочат на приоритетна работа по делата със задържани лица и професионално отношение на прокурорите към това най-драстично ограничаване правата на извършителите на престъпления. </w:t>
      </w:r>
    </w:p>
    <w:p w:rsidR="00FD0EB3" w:rsidRDefault="00FD0EB3" w:rsidP="000059A2">
      <w:pPr>
        <w:numPr>
          <w:ilvl w:val="0"/>
          <w:numId w:val="14"/>
        </w:numPr>
        <w:tabs>
          <w:tab w:val="left" w:pos="709"/>
        </w:tabs>
        <w:ind w:left="0" w:firstLine="0"/>
        <w:contextualSpacing/>
        <w:jc w:val="both"/>
        <w:rPr>
          <w:sz w:val="28"/>
          <w:szCs w:val="28"/>
        </w:rPr>
      </w:pPr>
      <w:r>
        <w:rPr>
          <w:sz w:val="28"/>
          <w:szCs w:val="28"/>
        </w:rPr>
        <w:t xml:space="preserve">На основание чл.234, ал.8 от НПК от прокурор са били отменени мерки за процесуална принуда на 73 лица /72 лица за 2021 год. и 84 за 2022 год./. </w:t>
      </w:r>
    </w:p>
    <w:p w:rsidR="00FD0EB3" w:rsidRDefault="00FD0EB3" w:rsidP="000059A2">
      <w:pPr>
        <w:numPr>
          <w:ilvl w:val="0"/>
          <w:numId w:val="14"/>
        </w:numPr>
        <w:tabs>
          <w:tab w:val="left" w:pos="709"/>
        </w:tabs>
        <w:ind w:left="0" w:firstLine="0"/>
        <w:contextualSpacing/>
        <w:jc w:val="both"/>
        <w:rPr>
          <w:sz w:val="28"/>
          <w:szCs w:val="28"/>
        </w:rPr>
      </w:pPr>
      <w:r>
        <w:rPr>
          <w:sz w:val="28"/>
          <w:szCs w:val="28"/>
        </w:rPr>
        <w:t xml:space="preserve">Няма нито един случай, при който мерки за процесуална принуда да са били отменени на основание чл.234, ал.9 от НПК от съда, както такъв не е регистриран и през предходната отчетна година, което е добър атестат за спазване на процесуалните норми от страна на прокурорите в тези случаи. За 2021 год. е имало един такъв случай. </w:t>
      </w:r>
    </w:p>
    <w:p w:rsidR="00FD0EB3" w:rsidRDefault="00FD0EB3" w:rsidP="00642A46">
      <w:pPr>
        <w:pStyle w:val="13"/>
        <w:tabs>
          <w:tab w:val="left" w:pos="1012"/>
        </w:tabs>
        <w:spacing w:after="0" w:line="240" w:lineRule="auto"/>
        <w:contextualSpacing/>
        <w:jc w:val="both"/>
        <w:rPr>
          <w:rStyle w:val="afb"/>
          <w:b w:val="0"/>
          <w:i w:val="0"/>
          <w:color w:val="auto"/>
          <w:sz w:val="28"/>
          <w:szCs w:val="28"/>
          <w:lang w:val="en-US"/>
        </w:rPr>
      </w:pPr>
    </w:p>
    <w:p w:rsidR="00FD0EB3" w:rsidRDefault="00FD0EB3" w:rsidP="00642A46">
      <w:pPr>
        <w:pStyle w:val="13"/>
        <w:tabs>
          <w:tab w:val="left" w:pos="1012"/>
        </w:tabs>
        <w:spacing w:after="0" w:line="240" w:lineRule="auto"/>
        <w:contextualSpacing/>
        <w:jc w:val="both"/>
        <w:rPr>
          <w:rStyle w:val="afb"/>
          <w:b w:val="0"/>
          <w:i w:val="0"/>
          <w:color w:val="auto"/>
          <w:sz w:val="28"/>
          <w:szCs w:val="28"/>
          <w:lang w:val="en-US"/>
        </w:rPr>
      </w:pPr>
    </w:p>
    <w:p w:rsidR="00E51B93" w:rsidRDefault="00E51B93" w:rsidP="000059A2">
      <w:pPr>
        <w:pStyle w:val="13"/>
        <w:numPr>
          <w:ilvl w:val="1"/>
          <w:numId w:val="5"/>
        </w:numPr>
        <w:tabs>
          <w:tab w:val="left" w:pos="1374"/>
        </w:tabs>
        <w:spacing w:after="0" w:line="240" w:lineRule="auto"/>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lastRenderedPageBreak/>
        <w:t>Срочност на разследването.</w:t>
      </w:r>
    </w:p>
    <w:p w:rsidR="00C23A93" w:rsidRDefault="00C23A93" w:rsidP="00C23A93">
      <w:pPr>
        <w:ind w:left="426"/>
        <w:contextualSpacing/>
        <w:jc w:val="both"/>
        <w:rPr>
          <w:sz w:val="28"/>
          <w:szCs w:val="28"/>
          <w:lang w:val="en-US"/>
        </w:rPr>
      </w:pPr>
    </w:p>
    <w:tbl>
      <w:tblPr>
        <w:tblW w:w="9135"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02"/>
        <w:gridCol w:w="1086"/>
        <w:gridCol w:w="1161"/>
        <w:gridCol w:w="1086"/>
      </w:tblGrid>
      <w:tr w:rsidR="00FD0EB3" w:rsidTr="00FD0EB3">
        <w:trPr>
          <w:trHeight w:val="417"/>
          <w:jc w:val="center"/>
        </w:trPr>
        <w:tc>
          <w:tcPr>
            <w:tcW w:w="580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FD0EB3" w:rsidRDefault="00FD0EB3">
            <w:pPr>
              <w:spacing w:line="276" w:lineRule="auto"/>
              <w:ind w:left="-356"/>
              <w:jc w:val="center"/>
              <w:rPr>
                <w:rFonts w:eastAsia="Calibri"/>
                <w:b/>
                <w:bCs/>
                <w:lang w:eastAsia="en-US"/>
              </w:rPr>
            </w:pPr>
            <w:r>
              <w:rPr>
                <w:rFonts w:eastAsia="Calibri"/>
                <w:b/>
                <w:bCs/>
              </w:rPr>
              <w:t>Приключени и неприключени ДП</w:t>
            </w:r>
          </w:p>
        </w:tc>
        <w:tc>
          <w:tcPr>
            <w:tcW w:w="108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FD0EB3" w:rsidRDefault="00FD0EB3">
            <w:pPr>
              <w:spacing w:line="276" w:lineRule="auto"/>
              <w:ind w:left="-356"/>
              <w:jc w:val="center"/>
              <w:rPr>
                <w:b/>
                <w:sz w:val="28"/>
                <w:szCs w:val="28"/>
                <w:lang w:eastAsia="en-US"/>
              </w:rPr>
            </w:pPr>
            <w:r>
              <w:rPr>
                <w:rFonts w:eastAsia="Calibri"/>
                <w:b/>
                <w:bCs/>
                <w:sz w:val="28"/>
                <w:szCs w:val="28"/>
              </w:rPr>
              <w:t xml:space="preserve">      2021 г.</w:t>
            </w:r>
          </w:p>
        </w:tc>
        <w:tc>
          <w:tcPr>
            <w:tcW w:w="116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FD0EB3" w:rsidRDefault="00FD0EB3">
            <w:pPr>
              <w:spacing w:line="276" w:lineRule="auto"/>
              <w:ind w:left="-356"/>
              <w:jc w:val="center"/>
              <w:rPr>
                <w:rFonts w:eastAsia="Calibri"/>
                <w:b/>
                <w:bCs/>
                <w:sz w:val="28"/>
                <w:szCs w:val="28"/>
                <w:lang w:eastAsia="en-US"/>
              </w:rPr>
            </w:pPr>
            <w:r>
              <w:rPr>
                <w:rFonts w:eastAsia="Calibri"/>
                <w:b/>
                <w:bCs/>
                <w:sz w:val="28"/>
                <w:szCs w:val="28"/>
              </w:rPr>
              <w:t xml:space="preserve">      2022 г.</w:t>
            </w:r>
          </w:p>
        </w:tc>
        <w:tc>
          <w:tcPr>
            <w:tcW w:w="108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FD0EB3" w:rsidRDefault="00FD0EB3">
            <w:pPr>
              <w:spacing w:line="276" w:lineRule="auto"/>
              <w:ind w:left="-356"/>
              <w:jc w:val="center"/>
              <w:rPr>
                <w:rFonts w:eastAsia="Calibri"/>
                <w:b/>
                <w:bCs/>
                <w:sz w:val="28"/>
                <w:szCs w:val="28"/>
                <w:lang w:eastAsia="en-US"/>
              </w:rPr>
            </w:pPr>
            <w:r>
              <w:rPr>
                <w:rFonts w:eastAsia="Calibri"/>
                <w:b/>
                <w:bCs/>
                <w:sz w:val="28"/>
                <w:szCs w:val="28"/>
              </w:rPr>
              <w:t xml:space="preserve">      2023 г.</w:t>
            </w:r>
          </w:p>
        </w:tc>
      </w:tr>
      <w:tr w:rsidR="00FD0EB3" w:rsidTr="00FD0EB3">
        <w:trPr>
          <w:trHeight w:val="417"/>
          <w:jc w:val="center"/>
        </w:trPr>
        <w:tc>
          <w:tcPr>
            <w:tcW w:w="5802"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rPr>
                <w:rFonts w:eastAsia="Calibri"/>
                <w:lang w:eastAsia="en-US"/>
              </w:rPr>
            </w:pPr>
            <w:r>
              <w:rPr>
                <w:rFonts w:eastAsia="Calibri"/>
              </w:rPr>
              <w:t>Общо приключени разследвания:</w:t>
            </w:r>
          </w:p>
        </w:tc>
        <w:tc>
          <w:tcPr>
            <w:tcW w:w="1086"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8046</w:t>
            </w:r>
          </w:p>
        </w:tc>
        <w:tc>
          <w:tcPr>
            <w:tcW w:w="1161"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7864</w:t>
            </w:r>
          </w:p>
        </w:tc>
        <w:tc>
          <w:tcPr>
            <w:tcW w:w="1086" w:type="dxa"/>
            <w:tcBorders>
              <w:top w:val="single" w:sz="4" w:space="0" w:color="auto"/>
              <w:left w:val="single" w:sz="4" w:space="0" w:color="auto"/>
              <w:bottom w:val="single" w:sz="4" w:space="0" w:color="auto"/>
              <w:right w:val="single" w:sz="4" w:space="0" w:color="auto"/>
            </w:tcBorders>
            <w:noWrap/>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8041</w:t>
            </w:r>
          </w:p>
        </w:tc>
      </w:tr>
      <w:tr w:rsidR="00FD0EB3" w:rsidTr="00FD0EB3">
        <w:trPr>
          <w:trHeight w:val="417"/>
          <w:jc w:val="center"/>
        </w:trPr>
        <w:tc>
          <w:tcPr>
            <w:tcW w:w="5802" w:type="dxa"/>
            <w:tcBorders>
              <w:top w:val="single" w:sz="4" w:space="0" w:color="auto"/>
              <w:left w:val="single" w:sz="4" w:space="0" w:color="auto"/>
              <w:bottom w:val="single" w:sz="4" w:space="0" w:color="auto"/>
              <w:right w:val="single" w:sz="4" w:space="0" w:color="auto"/>
            </w:tcBorders>
            <w:vAlign w:val="center"/>
            <w:hideMark/>
          </w:tcPr>
          <w:p w:rsidR="00FD0EB3" w:rsidRDefault="00FD0EB3" w:rsidP="002752BE">
            <w:pPr>
              <w:numPr>
                <w:ilvl w:val="0"/>
                <w:numId w:val="1"/>
              </w:numPr>
              <w:spacing w:line="276" w:lineRule="auto"/>
              <w:ind w:left="-356" w:firstLine="710"/>
              <w:contextualSpacing/>
              <w:jc w:val="both"/>
              <w:rPr>
                <w:rFonts w:eastAsia="Calibri"/>
                <w:lang w:eastAsia="en-US"/>
              </w:rPr>
            </w:pPr>
            <w:r>
              <w:rPr>
                <w:rFonts w:eastAsia="Calibri"/>
              </w:rPr>
              <w:t>приключени разследвания в законов срок</w:t>
            </w:r>
          </w:p>
        </w:tc>
        <w:tc>
          <w:tcPr>
            <w:tcW w:w="1086"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7956</w:t>
            </w:r>
          </w:p>
        </w:tc>
        <w:tc>
          <w:tcPr>
            <w:tcW w:w="1161"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7785</w:t>
            </w:r>
          </w:p>
        </w:tc>
        <w:tc>
          <w:tcPr>
            <w:tcW w:w="1086" w:type="dxa"/>
            <w:tcBorders>
              <w:top w:val="single" w:sz="4" w:space="0" w:color="auto"/>
              <w:left w:val="single" w:sz="4" w:space="0" w:color="auto"/>
              <w:bottom w:val="single" w:sz="4" w:space="0" w:color="auto"/>
              <w:right w:val="single" w:sz="4" w:space="0" w:color="auto"/>
            </w:tcBorders>
            <w:noWrap/>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7960</w:t>
            </w:r>
          </w:p>
        </w:tc>
      </w:tr>
      <w:tr w:rsidR="00FD0EB3" w:rsidTr="00FD0EB3">
        <w:trPr>
          <w:trHeight w:val="417"/>
          <w:jc w:val="center"/>
        </w:trPr>
        <w:tc>
          <w:tcPr>
            <w:tcW w:w="5802" w:type="dxa"/>
            <w:tcBorders>
              <w:top w:val="single" w:sz="4" w:space="0" w:color="auto"/>
              <w:left w:val="single" w:sz="4" w:space="0" w:color="auto"/>
              <w:bottom w:val="single" w:sz="4" w:space="0" w:color="auto"/>
              <w:right w:val="single" w:sz="4" w:space="0" w:color="auto"/>
            </w:tcBorders>
            <w:vAlign w:val="center"/>
            <w:hideMark/>
          </w:tcPr>
          <w:p w:rsidR="00FD0EB3" w:rsidRDefault="00FD0EB3" w:rsidP="002752BE">
            <w:pPr>
              <w:numPr>
                <w:ilvl w:val="0"/>
                <w:numId w:val="1"/>
              </w:numPr>
              <w:spacing w:line="276" w:lineRule="auto"/>
              <w:ind w:firstLine="354"/>
              <w:contextualSpacing/>
              <w:jc w:val="both"/>
              <w:rPr>
                <w:rFonts w:eastAsia="Calibri"/>
                <w:lang w:eastAsia="en-US"/>
              </w:rPr>
            </w:pPr>
            <w:r>
              <w:rPr>
                <w:rFonts w:eastAsia="Calibri"/>
              </w:rPr>
              <w:t>приключени разследвания извън законов срок</w:t>
            </w:r>
          </w:p>
        </w:tc>
        <w:tc>
          <w:tcPr>
            <w:tcW w:w="1086"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90</w:t>
            </w:r>
          </w:p>
        </w:tc>
        <w:tc>
          <w:tcPr>
            <w:tcW w:w="1161"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79</w:t>
            </w:r>
          </w:p>
        </w:tc>
        <w:tc>
          <w:tcPr>
            <w:tcW w:w="1086" w:type="dxa"/>
            <w:tcBorders>
              <w:top w:val="single" w:sz="4" w:space="0" w:color="auto"/>
              <w:left w:val="single" w:sz="4" w:space="0" w:color="auto"/>
              <w:bottom w:val="single" w:sz="4" w:space="0" w:color="auto"/>
              <w:right w:val="single" w:sz="4" w:space="0" w:color="auto"/>
            </w:tcBorders>
            <w:noWrap/>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81</w:t>
            </w:r>
          </w:p>
        </w:tc>
      </w:tr>
      <w:tr w:rsidR="00FD0EB3" w:rsidTr="00FD0EB3">
        <w:trPr>
          <w:trHeight w:val="417"/>
          <w:jc w:val="center"/>
        </w:trPr>
        <w:tc>
          <w:tcPr>
            <w:tcW w:w="5802"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rPr>
                <w:rFonts w:eastAsia="Calibri"/>
                <w:lang w:eastAsia="en-US"/>
              </w:rPr>
            </w:pPr>
            <w:r>
              <w:rPr>
                <w:rFonts w:eastAsia="Calibri"/>
              </w:rPr>
              <w:t>Общо неприключени разследвания:</w:t>
            </w:r>
          </w:p>
        </w:tc>
        <w:tc>
          <w:tcPr>
            <w:tcW w:w="1086"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4491</w:t>
            </w:r>
          </w:p>
        </w:tc>
        <w:tc>
          <w:tcPr>
            <w:tcW w:w="1161"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4750</w:t>
            </w:r>
          </w:p>
        </w:tc>
        <w:tc>
          <w:tcPr>
            <w:tcW w:w="1086" w:type="dxa"/>
            <w:tcBorders>
              <w:top w:val="single" w:sz="4" w:space="0" w:color="auto"/>
              <w:left w:val="single" w:sz="4" w:space="0" w:color="auto"/>
              <w:bottom w:val="single" w:sz="4" w:space="0" w:color="auto"/>
              <w:right w:val="single" w:sz="4" w:space="0" w:color="auto"/>
            </w:tcBorders>
            <w:noWrap/>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4988</w:t>
            </w:r>
          </w:p>
        </w:tc>
      </w:tr>
      <w:tr w:rsidR="00FD0EB3" w:rsidTr="00FD0EB3">
        <w:trPr>
          <w:trHeight w:val="417"/>
          <w:jc w:val="center"/>
        </w:trPr>
        <w:tc>
          <w:tcPr>
            <w:tcW w:w="5802" w:type="dxa"/>
            <w:tcBorders>
              <w:top w:val="single" w:sz="4" w:space="0" w:color="auto"/>
              <w:left w:val="single" w:sz="4" w:space="0" w:color="auto"/>
              <w:bottom w:val="single" w:sz="4" w:space="0" w:color="auto"/>
              <w:right w:val="single" w:sz="4" w:space="0" w:color="auto"/>
            </w:tcBorders>
            <w:vAlign w:val="center"/>
            <w:hideMark/>
          </w:tcPr>
          <w:p w:rsidR="00FD0EB3" w:rsidRDefault="00FD0EB3" w:rsidP="002752BE">
            <w:pPr>
              <w:numPr>
                <w:ilvl w:val="0"/>
                <w:numId w:val="1"/>
              </w:numPr>
              <w:spacing w:line="276" w:lineRule="auto"/>
              <w:ind w:firstLine="354"/>
              <w:contextualSpacing/>
              <w:jc w:val="both"/>
              <w:rPr>
                <w:rFonts w:eastAsia="Calibri"/>
                <w:lang w:eastAsia="en-US"/>
              </w:rPr>
            </w:pPr>
            <w:r>
              <w:rPr>
                <w:rFonts w:eastAsia="Calibri"/>
              </w:rPr>
              <w:t>неприключени разследвания в законов срок</w:t>
            </w:r>
          </w:p>
        </w:tc>
        <w:tc>
          <w:tcPr>
            <w:tcW w:w="1086"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4450</w:t>
            </w:r>
          </w:p>
        </w:tc>
        <w:tc>
          <w:tcPr>
            <w:tcW w:w="1161"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4691</w:t>
            </w:r>
          </w:p>
        </w:tc>
        <w:tc>
          <w:tcPr>
            <w:tcW w:w="1086" w:type="dxa"/>
            <w:tcBorders>
              <w:top w:val="single" w:sz="4" w:space="0" w:color="auto"/>
              <w:left w:val="single" w:sz="4" w:space="0" w:color="auto"/>
              <w:bottom w:val="single" w:sz="4" w:space="0" w:color="auto"/>
              <w:right w:val="single" w:sz="4" w:space="0" w:color="auto"/>
            </w:tcBorders>
            <w:noWrap/>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4908</w:t>
            </w:r>
          </w:p>
        </w:tc>
      </w:tr>
      <w:tr w:rsidR="00FD0EB3" w:rsidTr="00FD0EB3">
        <w:trPr>
          <w:trHeight w:val="417"/>
          <w:jc w:val="center"/>
        </w:trPr>
        <w:tc>
          <w:tcPr>
            <w:tcW w:w="5802" w:type="dxa"/>
            <w:tcBorders>
              <w:top w:val="single" w:sz="4" w:space="0" w:color="auto"/>
              <w:left w:val="single" w:sz="4" w:space="0" w:color="auto"/>
              <w:bottom w:val="single" w:sz="4" w:space="0" w:color="auto"/>
              <w:right w:val="single" w:sz="4" w:space="0" w:color="auto"/>
            </w:tcBorders>
            <w:vAlign w:val="center"/>
            <w:hideMark/>
          </w:tcPr>
          <w:p w:rsidR="00FD0EB3" w:rsidRDefault="00FD0EB3" w:rsidP="002752BE">
            <w:pPr>
              <w:numPr>
                <w:ilvl w:val="0"/>
                <w:numId w:val="1"/>
              </w:numPr>
              <w:spacing w:line="276" w:lineRule="auto"/>
              <w:ind w:firstLine="354"/>
              <w:contextualSpacing/>
              <w:jc w:val="both"/>
              <w:rPr>
                <w:rFonts w:eastAsia="Calibri"/>
                <w:lang w:eastAsia="en-US"/>
              </w:rPr>
            </w:pPr>
            <w:r>
              <w:rPr>
                <w:rFonts w:eastAsia="Calibri"/>
              </w:rPr>
              <w:t>неприключени разследвания извън законов срок</w:t>
            </w:r>
          </w:p>
        </w:tc>
        <w:tc>
          <w:tcPr>
            <w:tcW w:w="1086"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41</w:t>
            </w:r>
          </w:p>
        </w:tc>
        <w:tc>
          <w:tcPr>
            <w:tcW w:w="1161" w:type="dxa"/>
            <w:tcBorders>
              <w:top w:val="single" w:sz="4" w:space="0" w:color="auto"/>
              <w:left w:val="single" w:sz="4" w:space="0" w:color="auto"/>
              <w:bottom w:val="single" w:sz="4" w:space="0" w:color="auto"/>
              <w:right w:val="single" w:sz="4" w:space="0" w:color="auto"/>
            </w:tcBorders>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59</w:t>
            </w:r>
          </w:p>
        </w:tc>
        <w:tc>
          <w:tcPr>
            <w:tcW w:w="1086" w:type="dxa"/>
            <w:tcBorders>
              <w:top w:val="single" w:sz="4" w:space="0" w:color="auto"/>
              <w:left w:val="single" w:sz="4" w:space="0" w:color="auto"/>
              <w:bottom w:val="single" w:sz="4" w:space="0" w:color="auto"/>
              <w:right w:val="single" w:sz="4" w:space="0" w:color="auto"/>
            </w:tcBorders>
            <w:noWrap/>
            <w:vAlign w:val="center"/>
            <w:hideMark/>
          </w:tcPr>
          <w:p w:rsidR="00FD0EB3" w:rsidRDefault="00FD0EB3">
            <w:pPr>
              <w:spacing w:line="276" w:lineRule="auto"/>
              <w:jc w:val="center"/>
              <w:rPr>
                <w:rFonts w:eastAsia="Calibri"/>
                <w:b/>
                <w:bCs/>
                <w:sz w:val="28"/>
                <w:szCs w:val="28"/>
                <w:lang w:eastAsia="en-US"/>
              </w:rPr>
            </w:pPr>
            <w:r>
              <w:rPr>
                <w:rFonts w:eastAsia="Calibri"/>
                <w:b/>
                <w:bCs/>
                <w:sz w:val="28"/>
                <w:szCs w:val="28"/>
              </w:rPr>
              <w:t>80</w:t>
            </w:r>
          </w:p>
        </w:tc>
      </w:tr>
    </w:tbl>
    <w:p w:rsidR="00FD0EB3" w:rsidRDefault="00FD0EB3" w:rsidP="00FD0EB3">
      <w:pPr>
        <w:ind w:firstLine="426"/>
        <w:jc w:val="both"/>
        <w:rPr>
          <w:color w:val="FF0000"/>
          <w:sz w:val="28"/>
          <w:szCs w:val="28"/>
        </w:rPr>
      </w:pPr>
    </w:p>
    <w:p w:rsidR="00FD0EB3" w:rsidRDefault="00FD0EB3" w:rsidP="000059A2">
      <w:pPr>
        <w:numPr>
          <w:ilvl w:val="0"/>
          <w:numId w:val="14"/>
        </w:numPr>
        <w:tabs>
          <w:tab w:val="left" w:pos="709"/>
        </w:tabs>
        <w:ind w:left="0" w:firstLine="0"/>
        <w:contextualSpacing/>
        <w:jc w:val="both"/>
        <w:rPr>
          <w:rFonts w:eastAsiaTheme="minorHAnsi"/>
          <w:sz w:val="28"/>
          <w:szCs w:val="28"/>
          <w:lang w:eastAsia="en-US"/>
        </w:rPr>
      </w:pPr>
      <w:r>
        <w:rPr>
          <w:sz w:val="28"/>
          <w:szCs w:val="28"/>
        </w:rPr>
        <w:t>През отчетния период са били приключени 35,4</w:t>
      </w:r>
      <w:r w:rsidR="00182FBD">
        <w:rPr>
          <w:sz w:val="28"/>
          <w:szCs w:val="28"/>
        </w:rPr>
        <w:t>%</w:t>
      </w:r>
      <w:r>
        <w:rPr>
          <w:sz w:val="28"/>
          <w:szCs w:val="28"/>
        </w:rPr>
        <w:t xml:space="preserve"> от общо наблюдаваните дела, вкл. прекратените по давност и 58,4</w:t>
      </w:r>
      <w:r w:rsidR="00182FBD">
        <w:rPr>
          <w:sz w:val="28"/>
          <w:szCs w:val="28"/>
        </w:rPr>
        <w:t>%</w:t>
      </w:r>
      <w:r>
        <w:rPr>
          <w:sz w:val="28"/>
          <w:szCs w:val="28"/>
        </w:rPr>
        <w:t xml:space="preserve"> от общо наблюдаваните без прекратените по давност. </w:t>
      </w:r>
    </w:p>
    <w:p w:rsidR="00FD0EB3" w:rsidRDefault="00FD0EB3" w:rsidP="000059A2">
      <w:pPr>
        <w:pStyle w:val="a3"/>
        <w:numPr>
          <w:ilvl w:val="0"/>
          <w:numId w:val="14"/>
        </w:numPr>
        <w:ind w:left="0" w:firstLine="0"/>
        <w:jc w:val="both"/>
        <w:rPr>
          <w:sz w:val="28"/>
          <w:szCs w:val="28"/>
        </w:rPr>
      </w:pPr>
      <w:r>
        <w:rPr>
          <w:b/>
          <w:sz w:val="28"/>
          <w:szCs w:val="28"/>
        </w:rPr>
        <w:t>Запазва се тенденцията от последните години за приключването на около 50</w:t>
      </w:r>
      <w:r w:rsidR="00182FBD">
        <w:rPr>
          <w:b/>
          <w:sz w:val="28"/>
          <w:szCs w:val="28"/>
        </w:rPr>
        <w:t>%</w:t>
      </w:r>
      <w:r>
        <w:rPr>
          <w:b/>
          <w:sz w:val="28"/>
          <w:szCs w:val="28"/>
        </w:rPr>
        <w:t xml:space="preserve"> ДП от общо наблюдаваните дела.</w:t>
      </w:r>
      <w:r>
        <w:rPr>
          <w:sz w:val="28"/>
          <w:szCs w:val="28"/>
        </w:rPr>
        <w:t xml:space="preserve"> </w:t>
      </w:r>
    </w:p>
    <w:p w:rsidR="00FD0EB3" w:rsidRDefault="00FD0EB3" w:rsidP="000059A2">
      <w:pPr>
        <w:numPr>
          <w:ilvl w:val="0"/>
          <w:numId w:val="14"/>
        </w:numPr>
        <w:tabs>
          <w:tab w:val="left" w:pos="709"/>
        </w:tabs>
        <w:ind w:left="0" w:firstLine="0"/>
        <w:contextualSpacing/>
        <w:jc w:val="both"/>
        <w:rPr>
          <w:rFonts w:eastAsiaTheme="minorHAnsi"/>
          <w:sz w:val="28"/>
          <w:szCs w:val="28"/>
          <w:lang w:eastAsia="en-US"/>
        </w:rPr>
      </w:pPr>
      <w:r>
        <w:rPr>
          <w:b/>
          <w:sz w:val="28"/>
          <w:szCs w:val="28"/>
        </w:rPr>
        <w:t>Запазва се и високият дял на делата, приключени в законов срок.</w:t>
      </w:r>
      <w:r>
        <w:rPr>
          <w:sz w:val="28"/>
          <w:szCs w:val="28"/>
        </w:rPr>
        <w:t xml:space="preserve"> За отчетния период те са 99</w:t>
      </w:r>
      <w:r w:rsidR="00182FBD">
        <w:rPr>
          <w:sz w:val="28"/>
          <w:szCs w:val="28"/>
        </w:rPr>
        <w:t>%</w:t>
      </w:r>
      <w:r>
        <w:rPr>
          <w:sz w:val="28"/>
          <w:szCs w:val="28"/>
        </w:rPr>
        <w:t xml:space="preserve"> от общо приключените ДП, при същите данни за предходните отчетни периоди, което </w:t>
      </w:r>
      <w:proofErr w:type="spellStart"/>
      <w:r>
        <w:rPr>
          <w:sz w:val="28"/>
          <w:szCs w:val="28"/>
        </w:rPr>
        <w:t>затвърждава</w:t>
      </w:r>
      <w:proofErr w:type="spellEnd"/>
      <w:r>
        <w:rPr>
          <w:sz w:val="28"/>
          <w:szCs w:val="28"/>
        </w:rPr>
        <w:t xml:space="preserve"> положителната тенденция  за стабилитет на този показател. </w:t>
      </w:r>
    </w:p>
    <w:p w:rsidR="00FD0EB3" w:rsidRDefault="00FD0EB3" w:rsidP="000059A2">
      <w:pPr>
        <w:numPr>
          <w:ilvl w:val="0"/>
          <w:numId w:val="14"/>
        </w:numPr>
        <w:tabs>
          <w:tab w:val="left" w:pos="709"/>
        </w:tabs>
        <w:ind w:left="0" w:firstLine="0"/>
        <w:contextualSpacing/>
        <w:jc w:val="both"/>
        <w:rPr>
          <w:sz w:val="28"/>
          <w:szCs w:val="28"/>
        </w:rPr>
      </w:pPr>
      <w:r>
        <w:rPr>
          <w:sz w:val="28"/>
          <w:szCs w:val="28"/>
        </w:rPr>
        <w:t>Едва 1</w:t>
      </w:r>
      <w:r w:rsidR="00182FBD">
        <w:rPr>
          <w:sz w:val="28"/>
          <w:szCs w:val="28"/>
        </w:rPr>
        <w:t>%</w:t>
      </w:r>
      <w:r>
        <w:rPr>
          <w:sz w:val="28"/>
          <w:szCs w:val="28"/>
        </w:rPr>
        <w:t xml:space="preserve"> е относителният дял от решените извън законов срок дела от общо приключените за периода, при 1,1</w:t>
      </w:r>
      <w:r w:rsidR="00182FBD">
        <w:rPr>
          <w:sz w:val="28"/>
          <w:szCs w:val="28"/>
        </w:rPr>
        <w:t>%</w:t>
      </w:r>
      <w:r>
        <w:rPr>
          <w:sz w:val="28"/>
          <w:szCs w:val="28"/>
        </w:rPr>
        <w:t xml:space="preserve"> за 2021 г. и 1% за 2022 г. </w:t>
      </w:r>
    </w:p>
    <w:p w:rsidR="00FD0EB3" w:rsidRDefault="00FD0EB3" w:rsidP="000059A2">
      <w:pPr>
        <w:numPr>
          <w:ilvl w:val="0"/>
          <w:numId w:val="14"/>
        </w:numPr>
        <w:tabs>
          <w:tab w:val="left" w:pos="709"/>
        </w:tabs>
        <w:ind w:left="0" w:firstLine="0"/>
        <w:contextualSpacing/>
        <w:jc w:val="both"/>
        <w:rPr>
          <w:sz w:val="28"/>
          <w:szCs w:val="28"/>
        </w:rPr>
      </w:pPr>
      <w:r>
        <w:rPr>
          <w:rFonts w:eastAsia="Calibri"/>
          <w:b/>
          <w:sz w:val="28"/>
          <w:szCs w:val="28"/>
        </w:rPr>
        <w:t>Положителна е констатацията за липсата на данни за извършени действия по разследването извън сроковете по чл. 234, ал.1-3 от НПК.</w:t>
      </w:r>
    </w:p>
    <w:p w:rsidR="00FD0EB3" w:rsidRDefault="00FD0EB3" w:rsidP="001C15C6">
      <w:pPr>
        <w:jc w:val="both"/>
        <w:rPr>
          <w:color w:val="000000" w:themeColor="text1"/>
          <w:sz w:val="28"/>
          <w:szCs w:val="28"/>
        </w:rPr>
      </w:pPr>
      <w:r>
        <w:rPr>
          <w:color w:val="000000" w:themeColor="text1"/>
          <w:sz w:val="28"/>
          <w:szCs w:val="28"/>
        </w:rPr>
        <w:t>Обобщените данни относно продължителността на разследването в досъдебната фаза са илюстрирани в долната графика:</w:t>
      </w:r>
    </w:p>
    <w:p w:rsidR="001C15C6" w:rsidRDefault="001C15C6" w:rsidP="00FD0EB3">
      <w:pPr>
        <w:ind w:firstLine="426"/>
        <w:jc w:val="both"/>
        <w:rPr>
          <w:sz w:val="28"/>
          <w:szCs w:val="28"/>
          <w:lang w:val="en-US"/>
        </w:rPr>
      </w:pPr>
    </w:p>
    <w:p w:rsidR="00FD0EB3" w:rsidRDefault="00FD0EB3" w:rsidP="00FD0EB3">
      <w:pPr>
        <w:ind w:firstLine="426"/>
        <w:jc w:val="both"/>
        <w:rPr>
          <w:sz w:val="28"/>
          <w:szCs w:val="28"/>
        </w:rPr>
      </w:pPr>
      <w:r>
        <w:rPr>
          <w:rFonts w:asciiTheme="minorHAnsi" w:eastAsiaTheme="minorHAnsi" w:hAnsiTheme="minorHAnsi" w:cstheme="minorBidi"/>
          <w:noProof/>
          <w:sz w:val="22"/>
          <w:szCs w:val="22"/>
        </w:rPr>
        <w:drawing>
          <wp:anchor distT="0" distB="0" distL="114300" distR="114300" simplePos="0" relativeHeight="251680768" behindDoc="0" locked="0" layoutInCell="1" allowOverlap="1" wp14:anchorId="06C4EC85" wp14:editId="4BB25720">
            <wp:simplePos x="0" y="0"/>
            <wp:positionH relativeFrom="column">
              <wp:posOffset>211455</wp:posOffset>
            </wp:positionH>
            <wp:positionV relativeFrom="paragraph">
              <wp:posOffset>10160</wp:posOffset>
            </wp:positionV>
            <wp:extent cx="5523230" cy="3078480"/>
            <wp:effectExtent l="0" t="0" r="20320" b="26670"/>
            <wp:wrapSquare wrapText="bothSides"/>
            <wp:docPr id="9" name="Ди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margin">
              <wp14:pctHeight>0</wp14:pctHeight>
            </wp14:sizeRelV>
          </wp:anchor>
        </w:drawing>
      </w: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FD0EB3">
      <w:pPr>
        <w:ind w:firstLine="426"/>
        <w:jc w:val="both"/>
        <w:rPr>
          <w:sz w:val="28"/>
          <w:szCs w:val="28"/>
        </w:rPr>
      </w:pPr>
    </w:p>
    <w:p w:rsidR="00FD0EB3" w:rsidRDefault="00FD0EB3" w:rsidP="000059A2">
      <w:pPr>
        <w:pStyle w:val="a3"/>
        <w:numPr>
          <w:ilvl w:val="0"/>
          <w:numId w:val="14"/>
        </w:numPr>
        <w:ind w:left="0" w:firstLine="0"/>
        <w:jc w:val="both"/>
        <w:rPr>
          <w:sz w:val="28"/>
          <w:szCs w:val="28"/>
        </w:rPr>
      </w:pPr>
      <w:r>
        <w:rPr>
          <w:sz w:val="28"/>
          <w:szCs w:val="28"/>
        </w:rPr>
        <w:lastRenderedPageBreak/>
        <w:t xml:space="preserve">Отново се отчита </w:t>
      </w:r>
      <w:r>
        <w:rPr>
          <w:b/>
          <w:sz w:val="28"/>
          <w:szCs w:val="28"/>
        </w:rPr>
        <w:t>положителната тенденция за приключване на най- много дела  от образуването на ДП до решаването му от прокурор с прекратяване или внасяне в съда на делата в срок до 8 месеца</w:t>
      </w:r>
      <w:r>
        <w:rPr>
          <w:sz w:val="28"/>
          <w:szCs w:val="28"/>
        </w:rPr>
        <w:t>.</w:t>
      </w:r>
    </w:p>
    <w:p w:rsidR="00FD0EB3" w:rsidRDefault="00FD0EB3" w:rsidP="000059A2">
      <w:pPr>
        <w:pStyle w:val="a3"/>
        <w:numPr>
          <w:ilvl w:val="0"/>
          <w:numId w:val="14"/>
        </w:numPr>
        <w:ind w:left="0" w:firstLine="0"/>
        <w:jc w:val="both"/>
        <w:rPr>
          <w:sz w:val="28"/>
          <w:szCs w:val="28"/>
        </w:rPr>
      </w:pPr>
      <w:r>
        <w:rPr>
          <w:sz w:val="28"/>
          <w:szCs w:val="28"/>
        </w:rPr>
        <w:t xml:space="preserve"> През отчетния период се забелязва намаляване на броя на приключените дела с продължителност над 1 година с 6,3</w:t>
      </w:r>
      <w:r w:rsidR="00182FBD">
        <w:rPr>
          <w:sz w:val="28"/>
          <w:szCs w:val="28"/>
        </w:rPr>
        <w:t>%</w:t>
      </w:r>
      <w:r>
        <w:rPr>
          <w:sz w:val="28"/>
          <w:szCs w:val="28"/>
        </w:rPr>
        <w:t xml:space="preserve"> за 2022 г. и с 5,48</w:t>
      </w:r>
      <w:r w:rsidR="00182FBD">
        <w:rPr>
          <w:sz w:val="28"/>
          <w:szCs w:val="28"/>
        </w:rPr>
        <w:t>%</w:t>
      </w:r>
      <w:r>
        <w:rPr>
          <w:sz w:val="28"/>
          <w:szCs w:val="28"/>
        </w:rPr>
        <w:t xml:space="preserve"> за 2021 г.</w:t>
      </w:r>
    </w:p>
    <w:p w:rsidR="00FD0EB3" w:rsidRDefault="00FD0EB3" w:rsidP="000059A2">
      <w:pPr>
        <w:pStyle w:val="a3"/>
        <w:numPr>
          <w:ilvl w:val="0"/>
          <w:numId w:val="14"/>
        </w:numPr>
        <w:ind w:left="0" w:firstLine="0"/>
        <w:jc w:val="both"/>
        <w:rPr>
          <w:sz w:val="28"/>
          <w:szCs w:val="28"/>
        </w:rPr>
      </w:pPr>
      <w:r>
        <w:rPr>
          <w:sz w:val="28"/>
          <w:szCs w:val="28"/>
        </w:rPr>
        <w:t xml:space="preserve"> Данните за </w:t>
      </w:r>
      <w:r>
        <w:rPr>
          <w:b/>
          <w:sz w:val="28"/>
          <w:szCs w:val="28"/>
        </w:rPr>
        <w:t>делата, с продължителност на разследването над 2 г. също бележат  спад спрямо предходните отчетни периода</w:t>
      </w:r>
      <w:r>
        <w:rPr>
          <w:sz w:val="28"/>
          <w:szCs w:val="28"/>
        </w:rPr>
        <w:t xml:space="preserve">. </w:t>
      </w:r>
    </w:p>
    <w:p w:rsidR="00FD0EB3" w:rsidRDefault="00FD0EB3" w:rsidP="001C15C6">
      <w:pPr>
        <w:jc w:val="both"/>
        <w:rPr>
          <w:sz w:val="28"/>
          <w:szCs w:val="28"/>
        </w:rPr>
      </w:pPr>
      <w:r>
        <w:rPr>
          <w:sz w:val="28"/>
          <w:szCs w:val="28"/>
        </w:rPr>
        <w:t xml:space="preserve">Трудността за приключване на тези дела произтича от характеризиращата се фактическа и правна сложност, необходимостта от изготвяне на сложни експертизи, които понякога не са достатъчни и се налага изготвяне на повторни и допълнителни такива, при изключителното затруднение за намиране на вещи лица, които да работят по тях. </w:t>
      </w:r>
    </w:p>
    <w:p w:rsidR="00FD0EB3" w:rsidRDefault="00FD0EB3" w:rsidP="000059A2">
      <w:pPr>
        <w:pStyle w:val="a3"/>
        <w:numPr>
          <w:ilvl w:val="0"/>
          <w:numId w:val="14"/>
        </w:numPr>
        <w:ind w:left="0" w:firstLine="0"/>
        <w:jc w:val="both"/>
        <w:rPr>
          <w:sz w:val="28"/>
          <w:szCs w:val="28"/>
        </w:rPr>
      </w:pPr>
      <w:r>
        <w:rPr>
          <w:sz w:val="28"/>
          <w:szCs w:val="28"/>
        </w:rPr>
        <w:t xml:space="preserve">През 2023 г. относителният дял на приключените до 8 месеца </w:t>
      </w:r>
      <w:r>
        <w:rPr>
          <w:b/>
          <w:sz w:val="28"/>
          <w:szCs w:val="28"/>
        </w:rPr>
        <w:t>от общо решените дела с краен прокурорски акт</w:t>
      </w:r>
      <w:r>
        <w:rPr>
          <w:sz w:val="28"/>
          <w:szCs w:val="28"/>
        </w:rPr>
        <w:t xml:space="preserve"> възлиза на 13,6% при  14,3</w:t>
      </w:r>
      <w:r w:rsidR="00182FBD">
        <w:rPr>
          <w:sz w:val="28"/>
          <w:szCs w:val="28"/>
        </w:rPr>
        <w:t>%</w:t>
      </w:r>
      <w:r>
        <w:rPr>
          <w:sz w:val="28"/>
          <w:szCs w:val="28"/>
        </w:rPr>
        <w:t xml:space="preserve"> за 2022 год. и при 22,1</w:t>
      </w:r>
      <w:r w:rsidR="00182FBD">
        <w:rPr>
          <w:sz w:val="28"/>
          <w:szCs w:val="28"/>
        </w:rPr>
        <w:t>%</w:t>
      </w:r>
      <w:r>
        <w:rPr>
          <w:sz w:val="28"/>
          <w:szCs w:val="28"/>
        </w:rPr>
        <w:t xml:space="preserve"> за 2021 г.</w:t>
      </w:r>
    </w:p>
    <w:p w:rsidR="00FD0EB3" w:rsidRDefault="00FD0EB3" w:rsidP="000059A2">
      <w:pPr>
        <w:pStyle w:val="a3"/>
        <w:numPr>
          <w:ilvl w:val="0"/>
          <w:numId w:val="14"/>
        </w:numPr>
        <w:tabs>
          <w:tab w:val="left" w:pos="709"/>
        </w:tabs>
        <w:ind w:left="0" w:firstLine="0"/>
        <w:jc w:val="both"/>
        <w:rPr>
          <w:rFonts w:eastAsia="Calibri"/>
          <w:sz w:val="28"/>
          <w:szCs w:val="28"/>
          <w:lang w:eastAsia="en-US"/>
        </w:rPr>
      </w:pPr>
      <w:r>
        <w:rPr>
          <w:rFonts w:eastAsia="Calibri"/>
          <w:sz w:val="28"/>
          <w:szCs w:val="28"/>
        </w:rPr>
        <w:t xml:space="preserve">През 2023 г. относителния дял на </w:t>
      </w:r>
      <w:r>
        <w:rPr>
          <w:rFonts w:eastAsia="Calibri"/>
          <w:b/>
          <w:sz w:val="28"/>
          <w:szCs w:val="28"/>
        </w:rPr>
        <w:t xml:space="preserve">приключилите до 8 месеца </w:t>
      </w:r>
      <w:r>
        <w:rPr>
          <w:rFonts w:eastAsia="Calibri"/>
          <w:sz w:val="28"/>
          <w:szCs w:val="28"/>
        </w:rPr>
        <w:t xml:space="preserve">от образуването до решаването им от прокурор с прекратяване или внасянето им в съда спрямо </w:t>
      </w:r>
      <w:r>
        <w:rPr>
          <w:rFonts w:eastAsia="Calibri"/>
          <w:b/>
          <w:sz w:val="28"/>
          <w:szCs w:val="28"/>
        </w:rPr>
        <w:t>общия брой прекратени и внесени в съда ДП</w:t>
      </w:r>
      <w:r>
        <w:rPr>
          <w:rFonts w:eastAsia="Calibri"/>
          <w:sz w:val="28"/>
          <w:szCs w:val="28"/>
        </w:rPr>
        <w:t xml:space="preserve"> за съдебния окръг е 55%, при 54,5</w:t>
      </w:r>
      <w:r w:rsidR="00182FBD">
        <w:rPr>
          <w:rFonts w:eastAsia="Calibri"/>
          <w:sz w:val="28"/>
          <w:szCs w:val="28"/>
        </w:rPr>
        <w:t>%</w:t>
      </w:r>
      <w:r>
        <w:rPr>
          <w:rFonts w:eastAsia="Calibri"/>
          <w:sz w:val="28"/>
          <w:szCs w:val="28"/>
        </w:rPr>
        <w:t xml:space="preserve"> за 2022 год. и  при 52,6</w:t>
      </w:r>
      <w:r w:rsidR="00182FBD">
        <w:rPr>
          <w:rFonts w:eastAsia="Calibri"/>
          <w:sz w:val="28"/>
          <w:szCs w:val="28"/>
        </w:rPr>
        <w:t>%</w:t>
      </w:r>
      <w:r>
        <w:rPr>
          <w:rFonts w:eastAsia="Calibri"/>
          <w:sz w:val="28"/>
          <w:szCs w:val="28"/>
        </w:rPr>
        <w:t xml:space="preserve"> за 2021 г., т.е. </w:t>
      </w:r>
      <w:r>
        <w:rPr>
          <w:rFonts w:eastAsia="Calibri"/>
          <w:b/>
          <w:sz w:val="28"/>
          <w:szCs w:val="28"/>
        </w:rPr>
        <w:t>налице е относителен стабилитет по този показател</w:t>
      </w:r>
      <w:r>
        <w:rPr>
          <w:rFonts w:eastAsia="Calibri"/>
          <w:sz w:val="28"/>
          <w:szCs w:val="28"/>
        </w:rPr>
        <w:t xml:space="preserve">. </w:t>
      </w:r>
    </w:p>
    <w:p w:rsidR="00FD0EB3" w:rsidRDefault="00FD0EB3" w:rsidP="000059A2">
      <w:pPr>
        <w:pStyle w:val="a3"/>
        <w:numPr>
          <w:ilvl w:val="0"/>
          <w:numId w:val="14"/>
        </w:numPr>
        <w:ind w:left="0" w:firstLine="0"/>
        <w:jc w:val="both"/>
        <w:rPr>
          <w:rFonts w:eastAsia="Calibri"/>
          <w:sz w:val="28"/>
          <w:szCs w:val="28"/>
        </w:rPr>
      </w:pPr>
      <w:r>
        <w:rPr>
          <w:rFonts w:eastAsia="Calibri"/>
          <w:sz w:val="28"/>
          <w:szCs w:val="28"/>
        </w:rPr>
        <w:t xml:space="preserve">Делата с продължителност </w:t>
      </w:r>
      <w:r>
        <w:rPr>
          <w:rFonts w:eastAsia="Calibri"/>
          <w:sz w:val="28"/>
          <w:szCs w:val="28"/>
          <w:u w:val="single"/>
        </w:rPr>
        <w:t>до</w:t>
      </w:r>
      <w:r>
        <w:rPr>
          <w:rFonts w:eastAsia="Calibri"/>
          <w:sz w:val="28"/>
          <w:szCs w:val="28"/>
        </w:rPr>
        <w:t xml:space="preserve"> 1 година представляват 12,2%, при 12,8</w:t>
      </w:r>
      <w:r w:rsidR="00182FBD">
        <w:rPr>
          <w:rFonts w:eastAsia="Calibri"/>
          <w:sz w:val="28"/>
          <w:szCs w:val="28"/>
        </w:rPr>
        <w:t>%</w:t>
      </w:r>
      <w:r>
        <w:rPr>
          <w:rFonts w:eastAsia="Calibri"/>
          <w:sz w:val="28"/>
          <w:szCs w:val="28"/>
        </w:rPr>
        <w:t xml:space="preserve"> за 2022 год. и 12,7% за 2021 год., </w:t>
      </w:r>
      <w:r>
        <w:rPr>
          <w:rFonts w:eastAsia="Calibri"/>
          <w:sz w:val="28"/>
          <w:szCs w:val="28"/>
          <w:u w:val="single"/>
        </w:rPr>
        <w:t>над</w:t>
      </w:r>
      <w:r>
        <w:rPr>
          <w:rFonts w:eastAsia="Calibri"/>
          <w:sz w:val="28"/>
          <w:szCs w:val="28"/>
        </w:rPr>
        <w:t xml:space="preserve"> 1 година – 18%, при 17,7</w:t>
      </w:r>
      <w:r w:rsidR="00182FBD">
        <w:rPr>
          <w:rFonts w:eastAsia="Calibri"/>
          <w:sz w:val="28"/>
          <w:szCs w:val="28"/>
        </w:rPr>
        <w:t>%</w:t>
      </w:r>
      <w:r>
        <w:rPr>
          <w:rFonts w:eastAsia="Calibri"/>
          <w:sz w:val="28"/>
          <w:szCs w:val="28"/>
        </w:rPr>
        <w:t xml:space="preserve"> за 2022 год. и 19% за 2021 год./, а над 2 години – 14,8</w:t>
      </w:r>
      <w:r w:rsidR="00182FBD">
        <w:rPr>
          <w:rFonts w:eastAsia="Calibri"/>
          <w:sz w:val="28"/>
          <w:szCs w:val="28"/>
        </w:rPr>
        <w:t>%</w:t>
      </w:r>
      <w:r>
        <w:rPr>
          <w:rFonts w:eastAsia="Calibri"/>
          <w:sz w:val="28"/>
          <w:szCs w:val="28"/>
        </w:rPr>
        <w:t>, /15</w:t>
      </w:r>
      <w:r w:rsidR="00182FBD">
        <w:rPr>
          <w:rFonts w:eastAsia="Calibri"/>
          <w:sz w:val="28"/>
          <w:szCs w:val="28"/>
        </w:rPr>
        <w:t>%</w:t>
      </w:r>
      <w:r>
        <w:rPr>
          <w:rFonts w:eastAsia="Calibri"/>
          <w:sz w:val="28"/>
          <w:szCs w:val="28"/>
        </w:rPr>
        <w:t xml:space="preserve">  за 2022 год. и 15,7% за 2021 год./ от общия брой прекратени /без тези по давност/ и внесени в съда ДП за отчетния период, т.е налице е намаление по последния показател /дела над две години/ на тези дела спрямо предходните години. </w:t>
      </w:r>
    </w:p>
    <w:p w:rsidR="00FD0EB3" w:rsidRDefault="00FD0EB3" w:rsidP="000059A2">
      <w:pPr>
        <w:pStyle w:val="a3"/>
        <w:numPr>
          <w:ilvl w:val="0"/>
          <w:numId w:val="14"/>
        </w:numPr>
        <w:ind w:left="0" w:firstLine="0"/>
        <w:jc w:val="both"/>
        <w:rPr>
          <w:sz w:val="28"/>
          <w:szCs w:val="28"/>
        </w:rPr>
      </w:pPr>
      <w:r>
        <w:rPr>
          <w:b/>
          <w:sz w:val="28"/>
          <w:szCs w:val="28"/>
        </w:rPr>
        <w:t>Неприключилите ДП</w:t>
      </w:r>
      <w:r>
        <w:rPr>
          <w:sz w:val="28"/>
          <w:szCs w:val="28"/>
        </w:rPr>
        <w:t xml:space="preserve"> през 2023 г. са 21,9</w:t>
      </w:r>
      <w:r w:rsidR="00182FBD">
        <w:rPr>
          <w:sz w:val="28"/>
          <w:szCs w:val="28"/>
        </w:rPr>
        <w:t>%</w:t>
      </w:r>
      <w:r>
        <w:rPr>
          <w:sz w:val="28"/>
          <w:szCs w:val="28"/>
        </w:rPr>
        <w:t xml:space="preserve"> </w:t>
      </w:r>
      <w:r>
        <w:rPr>
          <w:b/>
          <w:sz w:val="28"/>
          <w:szCs w:val="28"/>
        </w:rPr>
        <w:t>от общо наблюдаваните, вкл. прекратените по давност</w:t>
      </w:r>
      <w:r>
        <w:rPr>
          <w:sz w:val="28"/>
          <w:szCs w:val="28"/>
        </w:rPr>
        <w:t xml:space="preserve"> и 36,2</w:t>
      </w:r>
      <w:r w:rsidR="00182FBD">
        <w:rPr>
          <w:sz w:val="28"/>
          <w:szCs w:val="28"/>
        </w:rPr>
        <w:t>%</w:t>
      </w:r>
      <w:r>
        <w:rPr>
          <w:sz w:val="28"/>
          <w:szCs w:val="28"/>
        </w:rPr>
        <w:t xml:space="preserve"> </w:t>
      </w:r>
      <w:r>
        <w:rPr>
          <w:b/>
          <w:sz w:val="28"/>
          <w:szCs w:val="28"/>
        </w:rPr>
        <w:t>от общо наблюдаваните, без прекратените по давност</w:t>
      </w:r>
      <w:r>
        <w:rPr>
          <w:sz w:val="28"/>
          <w:szCs w:val="28"/>
        </w:rPr>
        <w:t>. За 2021 г. неприключилите ДП са представлявали 29.4</w:t>
      </w:r>
      <w:r w:rsidR="00182FBD">
        <w:rPr>
          <w:sz w:val="28"/>
          <w:szCs w:val="28"/>
        </w:rPr>
        <w:t>%</w:t>
      </w:r>
      <w:r>
        <w:rPr>
          <w:sz w:val="28"/>
          <w:szCs w:val="28"/>
        </w:rPr>
        <w:t xml:space="preserve"> от общо наблюдаваните, вкл. прекратените по давност и 33,4% от общо наблюдаваните, без прекратените по давност. За 2022 г. са били съответно 22</w:t>
      </w:r>
      <w:r w:rsidR="00182FBD">
        <w:rPr>
          <w:sz w:val="28"/>
          <w:szCs w:val="28"/>
        </w:rPr>
        <w:t>%</w:t>
      </w:r>
      <w:r>
        <w:rPr>
          <w:sz w:val="28"/>
          <w:szCs w:val="28"/>
        </w:rPr>
        <w:t xml:space="preserve"> и 35,6</w:t>
      </w:r>
      <w:r w:rsidR="00182FBD">
        <w:rPr>
          <w:sz w:val="28"/>
          <w:szCs w:val="28"/>
        </w:rPr>
        <w:t>%</w:t>
      </w:r>
      <w:r>
        <w:rPr>
          <w:sz w:val="28"/>
          <w:szCs w:val="28"/>
        </w:rPr>
        <w:t>.</w:t>
      </w:r>
    </w:p>
    <w:p w:rsidR="00FD0EB3" w:rsidRDefault="00FD0EB3" w:rsidP="000059A2">
      <w:pPr>
        <w:pStyle w:val="a3"/>
        <w:numPr>
          <w:ilvl w:val="0"/>
          <w:numId w:val="14"/>
        </w:numPr>
        <w:ind w:left="0" w:firstLine="0"/>
        <w:jc w:val="both"/>
        <w:rPr>
          <w:sz w:val="28"/>
          <w:szCs w:val="28"/>
        </w:rPr>
      </w:pPr>
      <w:r>
        <w:rPr>
          <w:b/>
          <w:sz w:val="28"/>
          <w:szCs w:val="28"/>
        </w:rPr>
        <w:t>Прекратените по давност дела са се увеличили през отчетната година</w:t>
      </w:r>
      <w:r>
        <w:rPr>
          <w:sz w:val="28"/>
          <w:szCs w:val="28"/>
        </w:rPr>
        <w:t xml:space="preserve"> с 8,5% спрямо 2022 год. и с 387</w:t>
      </w:r>
      <w:r w:rsidR="00182FBD">
        <w:rPr>
          <w:sz w:val="28"/>
          <w:szCs w:val="28"/>
        </w:rPr>
        <w:t>%</w:t>
      </w:r>
      <w:r>
        <w:rPr>
          <w:sz w:val="28"/>
          <w:szCs w:val="28"/>
        </w:rPr>
        <w:t xml:space="preserve"> спрямо 2021 год. Увеличението на тази категория дела намира своето обяснение с наблюдаваните и новообразуваните дела през периода 2010 - 2012 год. и преди това. Резонно увеличаването на делата преди десет  и повече години е довело до настъпването на изтичането на давността и в настоящия отчетен период.   </w:t>
      </w:r>
    </w:p>
    <w:p w:rsidR="00FD0EB3" w:rsidRDefault="00FD0EB3" w:rsidP="001C15C6">
      <w:pPr>
        <w:ind w:firstLine="709"/>
        <w:jc w:val="both"/>
        <w:rPr>
          <w:sz w:val="28"/>
          <w:szCs w:val="28"/>
        </w:rPr>
      </w:pPr>
      <w:r>
        <w:rPr>
          <w:sz w:val="28"/>
          <w:szCs w:val="28"/>
        </w:rPr>
        <w:t>Трябва да се отбележи обаче, че продължителността на досъдебната фаза е следствие не само и не основно на недостатъчна активност на прокуратурата. В тази връзка върху срочността на разследването влияят и редица обективни фактори, които в пълна степен важат и за настоящия отчетен период, а те са:</w:t>
      </w:r>
    </w:p>
    <w:p w:rsidR="00FD0EB3" w:rsidRDefault="00FD0EB3" w:rsidP="000059A2">
      <w:pPr>
        <w:numPr>
          <w:ilvl w:val="0"/>
          <w:numId w:val="16"/>
        </w:numPr>
        <w:ind w:left="0" w:firstLine="709"/>
        <w:contextualSpacing/>
        <w:jc w:val="both"/>
        <w:rPr>
          <w:rFonts w:eastAsia="Calibri"/>
          <w:sz w:val="28"/>
          <w:szCs w:val="28"/>
          <w:lang w:eastAsia="en-US"/>
        </w:rPr>
      </w:pPr>
      <w:r>
        <w:rPr>
          <w:rFonts w:eastAsia="Calibri"/>
          <w:sz w:val="28"/>
          <w:szCs w:val="28"/>
        </w:rPr>
        <w:t xml:space="preserve">забавяне при изготвянето на назначените експертизи и липса или </w:t>
      </w:r>
      <w:proofErr w:type="spellStart"/>
      <w:r>
        <w:rPr>
          <w:rFonts w:eastAsia="Calibri"/>
          <w:sz w:val="28"/>
          <w:szCs w:val="28"/>
        </w:rPr>
        <w:t>свръхнатовареност</w:t>
      </w:r>
      <w:proofErr w:type="spellEnd"/>
      <w:r>
        <w:rPr>
          <w:rFonts w:eastAsia="Calibri"/>
          <w:sz w:val="28"/>
          <w:szCs w:val="28"/>
        </w:rPr>
        <w:t xml:space="preserve"> на вещите лица;</w:t>
      </w:r>
      <w:r>
        <w:rPr>
          <w:sz w:val="28"/>
          <w:szCs w:val="28"/>
        </w:rPr>
        <w:t xml:space="preserve"> необезпеченост с достатъчно и </w:t>
      </w:r>
      <w:r>
        <w:rPr>
          <w:sz w:val="28"/>
          <w:szCs w:val="28"/>
        </w:rPr>
        <w:lastRenderedPageBreak/>
        <w:t xml:space="preserve">квалифицирани вещи лица /особено за </w:t>
      </w:r>
      <w:proofErr w:type="spellStart"/>
      <w:r>
        <w:rPr>
          <w:sz w:val="28"/>
          <w:szCs w:val="28"/>
        </w:rPr>
        <w:t>автотехническите</w:t>
      </w:r>
      <w:proofErr w:type="spellEnd"/>
      <w:r>
        <w:rPr>
          <w:sz w:val="28"/>
          <w:szCs w:val="28"/>
        </w:rPr>
        <w:t xml:space="preserve"> експертизи; ДНК експертизи, физико – химични експертизи, технически експертизи за изследване на компютри и мобилни устройства/, а оттам – </w:t>
      </w:r>
      <w:proofErr w:type="spellStart"/>
      <w:r>
        <w:rPr>
          <w:sz w:val="28"/>
          <w:szCs w:val="28"/>
        </w:rPr>
        <w:t>пренатовареност</w:t>
      </w:r>
      <w:proofErr w:type="spellEnd"/>
      <w:r>
        <w:rPr>
          <w:sz w:val="28"/>
          <w:szCs w:val="28"/>
        </w:rPr>
        <w:t>, на вещите лица и забавяне във времето на изготвянето на назначените експертизи. Наличието на множество вписани към ОС- Варна експерти- счетоводители също не води до решаване на въпроса със своевременното изготвяне на ССЕ, особено по т.нар „данъчни дела“, тъй като само на малка част от тях се възлагат експертизи от структурите на ОД на МВР-Варна и ОСО при ОП-Варна;</w:t>
      </w:r>
    </w:p>
    <w:p w:rsidR="00FD0EB3" w:rsidRDefault="00FD0EB3" w:rsidP="000059A2">
      <w:pPr>
        <w:numPr>
          <w:ilvl w:val="0"/>
          <w:numId w:val="16"/>
        </w:numPr>
        <w:ind w:left="0" w:firstLine="709"/>
        <w:contextualSpacing/>
        <w:jc w:val="both"/>
        <w:rPr>
          <w:rFonts w:eastAsia="Calibri"/>
          <w:sz w:val="28"/>
          <w:szCs w:val="28"/>
        </w:rPr>
      </w:pPr>
      <w:r>
        <w:rPr>
          <w:rFonts w:eastAsia="Calibri"/>
          <w:sz w:val="28"/>
          <w:szCs w:val="28"/>
        </w:rPr>
        <w:t>трудности при откриване и призоваване на свидетели в страната или в чужбина;</w:t>
      </w:r>
    </w:p>
    <w:p w:rsidR="00FD0EB3" w:rsidRDefault="00FD0EB3" w:rsidP="000059A2">
      <w:pPr>
        <w:numPr>
          <w:ilvl w:val="0"/>
          <w:numId w:val="16"/>
        </w:numPr>
        <w:ind w:left="0" w:firstLine="709"/>
        <w:contextualSpacing/>
        <w:jc w:val="both"/>
        <w:rPr>
          <w:rFonts w:eastAsia="Calibri"/>
          <w:sz w:val="28"/>
          <w:szCs w:val="28"/>
        </w:rPr>
      </w:pPr>
      <w:r>
        <w:rPr>
          <w:rFonts w:eastAsia="Calibri"/>
          <w:sz w:val="28"/>
          <w:szCs w:val="28"/>
        </w:rPr>
        <w:t>трудности при разпити по делегация в други райони;</w:t>
      </w:r>
    </w:p>
    <w:p w:rsidR="00FD0EB3" w:rsidRDefault="00FD0EB3" w:rsidP="000059A2">
      <w:pPr>
        <w:numPr>
          <w:ilvl w:val="0"/>
          <w:numId w:val="16"/>
        </w:numPr>
        <w:ind w:left="0" w:firstLine="709"/>
        <w:contextualSpacing/>
        <w:jc w:val="both"/>
        <w:rPr>
          <w:rFonts w:eastAsia="Calibri"/>
          <w:sz w:val="28"/>
          <w:szCs w:val="28"/>
        </w:rPr>
      </w:pPr>
      <w:r>
        <w:rPr>
          <w:rFonts w:eastAsia="Calibri"/>
          <w:sz w:val="28"/>
          <w:szCs w:val="28"/>
        </w:rPr>
        <w:t>липса на достатъчно добро планиране и качествено разследване  от  страна на разследващите органи;</w:t>
      </w:r>
    </w:p>
    <w:p w:rsidR="00FD0EB3" w:rsidRDefault="00FD0EB3" w:rsidP="000059A2">
      <w:pPr>
        <w:numPr>
          <w:ilvl w:val="0"/>
          <w:numId w:val="16"/>
        </w:numPr>
        <w:ind w:left="0" w:firstLine="709"/>
        <w:contextualSpacing/>
        <w:jc w:val="both"/>
        <w:rPr>
          <w:rFonts w:eastAsia="Calibri"/>
          <w:sz w:val="28"/>
          <w:szCs w:val="28"/>
        </w:rPr>
      </w:pPr>
      <w:r>
        <w:rPr>
          <w:rFonts w:eastAsia="Calibri"/>
          <w:sz w:val="28"/>
          <w:szCs w:val="28"/>
        </w:rPr>
        <w:t>пасивност на разследващите органи,  извършване на ПСД само по указания на прокурор, несвоевременно извършване на следствени действия или неритмично извършване на такива в рамките на двумесечния срок или в сроковете на неговото продължение;</w:t>
      </w:r>
    </w:p>
    <w:p w:rsidR="00FD0EB3" w:rsidRDefault="00FD0EB3" w:rsidP="000059A2">
      <w:pPr>
        <w:numPr>
          <w:ilvl w:val="0"/>
          <w:numId w:val="16"/>
        </w:numPr>
        <w:ind w:left="0" w:firstLine="709"/>
        <w:contextualSpacing/>
        <w:jc w:val="both"/>
        <w:rPr>
          <w:rFonts w:eastAsia="Calibri"/>
          <w:sz w:val="28"/>
          <w:szCs w:val="28"/>
        </w:rPr>
      </w:pPr>
      <w:r>
        <w:rPr>
          <w:rFonts w:eastAsia="Calibri"/>
          <w:sz w:val="28"/>
          <w:szCs w:val="28"/>
        </w:rPr>
        <w:t>текучество на разследващите полицаи;</w:t>
      </w:r>
    </w:p>
    <w:p w:rsidR="00FD0EB3" w:rsidRDefault="00FD0EB3" w:rsidP="000059A2">
      <w:pPr>
        <w:numPr>
          <w:ilvl w:val="0"/>
          <w:numId w:val="16"/>
        </w:numPr>
        <w:ind w:left="0" w:firstLine="709"/>
        <w:contextualSpacing/>
        <w:jc w:val="both"/>
        <w:rPr>
          <w:rFonts w:eastAsia="Calibri"/>
          <w:sz w:val="28"/>
          <w:szCs w:val="28"/>
        </w:rPr>
      </w:pPr>
      <w:r>
        <w:rPr>
          <w:rFonts w:eastAsia="Calibri"/>
          <w:sz w:val="28"/>
          <w:szCs w:val="28"/>
        </w:rPr>
        <w:t xml:space="preserve">През настоящия отчетен период продължават да се полагат множество усилия за приключване  на делата с продължителност на разследването над три години и намаляване на техния брой. Немалко усилия бяха положени от страна на административните ръководители на ОП и </w:t>
      </w:r>
      <w:r w:rsidR="00182FBD">
        <w:rPr>
          <w:rFonts w:eastAsia="Calibri"/>
          <w:sz w:val="28"/>
          <w:szCs w:val="28"/>
        </w:rPr>
        <w:t>РП-Варна</w:t>
      </w:r>
      <w:r>
        <w:rPr>
          <w:rFonts w:eastAsia="Calibri"/>
          <w:sz w:val="28"/>
          <w:szCs w:val="28"/>
        </w:rPr>
        <w:t xml:space="preserve"> за приключването на делата с продължителност на разследването над три години, които продължават и през настоящата година, но полаганите усилия не повлияват особено на статистическите данни. Законодателната промяна, свързана с промяна на подсъдността и закриването на Специализираната прокуратура, доведе до увеличаване на броя дела при нас и то точно от тази категория. Посочените по- горе обективни фактори водят до забавяне на делата с по- малка продължителност и съответно преминаването им към тази приоритетна категория за приключване дела. </w:t>
      </w:r>
    </w:p>
    <w:p w:rsidR="00FD0EB3" w:rsidRDefault="00FD0EB3" w:rsidP="00C23A93">
      <w:pPr>
        <w:ind w:left="426"/>
        <w:contextualSpacing/>
        <w:jc w:val="both"/>
        <w:rPr>
          <w:sz w:val="28"/>
          <w:szCs w:val="28"/>
          <w:lang w:val="en-US"/>
        </w:rPr>
      </w:pPr>
    </w:p>
    <w:p w:rsidR="00FD0EB3" w:rsidRDefault="00FD0EB3" w:rsidP="00C23A93">
      <w:pPr>
        <w:ind w:left="426"/>
        <w:contextualSpacing/>
        <w:jc w:val="both"/>
        <w:rPr>
          <w:sz w:val="28"/>
          <w:szCs w:val="28"/>
          <w:lang w:val="en-US"/>
        </w:rPr>
      </w:pPr>
    </w:p>
    <w:p w:rsidR="001C15C6" w:rsidRDefault="001C15C6" w:rsidP="00C23A93">
      <w:pPr>
        <w:ind w:left="426"/>
        <w:contextualSpacing/>
        <w:jc w:val="both"/>
        <w:rPr>
          <w:sz w:val="28"/>
          <w:szCs w:val="28"/>
          <w:lang w:val="en-US"/>
        </w:rPr>
      </w:pPr>
    </w:p>
    <w:p w:rsidR="001C15C6" w:rsidRDefault="001C15C6" w:rsidP="00C23A93">
      <w:pPr>
        <w:ind w:left="426"/>
        <w:contextualSpacing/>
        <w:jc w:val="both"/>
        <w:rPr>
          <w:sz w:val="28"/>
          <w:szCs w:val="28"/>
          <w:lang w:val="en-US"/>
        </w:rPr>
      </w:pPr>
    </w:p>
    <w:p w:rsidR="001C15C6" w:rsidRDefault="001C15C6" w:rsidP="00C23A93">
      <w:pPr>
        <w:ind w:left="426"/>
        <w:contextualSpacing/>
        <w:jc w:val="both"/>
        <w:rPr>
          <w:sz w:val="28"/>
          <w:szCs w:val="28"/>
          <w:lang w:val="en-US"/>
        </w:rPr>
      </w:pPr>
    </w:p>
    <w:p w:rsidR="001C15C6" w:rsidRDefault="001C15C6" w:rsidP="00C23A93">
      <w:pPr>
        <w:ind w:left="426"/>
        <w:contextualSpacing/>
        <w:jc w:val="both"/>
        <w:rPr>
          <w:sz w:val="28"/>
          <w:szCs w:val="28"/>
          <w:lang w:val="en-US"/>
        </w:rPr>
      </w:pPr>
    </w:p>
    <w:p w:rsidR="001C15C6" w:rsidRDefault="001C15C6" w:rsidP="00C23A93">
      <w:pPr>
        <w:ind w:left="426"/>
        <w:contextualSpacing/>
        <w:jc w:val="both"/>
        <w:rPr>
          <w:sz w:val="28"/>
          <w:szCs w:val="28"/>
          <w:lang w:val="en-US"/>
        </w:rPr>
      </w:pPr>
    </w:p>
    <w:p w:rsidR="001C15C6" w:rsidRDefault="001C15C6" w:rsidP="00C23A93">
      <w:pPr>
        <w:ind w:left="426"/>
        <w:contextualSpacing/>
        <w:jc w:val="both"/>
        <w:rPr>
          <w:sz w:val="28"/>
          <w:szCs w:val="28"/>
          <w:lang w:val="en-US"/>
        </w:rPr>
      </w:pPr>
    </w:p>
    <w:p w:rsidR="001C15C6" w:rsidRDefault="001C15C6" w:rsidP="00C23A93">
      <w:pPr>
        <w:ind w:left="426"/>
        <w:contextualSpacing/>
        <w:jc w:val="both"/>
        <w:rPr>
          <w:sz w:val="28"/>
          <w:szCs w:val="28"/>
          <w:lang w:val="en-US"/>
        </w:rPr>
      </w:pPr>
    </w:p>
    <w:p w:rsidR="001C15C6" w:rsidRDefault="001C15C6" w:rsidP="00C23A93">
      <w:pPr>
        <w:ind w:left="426"/>
        <w:contextualSpacing/>
        <w:jc w:val="both"/>
        <w:rPr>
          <w:sz w:val="28"/>
          <w:szCs w:val="28"/>
          <w:lang w:val="en-US"/>
        </w:rPr>
      </w:pPr>
    </w:p>
    <w:p w:rsidR="001C15C6" w:rsidRDefault="001C15C6" w:rsidP="00C23A93">
      <w:pPr>
        <w:ind w:left="426"/>
        <w:contextualSpacing/>
        <w:jc w:val="both"/>
        <w:rPr>
          <w:sz w:val="28"/>
          <w:szCs w:val="28"/>
          <w:lang w:val="en-US"/>
        </w:rPr>
      </w:pPr>
    </w:p>
    <w:p w:rsidR="00FD0EB3" w:rsidRDefault="00FD0EB3" w:rsidP="00C23A93">
      <w:pPr>
        <w:ind w:left="426"/>
        <w:contextualSpacing/>
        <w:jc w:val="both"/>
        <w:rPr>
          <w:sz w:val="28"/>
          <w:szCs w:val="28"/>
          <w:lang w:val="en-US"/>
        </w:rPr>
      </w:pPr>
    </w:p>
    <w:p w:rsidR="00FD0EB3" w:rsidRDefault="00FD0EB3" w:rsidP="00C23A93">
      <w:pPr>
        <w:ind w:left="426"/>
        <w:contextualSpacing/>
        <w:jc w:val="both"/>
        <w:rPr>
          <w:sz w:val="28"/>
          <w:szCs w:val="28"/>
          <w:lang w:val="en-US"/>
        </w:rPr>
      </w:pPr>
    </w:p>
    <w:p w:rsidR="00FD0EB3" w:rsidRDefault="00FD0EB3" w:rsidP="00C23A93">
      <w:pPr>
        <w:ind w:left="426"/>
        <w:contextualSpacing/>
        <w:jc w:val="both"/>
        <w:rPr>
          <w:sz w:val="28"/>
          <w:szCs w:val="28"/>
          <w:lang w:val="en-US"/>
        </w:rPr>
      </w:pPr>
    </w:p>
    <w:p w:rsidR="00FD0EB3" w:rsidRPr="00FD0EB3" w:rsidRDefault="00FD0EB3" w:rsidP="00C23A93">
      <w:pPr>
        <w:ind w:left="426"/>
        <w:contextualSpacing/>
        <w:jc w:val="both"/>
        <w:rPr>
          <w:sz w:val="28"/>
          <w:szCs w:val="28"/>
          <w:lang w:val="en-US"/>
        </w:rPr>
      </w:pPr>
    </w:p>
    <w:p w:rsidR="00E51B93" w:rsidRPr="00E51B93" w:rsidRDefault="00E51B93" w:rsidP="000059A2">
      <w:pPr>
        <w:pStyle w:val="13"/>
        <w:numPr>
          <w:ilvl w:val="1"/>
          <w:numId w:val="5"/>
        </w:numPr>
        <w:tabs>
          <w:tab w:val="left" w:pos="1374"/>
        </w:tabs>
        <w:spacing w:after="0" w:line="240" w:lineRule="auto"/>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lastRenderedPageBreak/>
        <w:t>Решени досъдебии производства от прокурор. Видове решения.</w:t>
      </w:r>
    </w:p>
    <w:p w:rsidR="00FF2ECA" w:rsidRDefault="00FF2ECA" w:rsidP="00FF2ECA">
      <w:pPr>
        <w:ind w:firstLine="426"/>
        <w:jc w:val="both"/>
        <w:rPr>
          <w:color w:val="17365D" w:themeColor="text2" w:themeShade="BF"/>
          <w:sz w:val="28"/>
          <w:szCs w:val="28"/>
        </w:rPr>
      </w:pPr>
    </w:p>
    <w:p w:rsidR="00FD0EB3" w:rsidRPr="001C15C6" w:rsidRDefault="00FD0EB3" w:rsidP="00FD0EB3">
      <w:pPr>
        <w:keepNext/>
        <w:keepLines/>
        <w:spacing w:before="200"/>
        <w:outlineLvl w:val="2"/>
        <w:rPr>
          <w:rFonts w:eastAsiaTheme="majorEastAsia"/>
          <w:bCs/>
          <w:color w:val="0070C0"/>
          <w:sz w:val="28"/>
          <w:szCs w:val="28"/>
          <w:lang w:val="en-US"/>
        </w:rPr>
      </w:pPr>
      <w:r>
        <w:rPr>
          <w:rFonts w:eastAsiaTheme="majorEastAsia"/>
          <w:noProof/>
          <w:color w:val="0070C0"/>
          <w:sz w:val="28"/>
          <w:szCs w:val="28"/>
        </w:rPr>
        <w:drawing>
          <wp:inline distT="0" distB="0" distL="0" distR="0" wp14:anchorId="13C531EE" wp14:editId="0F193FFF">
            <wp:extent cx="6068291" cy="2327563"/>
            <wp:effectExtent l="0" t="0" r="27940" b="15875"/>
            <wp:docPr id="21" name="Диагра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15C6" w:rsidRPr="001C15C6" w:rsidRDefault="001C15C6" w:rsidP="001C15C6">
      <w:pPr>
        <w:pStyle w:val="a3"/>
        <w:ind w:left="567"/>
        <w:jc w:val="both"/>
        <w:rPr>
          <w:sz w:val="28"/>
          <w:szCs w:val="28"/>
        </w:rPr>
      </w:pPr>
    </w:p>
    <w:p w:rsidR="00FD0EB3" w:rsidRDefault="00FD0EB3" w:rsidP="000059A2">
      <w:pPr>
        <w:pStyle w:val="a3"/>
        <w:numPr>
          <w:ilvl w:val="0"/>
          <w:numId w:val="17"/>
        </w:numPr>
        <w:ind w:left="0" w:firstLine="0"/>
        <w:jc w:val="both"/>
        <w:rPr>
          <w:sz w:val="28"/>
          <w:szCs w:val="28"/>
        </w:rPr>
      </w:pPr>
      <w:r>
        <w:rPr>
          <w:sz w:val="28"/>
          <w:szCs w:val="28"/>
        </w:rPr>
        <w:t xml:space="preserve">През 2023 год. </w:t>
      </w:r>
      <w:r>
        <w:rPr>
          <w:b/>
          <w:sz w:val="28"/>
          <w:szCs w:val="28"/>
        </w:rPr>
        <w:t>решени</w:t>
      </w:r>
      <w:r>
        <w:rPr>
          <w:sz w:val="28"/>
          <w:szCs w:val="28"/>
        </w:rPr>
        <w:t xml:space="preserve"> от прокурорите на </w:t>
      </w:r>
      <w:r w:rsidR="00182FBD">
        <w:rPr>
          <w:sz w:val="28"/>
          <w:szCs w:val="28"/>
        </w:rPr>
        <w:t>ОП-Варна</w:t>
      </w:r>
      <w:r>
        <w:rPr>
          <w:sz w:val="28"/>
          <w:szCs w:val="28"/>
        </w:rPr>
        <w:t xml:space="preserve"> </w:t>
      </w:r>
      <w:r>
        <w:rPr>
          <w:b/>
          <w:sz w:val="28"/>
          <w:szCs w:val="28"/>
        </w:rPr>
        <w:t>спрямо наблюдаваните дела, без да се включват тези по давност</w:t>
      </w:r>
      <w:r>
        <w:rPr>
          <w:sz w:val="28"/>
          <w:szCs w:val="28"/>
        </w:rPr>
        <w:t>, представляват 124,3</w:t>
      </w:r>
      <w:r w:rsidR="00182FBD">
        <w:rPr>
          <w:sz w:val="28"/>
          <w:szCs w:val="28"/>
        </w:rPr>
        <w:t>%</w:t>
      </w:r>
      <w:r>
        <w:rPr>
          <w:sz w:val="28"/>
          <w:szCs w:val="28"/>
        </w:rPr>
        <w:t>, при  123, 5% за 2022 год. и 76,4% за 2021 год.</w:t>
      </w:r>
    </w:p>
    <w:p w:rsidR="00FD0EB3" w:rsidRDefault="00FD0EB3" w:rsidP="000059A2">
      <w:pPr>
        <w:pStyle w:val="a3"/>
        <w:numPr>
          <w:ilvl w:val="0"/>
          <w:numId w:val="17"/>
        </w:numPr>
        <w:ind w:left="0" w:firstLine="0"/>
        <w:jc w:val="both"/>
        <w:rPr>
          <w:sz w:val="28"/>
          <w:szCs w:val="28"/>
        </w:rPr>
      </w:pPr>
      <w:r>
        <w:rPr>
          <w:sz w:val="28"/>
          <w:szCs w:val="28"/>
        </w:rPr>
        <w:t xml:space="preserve">Процентът на </w:t>
      </w:r>
      <w:r>
        <w:rPr>
          <w:b/>
          <w:sz w:val="28"/>
          <w:szCs w:val="28"/>
        </w:rPr>
        <w:t>решени производства спрямо приключените дела</w:t>
      </w:r>
      <w:r>
        <w:rPr>
          <w:sz w:val="28"/>
          <w:szCs w:val="28"/>
        </w:rPr>
        <w:t xml:space="preserve"> за 2022г. е 213</w:t>
      </w:r>
      <w:r w:rsidR="00182FBD">
        <w:rPr>
          <w:sz w:val="28"/>
          <w:szCs w:val="28"/>
        </w:rPr>
        <w:t>%</w:t>
      </w:r>
      <w:r>
        <w:rPr>
          <w:sz w:val="28"/>
          <w:szCs w:val="28"/>
        </w:rPr>
        <w:t>, съпоставимо спрямо 2022 год., когато относителния дял е бил 209,4</w:t>
      </w:r>
      <w:r w:rsidR="00182FBD">
        <w:rPr>
          <w:sz w:val="28"/>
          <w:szCs w:val="28"/>
        </w:rPr>
        <w:t>%</w:t>
      </w:r>
      <w:r>
        <w:rPr>
          <w:sz w:val="28"/>
          <w:szCs w:val="28"/>
        </w:rPr>
        <w:t>, а за 2021 год. е бил 127,6</w:t>
      </w:r>
      <w:r w:rsidR="00182FBD">
        <w:rPr>
          <w:sz w:val="28"/>
          <w:szCs w:val="28"/>
        </w:rPr>
        <w:t>%</w:t>
      </w:r>
      <w:r>
        <w:rPr>
          <w:sz w:val="28"/>
          <w:szCs w:val="28"/>
        </w:rPr>
        <w:t xml:space="preserve">. </w:t>
      </w:r>
    </w:p>
    <w:p w:rsidR="00FD0EB3" w:rsidRDefault="00FD0EB3" w:rsidP="000059A2">
      <w:pPr>
        <w:pStyle w:val="a3"/>
        <w:numPr>
          <w:ilvl w:val="0"/>
          <w:numId w:val="17"/>
        </w:numPr>
        <w:ind w:left="0" w:firstLine="0"/>
        <w:jc w:val="both"/>
        <w:rPr>
          <w:rFonts w:eastAsia="Calibri"/>
          <w:color w:val="FF0000"/>
          <w:sz w:val="28"/>
          <w:szCs w:val="28"/>
          <w:lang w:eastAsia="en-US"/>
        </w:rPr>
      </w:pPr>
      <w:r>
        <w:rPr>
          <w:rFonts w:eastAsia="Calibri"/>
          <w:sz w:val="28"/>
          <w:szCs w:val="28"/>
        </w:rPr>
        <w:t xml:space="preserve">Относителния дял на </w:t>
      </w:r>
      <w:r>
        <w:rPr>
          <w:rFonts w:eastAsia="Calibri"/>
          <w:b/>
          <w:sz w:val="28"/>
          <w:szCs w:val="28"/>
        </w:rPr>
        <w:t>внесените в съда към общо решените досъдебни производства през 2023 г. е 10</w:t>
      </w:r>
      <w:r w:rsidR="002E1C4E">
        <w:rPr>
          <w:rFonts w:eastAsia="Calibri"/>
          <w:b/>
          <w:sz w:val="28"/>
          <w:szCs w:val="28"/>
        </w:rPr>
        <w:t>,</w:t>
      </w:r>
      <w:r>
        <w:rPr>
          <w:rFonts w:eastAsia="Calibri"/>
          <w:b/>
          <w:sz w:val="28"/>
          <w:szCs w:val="28"/>
        </w:rPr>
        <w:t>5%, при  11,1% за 2022 год. и 16,3% за 2021 г.</w:t>
      </w:r>
      <w:r>
        <w:rPr>
          <w:rFonts w:eastAsia="Calibri"/>
          <w:color w:val="00B0F0"/>
          <w:sz w:val="28"/>
          <w:szCs w:val="28"/>
        </w:rPr>
        <w:t xml:space="preserve"> </w:t>
      </w:r>
    </w:p>
    <w:p w:rsidR="00FD0EB3" w:rsidRDefault="00FD0EB3" w:rsidP="000059A2">
      <w:pPr>
        <w:pStyle w:val="a3"/>
        <w:numPr>
          <w:ilvl w:val="0"/>
          <w:numId w:val="17"/>
        </w:numPr>
        <w:ind w:left="0" w:firstLine="0"/>
        <w:jc w:val="both"/>
        <w:rPr>
          <w:rFonts w:eastAsia="Calibri"/>
          <w:sz w:val="28"/>
          <w:szCs w:val="28"/>
        </w:rPr>
      </w:pPr>
      <w:r>
        <w:rPr>
          <w:rFonts w:eastAsia="Calibri"/>
          <w:sz w:val="28"/>
          <w:szCs w:val="28"/>
        </w:rPr>
        <w:t>Относителния дял на спрените към общо решените досъдебни производства през 2023 г. е 22,1</w:t>
      </w:r>
      <w:r w:rsidR="00182FBD">
        <w:rPr>
          <w:rFonts w:eastAsia="Calibri"/>
          <w:sz w:val="28"/>
          <w:szCs w:val="28"/>
        </w:rPr>
        <w:t>%</w:t>
      </w:r>
      <w:r>
        <w:rPr>
          <w:rFonts w:eastAsia="Calibri"/>
          <w:sz w:val="28"/>
          <w:szCs w:val="28"/>
        </w:rPr>
        <w:t>, при  23,2</w:t>
      </w:r>
      <w:r w:rsidR="00182FBD">
        <w:rPr>
          <w:rFonts w:eastAsia="Calibri"/>
          <w:sz w:val="28"/>
          <w:szCs w:val="28"/>
        </w:rPr>
        <w:t>%</w:t>
      </w:r>
      <w:r>
        <w:rPr>
          <w:rFonts w:eastAsia="Calibri"/>
          <w:sz w:val="28"/>
          <w:szCs w:val="28"/>
        </w:rPr>
        <w:t xml:space="preserve"> за 2022 год. и  39% за 2021 год.</w:t>
      </w:r>
    </w:p>
    <w:p w:rsidR="00FD0EB3" w:rsidRDefault="00FD0EB3" w:rsidP="000059A2">
      <w:pPr>
        <w:pStyle w:val="a3"/>
        <w:numPr>
          <w:ilvl w:val="0"/>
          <w:numId w:val="17"/>
        </w:numPr>
        <w:ind w:left="0" w:firstLine="0"/>
        <w:jc w:val="both"/>
        <w:rPr>
          <w:rFonts w:eastAsia="Calibri"/>
          <w:sz w:val="28"/>
          <w:szCs w:val="28"/>
        </w:rPr>
      </w:pPr>
      <w:r>
        <w:rPr>
          <w:rFonts w:eastAsia="Calibri"/>
          <w:sz w:val="28"/>
          <w:szCs w:val="28"/>
        </w:rPr>
        <w:t xml:space="preserve">Относителният дял на </w:t>
      </w:r>
      <w:r>
        <w:rPr>
          <w:rFonts w:eastAsia="Calibri"/>
          <w:b/>
          <w:sz w:val="28"/>
          <w:szCs w:val="28"/>
        </w:rPr>
        <w:t>прекратените</w:t>
      </w:r>
      <w:r w:rsidR="002E1C4E">
        <w:rPr>
          <w:rFonts w:eastAsia="Calibri"/>
          <w:b/>
          <w:sz w:val="28"/>
          <w:szCs w:val="28"/>
        </w:rPr>
        <w:t xml:space="preserve"> </w:t>
      </w:r>
      <w:r>
        <w:rPr>
          <w:rFonts w:eastAsia="Calibri"/>
          <w:b/>
          <w:sz w:val="28"/>
          <w:szCs w:val="28"/>
        </w:rPr>
        <w:t>/вкл. давност/ към общо решените досъдебни производства през 2023 г. е 66,5</w:t>
      </w:r>
      <w:r w:rsidR="00182FBD">
        <w:rPr>
          <w:rFonts w:eastAsia="Calibri"/>
          <w:b/>
          <w:sz w:val="28"/>
          <w:szCs w:val="28"/>
        </w:rPr>
        <w:t>%</w:t>
      </w:r>
      <w:r>
        <w:rPr>
          <w:rFonts w:eastAsia="Calibri"/>
          <w:b/>
          <w:sz w:val="28"/>
          <w:szCs w:val="28"/>
        </w:rPr>
        <w:t xml:space="preserve"> при 65,3</w:t>
      </w:r>
      <w:r w:rsidR="00182FBD">
        <w:rPr>
          <w:rFonts w:eastAsia="Calibri"/>
          <w:b/>
          <w:sz w:val="28"/>
          <w:szCs w:val="28"/>
        </w:rPr>
        <w:t>%</w:t>
      </w:r>
      <w:r>
        <w:rPr>
          <w:rFonts w:eastAsia="Calibri"/>
          <w:b/>
          <w:sz w:val="28"/>
          <w:szCs w:val="28"/>
        </w:rPr>
        <w:t xml:space="preserve"> за 2022 год. и  43,6</w:t>
      </w:r>
      <w:r w:rsidR="00182FBD">
        <w:rPr>
          <w:rFonts w:eastAsia="Calibri"/>
          <w:b/>
          <w:sz w:val="28"/>
          <w:szCs w:val="28"/>
        </w:rPr>
        <w:t>%</w:t>
      </w:r>
      <w:r>
        <w:rPr>
          <w:rFonts w:eastAsia="Calibri"/>
          <w:b/>
          <w:sz w:val="28"/>
          <w:szCs w:val="28"/>
        </w:rPr>
        <w:t xml:space="preserve">  за 2021 год</w:t>
      </w:r>
      <w:r>
        <w:rPr>
          <w:rFonts w:eastAsia="Calibri"/>
          <w:sz w:val="28"/>
          <w:szCs w:val="28"/>
        </w:rPr>
        <w:t>. Прекратените дела, без тези по давност, спрямо общо решените ДП представляват 14,2</w:t>
      </w:r>
      <w:r w:rsidR="00182FBD">
        <w:rPr>
          <w:rFonts w:eastAsia="Calibri"/>
          <w:sz w:val="28"/>
          <w:szCs w:val="28"/>
        </w:rPr>
        <w:t>%</w:t>
      </w:r>
      <w:r>
        <w:rPr>
          <w:rFonts w:eastAsia="Calibri"/>
          <w:sz w:val="28"/>
          <w:szCs w:val="28"/>
        </w:rPr>
        <w:t>, при 15,2</w:t>
      </w:r>
      <w:r w:rsidR="00182FBD">
        <w:rPr>
          <w:rFonts w:eastAsia="Calibri"/>
          <w:sz w:val="28"/>
          <w:szCs w:val="28"/>
        </w:rPr>
        <w:t>%</w:t>
      </w:r>
      <w:r>
        <w:rPr>
          <w:rFonts w:eastAsia="Calibri"/>
          <w:sz w:val="28"/>
          <w:szCs w:val="28"/>
        </w:rPr>
        <w:t xml:space="preserve">  за 2022 год. и  25,7</w:t>
      </w:r>
      <w:r w:rsidR="00182FBD">
        <w:rPr>
          <w:rFonts w:eastAsia="Calibri"/>
          <w:sz w:val="28"/>
          <w:szCs w:val="28"/>
        </w:rPr>
        <w:t>%</w:t>
      </w:r>
      <w:r>
        <w:rPr>
          <w:rFonts w:eastAsia="Calibri"/>
          <w:sz w:val="28"/>
          <w:szCs w:val="28"/>
        </w:rPr>
        <w:t xml:space="preserve"> за 2021 год. </w:t>
      </w:r>
    </w:p>
    <w:p w:rsidR="00FD0EB3" w:rsidRDefault="00FD0EB3" w:rsidP="000059A2">
      <w:pPr>
        <w:pStyle w:val="a3"/>
        <w:numPr>
          <w:ilvl w:val="0"/>
          <w:numId w:val="17"/>
        </w:numPr>
        <w:autoSpaceDE w:val="0"/>
        <w:autoSpaceDN w:val="0"/>
        <w:adjustRightInd w:val="0"/>
        <w:ind w:left="0" w:firstLine="0"/>
        <w:jc w:val="both"/>
        <w:rPr>
          <w:rFonts w:eastAsia="Calibri"/>
          <w:color w:val="000000" w:themeColor="text1"/>
          <w:sz w:val="28"/>
          <w:szCs w:val="28"/>
        </w:rPr>
      </w:pPr>
      <w:r>
        <w:rPr>
          <w:rFonts w:eastAsia="Calibri"/>
          <w:color w:val="000000" w:themeColor="text1"/>
          <w:sz w:val="28"/>
          <w:szCs w:val="28"/>
        </w:rPr>
        <w:t>98,5</w:t>
      </w:r>
      <w:r w:rsidR="00182FBD">
        <w:rPr>
          <w:rFonts w:eastAsia="Calibri"/>
          <w:color w:val="000000" w:themeColor="text1"/>
          <w:sz w:val="28"/>
          <w:szCs w:val="28"/>
        </w:rPr>
        <w:t>%</w:t>
      </w:r>
      <w:r>
        <w:rPr>
          <w:rFonts w:eastAsia="Calibri"/>
          <w:color w:val="000000" w:themeColor="text1"/>
          <w:sz w:val="28"/>
          <w:szCs w:val="28"/>
        </w:rPr>
        <w:t xml:space="preserve"> от общо решените от прокурор 17127 досъдебни производства са решени в рамките на един месец, което е много добър показател за прокурорската дейност по отношение на срочността на произнасянето. </w:t>
      </w:r>
    </w:p>
    <w:p w:rsidR="00FD0EB3" w:rsidRDefault="00FD0EB3" w:rsidP="000059A2">
      <w:pPr>
        <w:pStyle w:val="a3"/>
        <w:numPr>
          <w:ilvl w:val="0"/>
          <w:numId w:val="17"/>
        </w:numPr>
        <w:autoSpaceDE w:val="0"/>
        <w:autoSpaceDN w:val="0"/>
        <w:adjustRightInd w:val="0"/>
        <w:ind w:left="0" w:firstLine="0"/>
        <w:jc w:val="both"/>
        <w:rPr>
          <w:rFonts w:eastAsia="Calibri"/>
          <w:color w:val="000000" w:themeColor="text1"/>
          <w:sz w:val="28"/>
          <w:szCs w:val="28"/>
        </w:rPr>
      </w:pPr>
      <w:r>
        <w:rPr>
          <w:rFonts w:eastAsia="Calibri"/>
          <w:color w:val="000000" w:themeColor="text1"/>
          <w:sz w:val="28"/>
          <w:szCs w:val="28"/>
        </w:rPr>
        <w:t xml:space="preserve">От решените ДП в съда са внесени 1824 прокурорски акта, при 1830 за 2022 год. и 1680 за 2021 год. </w:t>
      </w:r>
    </w:p>
    <w:p w:rsidR="00FD0EB3" w:rsidRDefault="00FD0EB3" w:rsidP="000059A2">
      <w:pPr>
        <w:pStyle w:val="a3"/>
        <w:numPr>
          <w:ilvl w:val="0"/>
          <w:numId w:val="17"/>
        </w:numPr>
        <w:autoSpaceDE w:val="0"/>
        <w:autoSpaceDN w:val="0"/>
        <w:adjustRightInd w:val="0"/>
        <w:ind w:left="0" w:firstLine="0"/>
        <w:jc w:val="both"/>
        <w:rPr>
          <w:rFonts w:eastAsia="Calibri"/>
          <w:color w:val="000000" w:themeColor="text1"/>
          <w:sz w:val="28"/>
          <w:szCs w:val="28"/>
        </w:rPr>
      </w:pPr>
      <w:r>
        <w:rPr>
          <w:rFonts w:eastAsia="Calibri"/>
          <w:color w:val="000000" w:themeColor="text1"/>
          <w:sz w:val="28"/>
          <w:szCs w:val="28"/>
        </w:rPr>
        <w:t xml:space="preserve">С внесените през 2023 г. актове са предадени на съд 1959 лица, при 1952 лица за 2022 г. и 1867 за 2021 г. </w:t>
      </w:r>
    </w:p>
    <w:p w:rsidR="00FD0EB3" w:rsidRDefault="00FD0EB3" w:rsidP="000059A2">
      <w:pPr>
        <w:pStyle w:val="a3"/>
        <w:numPr>
          <w:ilvl w:val="0"/>
          <w:numId w:val="17"/>
        </w:numPr>
        <w:autoSpaceDE w:val="0"/>
        <w:autoSpaceDN w:val="0"/>
        <w:adjustRightInd w:val="0"/>
        <w:ind w:left="0" w:firstLine="0"/>
        <w:jc w:val="both"/>
        <w:rPr>
          <w:rFonts w:eastAsia="Calibri"/>
          <w:color w:val="000000" w:themeColor="text1"/>
          <w:sz w:val="28"/>
          <w:szCs w:val="28"/>
        </w:rPr>
      </w:pPr>
      <w:r>
        <w:rPr>
          <w:rFonts w:eastAsia="Calibri"/>
          <w:color w:val="000000" w:themeColor="text1"/>
          <w:sz w:val="28"/>
          <w:szCs w:val="28"/>
        </w:rPr>
        <w:t>Общо през 2023 г. са били прекратени 11394 ДП, при 10749 за 2022 г. и 4480 за 2021 г. Тук увеличението е 6</w:t>
      </w:r>
      <w:r w:rsidR="00182FBD">
        <w:rPr>
          <w:rFonts w:eastAsia="Calibri"/>
          <w:color w:val="000000" w:themeColor="text1"/>
          <w:sz w:val="28"/>
          <w:szCs w:val="28"/>
        </w:rPr>
        <w:t>%</w:t>
      </w:r>
      <w:r>
        <w:rPr>
          <w:rFonts w:eastAsia="Calibri"/>
          <w:color w:val="000000" w:themeColor="text1"/>
          <w:sz w:val="28"/>
          <w:szCs w:val="28"/>
        </w:rPr>
        <w:t xml:space="preserve"> спрямо 2022 год. и със 154,3</w:t>
      </w:r>
      <w:r w:rsidR="00182FBD">
        <w:rPr>
          <w:rFonts w:eastAsia="Calibri"/>
          <w:color w:val="000000" w:themeColor="text1"/>
          <w:sz w:val="28"/>
          <w:szCs w:val="28"/>
        </w:rPr>
        <w:t>%</w:t>
      </w:r>
      <w:r>
        <w:rPr>
          <w:rFonts w:eastAsia="Calibri"/>
          <w:color w:val="000000" w:themeColor="text1"/>
          <w:sz w:val="28"/>
          <w:szCs w:val="28"/>
        </w:rPr>
        <w:t xml:space="preserve"> спрямо 2021 год. </w:t>
      </w:r>
    </w:p>
    <w:p w:rsidR="00FD0EB3" w:rsidRDefault="00FD0EB3" w:rsidP="001C15C6">
      <w:pPr>
        <w:ind w:firstLine="709"/>
        <w:jc w:val="both"/>
        <w:rPr>
          <w:rFonts w:eastAsia="Calibri"/>
          <w:sz w:val="28"/>
          <w:szCs w:val="28"/>
        </w:rPr>
      </w:pPr>
      <w:r>
        <w:rPr>
          <w:rFonts w:eastAsia="Calibri"/>
          <w:sz w:val="28"/>
          <w:szCs w:val="28"/>
        </w:rPr>
        <w:t xml:space="preserve">В края на отчетния период, останалите за решаване при прокурорите са общо 276 производства при 291 производства за 2021 год. и 238 производства за 2022 год. </w:t>
      </w:r>
    </w:p>
    <w:p w:rsidR="00FD0EB3" w:rsidRPr="00A64AAB" w:rsidRDefault="00FD0EB3" w:rsidP="00FD0EB3">
      <w:pPr>
        <w:keepNext/>
        <w:keepLines/>
        <w:spacing w:before="200"/>
        <w:ind w:firstLine="567"/>
        <w:outlineLvl w:val="2"/>
        <w:rPr>
          <w:rFonts w:eastAsiaTheme="majorEastAsia"/>
          <w:bCs/>
          <w:sz w:val="28"/>
          <w:szCs w:val="28"/>
        </w:rPr>
      </w:pPr>
      <w:bookmarkStart w:id="16" w:name="_Toc506557813"/>
      <w:r w:rsidRPr="00A64AAB">
        <w:rPr>
          <w:rFonts w:eastAsiaTheme="majorEastAsia"/>
          <w:bCs/>
          <w:sz w:val="28"/>
          <w:szCs w:val="28"/>
        </w:rPr>
        <w:lastRenderedPageBreak/>
        <w:t>ВНЕСЕНИ В СЪДА ДЕЛА.</w:t>
      </w:r>
      <w:bookmarkEnd w:id="16"/>
    </w:p>
    <w:p w:rsidR="00FD0EB3" w:rsidRDefault="00FD0EB3" w:rsidP="00FD0EB3">
      <w:pPr>
        <w:keepNext/>
        <w:keepLines/>
        <w:spacing w:before="200"/>
        <w:outlineLvl w:val="2"/>
        <w:rPr>
          <w:rFonts w:eastAsiaTheme="majorEastAsia"/>
          <w:bCs/>
          <w:color w:val="4F81BD" w:themeColor="accent1"/>
          <w:sz w:val="28"/>
          <w:szCs w:val="28"/>
        </w:rPr>
      </w:pPr>
      <w:r>
        <w:rPr>
          <w:rFonts w:eastAsiaTheme="majorEastAsia"/>
          <w:noProof/>
          <w:color w:val="4F81BD" w:themeColor="accent1"/>
          <w:sz w:val="28"/>
          <w:szCs w:val="28"/>
        </w:rPr>
        <w:drawing>
          <wp:inline distT="0" distB="0" distL="0" distR="0" wp14:anchorId="56B8C685" wp14:editId="09A4AE97">
            <wp:extent cx="5688330" cy="2339340"/>
            <wp:effectExtent l="0" t="0" r="26670" b="22860"/>
            <wp:docPr id="18" name="Ди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0EB3" w:rsidRDefault="00FD0EB3" w:rsidP="000059A2">
      <w:pPr>
        <w:pStyle w:val="a3"/>
        <w:numPr>
          <w:ilvl w:val="0"/>
          <w:numId w:val="17"/>
        </w:numPr>
        <w:ind w:left="0" w:firstLine="0"/>
        <w:jc w:val="both"/>
        <w:rPr>
          <w:sz w:val="28"/>
          <w:szCs w:val="28"/>
        </w:rPr>
      </w:pPr>
      <w:r>
        <w:rPr>
          <w:sz w:val="28"/>
          <w:szCs w:val="28"/>
        </w:rPr>
        <w:t xml:space="preserve">През 2023 г. са били </w:t>
      </w:r>
      <w:r>
        <w:rPr>
          <w:b/>
          <w:sz w:val="28"/>
          <w:szCs w:val="28"/>
        </w:rPr>
        <w:t>внесени в съда</w:t>
      </w:r>
      <w:r>
        <w:rPr>
          <w:sz w:val="28"/>
          <w:szCs w:val="28"/>
        </w:rPr>
        <w:t xml:space="preserve"> за налагане на наказание на виновните лица 13</w:t>
      </w:r>
      <w:r w:rsidR="002E1C4E">
        <w:rPr>
          <w:sz w:val="28"/>
          <w:szCs w:val="28"/>
        </w:rPr>
        <w:t>,</w:t>
      </w:r>
      <w:r>
        <w:rPr>
          <w:sz w:val="28"/>
          <w:szCs w:val="28"/>
        </w:rPr>
        <w:t>.1%</w:t>
      </w:r>
      <w:r>
        <w:rPr>
          <w:b/>
          <w:sz w:val="28"/>
          <w:szCs w:val="28"/>
        </w:rPr>
        <w:t xml:space="preserve"> от наблюдаваните производства (без прекратените по давност)</w:t>
      </w:r>
      <w:r>
        <w:rPr>
          <w:sz w:val="28"/>
          <w:szCs w:val="28"/>
        </w:rPr>
        <w:t>. През  2021 год. са били внесени в съда 12,5</w:t>
      </w:r>
      <w:r w:rsidR="00182FBD">
        <w:rPr>
          <w:sz w:val="28"/>
          <w:szCs w:val="28"/>
        </w:rPr>
        <w:t>%</w:t>
      </w:r>
      <w:r>
        <w:rPr>
          <w:sz w:val="28"/>
          <w:szCs w:val="28"/>
        </w:rPr>
        <w:t xml:space="preserve"> от </w:t>
      </w:r>
      <w:proofErr w:type="spellStart"/>
      <w:r>
        <w:rPr>
          <w:sz w:val="28"/>
          <w:szCs w:val="28"/>
        </w:rPr>
        <w:t>набл</w:t>
      </w:r>
      <w:proofErr w:type="spellEnd"/>
      <w:r>
        <w:rPr>
          <w:sz w:val="28"/>
          <w:szCs w:val="28"/>
        </w:rPr>
        <w:t>. производства /без прекратените по давност/, а 2022 г. са били 13,7</w:t>
      </w:r>
      <w:r w:rsidR="00182FBD">
        <w:rPr>
          <w:sz w:val="28"/>
          <w:szCs w:val="28"/>
        </w:rPr>
        <w:t>%</w:t>
      </w:r>
      <w:r>
        <w:rPr>
          <w:sz w:val="28"/>
          <w:szCs w:val="28"/>
        </w:rPr>
        <w:t>.</w:t>
      </w:r>
    </w:p>
    <w:p w:rsidR="00FD0EB3" w:rsidRDefault="00FD0EB3" w:rsidP="000059A2">
      <w:pPr>
        <w:pStyle w:val="a3"/>
        <w:numPr>
          <w:ilvl w:val="0"/>
          <w:numId w:val="17"/>
        </w:numPr>
        <w:ind w:left="0" w:firstLine="0"/>
        <w:jc w:val="both"/>
        <w:rPr>
          <w:sz w:val="28"/>
          <w:szCs w:val="28"/>
        </w:rPr>
      </w:pPr>
      <w:r>
        <w:rPr>
          <w:b/>
          <w:sz w:val="28"/>
          <w:szCs w:val="28"/>
        </w:rPr>
        <w:t>Внесените в съда дела</w:t>
      </w:r>
      <w:r>
        <w:rPr>
          <w:sz w:val="28"/>
          <w:szCs w:val="28"/>
        </w:rPr>
        <w:t xml:space="preserve"> през 2023 год. представляват 22,4</w:t>
      </w:r>
      <w:r w:rsidR="00182FBD">
        <w:rPr>
          <w:sz w:val="28"/>
          <w:szCs w:val="28"/>
        </w:rPr>
        <w:t>%</w:t>
      </w:r>
      <w:r>
        <w:rPr>
          <w:sz w:val="28"/>
          <w:szCs w:val="28"/>
        </w:rPr>
        <w:t xml:space="preserve"> от </w:t>
      </w:r>
      <w:r>
        <w:rPr>
          <w:b/>
          <w:sz w:val="28"/>
          <w:szCs w:val="28"/>
        </w:rPr>
        <w:t>приключените ДП</w:t>
      </w:r>
      <w:r>
        <w:rPr>
          <w:sz w:val="28"/>
          <w:szCs w:val="28"/>
        </w:rPr>
        <w:t>, като процентът за предходната година е 23,2%  а за 2021</w:t>
      </w:r>
      <w:r w:rsidR="002E1C4E">
        <w:rPr>
          <w:sz w:val="28"/>
          <w:szCs w:val="28"/>
        </w:rPr>
        <w:t xml:space="preserve"> </w:t>
      </w:r>
      <w:r>
        <w:rPr>
          <w:sz w:val="28"/>
          <w:szCs w:val="28"/>
        </w:rPr>
        <w:t xml:space="preserve">г.- 20,8%. </w:t>
      </w:r>
    </w:p>
    <w:p w:rsidR="00FD0EB3" w:rsidRDefault="00FD0EB3" w:rsidP="000059A2">
      <w:pPr>
        <w:pStyle w:val="a3"/>
        <w:numPr>
          <w:ilvl w:val="0"/>
          <w:numId w:val="17"/>
        </w:numPr>
        <w:ind w:left="0" w:firstLine="0"/>
        <w:jc w:val="both"/>
        <w:rPr>
          <w:sz w:val="28"/>
          <w:szCs w:val="28"/>
        </w:rPr>
      </w:pPr>
      <w:r>
        <w:rPr>
          <w:sz w:val="28"/>
          <w:szCs w:val="28"/>
        </w:rPr>
        <w:t xml:space="preserve">Внесените в съда актове през 2023 г., </w:t>
      </w:r>
      <w:r>
        <w:rPr>
          <w:b/>
          <w:sz w:val="28"/>
          <w:szCs w:val="28"/>
        </w:rPr>
        <w:t>отнесени към общо решените от прокурор досъдебни производства</w:t>
      </w:r>
      <w:r>
        <w:rPr>
          <w:sz w:val="28"/>
          <w:szCs w:val="28"/>
        </w:rPr>
        <w:t>, представляват 10,5</w:t>
      </w:r>
      <w:r w:rsidR="00182FBD">
        <w:rPr>
          <w:sz w:val="28"/>
          <w:szCs w:val="28"/>
        </w:rPr>
        <w:t>%</w:t>
      </w:r>
      <w:r>
        <w:rPr>
          <w:sz w:val="28"/>
          <w:szCs w:val="28"/>
        </w:rPr>
        <w:t>, като през 2022 г. делът е 11,1</w:t>
      </w:r>
      <w:r w:rsidR="00182FBD">
        <w:rPr>
          <w:sz w:val="28"/>
          <w:szCs w:val="28"/>
        </w:rPr>
        <w:t>%%</w:t>
      </w:r>
      <w:r>
        <w:rPr>
          <w:sz w:val="28"/>
          <w:szCs w:val="28"/>
        </w:rPr>
        <w:t>, а през 2021 г. – 16,3</w:t>
      </w:r>
      <w:r w:rsidR="00182FBD">
        <w:rPr>
          <w:sz w:val="28"/>
          <w:szCs w:val="28"/>
        </w:rPr>
        <w:t>%</w:t>
      </w:r>
      <w:r>
        <w:rPr>
          <w:sz w:val="28"/>
          <w:szCs w:val="28"/>
        </w:rPr>
        <w:t xml:space="preserve">. </w:t>
      </w:r>
    </w:p>
    <w:p w:rsidR="00FD0EB3" w:rsidRDefault="00FD0EB3" w:rsidP="000059A2">
      <w:pPr>
        <w:pStyle w:val="a3"/>
        <w:numPr>
          <w:ilvl w:val="0"/>
          <w:numId w:val="17"/>
        </w:numPr>
        <w:ind w:left="0" w:firstLine="0"/>
        <w:jc w:val="both"/>
        <w:rPr>
          <w:rFonts w:eastAsia="Calibri"/>
          <w:sz w:val="28"/>
          <w:szCs w:val="28"/>
          <w:lang w:eastAsia="en-US"/>
        </w:rPr>
      </w:pPr>
      <w:r>
        <w:rPr>
          <w:rFonts w:eastAsia="Calibri"/>
          <w:sz w:val="28"/>
          <w:szCs w:val="28"/>
        </w:rPr>
        <w:t xml:space="preserve">Относителният дял на </w:t>
      </w:r>
      <w:r>
        <w:rPr>
          <w:rFonts w:eastAsia="Calibri"/>
          <w:b/>
          <w:sz w:val="28"/>
          <w:szCs w:val="28"/>
        </w:rPr>
        <w:t>обвинителните актове</w:t>
      </w:r>
      <w:r>
        <w:rPr>
          <w:rFonts w:eastAsia="Calibri"/>
          <w:sz w:val="28"/>
          <w:szCs w:val="28"/>
        </w:rPr>
        <w:t xml:space="preserve"> спрямо </w:t>
      </w:r>
      <w:r>
        <w:rPr>
          <w:rFonts w:eastAsia="Calibri"/>
          <w:b/>
          <w:sz w:val="28"/>
          <w:szCs w:val="28"/>
        </w:rPr>
        <w:t>общо внесените в съда актове</w:t>
      </w:r>
      <w:r>
        <w:rPr>
          <w:rFonts w:eastAsia="Calibri"/>
          <w:sz w:val="28"/>
          <w:szCs w:val="28"/>
        </w:rPr>
        <w:t xml:space="preserve"> е 68</w:t>
      </w:r>
      <w:r w:rsidR="00182FBD">
        <w:rPr>
          <w:rFonts w:eastAsia="Calibri"/>
          <w:sz w:val="28"/>
          <w:szCs w:val="28"/>
        </w:rPr>
        <w:t>%</w:t>
      </w:r>
      <w:r>
        <w:rPr>
          <w:rFonts w:eastAsia="Calibri"/>
          <w:sz w:val="28"/>
          <w:szCs w:val="28"/>
        </w:rPr>
        <w:t>, при 64,4</w:t>
      </w:r>
      <w:r w:rsidR="00182FBD">
        <w:rPr>
          <w:rFonts w:eastAsia="Calibri"/>
          <w:sz w:val="28"/>
          <w:szCs w:val="28"/>
        </w:rPr>
        <w:t>%</w:t>
      </w:r>
      <w:r>
        <w:rPr>
          <w:rFonts w:eastAsia="Calibri"/>
          <w:sz w:val="28"/>
          <w:szCs w:val="28"/>
        </w:rPr>
        <w:t xml:space="preserve">  за 2022 год. и 64,5</w:t>
      </w:r>
      <w:r w:rsidR="00182FBD">
        <w:rPr>
          <w:rFonts w:eastAsia="Calibri"/>
          <w:sz w:val="28"/>
          <w:szCs w:val="28"/>
        </w:rPr>
        <w:t>%</w:t>
      </w:r>
      <w:r>
        <w:rPr>
          <w:rFonts w:eastAsia="Calibri"/>
          <w:sz w:val="28"/>
          <w:szCs w:val="28"/>
        </w:rPr>
        <w:t xml:space="preserve"> за 2021 год.</w:t>
      </w:r>
    </w:p>
    <w:p w:rsidR="00FD0EB3" w:rsidRDefault="00FD0EB3" w:rsidP="000059A2">
      <w:pPr>
        <w:pStyle w:val="a3"/>
        <w:numPr>
          <w:ilvl w:val="0"/>
          <w:numId w:val="17"/>
        </w:numPr>
        <w:ind w:left="0" w:firstLine="0"/>
        <w:jc w:val="both"/>
        <w:rPr>
          <w:rFonts w:eastAsia="Calibri"/>
          <w:sz w:val="28"/>
          <w:szCs w:val="28"/>
        </w:rPr>
      </w:pPr>
      <w:r>
        <w:rPr>
          <w:rFonts w:eastAsia="Calibri"/>
          <w:sz w:val="28"/>
          <w:szCs w:val="28"/>
        </w:rPr>
        <w:t xml:space="preserve">Относителният дял на </w:t>
      </w:r>
      <w:r>
        <w:rPr>
          <w:rFonts w:eastAsia="Calibri"/>
          <w:b/>
          <w:sz w:val="28"/>
          <w:szCs w:val="28"/>
        </w:rPr>
        <w:t>споразуменията спрямо общо внесените в съда актове</w:t>
      </w:r>
      <w:r>
        <w:rPr>
          <w:rFonts w:eastAsia="Calibri"/>
          <w:sz w:val="28"/>
          <w:szCs w:val="28"/>
        </w:rPr>
        <w:t xml:space="preserve"> за 2022 год. е 25.2</w:t>
      </w:r>
      <w:r w:rsidR="00182FBD">
        <w:rPr>
          <w:rFonts w:eastAsia="Calibri"/>
          <w:sz w:val="28"/>
          <w:szCs w:val="28"/>
        </w:rPr>
        <w:t>%</w:t>
      </w:r>
      <w:r>
        <w:rPr>
          <w:rFonts w:eastAsia="Calibri"/>
          <w:sz w:val="28"/>
          <w:szCs w:val="28"/>
        </w:rPr>
        <w:t xml:space="preserve"> при 25,6</w:t>
      </w:r>
      <w:r w:rsidR="00182FBD">
        <w:rPr>
          <w:rFonts w:eastAsia="Calibri"/>
          <w:sz w:val="28"/>
          <w:szCs w:val="28"/>
        </w:rPr>
        <w:t>%</w:t>
      </w:r>
      <w:r>
        <w:rPr>
          <w:rFonts w:eastAsia="Calibri"/>
          <w:sz w:val="28"/>
          <w:szCs w:val="28"/>
        </w:rPr>
        <w:t xml:space="preserve">  за 2022 год. при  23</w:t>
      </w:r>
      <w:r w:rsidR="00182FBD">
        <w:rPr>
          <w:rFonts w:eastAsia="Calibri"/>
          <w:sz w:val="28"/>
          <w:szCs w:val="28"/>
        </w:rPr>
        <w:t>%</w:t>
      </w:r>
      <w:r>
        <w:rPr>
          <w:rFonts w:eastAsia="Calibri"/>
          <w:sz w:val="28"/>
          <w:szCs w:val="28"/>
        </w:rPr>
        <w:t xml:space="preserve"> за 2021 год. </w:t>
      </w:r>
    </w:p>
    <w:p w:rsidR="00FD0EB3" w:rsidRPr="00A64AAB" w:rsidRDefault="00FD0EB3" w:rsidP="000059A2">
      <w:pPr>
        <w:pStyle w:val="a3"/>
        <w:numPr>
          <w:ilvl w:val="0"/>
          <w:numId w:val="17"/>
        </w:numPr>
        <w:ind w:left="0" w:firstLine="0"/>
        <w:jc w:val="both"/>
        <w:rPr>
          <w:rFonts w:eastAsia="Calibri"/>
          <w:sz w:val="28"/>
          <w:szCs w:val="28"/>
        </w:rPr>
      </w:pPr>
      <w:r>
        <w:rPr>
          <w:rFonts w:eastAsia="Calibri"/>
          <w:sz w:val="28"/>
          <w:szCs w:val="28"/>
        </w:rPr>
        <w:t xml:space="preserve">Относителният дял на </w:t>
      </w:r>
      <w:r>
        <w:rPr>
          <w:rFonts w:eastAsia="Calibri"/>
          <w:b/>
          <w:sz w:val="28"/>
          <w:szCs w:val="28"/>
        </w:rPr>
        <w:t>предложенията за освобождаване от наказателна отговорност по чл.78а от НК спрямо общо внесените в съда</w:t>
      </w:r>
      <w:r>
        <w:rPr>
          <w:rFonts w:eastAsia="Calibri"/>
          <w:sz w:val="28"/>
          <w:szCs w:val="28"/>
        </w:rPr>
        <w:t xml:space="preserve"> актове е 8,1</w:t>
      </w:r>
      <w:r w:rsidR="00182FBD">
        <w:rPr>
          <w:rFonts w:eastAsia="Calibri"/>
          <w:sz w:val="28"/>
          <w:szCs w:val="28"/>
        </w:rPr>
        <w:t>%</w:t>
      </w:r>
      <w:r>
        <w:rPr>
          <w:rFonts w:eastAsia="Calibri"/>
          <w:sz w:val="28"/>
          <w:szCs w:val="28"/>
        </w:rPr>
        <w:t xml:space="preserve"> при 10,5</w:t>
      </w:r>
      <w:r w:rsidR="00182FBD">
        <w:rPr>
          <w:rFonts w:eastAsia="Calibri"/>
          <w:sz w:val="28"/>
          <w:szCs w:val="28"/>
        </w:rPr>
        <w:t>%</w:t>
      </w:r>
      <w:r>
        <w:rPr>
          <w:rFonts w:eastAsia="Calibri"/>
          <w:sz w:val="28"/>
          <w:szCs w:val="28"/>
        </w:rPr>
        <w:t xml:space="preserve"> за 2022 год. и  при 12,7</w:t>
      </w:r>
      <w:r w:rsidR="00182FBD">
        <w:rPr>
          <w:rFonts w:eastAsia="Calibri"/>
          <w:sz w:val="28"/>
          <w:szCs w:val="28"/>
        </w:rPr>
        <w:t>%</w:t>
      </w:r>
      <w:r>
        <w:rPr>
          <w:rFonts w:eastAsia="Calibri"/>
          <w:sz w:val="28"/>
          <w:szCs w:val="28"/>
        </w:rPr>
        <w:t xml:space="preserve">  за 2021 год.</w:t>
      </w:r>
    </w:p>
    <w:p w:rsidR="00A64AAB" w:rsidRDefault="00A64AAB" w:rsidP="00A64AAB">
      <w:pPr>
        <w:pStyle w:val="a3"/>
        <w:ind w:left="0"/>
        <w:jc w:val="both"/>
        <w:rPr>
          <w:rFonts w:eastAsia="Calibri"/>
          <w:sz w:val="28"/>
          <w:szCs w:val="28"/>
          <w:lang w:val="en-US"/>
        </w:rPr>
      </w:pPr>
    </w:p>
    <w:p w:rsidR="00FD0EB3" w:rsidRPr="00A64AAB" w:rsidRDefault="00FD0EB3" w:rsidP="00FD0EB3">
      <w:pPr>
        <w:keepNext/>
        <w:keepLines/>
        <w:spacing w:before="200"/>
        <w:ind w:firstLine="426"/>
        <w:outlineLvl w:val="2"/>
        <w:rPr>
          <w:rFonts w:eastAsiaTheme="majorEastAsia"/>
          <w:bCs/>
          <w:sz w:val="28"/>
          <w:szCs w:val="28"/>
        </w:rPr>
      </w:pPr>
      <w:bookmarkStart w:id="17" w:name="_Toc506557814"/>
      <w:r w:rsidRPr="00A64AAB">
        <w:rPr>
          <w:rFonts w:eastAsiaTheme="majorEastAsia"/>
          <w:bCs/>
          <w:sz w:val="28"/>
          <w:szCs w:val="28"/>
        </w:rPr>
        <w:lastRenderedPageBreak/>
        <w:t>СПРЕНИ ДП.</w:t>
      </w:r>
      <w:bookmarkEnd w:id="17"/>
    </w:p>
    <w:p w:rsidR="00FD0EB3" w:rsidRDefault="00FD0EB3" w:rsidP="00FD0EB3">
      <w:pPr>
        <w:keepNext/>
        <w:keepLines/>
        <w:spacing w:before="200"/>
        <w:outlineLvl w:val="2"/>
        <w:rPr>
          <w:rFonts w:eastAsiaTheme="majorEastAsia"/>
          <w:bCs/>
          <w:color w:val="FF0000"/>
          <w:sz w:val="28"/>
          <w:szCs w:val="28"/>
        </w:rPr>
      </w:pPr>
      <w:r>
        <w:rPr>
          <w:rFonts w:eastAsiaTheme="majorEastAsia"/>
          <w:b/>
          <w:noProof/>
          <w:color w:val="FF0000"/>
          <w:sz w:val="28"/>
          <w:szCs w:val="28"/>
        </w:rPr>
        <w:drawing>
          <wp:inline distT="0" distB="0" distL="0" distR="0" wp14:anchorId="0DCA9B45" wp14:editId="30B35353">
            <wp:extent cx="6056630" cy="2386965"/>
            <wp:effectExtent l="0" t="0" r="20320" b="13335"/>
            <wp:docPr id="11" name="Ди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0EB3" w:rsidRDefault="00FD0EB3" w:rsidP="000059A2">
      <w:pPr>
        <w:pStyle w:val="a3"/>
        <w:numPr>
          <w:ilvl w:val="0"/>
          <w:numId w:val="17"/>
        </w:numPr>
        <w:ind w:left="0" w:firstLine="0"/>
        <w:jc w:val="both"/>
        <w:rPr>
          <w:sz w:val="28"/>
          <w:szCs w:val="28"/>
        </w:rPr>
      </w:pPr>
      <w:r>
        <w:rPr>
          <w:sz w:val="28"/>
          <w:szCs w:val="28"/>
        </w:rPr>
        <w:t>Спрени през 2023 год. са били 47,1% от ДП, приключени по общия ред или се запазва в процентно съотношение очертаната тенденция през последните години за спиране на почти половината от делата. През 2021 г. са били спрени 49,7</w:t>
      </w:r>
      <w:r w:rsidR="00182FBD">
        <w:rPr>
          <w:b/>
          <w:sz w:val="28"/>
          <w:szCs w:val="28"/>
        </w:rPr>
        <w:t>%</w:t>
      </w:r>
      <w:r>
        <w:rPr>
          <w:sz w:val="28"/>
          <w:szCs w:val="28"/>
        </w:rPr>
        <w:t xml:space="preserve"> от ДП, приключени по общия ред, а за  2022 г. – 48,6%. </w:t>
      </w:r>
    </w:p>
    <w:p w:rsidR="00FD0EB3" w:rsidRDefault="00FD0EB3" w:rsidP="000059A2">
      <w:pPr>
        <w:pStyle w:val="a3"/>
        <w:numPr>
          <w:ilvl w:val="0"/>
          <w:numId w:val="17"/>
        </w:numPr>
        <w:ind w:left="0" w:firstLine="0"/>
        <w:jc w:val="both"/>
        <w:rPr>
          <w:sz w:val="28"/>
          <w:szCs w:val="28"/>
        </w:rPr>
      </w:pPr>
      <w:r>
        <w:rPr>
          <w:sz w:val="28"/>
          <w:szCs w:val="28"/>
        </w:rPr>
        <w:t>Спрените ДП спрямо наблюдаваните ДП /без прекратени по давност/ представляват 27.5</w:t>
      </w:r>
      <w:r w:rsidR="00182FBD">
        <w:rPr>
          <w:sz w:val="28"/>
          <w:szCs w:val="28"/>
        </w:rPr>
        <w:t>%</w:t>
      </w:r>
      <w:r>
        <w:rPr>
          <w:sz w:val="28"/>
          <w:szCs w:val="28"/>
        </w:rPr>
        <w:t xml:space="preserve">  при съответно 28.7</w:t>
      </w:r>
      <w:r w:rsidR="00182FBD">
        <w:rPr>
          <w:sz w:val="28"/>
          <w:szCs w:val="28"/>
        </w:rPr>
        <w:t>%</w:t>
      </w:r>
      <w:r>
        <w:rPr>
          <w:sz w:val="28"/>
          <w:szCs w:val="28"/>
        </w:rPr>
        <w:t xml:space="preserve"> да 2022 год. и 29.8</w:t>
      </w:r>
      <w:r w:rsidR="00182FBD">
        <w:rPr>
          <w:sz w:val="28"/>
          <w:szCs w:val="28"/>
        </w:rPr>
        <w:t>%</w:t>
      </w:r>
      <w:r>
        <w:rPr>
          <w:sz w:val="28"/>
          <w:szCs w:val="28"/>
        </w:rPr>
        <w:t xml:space="preserve"> за 2021 год.</w:t>
      </w:r>
    </w:p>
    <w:p w:rsidR="00FD0EB3" w:rsidRDefault="00FD0EB3" w:rsidP="000059A2">
      <w:pPr>
        <w:pStyle w:val="a3"/>
        <w:numPr>
          <w:ilvl w:val="0"/>
          <w:numId w:val="17"/>
        </w:numPr>
        <w:ind w:left="0" w:firstLine="0"/>
        <w:jc w:val="both"/>
        <w:rPr>
          <w:sz w:val="28"/>
          <w:szCs w:val="28"/>
        </w:rPr>
      </w:pPr>
      <w:r>
        <w:rPr>
          <w:sz w:val="28"/>
          <w:szCs w:val="28"/>
        </w:rPr>
        <w:t>Съотношението спрени дела към общия брой решени дела е 22,1% при 23,2% за 2022 год. и 39% за 2021 год. Намалението на спрените дела спрямо решените е с 1,1</w:t>
      </w:r>
      <w:r w:rsidR="00182FBD">
        <w:rPr>
          <w:sz w:val="28"/>
          <w:szCs w:val="28"/>
        </w:rPr>
        <w:t>%</w:t>
      </w:r>
      <w:r>
        <w:rPr>
          <w:sz w:val="28"/>
          <w:szCs w:val="28"/>
        </w:rPr>
        <w:t xml:space="preserve"> спрямо 2022 год. и с 16</w:t>
      </w:r>
      <w:r w:rsidR="002E1C4E">
        <w:rPr>
          <w:sz w:val="28"/>
          <w:szCs w:val="28"/>
        </w:rPr>
        <w:t>,</w:t>
      </w:r>
      <w:r>
        <w:rPr>
          <w:sz w:val="28"/>
          <w:szCs w:val="28"/>
        </w:rPr>
        <w:t>9</w:t>
      </w:r>
      <w:r w:rsidR="00182FBD">
        <w:rPr>
          <w:sz w:val="28"/>
          <w:szCs w:val="28"/>
        </w:rPr>
        <w:t>%</w:t>
      </w:r>
      <w:r>
        <w:rPr>
          <w:sz w:val="28"/>
          <w:szCs w:val="28"/>
        </w:rPr>
        <w:t xml:space="preserve"> спрямо 2021 год..</w:t>
      </w:r>
    </w:p>
    <w:p w:rsidR="00FD0EB3" w:rsidRDefault="00FD0EB3" w:rsidP="000059A2">
      <w:pPr>
        <w:pStyle w:val="a3"/>
        <w:numPr>
          <w:ilvl w:val="0"/>
          <w:numId w:val="17"/>
        </w:numPr>
        <w:ind w:left="0" w:firstLine="0"/>
        <w:jc w:val="both"/>
        <w:rPr>
          <w:sz w:val="28"/>
          <w:szCs w:val="28"/>
        </w:rPr>
      </w:pPr>
      <w:r>
        <w:rPr>
          <w:sz w:val="28"/>
          <w:szCs w:val="28"/>
        </w:rPr>
        <w:t xml:space="preserve"> Традиционно по-голям и илюстриран от диаграмата е броят на делата, спрени поради неразкриване на извършителя на основание чл.244, ал.1, т.2 от НПК. През отчетния период спрените на това основание ДП са представлявали 88,2%  от общия брой спрени дела, при 84</w:t>
      </w:r>
      <w:r w:rsidR="002E1C4E">
        <w:rPr>
          <w:sz w:val="28"/>
          <w:szCs w:val="28"/>
        </w:rPr>
        <w:t>,</w:t>
      </w:r>
      <w:r>
        <w:rPr>
          <w:sz w:val="28"/>
          <w:szCs w:val="28"/>
        </w:rPr>
        <w:t>8</w:t>
      </w:r>
      <w:r w:rsidR="00182FBD">
        <w:rPr>
          <w:sz w:val="28"/>
          <w:szCs w:val="28"/>
        </w:rPr>
        <w:t>%</w:t>
      </w:r>
      <w:r>
        <w:rPr>
          <w:sz w:val="28"/>
          <w:szCs w:val="28"/>
        </w:rPr>
        <w:t xml:space="preserve"> за 2021 год. и  87,5</w:t>
      </w:r>
      <w:r w:rsidR="00182FBD">
        <w:rPr>
          <w:sz w:val="28"/>
          <w:szCs w:val="28"/>
        </w:rPr>
        <w:t>%</w:t>
      </w:r>
      <w:r>
        <w:rPr>
          <w:sz w:val="28"/>
          <w:szCs w:val="28"/>
        </w:rPr>
        <w:t xml:space="preserve"> за 2022 г. Устойчиво високо, спрямо предходните години, е нивото на производствата, по които извършителят не е разкрит от органите на МВР. </w:t>
      </w:r>
    </w:p>
    <w:p w:rsidR="00FD0EB3" w:rsidRPr="00A64AAB" w:rsidRDefault="00FD0EB3" w:rsidP="00A64AAB">
      <w:pPr>
        <w:keepNext/>
        <w:keepLines/>
        <w:spacing w:before="200"/>
        <w:ind w:firstLine="709"/>
        <w:outlineLvl w:val="2"/>
        <w:rPr>
          <w:rFonts w:eastAsiaTheme="majorEastAsia"/>
          <w:bCs/>
          <w:sz w:val="28"/>
          <w:szCs w:val="28"/>
        </w:rPr>
      </w:pPr>
      <w:bookmarkStart w:id="18" w:name="_Toc506557815"/>
      <w:r w:rsidRPr="00A64AAB">
        <w:rPr>
          <w:rFonts w:eastAsiaTheme="majorEastAsia"/>
          <w:bCs/>
          <w:sz w:val="28"/>
          <w:szCs w:val="28"/>
        </w:rPr>
        <w:lastRenderedPageBreak/>
        <w:t>ПРЕКРАТЕНИ ДП.</w:t>
      </w:r>
      <w:bookmarkEnd w:id="18"/>
    </w:p>
    <w:p w:rsidR="00FD0EB3" w:rsidRDefault="00FD0EB3" w:rsidP="00FD0EB3">
      <w:pPr>
        <w:keepNext/>
        <w:keepLines/>
        <w:spacing w:before="200"/>
        <w:outlineLvl w:val="2"/>
        <w:rPr>
          <w:rFonts w:eastAsiaTheme="majorEastAsia"/>
          <w:bCs/>
          <w:color w:val="FF0000"/>
          <w:sz w:val="28"/>
          <w:szCs w:val="28"/>
        </w:rPr>
      </w:pPr>
      <w:r>
        <w:rPr>
          <w:rFonts w:eastAsiaTheme="majorEastAsia"/>
          <w:noProof/>
          <w:color w:val="FF0000"/>
          <w:sz w:val="28"/>
          <w:szCs w:val="28"/>
        </w:rPr>
        <w:drawing>
          <wp:inline distT="0" distB="0" distL="0" distR="0" wp14:anchorId="6A9065E6" wp14:editId="40A22516">
            <wp:extent cx="6175375" cy="2672080"/>
            <wp:effectExtent l="0" t="0" r="15875" b="13970"/>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0EB3" w:rsidRDefault="00FD0EB3" w:rsidP="00A64AAB">
      <w:pPr>
        <w:ind w:firstLine="709"/>
        <w:jc w:val="both"/>
        <w:rPr>
          <w:sz w:val="28"/>
          <w:szCs w:val="28"/>
        </w:rPr>
      </w:pPr>
      <w:r>
        <w:rPr>
          <w:sz w:val="28"/>
          <w:szCs w:val="28"/>
        </w:rPr>
        <w:t xml:space="preserve">Делът на прекратените дела, </w:t>
      </w:r>
      <w:proofErr w:type="spellStart"/>
      <w:r>
        <w:rPr>
          <w:sz w:val="28"/>
          <w:szCs w:val="28"/>
        </w:rPr>
        <w:t>съотнесени</w:t>
      </w:r>
      <w:proofErr w:type="spellEnd"/>
      <w:r>
        <w:rPr>
          <w:sz w:val="28"/>
          <w:szCs w:val="28"/>
        </w:rPr>
        <w:t xml:space="preserve"> към общо наблюдаваните дела, вкл. </w:t>
      </w:r>
      <w:proofErr w:type="spellStart"/>
      <w:r>
        <w:rPr>
          <w:sz w:val="28"/>
          <w:szCs w:val="28"/>
        </w:rPr>
        <w:t>прекр</w:t>
      </w:r>
      <w:proofErr w:type="spellEnd"/>
      <w:r>
        <w:rPr>
          <w:sz w:val="28"/>
          <w:szCs w:val="28"/>
        </w:rPr>
        <w:t>. по давност е 50,1</w:t>
      </w:r>
      <w:r w:rsidR="00182FBD">
        <w:rPr>
          <w:sz w:val="28"/>
          <w:szCs w:val="28"/>
        </w:rPr>
        <w:t>%</w:t>
      </w:r>
      <w:r>
        <w:rPr>
          <w:sz w:val="28"/>
          <w:szCs w:val="28"/>
        </w:rPr>
        <w:t xml:space="preserve">  при 49,8% за 2022 год. и 29.3</w:t>
      </w:r>
      <w:r w:rsidR="00182FBD">
        <w:rPr>
          <w:sz w:val="28"/>
          <w:szCs w:val="28"/>
        </w:rPr>
        <w:t>%</w:t>
      </w:r>
      <w:r>
        <w:rPr>
          <w:sz w:val="28"/>
          <w:szCs w:val="28"/>
        </w:rPr>
        <w:t xml:space="preserve"> за 2021 год. </w:t>
      </w:r>
    </w:p>
    <w:p w:rsidR="00FD0EB3" w:rsidRDefault="00FD0EB3" w:rsidP="00A64AAB">
      <w:pPr>
        <w:ind w:firstLine="709"/>
        <w:jc w:val="both"/>
        <w:rPr>
          <w:color w:val="00B0F0"/>
          <w:sz w:val="28"/>
          <w:szCs w:val="28"/>
        </w:rPr>
      </w:pPr>
      <w:r>
        <w:rPr>
          <w:sz w:val="28"/>
          <w:szCs w:val="28"/>
        </w:rPr>
        <w:t>78,6</w:t>
      </w:r>
      <w:r w:rsidR="00182FBD">
        <w:rPr>
          <w:sz w:val="28"/>
          <w:szCs w:val="28"/>
        </w:rPr>
        <w:t>%</w:t>
      </w:r>
      <w:r>
        <w:rPr>
          <w:sz w:val="28"/>
          <w:szCs w:val="28"/>
        </w:rPr>
        <w:t xml:space="preserve"> от  общо прекратените дела в съдебния окръг дела са заради изтекла погасителна давност,  при 76,7 за 2022 год. и при 41% за 2021 год.</w:t>
      </w:r>
      <w:r>
        <w:rPr>
          <w:color w:val="00B0F0"/>
          <w:sz w:val="28"/>
          <w:szCs w:val="28"/>
        </w:rPr>
        <w:t xml:space="preserve"> </w:t>
      </w:r>
    </w:p>
    <w:p w:rsidR="00FD0EB3" w:rsidRDefault="00FD0EB3" w:rsidP="00A64AAB">
      <w:pPr>
        <w:ind w:firstLine="709"/>
        <w:jc w:val="both"/>
        <w:rPr>
          <w:color w:val="000000" w:themeColor="text1"/>
          <w:sz w:val="28"/>
          <w:szCs w:val="28"/>
        </w:rPr>
      </w:pPr>
      <w:r>
        <w:rPr>
          <w:color w:val="000000" w:themeColor="text1"/>
          <w:sz w:val="28"/>
          <w:szCs w:val="28"/>
        </w:rPr>
        <w:t xml:space="preserve">Изнесените данни са ясен показател за ненаказаната престъпност и неразкриването на автора на деянието. Още веднъж следва да се акцентира на обстоятелството, че огромното множество такива дела са срещу неизвестен извършител, тоест авторството на деянията не е било разкрито от органите на МВР, а за съдебната власт остава единствено задължението да спази закона, </w:t>
      </w:r>
      <w:proofErr w:type="spellStart"/>
      <w:r>
        <w:rPr>
          <w:color w:val="000000" w:themeColor="text1"/>
          <w:sz w:val="28"/>
          <w:szCs w:val="28"/>
        </w:rPr>
        <w:t>досежно</w:t>
      </w:r>
      <w:proofErr w:type="spellEnd"/>
      <w:r>
        <w:rPr>
          <w:color w:val="000000" w:themeColor="text1"/>
          <w:sz w:val="28"/>
          <w:szCs w:val="28"/>
        </w:rPr>
        <w:t xml:space="preserve"> прилагането на погасителната давност.</w:t>
      </w:r>
    </w:p>
    <w:p w:rsidR="00FD0EB3" w:rsidRDefault="00FD0EB3" w:rsidP="00A64AAB">
      <w:pPr>
        <w:ind w:firstLine="709"/>
        <w:jc w:val="both"/>
        <w:rPr>
          <w:b/>
          <w:color w:val="FF0000"/>
          <w:sz w:val="28"/>
          <w:szCs w:val="28"/>
        </w:rPr>
      </w:pPr>
    </w:p>
    <w:p w:rsidR="00FD0EB3" w:rsidRDefault="00FD0EB3" w:rsidP="00A64AAB">
      <w:pPr>
        <w:ind w:firstLine="709"/>
        <w:jc w:val="both"/>
        <w:rPr>
          <w:b/>
          <w:sz w:val="28"/>
          <w:szCs w:val="28"/>
        </w:rPr>
      </w:pPr>
      <w:r>
        <w:rPr>
          <w:b/>
          <w:sz w:val="28"/>
          <w:szCs w:val="28"/>
        </w:rPr>
        <w:t>Обобщение на проблемите и за подобряване на дейността, приоритети за работата на органите на ДП през 2023 г.</w:t>
      </w:r>
    </w:p>
    <w:p w:rsidR="00FD0EB3" w:rsidRDefault="00FD0EB3" w:rsidP="00A64AAB">
      <w:pPr>
        <w:ind w:firstLine="709"/>
        <w:jc w:val="both"/>
        <w:rPr>
          <w:sz w:val="28"/>
          <w:szCs w:val="28"/>
        </w:rPr>
      </w:pPr>
      <w:r>
        <w:rPr>
          <w:sz w:val="28"/>
          <w:szCs w:val="28"/>
        </w:rPr>
        <w:t xml:space="preserve">Констатираните през отчетната година проблеми в работата по следствения надзор не се различават по никакъв начин от изложените проблеми през изминалите години, тъй като не са отстранени причините, довели до тях. </w:t>
      </w:r>
    </w:p>
    <w:p w:rsidR="00FD0EB3" w:rsidRDefault="00FD0EB3" w:rsidP="00A64AAB">
      <w:pPr>
        <w:tabs>
          <w:tab w:val="left" w:pos="284"/>
          <w:tab w:val="left" w:pos="851"/>
          <w:tab w:val="left" w:pos="1418"/>
        </w:tabs>
        <w:autoSpaceDE w:val="0"/>
        <w:autoSpaceDN w:val="0"/>
        <w:adjustRightInd w:val="0"/>
        <w:ind w:firstLine="709"/>
        <w:contextualSpacing/>
        <w:jc w:val="both"/>
        <w:rPr>
          <w:sz w:val="28"/>
          <w:szCs w:val="28"/>
        </w:rPr>
      </w:pPr>
      <w:r>
        <w:rPr>
          <w:sz w:val="28"/>
          <w:szCs w:val="28"/>
        </w:rPr>
        <w:t xml:space="preserve">През отчетния период отново бяха полагани усилия за намаляване на броя на делата, чийто срок на разследване е значителен – над една година, над две години и най- вече- над три и повече години. В тази връзка много често действията на разследващите органи, в това число на прокурорите, се оказват недостатъчни с оглед посочените по- горе в изложението проблеми – недоброто материално и професионално обезпечаване на вещи лица; продължаващият във времето проблем с вещите лица по дела с предмет т.н. „лекарска грешка“, по делата за престъпления, изискващи изготвяне на </w:t>
      </w:r>
      <w:proofErr w:type="spellStart"/>
      <w:r>
        <w:rPr>
          <w:sz w:val="28"/>
          <w:szCs w:val="28"/>
        </w:rPr>
        <w:t>автотехнически</w:t>
      </w:r>
      <w:proofErr w:type="spellEnd"/>
      <w:r>
        <w:rPr>
          <w:sz w:val="28"/>
          <w:szCs w:val="28"/>
        </w:rPr>
        <w:t xml:space="preserve"> експертизи, по делата за престъпления против данъчната система и т.н. Н</w:t>
      </w:r>
      <w:r>
        <w:rPr>
          <w:bCs/>
          <w:sz w:val="28"/>
          <w:szCs w:val="28"/>
        </w:rPr>
        <w:t xml:space="preserve">еобезпечеността на наказателните производства с достатъчно и квалифицирани вещи лица </w:t>
      </w:r>
      <w:r>
        <w:rPr>
          <w:sz w:val="28"/>
          <w:szCs w:val="28"/>
        </w:rPr>
        <w:t xml:space="preserve">(особено за изготвянето на </w:t>
      </w:r>
      <w:proofErr w:type="spellStart"/>
      <w:r>
        <w:rPr>
          <w:sz w:val="28"/>
          <w:szCs w:val="28"/>
        </w:rPr>
        <w:t>съдебно-автотехнически</w:t>
      </w:r>
      <w:proofErr w:type="spellEnd"/>
      <w:r>
        <w:rPr>
          <w:sz w:val="28"/>
          <w:szCs w:val="28"/>
        </w:rPr>
        <w:t xml:space="preserve"> експертизи и тези по дела за „лекарска грешка“) се преодолява чрез използването на експерти от други райони, с всички произтичащи от това неблагоприятни последици, свързани с отдалечеността, допълнителни разходи и пряко касаят срочността на </w:t>
      </w:r>
      <w:r>
        <w:rPr>
          <w:sz w:val="28"/>
          <w:szCs w:val="28"/>
        </w:rPr>
        <w:lastRenderedPageBreak/>
        <w:t>разследването. Тук следва да се отбележи, че по т.нар. дела по чл.123 от НК по т.нар</w:t>
      </w:r>
      <w:r w:rsidR="002E1C4E">
        <w:rPr>
          <w:sz w:val="28"/>
          <w:szCs w:val="28"/>
        </w:rPr>
        <w:t xml:space="preserve"> </w:t>
      </w:r>
      <w:r>
        <w:rPr>
          <w:sz w:val="28"/>
          <w:szCs w:val="28"/>
        </w:rPr>
        <w:t xml:space="preserve">“лекарска грешка“ обикновено постановленията за прекратяване на наказателното производство биват отменяни 2, а често и 3 и повече пъти с даване на различни указания по приложението на закона от различни състави на съда.  </w:t>
      </w:r>
      <w:proofErr w:type="spellStart"/>
      <w:r>
        <w:rPr>
          <w:sz w:val="28"/>
          <w:szCs w:val="28"/>
        </w:rPr>
        <w:t>Свръхнатовареността</w:t>
      </w:r>
      <w:proofErr w:type="spellEnd"/>
      <w:r>
        <w:rPr>
          <w:sz w:val="28"/>
          <w:szCs w:val="28"/>
        </w:rPr>
        <w:t xml:space="preserve"> на експертите от Института за компютърни технологии - МВР и от Научноизследователския институт по криминалистика - МВР, също повлиява негативно на срочността на разследването, когато единствената възможност е възлагане изготвянето на експертни заключения на специалистите от двата института на МВР. Дори и в случаите, когато тези дела приключват с постановления за прекратяване, правилното, законосъобразно и обосновано произнасяне на прокуратурата е невъзможно без изготвяне на съответните експертизи.  Към настоящия момент, в резултат на материалното и професионалното обезпечаване на БНТЛ при ОД МВР - Варна с вещи лица, които да могат да изготвят компютърни и други технически експертизи със съответния инструментариум и лицензиран софтуер, този проблем е сведен към минимум, но останалите дефицити, свързани с назначаването на експертизи по ДП са налице.</w:t>
      </w:r>
    </w:p>
    <w:p w:rsidR="00FD0EB3" w:rsidRDefault="00FD0EB3" w:rsidP="00A64AAB">
      <w:pPr>
        <w:ind w:firstLine="709"/>
        <w:jc w:val="both"/>
        <w:rPr>
          <w:sz w:val="28"/>
          <w:szCs w:val="28"/>
        </w:rPr>
      </w:pPr>
      <w:r>
        <w:rPr>
          <w:sz w:val="28"/>
          <w:szCs w:val="28"/>
        </w:rPr>
        <w:t xml:space="preserve">За пореден път следва да се посочи като съществен проблем  за събирането на данни в хода на проверки по ЗСВ различната продължителност на </w:t>
      </w:r>
      <w:proofErr w:type="spellStart"/>
      <w:r>
        <w:rPr>
          <w:sz w:val="28"/>
          <w:szCs w:val="28"/>
        </w:rPr>
        <w:t>законоустановените</w:t>
      </w:r>
      <w:proofErr w:type="spellEnd"/>
      <w:r>
        <w:rPr>
          <w:sz w:val="28"/>
          <w:szCs w:val="28"/>
        </w:rPr>
        <w:t xml:space="preserve"> срокове за действие на различните институции и контролни органи, чиято компетентност служи за събиране на данни в етапа на проверката или на доказателства в наказателното производство. Например, финансовите ревизии, които се назначават по указания на прокурор не държат сметка за  сроковете по ЗСВ и НПК, което води до значително забавяне на голяма група наказателни производства основно в окръжна прокуратура. А несъответствието със сроковете на проверката по ЗСВ е особено драстично, защото неспазването им от прокурора го поставя в неблагоприятна позиция да следва да вземе решение по същество при непълни  и недостатъчни данни, като по този начин наруши закона и правата на гражданите. Тези проблеми са многократно поставяни в годишните отчетни доклади на ОП – Варна назад във времето. Същите имат материално и процедурно естество и цялостното им решаване не е във възможностите на ОП – Варна, РП-Варна или на която и да е друга, отделна прокуратура, но са въпроси, които водят до забавяне на производствата. Свидетели сме на особена бурна обществена реакция на забавянето на производствата, без възможност да  отговорим на очакванията, при липса на законодателни промени и при обективните обстоятелства, които изброихме по-горе, водещи до дълъг срок на разследване. </w:t>
      </w:r>
    </w:p>
    <w:p w:rsidR="00FD0EB3" w:rsidRDefault="00FD0EB3" w:rsidP="00A64AAB">
      <w:pPr>
        <w:tabs>
          <w:tab w:val="left" w:pos="851"/>
          <w:tab w:val="left" w:pos="993"/>
          <w:tab w:val="left" w:pos="1134"/>
        </w:tabs>
        <w:suppressAutoHyphens/>
        <w:autoSpaceDN w:val="0"/>
        <w:ind w:firstLine="709"/>
        <w:jc w:val="both"/>
        <w:textAlignment w:val="baseline"/>
        <w:rPr>
          <w:sz w:val="28"/>
          <w:szCs w:val="28"/>
        </w:rPr>
      </w:pPr>
      <w:r>
        <w:rPr>
          <w:sz w:val="28"/>
          <w:szCs w:val="28"/>
        </w:rPr>
        <w:t xml:space="preserve">За пореден път отбелязваме изключителния формализъм, с който се отличава наказателния процес (което често е пречка за предприемане на бързи действия за осъществяване на бързо и качествено разследване) и липса на законодателни мерки в тази насока, които да са в синхрон с обществените очаквания. Нееднократно сме поставяли въпроса за нуждата  от стесняване рамката на съдържанието на обвинителния акт и да се очертае изрично какво трябва да обхваща </w:t>
      </w:r>
      <w:proofErr w:type="spellStart"/>
      <w:r>
        <w:rPr>
          <w:sz w:val="28"/>
          <w:szCs w:val="28"/>
        </w:rPr>
        <w:t>диспозитива</w:t>
      </w:r>
      <w:proofErr w:type="spellEnd"/>
      <w:r>
        <w:rPr>
          <w:sz w:val="28"/>
          <w:szCs w:val="28"/>
        </w:rPr>
        <w:t xml:space="preserve"> на обвинителния акт по почина на редица европейски държави. Това се налага, с оглед елиминирането на каквито и да </w:t>
      </w:r>
      <w:r>
        <w:rPr>
          <w:sz w:val="28"/>
          <w:szCs w:val="28"/>
        </w:rPr>
        <w:lastRenderedPageBreak/>
        <w:t>било спекулации от страна на обвиняемите, че не разбират в какво са обвинени, което в много случаи води до връщане на делата от съда, особено в РП-Варна.</w:t>
      </w:r>
    </w:p>
    <w:p w:rsidR="00FD0EB3" w:rsidRDefault="00FD0EB3" w:rsidP="00A64AAB">
      <w:pPr>
        <w:tabs>
          <w:tab w:val="left" w:pos="993"/>
          <w:tab w:val="left" w:pos="1134"/>
        </w:tabs>
        <w:suppressAutoHyphens/>
        <w:autoSpaceDN w:val="0"/>
        <w:ind w:firstLine="709"/>
        <w:jc w:val="both"/>
        <w:textAlignment w:val="baseline"/>
        <w:rPr>
          <w:sz w:val="28"/>
          <w:szCs w:val="28"/>
        </w:rPr>
      </w:pPr>
      <w:r>
        <w:rPr>
          <w:sz w:val="28"/>
          <w:szCs w:val="28"/>
        </w:rPr>
        <w:t xml:space="preserve">За поредна година считаме, че за повишаване ефективността на Прокуратурата в противодействието на престъпността и съсредоточаването й върху по-важни дела, следва да се провежда трайна политика за </w:t>
      </w:r>
      <w:proofErr w:type="spellStart"/>
      <w:r>
        <w:rPr>
          <w:sz w:val="28"/>
          <w:szCs w:val="28"/>
        </w:rPr>
        <w:t>декриминализация</w:t>
      </w:r>
      <w:proofErr w:type="spellEnd"/>
      <w:r>
        <w:rPr>
          <w:sz w:val="28"/>
          <w:szCs w:val="28"/>
        </w:rPr>
        <w:t xml:space="preserve"> на престъпления, които не отговарят на съвременните условия и предвиждане на административно- наказателна отговорност /например за деяния по чл. 192а, чл. 323а, чл. 343, ал.1 б."а", чл. 345, чл. 207 и др. от НК/. Това са въпроси обаче, които се нуждаят от законодателно уреждане и са извън нашите  правомощия.</w:t>
      </w:r>
    </w:p>
    <w:p w:rsidR="00FD0EB3" w:rsidRDefault="00FD0EB3" w:rsidP="00A64AAB">
      <w:pPr>
        <w:tabs>
          <w:tab w:val="left" w:pos="993"/>
          <w:tab w:val="left" w:pos="1134"/>
        </w:tabs>
        <w:suppressAutoHyphens/>
        <w:autoSpaceDN w:val="0"/>
        <w:ind w:firstLine="709"/>
        <w:jc w:val="both"/>
        <w:textAlignment w:val="baseline"/>
        <w:rPr>
          <w:sz w:val="28"/>
          <w:szCs w:val="28"/>
        </w:rPr>
      </w:pPr>
      <w:r>
        <w:rPr>
          <w:sz w:val="28"/>
          <w:szCs w:val="28"/>
        </w:rPr>
        <w:t xml:space="preserve"> За поредна година излагаме твърдението, че капацитетът на следователите продължава да бъде недостатъчно ангажиран, като се отчете, че на тях се възлагат усложнени, трудни за приключване  дела с фактическа и правна сложност. Възлагането на тежки разследвания не предполага бързото им приключване,  а  според посочените данни  в доклада  и съотношението на разследвани дела от различните разследващи органи,  количествената  натовареност с дела на отдела не е твърде висока. Това е така, защото се търси баланса между количествена натовареност и естеството на досъдебните производства, които се възлагат на следователите, тъй като в противен случай ще се стигне до неефективна работа на отдела. </w:t>
      </w:r>
    </w:p>
    <w:p w:rsidR="00FD0EB3" w:rsidRDefault="00FD0EB3" w:rsidP="00A64AAB">
      <w:pPr>
        <w:ind w:firstLine="709"/>
        <w:jc w:val="both"/>
        <w:rPr>
          <w:sz w:val="28"/>
          <w:szCs w:val="28"/>
        </w:rPr>
      </w:pPr>
      <w:r>
        <w:rPr>
          <w:sz w:val="28"/>
          <w:szCs w:val="28"/>
        </w:rPr>
        <w:t xml:space="preserve"> Отчита се необходимост от ангажиране на целия спектър от контролни органи в противопоставяне на правонарушенията и разкриване на престъпленията, доколкото за отчетния период е налице значителен спад   в сигналната дейност на НАП за сметка на активността на Агенция „Митници“, но част от тях отново остават дистанцирани при сигнализирането ни за извършени престъпления. </w:t>
      </w:r>
    </w:p>
    <w:p w:rsidR="00FD0EB3" w:rsidRDefault="00FD0EB3" w:rsidP="00A64AAB">
      <w:pPr>
        <w:ind w:firstLine="709"/>
        <w:jc w:val="both"/>
        <w:rPr>
          <w:rFonts w:eastAsiaTheme="majorEastAsia"/>
          <w:bCs/>
          <w:sz w:val="36"/>
          <w:szCs w:val="36"/>
        </w:rPr>
      </w:pPr>
      <w:r>
        <w:rPr>
          <w:sz w:val="28"/>
          <w:szCs w:val="28"/>
        </w:rPr>
        <w:t>И последния, но не по важност въпрос, който зависи единствено от нас  е запазване на постигнатите резултати  и необходимостта от подобряване на инициативността и работата след самосезиране от страна на прокурорите от ОП и РП-Варна. Макар и да се бележи ръст на случаите на самосезиране през отчетния период, случаите, в които ние сме проявили активност  са недостатъчно спрямо общественото очакване за активна работа от нас.</w:t>
      </w:r>
    </w:p>
    <w:p w:rsidR="00FD0EB3" w:rsidRDefault="00FD0EB3" w:rsidP="002E1C4E">
      <w:pPr>
        <w:ind w:firstLine="709"/>
        <w:jc w:val="both"/>
        <w:rPr>
          <w:sz w:val="28"/>
          <w:szCs w:val="28"/>
        </w:rPr>
      </w:pPr>
      <w:r>
        <w:rPr>
          <w:sz w:val="28"/>
          <w:szCs w:val="28"/>
        </w:rPr>
        <w:t>Отчитаме за поредна година необходимост от:</w:t>
      </w:r>
    </w:p>
    <w:p w:rsidR="00FD0EB3" w:rsidRDefault="00FD0EB3" w:rsidP="000059A2">
      <w:pPr>
        <w:pStyle w:val="a3"/>
        <w:numPr>
          <w:ilvl w:val="1"/>
          <w:numId w:val="18"/>
        </w:numPr>
        <w:ind w:left="0" w:firstLine="0"/>
        <w:jc w:val="both"/>
        <w:rPr>
          <w:color w:val="0D0D0D"/>
          <w:spacing w:val="1"/>
          <w:sz w:val="28"/>
          <w:szCs w:val="28"/>
        </w:rPr>
      </w:pPr>
      <w:r>
        <w:rPr>
          <w:color w:val="0D0D0D"/>
          <w:sz w:val="28"/>
          <w:szCs w:val="28"/>
        </w:rPr>
        <w:t>Повишаване квалификацията и професионалните умения на разследващите полицаи, като гаранция за пълно и качествено разследване, по-добро планиране за извършване на ПСД по делата и правилно очертаване на предмета на доказване.</w:t>
      </w:r>
    </w:p>
    <w:p w:rsidR="00FD0EB3" w:rsidRDefault="00FD0EB3" w:rsidP="000059A2">
      <w:pPr>
        <w:pStyle w:val="a3"/>
        <w:numPr>
          <w:ilvl w:val="1"/>
          <w:numId w:val="18"/>
        </w:numPr>
        <w:ind w:left="0" w:firstLine="0"/>
        <w:jc w:val="both"/>
        <w:rPr>
          <w:color w:val="0D0D0D"/>
          <w:sz w:val="28"/>
          <w:szCs w:val="28"/>
        </w:rPr>
      </w:pPr>
      <w:r>
        <w:rPr>
          <w:color w:val="0D0D0D"/>
          <w:sz w:val="28"/>
          <w:szCs w:val="28"/>
        </w:rPr>
        <w:t>Качеството на провежданите разследвания следва да се повиши. Освен необходимостта от текущи обучения, следва да се посочи, че ЗМВР и подзаконовите актове по прилагането му не поставят достатъчно високи изисквания към лицата, кандидатстващи за заемане на длъжност младши или старши разследващ полицай в МВР.</w:t>
      </w:r>
    </w:p>
    <w:p w:rsidR="00FD0EB3" w:rsidRDefault="00FD0EB3" w:rsidP="000059A2">
      <w:pPr>
        <w:pStyle w:val="a3"/>
        <w:numPr>
          <w:ilvl w:val="1"/>
          <w:numId w:val="18"/>
        </w:numPr>
        <w:ind w:left="0" w:firstLine="0"/>
        <w:jc w:val="both"/>
        <w:rPr>
          <w:color w:val="0D0D0D"/>
          <w:sz w:val="28"/>
          <w:szCs w:val="28"/>
        </w:rPr>
      </w:pPr>
      <w:r>
        <w:rPr>
          <w:color w:val="0D0D0D"/>
          <w:sz w:val="28"/>
          <w:szCs w:val="28"/>
        </w:rPr>
        <w:t>Необходимост от Наказателен кодекс, който да е адекватен на обществено-икономическите и социални отношения, защото извършваните многобройни промени в него, не допринасят за ефективна работа.</w:t>
      </w:r>
    </w:p>
    <w:p w:rsidR="00FD0EB3" w:rsidRPr="00A64AAB" w:rsidRDefault="00FD0EB3" w:rsidP="000059A2">
      <w:pPr>
        <w:pStyle w:val="a3"/>
        <w:numPr>
          <w:ilvl w:val="1"/>
          <w:numId w:val="18"/>
        </w:numPr>
        <w:ind w:left="0" w:firstLine="0"/>
        <w:jc w:val="both"/>
        <w:rPr>
          <w:color w:val="0D0D0D"/>
          <w:sz w:val="28"/>
          <w:szCs w:val="28"/>
        </w:rPr>
      </w:pPr>
      <w:r>
        <w:rPr>
          <w:color w:val="0D0D0D"/>
          <w:sz w:val="28"/>
          <w:szCs w:val="28"/>
        </w:rPr>
        <w:lastRenderedPageBreak/>
        <w:t>Необходимост от обезпечаване на наказателните производства с достат</w:t>
      </w:r>
      <w:r w:rsidR="00A64AAB">
        <w:rPr>
          <w:color w:val="0D0D0D"/>
          <w:sz w:val="28"/>
          <w:szCs w:val="28"/>
        </w:rPr>
        <w:t>ъчно и квалифицирани вещи лица.</w:t>
      </w:r>
    </w:p>
    <w:p w:rsidR="00A64AAB" w:rsidRPr="00A64AAB" w:rsidRDefault="00A64AAB" w:rsidP="000059A2">
      <w:pPr>
        <w:pStyle w:val="a3"/>
        <w:numPr>
          <w:ilvl w:val="0"/>
          <w:numId w:val="18"/>
        </w:numPr>
        <w:ind w:left="0" w:firstLine="0"/>
        <w:jc w:val="both"/>
        <w:rPr>
          <w:color w:val="0D0D0D"/>
          <w:sz w:val="28"/>
          <w:szCs w:val="28"/>
        </w:rPr>
      </w:pPr>
      <w:r w:rsidRPr="00A64AAB">
        <w:rPr>
          <w:color w:val="0D0D0D"/>
          <w:sz w:val="28"/>
          <w:szCs w:val="28"/>
        </w:rPr>
        <w:t xml:space="preserve">Не на последно място по значение е това, магистратите да бъдат мотивирани към повишаване на активността и решителността си при наблюдението и решаването на делата. </w:t>
      </w:r>
    </w:p>
    <w:p w:rsidR="00A64AAB" w:rsidRPr="00A64AAB" w:rsidRDefault="00A64AAB" w:rsidP="00A64AAB">
      <w:pPr>
        <w:pStyle w:val="a3"/>
        <w:tabs>
          <w:tab w:val="left" w:pos="851"/>
        </w:tabs>
        <w:ind w:left="0"/>
        <w:jc w:val="both"/>
        <w:rPr>
          <w:color w:val="0D0D0D"/>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rPr>
      </w:pPr>
    </w:p>
    <w:p w:rsidR="00FF2ECA" w:rsidRDefault="00FF2ECA"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FD0EB3" w:rsidRDefault="00FD0EB3" w:rsidP="00E51B93">
      <w:pPr>
        <w:pStyle w:val="13"/>
        <w:spacing w:after="0" w:line="240" w:lineRule="auto"/>
        <w:ind w:left="709" w:firstLine="0"/>
        <w:contextualSpacing/>
        <w:jc w:val="both"/>
        <w:rPr>
          <w:rStyle w:val="afb"/>
          <w:b w:val="0"/>
          <w:i w:val="0"/>
          <w:color w:val="5F497A" w:themeColor="accent4" w:themeShade="BF"/>
          <w:sz w:val="28"/>
          <w:szCs w:val="28"/>
          <w:lang w:val="en-US"/>
        </w:rPr>
      </w:pPr>
    </w:p>
    <w:p w:rsidR="00E51B93" w:rsidRPr="00E51B93" w:rsidRDefault="00E51B93" w:rsidP="000059A2">
      <w:pPr>
        <w:pStyle w:val="13"/>
        <w:numPr>
          <w:ilvl w:val="0"/>
          <w:numId w:val="3"/>
        </w:numPr>
        <w:spacing w:after="0" w:line="240" w:lineRule="auto"/>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lastRenderedPageBreak/>
        <w:t>СЪДЕБНА ФАЗА.</w:t>
      </w:r>
    </w:p>
    <w:p w:rsidR="00E51B93" w:rsidRPr="000A05E0" w:rsidRDefault="00E51B93" w:rsidP="000059A2">
      <w:pPr>
        <w:pStyle w:val="13"/>
        <w:numPr>
          <w:ilvl w:val="0"/>
          <w:numId w:val="6"/>
        </w:numPr>
        <w:spacing w:after="0" w:line="240" w:lineRule="auto"/>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t>Наказателно-съдебен надзор.</w:t>
      </w:r>
    </w:p>
    <w:p w:rsidR="002E30E5" w:rsidRPr="00152E2B" w:rsidRDefault="002E30E5" w:rsidP="002E30E5">
      <w:pPr>
        <w:ind w:firstLine="709"/>
        <w:jc w:val="both"/>
        <w:rPr>
          <w:rFonts w:eastAsia="Calibri"/>
          <w:sz w:val="28"/>
          <w:szCs w:val="28"/>
        </w:rPr>
      </w:pPr>
      <w:r w:rsidRPr="00152E2B">
        <w:rPr>
          <w:rFonts w:eastAsia="Calibri"/>
          <w:sz w:val="28"/>
          <w:szCs w:val="28"/>
        </w:rPr>
        <w:t>През отчетния период (01.</w:t>
      </w:r>
      <w:proofErr w:type="spellStart"/>
      <w:r w:rsidRPr="00152E2B">
        <w:rPr>
          <w:rFonts w:eastAsia="Calibri"/>
          <w:sz w:val="28"/>
          <w:szCs w:val="28"/>
        </w:rPr>
        <w:t>01</w:t>
      </w:r>
      <w:proofErr w:type="spellEnd"/>
      <w:r w:rsidRPr="00152E2B">
        <w:rPr>
          <w:rFonts w:eastAsia="Calibri"/>
          <w:sz w:val="28"/>
          <w:szCs w:val="28"/>
        </w:rPr>
        <w:t xml:space="preserve">.2023 г. – 31.12.2023 г.) организацията на работа в Наказателно-съдебния надзор в Окръжна прокуратура – гр. Варна е изцяло съобразена с: </w:t>
      </w:r>
    </w:p>
    <w:p w:rsidR="002E30E5" w:rsidRPr="00152E2B" w:rsidRDefault="002E30E5" w:rsidP="002E30E5">
      <w:pPr>
        <w:ind w:firstLine="709"/>
        <w:jc w:val="both"/>
        <w:rPr>
          <w:rFonts w:eastAsia="Calibri"/>
          <w:sz w:val="28"/>
          <w:szCs w:val="28"/>
        </w:rPr>
      </w:pPr>
      <w:r w:rsidRPr="00152E2B">
        <w:rPr>
          <w:rFonts w:eastAsia="Calibri"/>
          <w:sz w:val="28"/>
          <w:szCs w:val="28"/>
        </w:rPr>
        <w:t>Указания за подобряване работата на ПРБ по наказателно-съдебния надзор, утвърдени със Заповед на Главния прокурор № РД-02-29/15.12.2017 г.</w:t>
      </w:r>
      <w:r w:rsidRPr="00152E2B">
        <w:rPr>
          <w:rFonts w:eastAsia="Calibri"/>
          <w:bCs/>
          <w:sz w:val="28"/>
          <w:szCs w:val="28"/>
        </w:rPr>
        <w:t xml:space="preserve"> Със Заповед № 6/02.01.2018 г. Административният ръководител – Окръжен прокурор на ОП – Варна е създал необходимата организация по прилагане на </w:t>
      </w:r>
      <w:r w:rsidRPr="00152E2B">
        <w:rPr>
          <w:rFonts w:eastAsia="Calibri"/>
          <w:sz w:val="28"/>
          <w:szCs w:val="28"/>
        </w:rPr>
        <w:t>Указанията за подобряване работата на ПРБ по наказателно-съдебния надзор, утвърдени със Заповед на Главния прокурор № РД-02-29/15.12.2017 г. Със заповед на Административния ръководител на ОП – Варна в НСН са включени пет прокурора.</w:t>
      </w:r>
    </w:p>
    <w:p w:rsidR="002E30E5" w:rsidRPr="00A5392A" w:rsidRDefault="002E30E5" w:rsidP="002E30E5">
      <w:pPr>
        <w:ind w:firstLine="709"/>
        <w:jc w:val="both"/>
        <w:rPr>
          <w:rFonts w:eastAsia="Calibri"/>
          <w:sz w:val="28"/>
          <w:szCs w:val="28"/>
        </w:rPr>
      </w:pPr>
      <w:r w:rsidRPr="00A5392A">
        <w:rPr>
          <w:rFonts w:eastAsia="Calibri"/>
          <w:b/>
          <w:noProof/>
          <w:sz w:val="28"/>
          <w:szCs w:val="28"/>
          <w:u w:val="single"/>
        </w:rPr>
        <w:t>Видове решения на съда по внесените прокурорски актове. Относителен дял на осъдителните и санкционни решения.</w:t>
      </w:r>
      <w:r w:rsidRPr="00A5392A">
        <w:rPr>
          <w:rFonts w:eastAsia="Calibri"/>
          <w:sz w:val="28"/>
          <w:szCs w:val="28"/>
        </w:rPr>
        <w:t xml:space="preserve"> </w:t>
      </w:r>
    </w:p>
    <w:p w:rsidR="002E30E5" w:rsidRPr="006A6354" w:rsidRDefault="002E30E5" w:rsidP="002E30E5">
      <w:pPr>
        <w:ind w:firstLine="709"/>
        <w:jc w:val="both"/>
        <w:rPr>
          <w:rFonts w:eastAsia="Calibri"/>
          <w:sz w:val="28"/>
          <w:szCs w:val="28"/>
        </w:rPr>
      </w:pPr>
      <w:r w:rsidRPr="006A6354">
        <w:rPr>
          <w:rFonts w:eastAsia="Calibri"/>
          <w:sz w:val="28"/>
          <w:szCs w:val="28"/>
        </w:rPr>
        <w:t xml:space="preserve">През отчетния период 2023 г. </w:t>
      </w:r>
      <w:r w:rsidRPr="006A6354">
        <w:rPr>
          <w:rFonts w:eastAsia="Calibri"/>
          <w:b/>
          <w:sz w:val="28"/>
          <w:szCs w:val="28"/>
          <w:u w:val="single"/>
        </w:rPr>
        <w:t>прокурорите от региона на ОП – Варна</w:t>
      </w:r>
      <w:r w:rsidRPr="006A6354">
        <w:rPr>
          <w:rFonts w:eastAsia="Calibri"/>
          <w:sz w:val="28"/>
          <w:szCs w:val="28"/>
        </w:rPr>
        <w:t xml:space="preserve"> са внесли в съда общо </w:t>
      </w:r>
      <w:r w:rsidRPr="006A6354">
        <w:rPr>
          <w:rFonts w:eastAsia="Calibri"/>
          <w:b/>
          <w:sz w:val="28"/>
          <w:szCs w:val="28"/>
        </w:rPr>
        <w:t>1824</w:t>
      </w:r>
      <w:r w:rsidRPr="006A6354">
        <w:rPr>
          <w:rFonts w:eastAsia="Calibri"/>
          <w:sz w:val="28"/>
          <w:szCs w:val="28"/>
        </w:rPr>
        <w:t xml:space="preserve"> акта, от които: 1225 обвинителни акта, 454 споразумения и 145 предложения за освобождаване от наказателна отговорност с налагане на административно наказание.</w:t>
      </w:r>
    </w:p>
    <w:p w:rsidR="002E30E5" w:rsidRPr="006A6354" w:rsidRDefault="002E30E5" w:rsidP="002E30E5">
      <w:pPr>
        <w:ind w:firstLine="709"/>
        <w:jc w:val="both"/>
        <w:rPr>
          <w:rFonts w:eastAsia="Calibri"/>
          <w:sz w:val="28"/>
          <w:szCs w:val="28"/>
        </w:rPr>
      </w:pPr>
      <w:r w:rsidRPr="006A6354">
        <w:rPr>
          <w:rFonts w:eastAsia="Calibri"/>
          <w:sz w:val="28"/>
          <w:szCs w:val="28"/>
        </w:rPr>
        <w:t xml:space="preserve">През 2022 г. </w:t>
      </w:r>
      <w:r w:rsidRPr="006A6354">
        <w:rPr>
          <w:rFonts w:eastAsia="Calibri"/>
          <w:b/>
          <w:sz w:val="28"/>
          <w:szCs w:val="28"/>
          <w:u w:val="single"/>
        </w:rPr>
        <w:t>прокурорите от региона на ОП – Варна</w:t>
      </w:r>
      <w:r w:rsidRPr="006A6354">
        <w:rPr>
          <w:rFonts w:eastAsia="Calibri"/>
          <w:sz w:val="28"/>
          <w:szCs w:val="28"/>
        </w:rPr>
        <w:t xml:space="preserve"> са внесли в съда общо </w:t>
      </w:r>
      <w:r w:rsidRPr="006A6354">
        <w:rPr>
          <w:rFonts w:eastAsia="Calibri"/>
          <w:b/>
          <w:sz w:val="28"/>
          <w:szCs w:val="28"/>
        </w:rPr>
        <w:t>1830</w:t>
      </w:r>
      <w:r w:rsidRPr="006A6354">
        <w:rPr>
          <w:rFonts w:eastAsia="Calibri"/>
          <w:sz w:val="28"/>
          <w:szCs w:val="28"/>
        </w:rPr>
        <w:t xml:space="preserve"> акта, от които: 1172 обвинителни акта, 466 споразумения и </w:t>
      </w:r>
      <w:r w:rsidRPr="006A6354">
        <w:rPr>
          <w:rFonts w:eastAsia="Calibri"/>
          <w:b/>
          <w:sz w:val="28"/>
          <w:szCs w:val="28"/>
        </w:rPr>
        <w:t>192</w:t>
      </w:r>
      <w:r w:rsidRPr="006A6354">
        <w:rPr>
          <w:rFonts w:eastAsia="Calibri"/>
          <w:sz w:val="28"/>
          <w:szCs w:val="28"/>
        </w:rPr>
        <w:t xml:space="preserve"> предложения за освобождаване от наказателна отговорност с налагане на административно наказание.</w:t>
      </w:r>
    </w:p>
    <w:p w:rsidR="002E30E5" w:rsidRPr="006A6354" w:rsidRDefault="002E30E5" w:rsidP="002E30E5">
      <w:pPr>
        <w:ind w:firstLine="709"/>
        <w:jc w:val="both"/>
        <w:rPr>
          <w:rFonts w:eastAsia="Calibri"/>
          <w:sz w:val="28"/>
          <w:szCs w:val="28"/>
        </w:rPr>
      </w:pPr>
      <w:r w:rsidRPr="006A6354">
        <w:rPr>
          <w:rFonts w:eastAsia="Calibri"/>
          <w:sz w:val="28"/>
          <w:szCs w:val="28"/>
        </w:rPr>
        <w:t xml:space="preserve">Тази данни са съответно за 2021 г. общо внесени в съда </w:t>
      </w:r>
      <w:r w:rsidRPr="006A6354">
        <w:rPr>
          <w:rFonts w:eastAsia="Calibri"/>
          <w:b/>
          <w:sz w:val="28"/>
          <w:szCs w:val="28"/>
        </w:rPr>
        <w:t>1680</w:t>
      </w:r>
      <w:r w:rsidRPr="006A6354">
        <w:rPr>
          <w:rFonts w:eastAsia="Calibri"/>
          <w:sz w:val="28"/>
          <w:szCs w:val="28"/>
        </w:rPr>
        <w:t xml:space="preserve"> акта, от които: 1081 обвинителни акта, 386 споразумения и 213 предложения за освобождаване от наказателна отговорност с налагане на административно наказание.</w:t>
      </w:r>
    </w:p>
    <w:p w:rsidR="002E30E5" w:rsidRPr="00E92E49" w:rsidRDefault="002E30E5" w:rsidP="002E30E5">
      <w:pPr>
        <w:ind w:firstLine="709"/>
        <w:jc w:val="both"/>
        <w:rPr>
          <w:rFonts w:eastAsia="Calibri"/>
          <w:sz w:val="28"/>
          <w:szCs w:val="28"/>
        </w:rPr>
      </w:pPr>
      <w:r w:rsidRPr="00E92E49">
        <w:rPr>
          <w:rFonts w:eastAsia="Calibri"/>
          <w:sz w:val="28"/>
          <w:szCs w:val="28"/>
        </w:rPr>
        <w:t>Видно от горните данни, общо за региона на ОП – Варна през 2023 г. е налице намаление на внесените в съда прокурорски актове спрямо 2022 г. – с 0.33</w:t>
      </w:r>
      <w:r w:rsidR="00704100">
        <w:rPr>
          <w:rFonts w:eastAsia="Calibri"/>
          <w:sz w:val="28"/>
          <w:szCs w:val="28"/>
        </w:rPr>
        <w:t>%</w:t>
      </w:r>
      <w:r w:rsidRPr="00E92E49">
        <w:rPr>
          <w:rFonts w:eastAsia="Calibri"/>
          <w:sz w:val="28"/>
          <w:szCs w:val="28"/>
        </w:rPr>
        <w:t xml:space="preserve"> /с 6 броя/ и  увеличение  спрямо 2021 г. – с  8.57</w:t>
      </w:r>
      <w:r w:rsidR="00704100">
        <w:rPr>
          <w:rFonts w:eastAsia="Calibri"/>
          <w:sz w:val="28"/>
          <w:szCs w:val="28"/>
        </w:rPr>
        <w:t>%</w:t>
      </w:r>
      <w:r w:rsidRPr="00E92E49">
        <w:rPr>
          <w:rFonts w:eastAsia="Calibri"/>
          <w:sz w:val="28"/>
          <w:szCs w:val="28"/>
        </w:rPr>
        <w:t>.</w:t>
      </w:r>
    </w:p>
    <w:p w:rsidR="002E30E5" w:rsidRPr="00822F48" w:rsidRDefault="002E30E5" w:rsidP="002E30E5">
      <w:pPr>
        <w:ind w:firstLine="709"/>
        <w:jc w:val="both"/>
        <w:rPr>
          <w:rFonts w:eastAsia="Calibri"/>
          <w:sz w:val="28"/>
          <w:szCs w:val="28"/>
        </w:rPr>
      </w:pPr>
      <w:r w:rsidRPr="00822F48">
        <w:rPr>
          <w:rFonts w:eastAsia="Calibri"/>
          <w:sz w:val="28"/>
          <w:szCs w:val="28"/>
        </w:rPr>
        <w:t xml:space="preserve">През 2023 г. общият брой внесени в съда прокурорски актове от </w:t>
      </w:r>
      <w:r>
        <w:rPr>
          <w:rFonts w:eastAsia="Calibri"/>
          <w:sz w:val="28"/>
          <w:szCs w:val="28"/>
        </w:rPr>
        <w:t xml:space="preserve">прокурорите от Окръжна прокуратура - </w:t>
      </w:r>
      <w:r w:rsidRPr="00822F48">
        <w:rPr>
          <w:rFonts w:eastAsia="Calibri"/>
          <w:sz w:val="28"/>
          <w:szCs w:val="28"/>
        </w:rPr>
        <w:t xml:space="preserve">Варна </w:t>
      </w:r>
      <w:r>
        <w:rPr>
          <w:rFonts w:eastAsia="Calibri"/>
          <w:sz w:val="28"/>
          <w:szCs w:val="28"/>
        </w:rPr>
        <w:t xml:space="preserve">е </w:t>
      </w:r>
      <w:r w:rsidRPr="00102792">
        <w:rPr>
          <w:rFonts w:eastAsia="Calibri"/>
          <w:b/>
          <w:sz w:val="28"/>
          <w:szCs w:val="28"/>
        </w:rPr>
        <w:t>167 броя</w:t>
      </w:r>
      <w:r w:rsidRPr="00822F48">
        <w:rPr>
          <w:rFonts w:eastAsia="Calibri"/>
          <w:sz w:val="28"/>
          <w:szCs w:val="28"/>
        </w:rPr>
        <w:t xml:space="preserve">.През 2022 г. </w:t>
      </w:r>
      <w:r>
        <w:rPr>
          <w:rFonts w:eastAsia="Calibri"/>
          <w:sz w:val="28"/>
          <w:szCs w:val="28"/>
        </w:rPr>
        <w:t xml:space="preserve">техният брой е бил </w:t>
      </w:r>
      <w:r w:rsidRPr="00102792">
        <w:rPr>
          <w:rFonts w:eastAsia="Calibri"/>
          <w:b/>
          <w:sz w:val="28"/>
          <w:szCs w:val="28"/>
        </w:rPr>
        <w:t>139</w:t>
      </w:r>
      <w:r w:rsidRPr="00822F48">
        <w:rPr>
          <w:rFonts w:eastAsia="Calibri"/>
          <w:sz w:val="28"/>
          <w:szCs w:val="28"/>
        </w:rPr>
        <w:t xml:space="preserve">, а през 2021 г. </w:t>
      </w:r>
      <w:r>
        <w:rPr>
          <w:rFonts w:eastAsia="Calibri"/>
          <w:sz w:val="28"/>
          <w:szCs w:val="28"/>
        </w:rPr>
        <w:t>-</w:t>
      </w:r>
      <w:r w:rsidRPr="00822F48">
        <w:rPr>
          <w:rFonts w:eastAsia="Calibri"/>
          <w:sz w:val="28"/>
          <w:szCs w:val="28"/>
        </w:rPr>
        <w:t xml:space="preserve"> </w:t>
      </w:r>
      <w:r w:rsidRPr="00102792">
        <w:rPr>
          <w:rFonts w:eastAsia="Calibri"/>
          <w:b/>
          <w:sz w:val="28"/>
          <w:szCs w:val="28"/>
        </w:rPr>
        <w:t>151 броя</w:t>
      </w:r>
      <w:r w:rsidRPr="00822F48">
        <w:rPr>
          <w:rFonts w:eastAsia="Calibri"/>
          <w:sz w:val="28"/>
          <w:szCs w:val="28"/>
        </w:rPr>
        <w:t>.</w:t>
      </w:r>
    </w:p>
    <w:p w:rsidR="002E30E5" w:rsidRPr="00C3502D" w:rsidRDefault="002E30E5" w:rsidP="002E30E5">
      <w:pPr>
        <w:ind w:firstLine="709"/>
        <w:jc w:val="both"/>
        <w:rPr>
          <w:rFonts w:eastAsia="Calibri"/>
          <w:b/>
          <w:sz w:val="28"/>
          <w:szCs w:val="28"/>
          <w:u w:val="single"/>
        </w:rPr>
      </w:pPr>
      <w:r w:rsidRPr="00C3502D">
        <w:rPr>
          <w:rFonts w:eastAsia="Calibri"/>
          <w:b/>
          <w:sz w:val="28"/>
          <w:szCs w:val="28"/>
          <w:u w:val="single"/>
        </w:rPr>
        <w:t>Видно от горното, през 2023 г. се отчита увеличение  на внесените от прокурорите от ОП – Варна актове, като то е с 20.14</w:t>
      </w:r>
      <w:r w:rsidR="00704100">
        <w:rPr>
          <w:rFonts w:eastAsia="Calibri"/>
          <w:b/>
          <w:sz w:val="28"/>
          <w:szCs w:val="28"/>
          <w:u w:val="single"/>
        </w:rPr>
        <w:t>%</w:t>
      </w:r>
      <w:r w:rsidRPr="00C3502D">
        <w:rPr>
          <w:rFonts w:eastAsia="Calibri"/>
          <w:b/>
          <w:sz w:val="28"/>
          <w:szCs w:val="28"/>
          <w:u w:val="single"/>
        </w:rPr>
        <w:t xml:space="preserve"> спрямо 2022 г. и  с 10.60</w:t>
      </w:r>
      <w:r w:rsidR="00704100">
        <w:rPr>
          <w:rFonts w:eastAsia="Calibri"/>
          <w:b/>
          <w:sz w:val="28"/>
          <w:szCs w:val="28"/>
          <w:u w:val="single"/>
        </w:rPr>
        <w:t>%</w:t>
      </w:r>
      <w:r w:rsidRPr="00C3502D">
        <w:rPr>
          <w:rFonts w:eastAsia="Calibri"/>
          <w:b/>
          <w:sz w:val="28"/>
          <w:szCs w:val="28"/>
          <w:u w:val="single"/>
        </w:rPr>
        <w:t xml:space="preserve"> - спрямо 2021 г.</w:t>
      </w:r>
    </w:p>
    <w:p w:rsidR="002E30E5" w:rsidRDefault="002E30E5" w:rsidP="002E30E5">
      <w:pPr>
        <w:ind w:firstLine="709"/>
        <w:jc w:val="both"/>
        <w:rPr>
          <w:rFonts w:eastAsia="Calibri"/>
          <w:sz w:val="28"/>
          <w:szCs w:val="28"/>
        </w:rPr>
      </w:pPr>
      <w:r w:rsidRPr="00FC33E9">
        <w:rPr>
          <w:rFonts w:eastAsia="Calibri"/>
          <w:sz w:val="28"/>
          <w:szCs w:val="28"/>
        </w:rPr>
        <w:t>РП – Варна отчитат спрямо 2022 г. намаление на общия брой внесени в съда актове с 2.01</w:t>
      </w:r>
      <w:r w:rsidR="00704100">
        <w:rPr>
          <w:rFonts w:eastAsia="Calibri"/>
          <w:sz w:val="28"/>
          <w:szCs w:val="28"/>
        </w:rPr>
        <w:t>%</w:t>
      </w:r>
      <w:r w:rsidRPr="00FC33E9">
        <w:rPr>
          <w:rFonts w:eastAsia="Calibri"/>
          <w:sz w:val="28"/>
          <w:szCs w:val="28"/>
        </w:rPr>
        <w:t>, а спрямо 2021 г. е налице увеличение с 8.37</w:t>
      </w:r>
      <w:r w:rsidR="00704100">
        <w:rPr>
          <w:rFonts w:eastAsia="Calibri"/>
          <w:sz w:val="28"/>
          <w:szCs w:val="28"/>
        </w:rPr>
        <w:t>%</w:t>
      </w:r>
      <w:r w:rsidRPr="00FC33E9">
        <w:rPr>
          <w:rFonts w:eastAsia="Calibri"/>
          <w:sz w:val="28"/>
          <w:szCs w:val="28"/>
        </w:rPr>
        <w:t>.</w:t>
      </w:r>
    </w:p>
    <w:p w:rsidR="002E30E5" w:rsidRPr="00FC33E9" w:rsidRDefault="002E30E5" w:rsidP="002E30E5">
      <w:pPr>
        <w:ind w:firstLine="709"/>
        <w:jc w:val="both"/>
        <w:rPr>
          <w:rFonts w:eastAsia="Calibri"/>
          <w:sz w:val="28"/>
          <w:szCs w:val="28"/>
        </w:rPr>
      </w:pPr>
    </w:p>
    <w:p w:rsidR="002E30E5" w:rsidRPr="00DB5743" w:rsidRDefault="002E30E5" w:rsidP="002E30E5">
      <w:pPr>
        <w:ind w:firstLine="709"/>
        <w:jc w:val="both"/>
        <w:rPr>
          <w:rFonts w:eastAsia="Calibri"/>
          <w:b/>
          <w:sz w:val="28"/>
          <w:szCs w:val="28"/>
        </w:rPr>
      </w:pPr>
      <w:r w:rsidRPr="00DB5743">
        <w:rPr>
          <w:rFonts w:eastAsia="Calibri"/>
          <w:b/>
          <w:sz w:val="28"/>
          <w:szCs w:val="28"/>
        </w:rPr>
        <w:t>Общ брой внесени в съда прокурорски актове:</w:t>
      </w:r>
    </w:p>
    <w:tbl>
      <w:tblPr>
        <w:tblStyle w:val="a4"/>
        <w:tblW w:w="9322" w:type="dxa"/>
        <w:tblLook w:val="04A0" w:firstRow="1" w:lastRow="0" w:firstColumn="1" w:lastColumn="0" w:noHBand="0" w:noVBand="1"/>
      </w:tblPr>
      <w:tblGrid>
        <w:gridCol w:w="4219"/>
        <w:gridCol w:w="1701"/>
        <w:gridCol w:w="1701"/>
        <w:gridCol w:w="1701"/>
      </w:tblGrid>
      <w:tr w:rsidR="002E30E5" w:rsidRPr="00DB5743" w:rsidTr="002E30E5">
        <w:tc>
          <w:tcPr>
            <w:tcW w:w="4219" w:type="dxa"/>
            <w:tcBorders>
              <w:top w:val="single" w:sz="4" w:space="0" w:color="auto"/>
              <w:left w:val="single" w:sz="4" w:space="0" w:color="auto"/>
              <w:bottom w:val="single" w:sz="4" w:space="0" w:color="auto"/>
              <w:right w:val="single" w:sz="4" w:space="0" w:color="auto"/>
            </w:tcBorders>
            <w:hideMark/>
          </w:tcPr>
          <w:p w:rsidR="002E30E5" w:rsidRPr="00DB5743" w:rsidRDefault="002E30E5" w:rsidP="002E30E5">
            <w:pPr>
              <w:jc w:val="both"/>
              <w:rPr>
                <w:rFonts w:eastAsia="Calibri"/>
                <w:b/>
                <w:sz w:val="28"/>
                <w:szCs w:val="28"/>
                <w:lang w:eastAsia="en-US"/>
              </w:rPr>
            </w:pPr>
            <w:r w:rsidRPr="00DB5743">
              <w:rPr>
                <w:rFonts w:eastAsia="Calibri"/>
                <w:b/>
                <w:sz w:val="28"/>
                <w:szCs w:val="28"/>
                <w:lang w:eastAsia="en-US"/>
              </w:rPr>
              <w:t>Прокуратура</w:t>
            </w:r>
          </w:p>
        </w:tc>
        <w:tc>
          <w:tcPr>
            <w:tcW w:w="1701" w:type="dxa"/>
            <w:tcBorders>
              <w:top w:val="single" w:sz="4" w:space="0" w:color="auto"/>
              <w:left w:val="single" w:sz="4" w:space="0" w:color="auto"/>
              <w:bottom w:val="single" w:sz="4" w:space="0" w:color="auto"/>
              <w:right w:val="single" w:sz="4" w:space="0" w:color="auto"/>
            </w:tcBorders>
          </w:tcPr>
          <w:p w:rsidR="002E30E5" w:rsidRPr="00DB5743" w:rsidRDefault="002E30E5" w:rsidP="002E30E5">
            <w:pPr>
              <w:ind w:firstLine="34"/>
              <w:jc w:val="center"/>
              <w:rPr>
                <w:rFonts w:eastAsia="Calibri"/>
                <w:b/>
                <w:sz w:val="28"/>
                <w:szCs w:val="28"/>
                <w:lang w:eastAsia="en-US"/>
              </w:rPr>
            </w:pPr>
            <w:r w:rsidRPr="00DB5743">
              <w:rPr>
                <w:rFonts w:eastAsia="Calibri"/>
                <w:b/>
                <w:sz w:val="28"/>
                <w:szCs w:val="28"/>
                <w:lang w:eastAsia="en-US"/>
              </w:rPr>
              <w:t>2023</w:t>
            </w:r>
          </w:p>
        </w:tc>
        <w:tc>
          <w:tcPr>
            <w:tcW w:w="1701" w:type="dxa"/>
            <w:tcBorders>
              <w:top w:val="single" w:sz="4" w:space="0" w:color="auto"/>
              <w:left w:val="single" w:sz="4" w:space="0" w:color="auto"/>
              <w:bottom w:val="single" w:sz="4" w:space="0" w:color="auto"/>
              <w:right w:val="single" w:sz="4" w:space="0" w:color="auto"/>
            </w:tcBorders>
            <w:hideMark/>
          </w:tcPr>
          <w:p w:rsidR="002E30E5" w:rsidRPr="00DB5743" w:rsidRDefault="002E30E5" w:rsidP="002E30E5">
            <w:pPr>
              <w:ind w:firstLine="34"/>
              <w:jc w:val="center"/>
              <w:rPr>
                <w:rFonts w:eastAsia="Calibri"/>
                <w:b/>
                <w:sz w:val="28"/>
                <w:szCs w:val="28"/>
                <w:lang w:eastAsia="en-US"/>
              </w:rPr>
            </w:pPr>
            <w:r w:rsidRPr="00DB5743">
              <w:rPr>
                <w:rFonts w:eastAsia="Calibri"/>
                <w:b/>
                <w:sz w:val="28"/>
                <w:szCs w:val="28"/>
                <w:lang w:eastAsia="en-US"/>
              </w:rPr>
              <w:t>2022 г.</w:t>
            </w:r>
          </w:p>
        </w:tc>
        <w:tc>
          <w:tcPr>
            <w:tcW w:w="1701" w:type="dxa"/>
            <w:tcBorders>
              <w:top w:val="single" w:sz="4" w:space="0" w:color="auto"/>
              <w:left w:val="single" w:sz="4" w:space="0" w:color="auto"/>
              <w:bottom w:val="single" w:sz="4" w:space="0" w:color="auto"/>
              <w:right w:val="single" w:sz="4" w:space="0" w:color="auto"/>
            </w:tcBorders>
            <w:hideMark/>
          </w:tcPr>
          <w:p w:rsidR="002E30E5" w:rsidRPr="00DB5743" w:rsidRDefault="002E30E5" w:rsidP="002E30E5">
            <w:pPr>
              <w:ind w:firstLine="34"/>
              <w:jc w:val="center"/>
              <w:rPr>
                <w:rFonts w:eastAsia="Calibri"/>
                <w:b/>
                <w:sz w:val="28"/>
                <w:szCs w:val="28"/>
                <w:lang w:eastAsia="en-US"/>
              </w:rPr>
            </w:pPr>
            <w:r w:rsidRPr="00DB5743">
              <w:rPr>
                <w:rFonts w:eastAsia="Calibri"/>
                <w:b/>
                <w:sz w:val="28"/>
                <w:szCs w:val="28"/>
                <w:lang w:eastAsia="en-US"/>
              </w:rPr>
              <w:t>2021 г.</w:t>
            </w:r>
          </w:p>
        </w:tc>
      </w:tr>
      <w:tr w:rsidR="002E30E5" w:rsidRPr="00DB5743" w:rsidTr="002E30E5">
        <w:tc>
          <w:tcPr>
            <w:tcW w:w="4219" w:type="dxa"/>
            <w:tcBorders>
              <w:top w:val="single" w:sz="4" w:space="0" w:color="auto"/>
              <w:left w:val="single" w:sz="4" w:space="0" w:color="auto"/>
              <w:bottom w:val="single" w:sz="4" w:space="0" w:color="auto"/>
              <w:right w:val="single" w:sz="4" w:space="0" w:color="auto"/>
            </w:tcBorders>
            <w:hideMark/>
          </w:tcPr>
          <w:p w:rsidR="002E30E5" w:rsidRPr="00DB5743" w:rsidRDefault="002E30E5" w:rsidP="002E30E5">
            <w:pPr>
              <w:jc w:val="both"/>
              <w:rPr>
                <w:rFonts w:eastAsia="Calibri"/>
                <w:b/>
                <w:sz w:val="28"/>
                <w:szCs w:val="28"/>
                <w:lang w:eastAsia="en-US"/>
              </w:rPr>
            </w:pPr>
            <w:r w:rsidRPr="00DB5743">
              <w:rPr>
                <w:rFonts w:eastAsia="Calibri"/>
                <w:b/>
                <w:sz w:val="28"/>
                <w:szCs w:val="28"/>
                <w:lang w:eastAsia="en-US"/>
              </w:rPr>
              <w:t>ОП - Варна</w:t>
            </w:r>
          </w:p>
        </w:tc>
        <w:tc>
          <w:tcPr>
            <w:tcW w:w="1701" w:type="dxa"/>
            <w:tcBorders>
              <w:top w:val="single" w:sz="4" w:space="0" w:color="auto"/>
              <w:left w:val="single" w:sz="4" w:space="0" w:color="auto"/>
              <w:bottom w:val="single" w:sz="4" w:space="0" w:color="auto"/>
              <w:right w:val="single" w:sz="4" w:space="0" w:color="auto"/>
            </w:tcBorders>
          </w:tcPr>
          <w:p w:rsidR="002E30E5" w:rsidRPr="00DB5743" w:rsidRDefault="002E30E5" w:rsidP="002E30E5">
            <w:pPr>
              <w:ind w:firstLine="34"/>
              <w:jc w:val="center"/>
              <w:rPr>
                <w:rFonts w:eastAsia="Calibri"/>
                <w:b/>
                <w:sz w:val="28"/>
                <w:szCs w:val="28"/>
                <w:lang w:eastAsia="en-US"/>
              </w:rPr>
            </w:pPr>
            <w:r w:rsidRPr="00DB5743">
              <w:rPr>
                <w:rFonts w:eastAsia="Calibri"/>
                <w:b/>
                <w:sz w:val="28"/>
                <w:szCs w:val="28"/>
                <w:lang w:eastAsia="en-US"/>
              </w:rPr>
              <w:t>167</w:t>
            </w:r>
          </w:p>
        </w:tc>
        <w:tc>
          <w:tcPr>
            <w:tcW w:w="1701" w:type="dxa"/>
            <w:tcBorders>
              <w:top w:val="single" w:sz="4" w:space="0" w:color="auto"/>
              <w:left w:val="single" w:sz="4" w:space="0" w:color="auto"/>
              <w:bottom w:val="single" w:sz="4" w:space="0" w:color="auto"/>
              <w:right w:val="single" w:sz="4" w:space="0" w:color="auto"/>
            </w:tcBorders>
            <w:hideMark/>
          </w:tcPr>
          <w:p w:rsidR="002E30E5" w:rsidRPr="00DB5743" w:rsidRDefault="002E30E5" w:rsidP="002E30E5">
            <w:pPr>
              <w:ind w:firstLine="34"/>
              <w:jc w:val="center"/>
              <w:rPr>
                <w:rFonts w:eastAsia="Calibri"/>
                <w:b/>
                <w:sz w:val="28"/>
                <w:szCs w:val="28"/>
                <w:lang w:eastAsia="en-US"/>
              </w:rPr>
            </w:pPr>
            <w:r w:rsidRPr="00DB5743">
              <w:rPr>
                <w:rFonts w:eastAsia="Calibri"/>
                <w:b/>
                <w:sz w:val="28"/>
                <w:szCs w:val="28"/>
                <w:lang w:eastAsia="en-US"/>
              </w:rPr>
              <w:t>139</w:t>
            </w:r>
          </w:p>
        </w:tc>
        <w:tc>
          <w:tcPr>
            <w:tcW w:w="1701" w:type="dxa"/>
            <w:tcBorders>
              <w:top w:val="single" w:sz="4" w:space="0" w:color="auto"/>
              <w:left w:val="single" w:sz="4" w:space="0" w:color="auto"/>
              <w:bottom w:val="single" w:sz="4" w:space="0" w:color="auto"/>
              <w:right w:val="single" w:sz="4" w:space="0" w:color="auto"/>
            </w:tcBorders>
            <w:hideMark/>
          </w:tcPr>
          <w:p w:rsidR="002E30E5" w:rsidRPr="00DB5743" w:rsidRDefault="002E30E5" w:rsidP="002E30E5">
            <w:pPr>
              <w:ind w:firstLine="34"/>
              <w:jc w:val="center"/>
              <w:rPr>
                <w:rFonts w:eastAsia="Calibri"/>
                <w:b/>
                <w:sz w:val="28"/>
                <w:szCs w:val="28"/>
                <w:lang w:eastAsia="en-US"/>
              </w:rPr>
            </w:pPr>
            <w:r w:rsidRPr="00DB5743">
              <w:rPr>
                <w:rFonts w:eastAsia="Calibri"/>
                <w:b/>
                <w:sz w:val="28"/>
                <w:szCs w:val="28"/>
                <w:lang w:eastAsia="en-US"/>
              </w:rPr>
              <w:t>151</w:t>
            </w:r>
          </w:p>
        </w:tc>
      </w:tr>
      <w:tr w:rsidR="002E30E5" w:rsidRPr="00DB5743" w:rsidTr="002E30E5">
        <w:tc>
          <w:tcPr>
            <w:tcW w:w="4219" w:type="dxa"/>
            <w:tcBorders>
              <w:top w:val="single" w:sz="4" w:space="0" w:color="auto"/>
              <w:left w:val="single" w:sz="4" w:space="0" w:color="auto"/>
              <w:bottom w:val="single" w:sz="4" w:space="0" w:color="auto"/>
              <w:right w:val="single" w:sz="4" w:space="0" w:color="auto"/>
            </w:tcBorders>
            <w:hideMark/>
          </w:tcPr>
          <w:p w:rsidR="002E30E5" w:rsidRPr="00DB5743" w:rsidRDefault="002E30E5" w:rsidP="002E30E5">
            <w:pPr>
              <w:jc w:val="both"/>
              <w:rPr>
                <w:rFonts w:eastAsia="Calibri"/>
                <w:b/>
                <w:sz w:val="28"/>
                <w:szCs w:val="28"/>
                <w:lang w:eastAsia="en-US"/>
              </w:rPr>
            </w:pPr>
            <w:r w:rsidRPr="00DB5743">
              <w:rPr>
                <w:rFonts w:eastAsia="Calibri"/>
                <w:b/>
                <w:sz w:val="28"/>
                <w:szCs w:val="28"/>
                <w:lang w:eastAsia="en-US"/>
              </w:rPr>
              <w:t>РП – Варна</w:t>
            </w:r>
          </w:p>
        </w:tc>
        <w:tc>
          <w:tcPr>
            <w:tcW w:w="1701" w:type="dxa"/>
            <w:tcBorders>
              <w:top w:val="single" w:sz="4" w:space="0" w:color="auto"/>
              <w:left w:val="single" w:sz="4" w:space="0" w:color="auto"/>
              <w:bottom w:val="single" w:sz="4" w:space="0" w:color="auto"/>
              <w:right w:val="single" w:sz="4" w:space="0" w:color="auto"/>
            </w:tcBorders>
          </w:tcPr>
          <w:p w:rsidR="002E30E5" w:rsidRPr="00DB5743" w:rsidRDefault="002E30E5" w:rsidP="002E30E5">
            <w:pPr>
              <w:ind w:firstLine="34"/>
              <w:jc w:val="center"/>
              <w:rPr>
                <w:rFonts w:eastAsia="Calibri"/>
                <w:b/>
                <w:sz w:val="28"/>
                <w:szCs w:val="28"/>
                <w:lang w:eastAsia="en-US"/>
              </w:rPr>
            </w:pPr>
            <w:r>
              <w:rPr>
                <w:rFonts w:eastAsia="Calibri"/>
                <w:b/>
                <w:sz w:val="28"/>
                <w:szCs w:val="28"/>
                <w:lang w:eastAsia="en-US"/>
              </w:rPr>
              <w:t>1657</w:t>
            </w:r>
          </w:p>
        </w:tc>
        <w:tc>
          <w:tcPr>
            <w:tcW w:w="1701" w:type="dxa"/>
            <w:tcBorders>
              <w:top w:val="single" w:sz="4" w:space="0" w:color="auto"/>
              <w:left w:val="single" w:sz="4" w:space="0" w:color="auto"/>
              <w:bottom w:val="single" w:sz="4" w:space="0" w:color="auto"/>
              <w:right w:val="single" w:sz="4" w:space="0" w:color="auto"/>
            </w:tcBorders>
            <w:hideMark/>
          </w:tcPr>
          <w:p w:rsidR="002E30E5" w:rsidRPr="00DB5743" w:rsidRDefault="002E30E5" w:rsidP="002E30E5">
            <w:pPr>
              <w:ind w:firstLine="34"/>
              <w:jc w:val="center"/>
              <w:rPr>
                <w:rFonts w:eastAsia="Calibri"/>
                <w:b/>
                <w:sz w:val="28"/>
                <w:szCs w:val="28"/>
                <w:lang w:eastAsia="en-US"/>
              </w:rPr>
            </w:pPr>
            <w:r w:rsidRPr="00DB5743">
              <w:rPr>
                <w:rFonts w:eastAsia="Calibri"/>
                <w:b/>
                <w:sz w:val="28"/>
                <w:szCs w:val="28"/>
                <w:lang w:eastAsia="en-US"/>
              </w:rPr>
              <w:t>1691</w:t>
            </w:r>
          </w:p>
        </w:tc>
        <w:tc>
          <w:tcPr>
            <w:tcW w:w="1701" w:type="dxa"/>
            <w:tcBorders>
              <w:top w:val="single" w:sz="4" w:space="0" w:color="auto"/>
              <w:left w:val="single" w:sz="4" w:space="0" w:color="auto"/>
              <w:bottom w:val="single" w:sz="4" w:space="0" w:color="auto"/>
              <w:right w:val="single" w:sz="4" w:space="0" w:color="auto"/>
            </w:tcBorders>
            <w:hideMark/>
          </w:tcPr>
          <w:p w:rsidR="002E30E5" w:rsidRPr="00DB5743" w:rsidRDefault="002E30E5" w:rsidP="002E30E5">
            <w:pPr>
              <w:ind w:firstLine="34"/>
              <w:jc w:val="center"/>
              <w:rPr>
                <w:rFonts w:eastAsia="Calibri"/>
                <w:b/>
                <w:sz w:val="28"/>
                <w:szCs w:val="28"/>
                <w:lang w:eastAsia="en-US"/>
              </w:rPr>
            </w:pPr>
            <w:r w:rsidRPr="00DB5743">
              <w:rPr>
                <w:rFonts w:eastAsia="Calibri"/>
                <w:b/>
                <w:sz w:val="28"/>
                <w:szCs w:val="28"/>
                <w:lang w:eastAsia="en-US"/>
              </w:rPr>
              <w:t>1529</w:t>
            </w:r>
          </w:p>
        </w:tc>
      </w:tr>
      <w:tr w:rsidR="002E30E5" w:rsidRPr="00DB5743" w:rsidTr="002E30E5">
        <w:tc>
          <w:tcPr>
            <w:tcW w:w="4219" w:type="dxa"/>
            <w:tcBorders>
              <w:top w:val="single" w:sz="4" w:space="0" w:color="auto"/>
              <w:left w:val="single" w:sz="4" w:space="0" w:color="auto"/>
              <w:bottom w:val="single" w:sz="4" w:space="0" w:color="auto"/>
              <w:right w:val="single" w:sz="4" w:space="0" w:color="auto"/>
            </w:tcBorders>
            <w:hideMark/>
          </w:tcPr>
          <w:p w:rsidR="002E30E5" w:rsidRPr="00DB5743" w:rsidRDefault="002E30E5" w:rsidP="002E30E5">
            <w:pPr>
              <w:jc w:val="both"/>
              <w:rPr>
                <w:rFonts w:eastAsia="Calibri"/>
                <w:b/>
                <w:sz w:val="28"/>
                <w:szCs w:val="28"/>
                <w:lang w:eastAsia="en-US"/>
              </w:rPr>
            </w:pPr>
            <w:r w:rsidRPr="00DB5743">
              <w:rPr>
                <w:rFonts w:eastAsia="Calibri"/>
                <w:b/>
                <w:sz w:val="28"/>
                <w:szCs w:val="28"/>
                <w:lang w:eastAsia="en-US"/>
              </w:rPr>
              <w:t>Общо за региона на ОП Варна</w:t>
            </w:r>
          </w:p>
        </w:tc>
        <w:tc>
          <w:tcPr>
            <w:tcW w:w="1701" w:type="dxa"/>
            <w:tcBorders>
              <w:top w:val="single" w:sz="4" w:space="0" w:color="auto"/>
              <w:left w:val="single" w:sz="4" w:space="0" w:color="auto"/>
              <w:bottom w:val="single" w:sz="4" w:space="0" w:color="auto"/>
              <w:right w:val="single" w:sz="4" w:space="0" w:color="auto"/>
            </w:tcBorders>
          </w:tcPr>
          <w:p w:rsidR="002E30E5" w:rsidRPr="00DB5743" w:rsidRDefault="002E30E5" w:rsidP="002E30E5">
            <w:pPr>
              <w:ind w:firstLine="34"/>
              <w:jc w:val="center"/>
              <w:rPr>
                <w:rFonts w:eastAsia="Calibri"/>
                <w:b/>
                <w:sz w:val="28"/>
                <w:szCs w:val="28"/>
                <w:lang w:eastAsia="en-US"/>
              </w:rPr>
            </w:pPr>
            <w:r w:rsidRPr="00DB5743">
              <w:rPr>
                <w:rFonts w:eastAsia="Calibri"/>
                <w:b/>
                <w:sz w:val="28"/>
                <w:szCs w:val="28"/>
                <w:lang w:eastAsia="en-US"/>
              </w:rPr>
              <w:t>1824</w:t>
            </w:r>
          </w:p>
        </w:tc>
        <w:tc>
          <w:tcPr>
            <w:tcW w:w="1701" w:type="dxa"/>
            <w:tcBorders>
              <w:top w:val="single" w:sz="4" w:space="0" w:color="auto"/>
              <w:left w:val="single" w:sz="4" w:space="0" w:color="auto"/>
              <w:bottom w:val="single" w:sz="4" w:space="0" w:color="auto"/>
              <w:right w:val="single" w:sz="4" w:space="0" w:color="auto"/>
            </w:tcBorders>
            <w:hideMark/>
          </w:tcPr>
          <w:p w:rsidR="002E30E5" w:rsidRPr="00DB5743" w:rsidRDefault="002E30E5" w:rsidP="002E30E5">
            <w:pPr>
              <w:ind w:firstLine="34"/>
              <w:jc w:val="center"/>
              <w:rPr>
                <w:rFonts w:eastAsia="Calibri"/>
                <w:b/>
                <w:sz w:val="28"/>
                <w:szCs w:val="28"/>
                <w:lang w:eastAsia="en-US"/>
              </w:rPr>
            </w:pPr>
            <w:r w:rsidRPr="00DB5743">
              <w:rPr>
                <w:rFonts w:eastAsia="Calibri"/>
                <w:b/>
                <w:sz w:val="28"/>
                <w:szCs w:val="28"/>
                <w:lang w:eastAsia="en-US"/>
              </w:rPr>
              <w:t>1830</w:t>
            </w:r>
          </w:p>
        </w:tc>
        <w:tc>
          <w:tcPr>
            <w:tcW w:w="1701" w:type="dxa"/>
            <w:tcBorders>
              <w:top w:val="single" w:sz="4" w:space="0" w:color="auto"/>
              <w:left w:val="single" w:sz="4" w:space="0" w:color="auto"/>
              <w:bottom w:val="single" w:sz="4" w:space="0" w:color="auto"/>
              <w:right w:val="single" w:sz="4" w:space="0" w:color="auto"/>
            </w:tcBorders>
            <w:hideMark/>
          </w:tcPr>
          <w:p w:rsidR="002E30E5" w:rsidRPr="00DB5743" w:rsidRDefault="002E30E5" w:rsidP="002E30E5">
            <w:pPr>
              <w:ind w:firstLine="34"/>
              <w:jc w:val="center"/>
              <w:rPr>
                <w:rFonts w:eastAsia="Calibri"/>
                <w:b/>
                <w:sz w:val="28"/>
                <w:szCs w:val="28"/>
                <w:lang w:eastAsia="en-US"/>
              </w:rPr>
            </w:pPr>
            <w:r w:rsidRPr="00DB5743">
              <w:rPr>
                <w:rFonts w:eastAsia="Calibri"/>
                <w:b/>
                <w:sz w:val="28"/>
                <w:szCs w:val="28"/>
                <w:lang w:eastAsia="en-US"/>
              </w:rPr>
              <w:t>1680</w:t>
            </w:r>
          </w:p>
        </w:tc>
      </w:tr>
    </w:tbl>
    <w:p w:rsidR="002E30E5" w:rsidRDefault="002E30E5" w:rsidP="002E30E5">
      <w:pPr>
        <w:ind w:firstLine="709"/>
        <w:jc w:val="center"/>
        <w:rPr>
          <w:rFonts w:eastAsia="Calibri"/>
          <w:sz w:val="28"/>
          <w:szCs w:val="28"/>
        </w:rPr>
      </w:pPr>
    </w:p>
    <w:p w:rsidR="002E30E5" w:rsidRPr="005A1AFB" w:rsidRDefault="002E30E5" w:rsidP="002E30E5">
      <w:pPr>
        <w:ind w:firstLine="709"/>
        <w:jc w:val="center"/>
        <w:rPr>
          <w:rFonts w:eastAsia="Calibri"/>
          <w:sz w:val="28"/>
          <w:szCs w:val="28"/>
        </w:rPr>
      </w:pPr>
      <w:r w:rsidRPr="005A1AFB">
        <w:rPr>
          <w:rFonts w:eastAsia="Calibri"/>
          <w:sz w:val="28"/>
          <w:szCs w:val="28"/>
        </w:rPr>
        <w:lastRenderedPageBreak/>
        <w:t>Общ брой внесени в съда прокурорски актове:</w:t>
      </w:r>
    </w:p>
    <w:p w:rsidR="002E30E5" w:rsidRPr="00152E2B" w:rsidRDefault="002E30E5" w:rsidP="002E30E5">
      <w:pPr>
        <w:ind w:firstLine="709"/>
        <w:jc w:val="both"/>
        <w:rPr>
          <w:rFonts w:eastAsia="Calibri"/>
          <w:color w:val="FF0000"/>
          <w:sz w:val="28"/>
          <w:szCs w:val="28"/>
        </w:rPr>
      </w:pPr>
      <w:r w:rsidRPr="00152E2B">
        <w:rPr>
          <w:rFonts w:eastAsia="Calibri"/>
          <w:noProof/>
          <w:color w:val="FF0000"/>
          <w:sz w:val="28"/>
          <w:szCs w:val="28"/>
        </w:rPr>
        <w:drawing>
          <wp:inline distT="0" distB="0" distL="0" distR="0" wp14:anchorId="2775927D" wp14:editId="6481828D">
            <wp:extent cx="5502275" cy="3228340"/>
            <wp:effectExtent l="0" t="0" r="22225" b="10160"/>
            <wp:docPr id="14" name="Ди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30E5" w:rsidRPr="00152E2B" w:rsidRDefault="002E30E5" w:rsidP="002E30E5">
      <w:pPr>
        <w:ind w:firstLine="709"/>
        <w:jc w:val="both"/>
        <w:rPr>
          <w:rFonts w:eastAsia="Calibri"/>
          <w:color w:val="FF0000"/>
          <w:sz w:val="28"/>
          <w:szCs w:val="28"/>
        </w:rPr>
      </w:pPr>
    </w:p>
    <w:p w:rsidR="002E30E5" w:rsidRPr="00DB5743" w:rsidRDefault="002E30E5" w:rsidP="002E30E5">
      <w:pPr>
        <w:ind w:firstLine="709"/>
        <w:jc w:val="both"/>
        <w:rPr>
          <w:rFonts w:eastAsia="Calibri"/>
          <w:sz w:val="28"/>
          <w:szCs w:val="28"/>
        </w:rPr>
      </w:pPr>
      <w:r w:rsidRPr="00DB5743">
        <w:rPr>
          <w:rFonts w:eastAsia="Calibri"/>
          <w:sz w:val="28"/>
          <w:szCs w:val="28"/>
        </w:rPr>
        <w:t>Разграничени по видове, изготвените прокурорски актове в съдебния район се разпределят така:</w:t>
      </w:r>
    </w:p>
    <w:p w:rsidR="002E30E5" w:rsidRPr="00761F4E" w:rsidRDefault="002E30E5" w:rsidP="002E30E5">
      <w:pPr>
        <w:ind w:firstLine="709"/>
        <w:jc w:val="both"/>
        <w:rPr>
          <w:rFonts w:eastAsia="Calibri"/>
          <w:sz w:val="28"/>
          <w:szCs w:val="28"/>
        </w:rPr>
      </w:pPr>
      <w:r w:rsidRPr="00761F4E">
        <w:rPr>
          <w:rFonts w:eastAsia="Calibri"/>
          <w:b/>
          <w:sz w:val="28"/>
          <w:szCs w:val="28"/>
        </w:rPr>
        <w:t>1.</w:t>
      </w:r>
      <w:proofErr w:type="spellStart"/>
      <w:r w:rsidRPr="00761F4E">
        <w:rPr>
          <w:rFonts w:eastAsia="Calibri"/>
          <w:b/>
          <w:sz w:val="28"/>
          <w:szCs w:val="28"/>
        </w:rPr>
        <w:t>1</w:t>
      </w:r>
      <w:proofErr w:type="spellEnd"/>
      <w:r w:rsidRPr="00761F4E">
        <w:rPr>
          <w:rFonts w:eastAsia="Calibri"/>
          <w:b/>
          <w:sz w:val="28"/>
          <w:szCs w:val="28"/>
        </w:rPr>
        <w:t>.1.Изготвени обвинителни актове</w:t>
      </w:r>
      <w:r w:rsidRPr="00761F4E">
        <w:rPr>
          <w:rFonts w:eastAsia="Calibri"/>
          <w:sz w:val="28"/>
          <w:szCs w:val="28"/>
        </w:rPr>
        <w:t xml:space="preserve"> </w:t>
      </w:r>
    </w:p>
    <w:tbl>
      <w:tblPr>
        <w:tblStyle w:val="a4"/>
        <w:tblW w:w="9288" w:type="dxa"/>
        <w:tblLook w:val="04A0" w:firstRow="1" w:lastRow="0" w:firstColumn="1" w:lastColumn="0" w:noHBand="0" w:noVBand="1"/>
      </w:tblPr>
      <w:tblGrid>
        <w:gridCol w:w="4206"/>
        <w:gridCol w:w="1692"/>
        <w:gridCol w:w="1695"/>
        <w:gridCol w:w="1695"/>
      </w:tblGrid>
      <w:tr w:rsidR="002E30E5" w:rsidRPr="00761F4E" w:rsidTr="002E30E5">
        <w:tc>
          <w:tcPr>
            <w:tcW w:w="4206" w:type="dxa"/>
            <w:tcBorders>
              <w:top w:val="single" w:sz="4" w:space="0" w:color="auto"/>
              <w:left w:val="single" w:sz="4" w:space="0" w:color="auto"/>
              <w:bottom w:val="single" w:sz="4" w:space="0" w:color="auto"/>
              <w:right w:val="single" w:sz="4" w:space="0" w:color="auto"/>
            </w:tcBorders>
            <w:hideMark/>
          </w:tcPr>
          <w:p w:rsidR="002E30E5" w:rsidRPr="00761F4E" w:rsidRDefault="002E30E5" w:rsidP="002E30E5">
            <w:pPr>
              <w:jc w:val="both"/>
              <w:rPr>
                <w:rFonts w:eastAsia="Calibri"/>
                <w:b/>
                <w:sz w:val="28"/>
                <w:szCs w:val="28"/>
                <w:lang w:eastAsia="en-US"/>
              </w:rPr>
            </w:pPr>
            <w:r w:rsidRPr="00761F4E">
              <w:rPr>
                <w:rFonts w:eastAsia="Calibri"/>
                <w:b/>
                <w:sz w:val="28"/>
                <w:szCs w:val="28"/>
                <w:lang w:eastAsia="en-US"/>
              </w:rPr>
              <w:t>Прокуратура</w:t>
            </w:r>
          </w:p>
        </w:tc>
        <w:tc>
          <w:tcPr>
            <w:tcW w:w="1692" w:type="dxa"/>
            <w:tcBorders>
              <w:top w:val="single" w:sz="4" w:space="0" w:color="auto"/>
              <w:left w:val="single" w:sz="4" w:space="0" w:color="auto"/>
              <w:bottom w:val="single" w:sz="4" w:space="0" w:color="auto"/>
              <w:right w:val="single" w:sz="4" w:space="0" w:color="auto"/>
            </w:tcBorders>
          </w:tcPr>
          <w:p w:rsidR="002E30E5" w:rsidRPr="00761F4E" w:rsidRDefault="002E30E5" w:rsidP="002E30E5">
            <w:pPr>
              <w:jc w:val="center"/>
              <w:rPr>
                <w:rFonts w:eastAsia="Calibri"/>
                <w:b/>
                <w:sz w:val="28"/>
                <w:szCs w:val="28"/>
                <w:lang w:eastAsia="en-US"/>
              </w:rPr>
            </w:pPr>
            <w:r w:rsidRPr="00761F4E">
              <w:rPr>
                <w:rFonts w:eastAsia="Calibri"/>
                <w:b/>
                <w:sz w:val="28"/>
                <w:szCs w:val="28"/>
                <w:lang w:eastAsia="en-US"/>
              </w:rPr>
              <w:t>2023</w:t>
            </w:r>
          </w:p>
        </w:tc>
        <w:tc>
          <w:tcPr>
            <w:tcW w:w="1695" w:type="dxa"/>
            <w:tcBorders>
              <w:top w:val="single" w:sz="4" w:space="0" w:color="auto"/>
              <w:left w:val="single" w:sz="4" w:space="0" w:color="auto"/>
              <w:bottom w:val="single" w:sz="4" w:space="0" w:color="auto"/>
              <w:right w:val="single" w:sz="4" w:space="0" w:color="auto"/>
            </w:tcBorders>
            <w:hideMark/>
          </w:tcPr>
          <w:p w:rsidR="002E30E5" w:rsidRPr="00761F4E" w:rsidRDefault="002E30E5" w:rsidP="002E30E5">
            <w:pPr>
              <w:jc w:val="center"/>
              <w:rPr>
                <w:rFonts w:eastAsia="Calibri"/>
                <w:b/>
                <w:sz w:val="28"/>
                <w:szCs w:val="28"/>
                <w:lang w:eastAsia="en-US"/>
              </w:rPr>
            </w:pPr>
            <w:r w:rsidRPr="00761F4E">
              <w:rPr>
                <w:rFonts w:eastAsia="Calibri"/>
                <w:b/>
                <w:sz w:val="28"/>
                <w:szCs w:val="28"/>
                <w:lang w:eastAsia="en-US"/>
              </w:rPr>
              <w:t>2022 г.</w:t>
            </w:r>
          </w:p>
        </w:tc>
        <w:tc>
          <w:tcPr>
            <w:tcW w:w="1695" w:type="dxa"/>
            <w:tcBorders>
              <w:top w:val="single" w:sz="4" w:space="0" w:color="auto"/>
              <w:left w:val="single" w:sz="4" w:space="0" w:color="auto"/>
              <w:bottom w:val="single" w:sz="4" w:space="0" w:color="auto"/>
              <w:right w:val="single" w:sz="4" w:space="0" w:color="auto"/>
            </w:tcBorders>
            <w:hideMark/>
          </w:tcPr>
          <w:p w:rsidR="002E30E5" w:rsidRPr="00761F4E" w:rsidRDefault="002E30E5" w:rsidP="002E30E5">
            <w:pPr>
              <w:jc w:val="center"/>
              <w:rPr>
                <w:rFonts w:eastAsia="Calibri"/>
                <w:b/>
                <w:sz w:val="28"/>
                <w:szCs w:val="28"/>
                <w:lang w:eastAsia="en-US"/>
              </w:rPr>
            </w:pPr>
            <w:r w:rsidRPr="00761F4E">
              <w:rPr>
                <w:rFonts w:eastAsia="Calibri"/>
                <w:b/>
                <w:sz w:val="28"/>
                <w:szCs w:val="28"/>
                <w:lang w:eastAsia="en-US"/>
              </w:rPr>
              <w:t>2021 г.</w:t>
            </w:r>
          </w:p>
        </w:tc>
      </w:tr>
      <w:tr w:rsidR="002E30E5" w:rsidRPr="00761F4E" w:rsidTr="002E30E5">
        <w:tc>
          <w:tcPr>
            <w:tcW w:w="4206" w:type="dxa"/>
            <w:tcBorders>
              <w:top w:val="single" w:sz="4" w:space="0" w:color="auto"/>
              <w:left w:val="single" w:sz="4" w:space="0" w:color="auto"/>
              <w:bottom w:val="single" w:sz="4" w:space="0" w:color="auto"/>
              <w:right w:val="single" w:sz="4" w:space="0" w:color="auto"/>
            </w:tcBorders>
            <w:hideMark/>
          </w:tcPr>
          <w:p w:rsidR="002E30E5" w:rsidRPr="00761F4E" w:rsidRDefault="002E30E5" w:rsidP="002E30E5">
            <w:pPr>
              <w:jc w:val="both"/>
              <w:rPr>
                <w:rFonts w:eastAsia="Calibri"/>
                <w:b/>
                <w:sz w:val="28"/>
                <w:szCs w:val="28"/>
                <w:lang w:eastAsia="en-US"/>
              </w:rPr>
            </w:pPr>
            <w:r w:rsidRPr="00761F4E">
              <w:rPr>
                <w:rFonts w:eastAsia="Calibri"/>
                <w:b/>
                <w:sz w:val="28"/>
                <w:szCs w:val="28"/>
                <w:lang w:eastAsia="en-US"/>
              </w:rPr>
              <w:t>ОП - Варна</w:t>
            </w:r>
          </w:p>
        </w:tc>
        <w:tc>
          <w:tcPr>
            <w:tcW w:w="1692" w:type="dxa"/>
            <w:tcBorders>
              <w:top w:val="single" w:sz="4" w:space="0" w:color="auto"/>
              <w:left w:val="single" w:sz="4" w:space="0" w:color="auto"/>
              <w:bottom w:val="single" w:sz="4" w:space="0" w:color="auto"/>
              <w:right w:val="single" w:sz="4" w:space="0" w:color="auto"/>
            </w:tcBorders>
          </w:tcPr>
          <w:p w:rsidR="002E30E5" w:rsidRPr="00761F4E" w:rsidRDefault="002E30E5" w:rsidP="002E30E5">
            <w:pPr>
              <w:jc w:val="center"/>
              <w:rPr>
                <w:rFonts w:eastAsia="Calibri"/>
                <w:b/>
                <w:sz w:val="28"/>
                <w:szCs w:val="28"/>
                <w:lang w:eastAsia="en-US"/>
              </w:rPr>
            </w:pPr>
            <w:r w:rsidRPr="00761F4E">
              <w:rPr>
                <w:rFonts w:eastAsia="Calibri"/>
                <w:b/>
                <w:sz w:val="28"/>
                <w:szCs w:val="28"/>
                <w:lang w:eastAsia="en-US"/>
              </w:rPr>
              <w:t>89</w:t>
            </w:r>
          </w:p>
        </w:tc>
        <w:tc>
          <w:tcPr>
            <w:tcW w:w="1695" w:type="dxa"/>
            <w:tcBorders>
              <w:top w:val="single" w:sz="4" w:space="0" w:color="auto"/>
              <w:left w:val="single" w:sz="4" w:space="0" w:color="auto"/>
              <w:bottom w:val="single" w:sz="4" w:space="0" w:color="auto"/>
              <w:right w:val="single" w:sz="4" w:space="0" w:color="auto"/>
            </w:tcBorders>
            <w:hideMark/>
          </w:tcPr>
          <w:p w:rsidR="002E30E5" w:rsidRPr="00761F4E" w:rsidRDefault="002E30E5" w:rsidP="002E30E5">
            <w:pPr>
              <w:jc w:val="center"/>
              <w:rPr>
                <w:rFonts w:eastAsia="Calibri"/>
                <w:b/>
                <w:sz w:val="28"/>
                <w:szCs w:val="28"/>
                <w:lang w:eastAsia="en-US"/>
              </w:rPr>
            </w:pPr>
            <w:r w:rsidRPr="00761F4E">
              <w:rPr>
                <w:rFonts w:eastAsia="Calibri"/>
                <w:b/>
                <w:sz w:val="28"/>
                <w:szCs w:val="28"/>
                <w:lang w:eastAsia="en-US"/>
              </w:rPr>
              <w:t>84</w:t>
            </w:r>
          </w:p>
        </w:tc>
        <w:tc>
          <w:tcPr>
            <w:tcW w:w="1695" w:type="dxa"/>
            <w:tcBorders>
              <w:top w:val="single" w:sz="4" w:space="0" w:color="auto"/>
              <w:left w:val="single" w:sz="4" w:space="0" w:color="auto"/>
              <w:bottom w:val="single" w:sz="4" w:space="0" w:color="auto"/>
              <w:right w:val="single" w:sz="4" w:space="0" w:color="auto"/>
            </w:tcBorders>
            <w:hideMark/>
          </w:tcPr>
          <w:p w:rsidR="002E30E5" w:rsidRPr="00761F4E" w:rsidRDefault="002E30E5" w:rsidP="002E30E5">
            <w:pPr>
              <w:jc w:val="center"/>
              <w:rPr>
                <w:rFonts w:eastAsia="Calibri"/>
                <w:b/>
                <w:sz w:val="28"/>
                <w:szCs w:val="28"/>
                <w:lang w:eastAsia="en-US"/>
              </w:rPr>
            </w:pPr>
            <w:r w:rsidRPr="00761F4E">
              <w:rPr>
                <w:rFonts w:eastAsia="Calibri"/>
                <w:b/>
                <w:sz w:val="28"/>
                <w:szCs w:val="28"/>
                <w:lang w:eastAsia="en-US"/>
              </w:rPr>
              <w:t>101</w:t>
            </w:r>
          </w:p>
        </w:tc>
      </w:tr>
      <w:tr w:rsidR="002E30E5" w:rsidRPr="00761F4E" w:rsidTr="002E30E5">
        <w:tc>
          <w:tcPr>
            <w:tcW w:w="4206" w:type="dxa"/>
            <w:tcBorders>
              <w:top w:val="single" w:sz="4" w:space="0" w:color="auto"/>
              <w:left w:val="single" w:sz="4" w:space="0" w:color="auto"/>
              <w:bottom w:val="single" w:sz="4" w:space="0" w:color="auto"/>
              <w:right w:val="single" w:sz="4" w:space="0" w:color="auto"/>
            </w:tcBorders>
            <w:hideMark/>
          </w:tcPr>
          <w:p w:rsidR="002E30E5" w:rsidRPr="00761F4E" w:rsidRDefault="002E30E5" w:rsidP="002E30E5">
            <w:pPr>
              <w:jc w:val="both"/>
              <w:rPr>
                <w:rFonts w:eastAsia="Calibri"/>
                <w:b/>
                <w:sz w:val="28"/>
                <w:szCs w:val="28"/>
                <w:lang w:eastAsia="en-US"/>
              </w:rPr>
            </w:pPr>
            <w:r w:rsidRPr="00761F4E">
              <w:rPr>
                <w:rFonts w:eastAsia="Calibri"/>
                <w:b/>
                <w:sz w:val="28"/>
                <w:szCs w:val="28"/>
                <w:lang w:eastAsia="en-US"/>
              </w:rPr>
              <w:t>РП – Варна</w:t>
            </w:r>
          </w:p>
        </w:tc>
        <w:tc>
          <w:tcPr>
            <w:tcW w:w="1692" w:type="dxa"/>
            <w:tcBorders>
              <w:top w:val="single" w:sz="4" w:space="0" w:color="auto"/>
              <w:left w:val="single" w:sz="4" w:space="0" w:color="auto"/>
              <w:bottom w:val="single" w:sz="4" w:space="0" w:color="auto"/>
              <w:right w:val="single" w:sz="4" w:space="0" w:color="auto"/>
            </w:tcBorders>
          </w:tcPr>
          <w:p w:rsidR="002E30E5" w:rsidRPr="00761F4E" w:rsidRDefault="002E30E5" w:rsidP="002E30E5">
            <w:pPr>
              <w:jc w:val="center"/>
              <w:rPr>
                <w:rFonts w:eastAsia="Calibri"/>
                <w:b/>
                <w:sz w:val="28"/>
                <w:szCs w:val="28"/>
                <w:lang w:eastAsia="en-US"/>
              </w:rPr>
            </w:pPr>
            <w:r w:rsidRPr="00761F4E">
              <w:rPr>
                <w:rFonts w:eastAsia="Calibri"/>
                <w:b/>
                <w:sz w:val="28"/>
                <w:szCs w:val="28"/>
                <w:lang w:eastAsia="en-US"/>
              </w:rPr>
              <w:t>1136</w:t>
            </w:r>
          </w:p>
        </w:tc>
        <w:tc>
          <w:tcPr>
            <w:tcW w:w="1695" w:type="dxa"/>
            <w:tcBorders>
              <w:top w:val="single" w:sz="4" w:space="0" w:color="auto"/>
              <w:left w:val="single" w:sz="4" w:space="0" w:color="auto"/>
              <w:bottom w:val="single" w:sz="4" w:space="0" w:color="auto"/>
              <w:right w:val="single" w:sz="4" w:space="0" w:color="auto"/>
            </w:tcBorders>
            <w:hideMark/>
          </w:tcPr>
          <w:p w:rsidR="002E30E5" w:rsidRPr="00761F4E" w:rsidRDefault="002E30E5" w:rsidP="002E30E5">
            <w:pPr>
              <w:jc w:val="center"/>
              <w:rPr>
                <w:rFonts w:eastAsia="Calibri"/>
                <w:b/>
                <w:sz w:val="28"/>
                <w:szCs w:val="28"/>
                <w:lang w:eastAsia="en-US"/>
              </w:rPr>
            </w:pPr>
            <w:r w:rsidRPr="00761F4E">
              <w:rPr>
                <w:rFonts w:eastAsia="Calibri"/>
                <w:b/>
                <w:sz w:val="28"/>
                <w:szCs w:val="28"/>
                <w:lang w:eastAsia="en-US"/>
              </w:rPr>
              <w:t>1088</w:t>
            </w:r>
          </w:p>
        </w:tc>
        <w:tc>
          <w:tcPr>
            <w:tcW w:w="1695" w:type="dxa"/>
            <w:tcBorders>
              <w:top w:val="single" w:sz="4" w:space="0" w:color="auto"/>
              <w:left w:val="single" w:sz="4" w:space="0" w:color="auto"/>
              <w:bottom w:val="single" w:sz="4" w:space="0" w:color="auto"/>
              <w:right w:val="single" w:sz="4" w:space="0" w:color="auto"/>
            </w:tcBorders>
            <w:hideMark/>
          </w:tcPr>
          <w:p w:rsidR="002E30E5" w:rsidRPr="00761F4E" w:rsidRDefault="002E30E5" w:rsidP="002E30E5">
            <w:pPr>
              <w:jc w:val="center"/>
              <w:rPr>
                <w:rFonts w:eastAsia="Calibri"/>
                <w:b/>
                <w:sz w:val="28"/>
                <w:szCs w:val="28"/>
                <w:lang w:eastAsia="en-US"/>
              </w:rPr>
            </w:pPr>
            <w:r w:rsidRPr="00761F4E">
              <w:rPr>
                <w:rFonts w:eastAsia="Calibri"/>
                <w:b/>
                <w:sz w:val="28"/>
                <w:szCs w:val="28"/>
                <w:lang w:eastAsia="en-US"/>
              </w:rPr>
              <w:t>980</w:t>
            </w:r>
          </w:p>
        </w:tc>
      </w:tr>
      <w:tr w:rsidR="002E30E5" w:rsidRPr="00761F4E" w:rsidTr="002E30E5">
        <w:tc>
          <w:tcPr>
            <w:tcW w:w="4206" w:type="dxa"/>
            <w:tcBorders>
              <w:top w:val="single" w:sz="4" w:space="0" w:color="auto"/>
              <w:left w:val="single" w:sz="4" w:space="0" w:color="auto"/>
              <w:bottom w:val="single" w:sz="4" w:space="0" w:color="auto"/>
              <w:right w:val="single" w:sz="4" w:space="0" w:color="auto"/>
            </w:tcBorders>
            <w:hideMark/>
          </w:tcPr>
          <w:p w:rsidR="002E30E5" w:rsidRPr="00761F4E" w:rsidRDefault="002E30E5" w:rsidP="002E30E5">
            <w:pPr>
              <w:jc w:val="both"/>
              <w:rPr>
                <w:rFonts w:eastAsia="Calibri"/>
                <w:b/>
                <w:sz w:val="28"/>
                <w:szCs w:val="28"/>
                <w:lang w:eastAsia="en-US"/>
              </w:rPr>
            </w:pPr>
            <w:r w:rsidRPr="00761F4E">
              <w:rPr>
                <w:rFonts w:eastAsia="Calibri"/>
                <w:b/>
                <w:sz w:val="28"/>
                <w:szCs w:val="28"/>
                <w:lang w:eastAsia="en-US"/>
              </w:rPr>
              <w:t>Общо за региона на ОП Варна</w:t>
            </w:r>
          </w:p>
        </w:tc>
        <w:tc>
          <w:tcPr>
            <w:tcW w:w="1692" w:type="dxa"/>
            <w:tcBorders>
              <w:top w:val="single" w:sz="4" w:space="0" w:color="auto"/>
              <w:left w:val="single" w:sz="4" w:space="0" w:color="auto"/>
              <w:bottom w:val="single" w:sz="4" w:space="0" w:color="auto"/>
              <w:right w:val="single" w:sz="4" w:space="0" w:color="auto"/>
            </w:tcBorders>
          </w:tcPr>
          <w:p w:rsidR="002E30E5" w:rsidRPr="00761F4E" w:rsidRDefault="002E30E5" w:rsidP="002E30E5">
            <w:pPr>
              <w:jc w:val="center"/>
              <w:rPr>
                <w:rFonts w:eastAsia="Calibri"/>
                <w:b/>
                <w:sz w:val="28"/>
                <w:szCs w:val="28"/>
                <w:lang w:eastAsia="en-US"/>
              </w:rPr>
            </w:pPr>
            <w:r w:rsidRPr="00761F4E">
              <w:rPr>
                <w:rFonts w:eastAsia="Calibri"/>
                <w:b/>
                <w:sz w:val="28"/>
                <w:szCs w:val="28"/>
                <w:lang w:eastAsia="en-US"/>
              </w:rPr>
              <w:t>1225</w:t>
            </w:r>
          </w:p>
        </w:tc>
        <w:tc>
          <w:tcPr>
            <w:tcW w:w="1695" w:type="dxa"/>
            <w:tcBorders>
              <w:top w:val="single" w:sz="4" w:space="0" w:color="auto"/>
              <w:left w:val="single" w:sz="4" w:space="0" w:color="auto"/>
              <w:bottom w:val="single" w:sz="4" w:space="0" w:color="auto"/>
              <w:right w:val="single" w:sz="4" w:space="0" w:color="auto"/>
            </w:tcBorders>
            <w:hideMark/>
          </w:tcPr>
          <w:p w:rsidR="002E30E5" w:rsidRPr="00761F4E" w:rsidRDefault="002E30E5" w:rsidP="002E30E5">
            <w:pPr>
              <w:jc w:val="center"/>
              <w:rPr>
                <w:rFonts w:eastAsia="Calibri"/>
                <w:b/>
                <w:sz w:val="28"/>
                <w:szCs w:val="28"/>
                <w:lang w:eastAsia="en-US"/>
              </w:rPr>
            </w:pPr>
            <w:r w:rsidRPr="00761F4E">
              <w:rPr>
                <w:rFonts w:eastAsia="Calibri"/>
                <w:b/>
                <w:sz w:val="28"/>
                <w:szCs w:val="28"/>
                <w:lang w:eastAsia="en-US"/>
              </w:rPr>
              <w:t>1172</w:t>
            </w:r>
          </w:p>
        </w:tc>
        <w:tc>
          <w:tcPr>
            <w:tcW w:w="1695" w:type="dxa"/>
            <w:tcBorders>
              <w:top w:val="single" w:sz="4" w:space="0" w:color="auto"/>
              <w:left w:val="single" w:sz="4" w:space="0" w:color="auto"/>
              <w:bottom w:val="single" w:sz="4" w:space="0" w:color="auto"/>
              <w:right w:val="single" w:sz="4" w:space="0" w:color="auto"/>
            </w:tcBorders>
            <w:hideMark/>
          </w:tcPr>
          <w:p w:rsidR="002E30E5" w:rsidRPr="00761F4E" w:rsidRDefault="002E30E5" w:rsidP="002E30E5">
            <w:pPr>
              <w:jc w:val="center"/>
              <w:rPr>
                <w:rFonts w:eastAsia="Calibri"/>
                <w:b/>
                <w:sz w:val="28"/>
                <w:szCs w:val="28"/>
                <w:lang w:eastAsia="en-US"/>
              </w:rPr>
            </w:pPr>
            <w:r w:rsidRPr="00761F4E">
              <w:rPr>
                <w:rFonts w:eastAsia="Calibri"/>
                <w:b/>
                <w:sz w:val="28"/>
                <w:szCs w:val="28"/>
                <w:lang w:eastAsia="en-US"/>
              </w:rPr>
              <w:t>1081</w:t>
            </w:r>
          </w:p>
        </w:tc>
      </w:tr>
    </w:tbl>
    <w:p w:rsidR="002E30E5" w:rsidRPr="00D24D1E" w:rsidRDefault="002E30E5" w:rsidP="002E30E5">
      <w:pPr>
        <w:ind w:firstLine="709"/>
        <w:jc w:val="both"/>
        <w:rPr>
          <w:rFonts w:eastAsia="Calibri"/>
          <w:sz w:val="28"/>
          <w:szCs w:val="28"/>
        </w:rPr>
      </w:pPr>
      <w:r w:rsidRPr="00D24D1E">
        <w:rPr>
          <w:rFonts w:eastAsia="Calibri"/>
          <w:sz w:val="28"/>
          <w:szCs w:val="28"/>
        </w:rPr>
        <w:t xml:space="preserve">Видно от горните данни, през 2023 г. общо за региона на ОП – Варна е налице увеличение </w:t>
      </w:r>
      <w:r>
        <w:rPr>
          <w:rFonts w:eastAsia="Calibri"/>
          <w:sz w:val="28"/>
          <w:szCs w:val="28"/>
        </w:rPr>
        <w:t>на внесените обвинителни актове</w:t>
      </w:r>
      <w:r w:rsidRPr="00D24D1E">
        <w:rPr>
          <w:rFonts w:eastAsia="Calibri"/>
          <w:sz w:val="28"/>
          <w:szCs w:val="28"/>
        </w:rPr>
        <w:t xml:space="preserve"> с  4.52</w:t>
      </w:r>
      <w:r w:rsidR="00704100">
        <w:rPr>
          <w:rFonts w:eastAsia="Calibri"/>
          <w:sz w:val="28"/>
          <w:szCs w:val="28"/>
        </w:rPr>
        <w:t>%</w:t>
      </w:r>
      <w:r w:rsidRPr="00D24D1E">
        <w:rPr>
          <w:rFonts w:eastAsia="Calibri"/>
          <w:sz w:val="28"/>
          <w:szCs w:val="28"/>
        </w:rPr>
        <w:t xml:space="preserve"> спрямо 2022 г. и с 13.32</w:t>
      </w:r>
      <w:r w:rsidR="00704100">
        <w:rPr>
          <w:rFonts w:eastAsia="Calibri"/>
          <w:sz w:val="28"/>
          <w:szCs w:val="28"/>
        </w:rPr>
        <w:t>%</w:t>
      </w:r>
      <w:r w:rsidRPr="00D24D1E">
        <w:rPr>
          <w:rFonts w:eastAsia="Calibri"/>
          <w:sz w:val="28"/>
          <w:szCs w:val="28"/>
        </w:rPr>
        <w:t xml:space="preserve"> спрямо 2021 г.</w:t>
      </w:r>
    </w:p>
    <w:p w:rsidR="002E30E5" w:rsidRPr="00D24D1E" w:rsidRDefault="002E30E5" w:rsidP="002E30E5">
      <w:pPr>
        <w:ind w:firstLine="709"/>
        <w:jc w:val="both"/>
        <w:rPr>
          <w:rFonts w:eastAsia="Calibri"/>
          <w:sz w:val="28"/>
          <w:szCs w:val="28"/>
        </w:rPr>
      </w:pPr>
      <w:r w:rsidRPr="00653E36">
        <w:rPr>
          <w:rFonts w:eastAsia="Calibri"/>
          <w:b/>
          <w:sz w:val="28"/>
          <w:szCs w:val="28"/>
          <w:u w:val="single"/>
        </w:rPr>
        <w:t>ОП – Варна отчита за 2023 г. увеличение на внесените обвинителни актове спрямо 2022 г. – с 5.95</w:t>
      </w:r>
      <w:r w:rsidR="00704100">
        <w:rPr>
          <w:rFonts w:eastAsia="Calibri"/>
          <w:b/>
          <w:sz w:val="28"/>
          <w:szCs w:val="28"/>
          <w:u w:val="single"/>
        </w:rPr>
        <w:t>%</w:t>
      </w:r>
      <w:r w:rsidRPr="00D24D1E">
        <w:rPr>
          <w:rFonts w:eastAsia="Calibri"/>
          <w:sz w:val="28"/>
          <w:szCs w:val="28"/>
        </w:rPr>
        <w:t xml:space="preserve"> и спрямо 2021 г. – намаление с 11.88</w:t>
      </w:r>
      <w:r w:rsidR="00704100">
        <w:rPr>
          <w:rFonts w:eastAsia="Calibri"/>
          <w:sz w:val="28"/>
          <w:szCs w:val="28"/>
        </w:rPr>
        <w:t>%</w:t>
      </w:r>
      <w:r w:rsidRPr="00D24D1E">
        <w:rPr>
          <w:rFonts w:eastAsia="Calibri"/>
          <w:sz w:val="28"/>
          <w:szCs w:val="28"/>
        </w:rPr>
        <w:t>.</w:t>
      </w:r>
    </w:p>
    <w:p w:rsidR="002E30E5" w:rsidRPr="006D4286" w:rsidRDefault="002E30E5" w:rsidP="002E30E5">
      <w:pPr>
        <w:ind w:firstLine="709"/>
        <w:jc w:val="both"/>
        <w:rPr>
          <w:rFonts w:eastAsia="Calibri"/>
          <w:sz w:val="28"/>
          <w:szCs w:val="28"/>
        </w:rPr>
      </w:pPr>
      <w:r w:rsidRPr="006D4286">
        <w:rPr>
          <w:rFonts w:eastAsia="Calibri"/>
          <w:sz w:val="28"/>
          <w:szCs w:val="28"/>
        </w:rPr>
        <w:t>Увеличение през отчетния период бележат внесените в съда обвинителни актове за прокурорите от РП – Варна, като то е с 4.41</w:t>
      </w:r>
      <w:r w:rsidR="00704100">
        <w:rPr>
          <w:rFonts w:eastAsia="Calibri"/>
          <w:sz w:val="28"/>
          <w:szCs w:val="28"/>
        </w:rPr>
        <w:t>%</w:t>
      </w:r>
      <w:r w:rsidRPr="006D4286">
        <w:rPr>
          <w:rFonts w:eastAsia="Calibri"/>
          <w:sz w:val="28"/>
          <w:szCs w:val="28"/>
        </w:rPr>
        <w:t xml:space="preserve"> спрямо 2022 г. и с 15.92</w:t>
      </w:r>
      <w:r w:rsidR="00704100">
        <w:rPr>
          <w:rFonts w:eastAsia="Calibri"/>
          <w:sz w:val="28"/>
          <w:szCs w:val="28"/>
        </w:rPr>
        <w:t>%</w:t>
      </w:r>
      <w:r w:rsidRPr="006D4286">
        <w:rPr>
          <w:rFonts w:eastAsia="Calibri"/>
          <w:sz w:val="28"/>
          <w:szCs w:val="28"/>
        </w:rPr>
        <w:t xml:space="preserve"> спрямо 2021 г.</w:t>
      </w:r>
    </w:p>
    <w:p w:rsidR="002E30E5" w:rsidRDefault="002E30E5" w:rsidP="002E30E5">
      <w:pPr>
        <w:ind w:firstLine="709"/>
        <w:jc w:val="both"/>
        <w:rPr>
          <w:rFonts w:eastAsia="Calibri"/>
          <w:b/>
          <w:color w:val="FF0000"/>
          <w:sz w:val="28"/>
          <w:szCs w:val="28"/>
        </w:rPr>
      </w:pPr>
    </w:p>
    <w:p w:rsidR="002E30E5" w:rsidRDefault="002E30E5" w:rsidP="002E30E5">
      <w:pPr>
        <w:ind w:firstLine="709"/>
        <w:jc w:val="both"/>
        <w:rPr>
          <w:rFonts w:eastAsia="Calibri"/>
          <w:b/>
          <w:color w:val="FF0000"/>
          <w:sz w:val="28"/>
          <w:szCs w:val="28"/>
        </w:rPr>
      </w:pPr>
    </w:p>
    <w:p w:rsidR="002E30E5" w:rsidRDefault="002E30E5" w:rsidP="002E30E5">
      <w:pPr>
        <w:ind w:firstLine="709"/>
        <w:jc w:val="both"/>
        <w:rPr>
          <w:rFonts w:eastAsia="Calibri"/>
          <w:b/>
          <w:color w:val="FF0000"/>
          <w:sz w:val="28"/>
          <w:szCs w:val="28"/>
        </w:rPr>
      </w:pPr>
    </w:p>
    <w:p w:rsidR="002E30E5" w:rsidRDefault="002E30E5" w:rsidP="002E30E5">
      <w:pPr>
        <w:ind w:firstLine="709"/>
        <w:jc w:val="both"/>
        <w:rPr>
          <w:rFonts w:eastAsia="Calibri"/>
          <w:b/>
          <w:color w:val="FF0000"/>
          <w:sz w:val="28"/>
          <w:szCs w:val="28"/>
        </w:rPr>
      </w:pPr>
    </w:p>
    <w:p w:rsidR="002E30E5" w:rsidRDefault="002E30E5" w:rsidP="002E30E5">
      <w:pPr>
        <w:ind w:firstLine="709"/>
        <w:jc w:val="both"/>
        <w:rPr>
          <w:rFonts w:eastAsia="Calibri"/>
          <w:b/>
          <w:color w:val="FF0000"/>
          <w:sz w:val="28"/>
          <w:szCs w:val="28"/>
        </w:rPr>
      </w:pPr>
    </w:p>
    <w:p w:rsidR="002E30E5" w:rsidRDefault="002E30E5" w:rsidP="002E30E5">
      <w:pPr>
        <w:ind w:firstLine="709"/>
        <w:jc w:val="both"/>
        <w:rPr>
          <w:rFonts w:eastAsia="Calibri"/>
          <w:b/>
          <w:color w:val="FF0000"/>
          <w:sz w:val="28"/>
          <w:szCs w:val="28"/>
        </w:rPr>
      </w:pPr>
    </w:p>
    <w:p w:rsidR="002E30E5" w:rsidRDefault="002E30E5" w:rsidP="002E30E5">
      <w:pPr>
        <w:ind w:firstLine="709"/>
        <w:jc w:val="both"/>
        <w:rPr>
          <w:rFonts w:eastAsia="Calibri"/>
          <w:b/>
          <w:color w:val="FF0000"/>
          <w:sz w:val="28"/>
          <w:szCs w:val="28"/>
        </w:rPr>
      </w:pPr>
    </w:p>
    <w:p w:rsidR="002E30E5" w:rsidRDefault="002E30E5" w:rsidP="002E30E5">
      <w:pPr>
        <w:ind w:firstLine="709"/>
        <w:jc w:val="both"/>
        <w:rPr>
          <w:rFonts w:eastAsia="Calibri"/>
          <w:b/>
          <w:color w:val="FF0000"/>
          <w:sz w:val="28"/>
          <w:szCs w:val="28"/>
          <w:lang w:val="en-US"/>
        </w:rPr>
      </w:pPr>
    </w:p>
    <w:p w:rsidR="00943C1B" w:rsidRPr="00943C1B" w:rsidRDefault="00943C1B" w:rsidP="002E30E5">
      <w:pPr>
        <w:ind w:firstLine="709"/>
        <w:jc w:val="both"/>
        <w:rPr>
          <w:rFonts w:eastAsia="Calibri"/>
          <w:b/>
          <w:color w:val="FF0000"/>
          <w:sz w:val="28"/>
          <w:szCs w:val="28"/>
          <w:lang w:val="en-US"/>
        </w:rPr>
      </w:pPr>
    </w:p>
    <w:p w:rsidR="002E30E5" w:rsidRDefault="002E30E5" w:rsidP="002E30E5">
      <w:pPr>
        <w:ind w:firstLine="709"/>
        <w:jc w:val="both"/>
        <w:rPr>
          <w:rFonts w:eastAsia="Calibri"/>
          <w:b/>
          <w:color w:val="FF0000"/>
          <w:sz w:val="28"/>
          <w:szCs w:val="28"/>
        </w:rPr>
      </w:pPr>
    </w:p>
    <w:p w:rsidR="002E30E5" w:rsidRDefault="002E30E5" w:rsidP="002E30E5">
      <w:pPr>
        <w:ind w:firstLine="709"/>
        <w:jc w:val="both"/>
        <w:rPr>
          <w:rFonts w:eastAsia="Calibri"/>
          <w:b/>
          <w:color w:val="FF0000"/>
          <w:sz w:val="28"/>
          <w:szCs w:val="28"/>
        </w:rPr>
      </w:pPr>
    </w:p>
    <w:p w:rsidR="002E30E5" w:rsidRPr="00152E2B" w:rsidRDefault="002E30E5" w:rsidP="002E30E5">
      <w:pPr>
        <w:ind w:firstLine="709"/>
        <w:jc w:val="both"/>
        <w:rPr>
          <w:rFonts w:eastAsia="Calibri"/>
          <w:b/>
          <w:color w:val="FF0000"/>
          <w:sz w:val="28"/>
          <w:szCs w:val="28"/>
        </w:rPr>
      </w:pPr>
    </w:p>
    <w:p w:rsidR="002E30E5" w:rsidRPr="005A1AFB" w:rsidRDefault="002E30E5" w:rsidP="002E30E5">
      <w:pPr>
        <w:ind w:firstLine="709"/>
        <w:jc w:val="center"/>
        <w:rPr>
          <w:rFonts w:eastAsia="Calibri"/>
          <w:b/>
          <w:sz w:val="28"/>
          <w:szCs w:val="28"/>
        </w:rPr>
      </w:pPr>
      <w:r w:rsidRPr="005A1AFB">
        <w:rPr>
          <w:rFonts w:eastAsia="Calibri"/>
          <w:b/>
          <w:sz w:val="28"/>
          <w:szCs w:val="28"/>
        </w:rPr>
        <w:lastRenderedPageBreak/>
        <w:t>Внесени обвинителни актове:</w:t>
      </w:r>
    </w:p>
    <w:p w:rsidR="002E30E5" w:rsidRPr="00152E2B" w:rsidRDefault="002E30E5" w:rsidP="002E30E5">
      <w:pPr>
        <w:ind w:firstLine="709"/>
        <w:jc w:val="both"/>
        <w:rPr>
          <w:rFonts w:eastAsia="Calibri"/>
          <w:b/>
          <w:color w:val="FF0000"/>
          <w:sz w:val="28"/>
          <w:szCs w:val="28"/>
        </w:rPr>
      </w:pPr>
      <w:r w:rsidRPr="00152E2B">
        <w:rPr>
          <w:rFonts w:eastAsia="Calibri"/>
          <w:noProof/>
          <w:color w:val="FF0000"/>
          <w:sz w:val="28"/>
          <w:szCs w:val="28"/>
        </w:rPr>
        <w:drawing>
          <wp:inline distT="0" distB="0" distL="0" distR="0" wp14:anchorId="577A3D74" wp14:editId="07946A01">
            <wp:extent cx="5308270" cy="2660072"/>
            <wp:effectExtent l="0" t="0" r="26035" b="26035"/>
            <wp:docPr id="15" name="Ди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E30E5" w:rsidRPr="00152E2B" w:rsidRDefault="002E30E5" w:rsidP="002E30E5">
      <w:pPr>
        <w:ind w:firstLine="709"/>
        <w:jc w:val="both"/>
        <w:rPr>
          <w:rFonts w:eastAsia="Calibri"/>
          <w:b/>
          <w:color w:val="FF0000"/>
          <w:sz w:val="28"/>
          <w:szCs w:val="28"/>
        </w:rPr>
      </w:pPr>
    </w:p>
    <w:p w:rsidR="002E30E5" w:rsidRPr="00DC022D" w:rsidRDefault="002E30E5" w:rsidP="002E30E5">
      <w:pPr>
        <w:ind w:firstLine="709"/>
        <w:jc w:val="both"/>
        <w:rPr>
          <w:rFonts w:eastAsia="Calibri"/>
          <w:sz w:val="28"/>
          <w:szCs w:val="28"/>
        </w:rPr>
      </w:pPr>
      <w:r w:rsidRPr="00DC022D">
        <w:rPr>
          <w:rFonts w:eastAsia="Calibri"/>
          <w:sz w:val="28"/>
          <w:szCs w:val="28"/>
        </w:rPr>
        <w:t xml:space="preserve">През отчетния период общият брой на решенията на съдилищата за региона на ОП – Варна по внесените обвинителни актове е 1343, както следва: 379 осъдителни присъди; 48 оправдателни присъди; 825 споразумения /по лица/; 34 решения с освобождаване от наказателна отговорност с налагане на административно наказание; 11 решения за прекратяване и 46 решения за връщане на прокуратурата. </w:t>
      </w:r>
    </w:p>
    <w:p w:rsidR="002E30E5" w:rsidRPr="00DC022D" w:rsidRDefault="002E30E5" w:rsidP="002E30E5">
      <w:pPr>
        <w:ind w:firstLine="709"/>
        <w:jc w:val="both"/>
        <w:rPr>
          <w:rFonts w:eastAsia="Calibri"/>
          <w:sz w:val="28"/>
          <w:szCs w:val="28"/>
        </w:rPr>
      </w:pPr>
      <w:r w:rsidRPr="00DC022D">
        <w:rPr>
          <w:rFonts w:eastAsia="Calibri"/>
          <w:sz w:val="28"/>
          <w:szCs w:val="28"/>
        </w:rPr>
        <w:t>За региона на ОП – Варна, както и през предходните два отчетни периода, няма обвинителни актове, по които да е била констатирана ОФГ.</w:t>
      </w:r>
    </w:p>
    <w:p w:rsidR="002E30E5" w:rsidRPr="00F009D0" w:rsidRDefault="002E30E5" w:rsidP="000059A2">
      <w:pPr>
        <w:pStyle w:val="a3"/>
        <w:numPr>
          <w:ilvl w:val="2"/>
          <w:numId w:val="9"/>
        </w:numPr>
        <w:ind w:left="0" w:firstLine="709"/>
        <w:jc w:val="both"/>
        <w:rPr>
          <w:rFonts w:eastAsia="Calibri"/>
          <w:b/>
          <w:sz w:val="28"/>
          <w:szCs w:val="28"/>
        </w:rPr>
      </w:pPr>
      <w:r w:rsidRPr="00F009D0">
        <w:rPr>
          <w:rFonts w:eastAsia="Calibri"/>
          <w:b/>
          <w:sz w:val="28"/>
          <w:szCs w:val="28"/>
        </w:rPr>
        <w:t>Изготвени споразумения по чл. 381 от НПК</w:t>
      </w:r>
    </w:p>
    <w:tbl>
      <w:tblPr>
        <w:tblStyle w:val="a4"/>
        <w:tblW w:w="9288" w:type="dxa"/>
        <w:tblLook w:val="04A0" w:firstRow="1" w:lastRow="0" w:firstColumn="1" w:lastColumn="0" w:noHBand="0" w:noVBand="1"/>
      </w:tblPr>
      <w:tblGrid>
        <w:gridCol w:w="4173"/>
        <w:gridCol w:w="1700"/>
        <w:gridCol w:w="1707"/>
        <w:gridCol w:w="1708"/>
      </w:tblGrid>
      <w:tr w:rsidR="002E30E5" w:rsidRPr="00F009D0" w:rsidTr="002E30E5">
        <w:tc>
          <w:tcPr>
            <w:tcW w:w="4173" w:type="dxa"/>
            <w:tcBorders>
              <w:top w:val="single" w:sz="4" w:space="0" w:color="auto"/>
              <w:left w:val="single" w:sz="4" w:space="0" w:color="auto"/>
              <w:bottom w:val="single" w:sz="4" w:space="0" w:color="auto"/>
              <w:right w:val="single" w:sz="4" w:space="0" w:color="auto"/>
            </w:tcBorders>
            <w:hideMark/>
          </w:tcPr>
          <w:p w:rsidR="002E30E5" w:rsidRPr="00F009D0" w:rsidRDefault="002E30E5" w:rsidP="002E30E5">
            <w:pPr>
              <w:jc w:val="both"/>
              <w:rPr>
                <w:rFonts w:eastAsia="Calibri"/>
                <w:b/>
                <w:sz w:val="28"/>
                <w:szCs w:val="28"/>
                <w:lang w:eastAsia="en-US"/>
              </w:rPr>
            </w:pPr>
            <w:r w:rsidRPr="00F009D0">
              <w:rPr>
                <w:rFonts w:eastAsia="Calibri"/>
                <w:b/>
                <w:sz w:val="28"/>
                <w:szCs w:val="28"/>
                <w:lang w:eastAsia="en-US"/>
              </w:rPr>
              <w:t>Прокуратура</w:t>
            </w:r>
          </w:p>
        </w:tc>
        <w:tc>
          <w:tcPr>
            <w:tcW w:w="1700" w:type="dxa"/>
            <w:tcBorders>
              <w:top w:val="single" w:sz="4" w:space="0" w:color="auto"/>
              <w:left w:val="single" w:sz="4" w:space="0" w:color="auto"/>
              <w:bottom w:val="single" w:sz="4" w:space="0" w:color="auto"/>
              <w:right w:val="single" w:sz="4" w:space="0" w:color="auto"/>
            </w:tcBorders>
          </w:tcPr>
          <w:p w:rsidR="002E30E5" w:rsidRPr="00F009D0" w:rsidRDefault="002E30E5" w:rsidP="002E30E5">
            <w:pPr>
              <w:jc w:val="center"/>
              <w:rPr>
                <w:rFonts w:eastAsia="Calibri"/>
                <w:b/>
                <w:sz w:val="28"/>
                <w:szCs w:val="28"/>
                <w:lang w:eastAsia="en-US"/>
              </w:rPr>
            </w:pPr>
            <w:r w:rsidRPr="00F009D0">
              <w:rPr>
                <w:rFonts w:eastAsia="Calibri"/>
                <w:b/>
                <w:sz w:val="28"/>
                <w:szCs w:val="28"/>
                <w:lang w:eastAsia="en-US"/>
              </w:rPr>
              <w:t>2023</w:t>
            </w:r>
          </w:p>
        </w:tc>
        <w:tc>
          <w:tcPr>
            <w:tcW w:w="1707" w:type="dxa"/>
            <w:tcBorders>
              <w:top w:val="single" w:sz="4" w:space="0" w:color="auto"/>
              <w:left w:val="single" w:sz="4" w:space="0" w:color="auto"/>
              <w:bottom w:val="single" w:sz="4" w:space="0" w:color="auto"/>
              <w:right w:val="single" w:sz="4" w:space="0" w:color="auto"/>
            </w:tcBorders>
            <w:hideMark/>
          </w:tcPr>
          <w:p w:rsidR="002E30E5" w:rsidRPr="00F009D0" w:rsidRDefault="002E30E5" w:rsidP="002E30E5">
            <w:pPr>
              <w:jc w:val="center"/>
              <w:rPr>
                <w:rFonts w:eastAsia="Calibri"/>
                <w:b/>
                <w:sz w:val="28"/>
                <w:szCs w:val="28"/>
                <w:lang w:eastAsia="en-US"/>
              </w:rPr>
            </w:pPr>
            <w:r w:rsidRPr="00F009D0">
              <w:rPr>
                <w:rFonts w:eastAsia="Calibri"/>
                <w:b/>
                <w:sz w:val="28"/>
                <w:szCs w:val="28"/>
                <w:lang w:eastAsia="en-US"/>
              </w:rPr>
              <w:t>2022 г.</w:t>
            </w:r>
          </w:p>
        </w:tc>
        <w:tc>
          <w:tcPr>
            <w:tcW w:w="1708" w:type="dxa"/>
            <w:tcBorders>
              <w:top w:val="single" w:sz="4" w:space="0" w:color="auto"/>
              <w:left w:val="single" w:sz="4" w:space="0" w:color="auto"/>
              <w:bottom w:val="single" w:sz="4" w:space="0" w:color="auto"/>
              <w:right w:val="single" w:sz="4" w:space="0" w:color="auto"/>
            </w:tcBorders>
            <w:hideMark/>
          </w:tcPr>
          <w:p w:rsidR="002E30E5" w:rsidRPr="00F009D0" w:rsidRDefault="002E30E5" w:rsidP="002E30E5">
            <w:pPr>
              <w:jc w:val="center"/>
              <w:rPr>
                <w:rFonts w:eastAsia="Calibri"/>
                <w:b/>
                <w:sz w:val="28"/>
                <w:szCs w:val="28"/>
                <w:lang w:eastAsia="en-US"/>
              </w:rPr>
            </w:pPr>
            <w:r w:rsidRPr="00F009D0">
              <w:rPr>
                <w:rFonts w:eastAsia="Calibri"/>
                <w:b/>
                <w:sz w:val="28"/>
                <w:szCs w:val="28"/>
                <w:lang w:eastAsia="en-US"/>
              </w:rPr>
              <w:t>2021 г.</w:t>
            </w:r>
          </w:p>
        </w:tc>
      </w:tr>
      <w:tr w:rsidR="002E30E5" w:rsidRPr="00F009D0" w:rsidTr="002E30E5">
        <w:tc>
          <w:tcPr>
            <w:tcW w:w="4173" w:type="dxa"/>
            <w:tcBorders>
              <w:top w:val="single" w:sz="4" w:space="0" w:color="auto"/>
              <w:left w:val="single" w:sz="4" w:space="0" w:color="auto"/>
              <w:bottom w:val="single" w:sz="4" w:space="0" w:color="auto"/>
              <w:right w:val="single" w:sz="4" w:space="0" w:color="auto"/>
            </w:tcBorders>
            <w:hideMark/>
          </w:tcPr>
          <w:p w:rsidR="002E30E5" w:rsidRPr="00F009D0" w:rsidRDefault="002E30E5" w:rsidP="002E30E5">
            <w:pPr>
              <w:jc w:val="both"/>
              <w:rPr>
                <w:rFonts w:eastAsia="Calibri"/>
                <w:b/>
                <w:sz w:val="28"/>
                <w:szCs w:val="28"/>
                <w:lang w:eastAsia="en-US"/>
              </w:rPr>
            </w:pPr>
            <w:r w:rsidRPr="00F009D0">
              <w:rPr>
                <w:rFonts w:eastAsia="Calibri"/>
                <w:b/>
                <w:sz w:val="28"/>
                <w:szCs w:val="28"/>
                <w:lang w:eastAsia="en-US"/>
              </w:rPr>
              <w:t>ОП - Варна</w:t>
            </w:r>
          </w:p>
        </w:tc>
        <w:tc>
          <w:tcPr>
            <w:tcW w:w="1700" w:type="dxa"/>
            <w:tcBorders>
              <w:top w:val="single" w:sz="4" w:space="0" w:color="auto"/>
              <w:left w:val="single" w:sz="4" w:space="0" w:color="auto"/>
              <w:bottom w:val="single" w:sz="4" w:space="0" w:color="auto"/>
              <w:right w:val="single" w:sz="4" w:space="0" w:color="auto"/>
            </w:tcBorders>
          </w:tcPr>
          <w:p w:rsidR="002E30E5" w:rsidRPr="00F009D0" w:rsidRDefault="002E30E5" w:rsidP="002E30E5">
            <w:pPr>
              <w:jc w:val="center"/>
              <w:rPr>
                <w:rFonts w:eastAsia="Calibri"/>
                <w:b/>
                <w:sz w:val="28"/>
                <w:szCs w:val="28"/>
                <w:lang w:eastAsia="en-US"/>
              </w:rPr>
            </w:pPr>
            <w:r w:rsidRPr="00F009D0">
              <w:rPr>
                <w:rFonts w:eastAsia="Calibri"/>
                <w:b/>
                <w:sz w:val="28"/>
                <w:szCs w:val="28"/>
                <w:lang w:eastAsia="en-US"/>
              </w:rPr>
              <w:t>78</w:t>
            </w:r>
          </w:p>
        </w:tc>
        <w:tc>
          <w:tcPr>
            <w:tcW w:w="1707" w:type="dxa"/>
            <w:tcBorders>
              <w:top w:val="single" w:sz="4" w:space="0" w:color="auto"/>
              <w:left w:val="single" w:sz="4" w:space="0" w:color="auto"/>
              <w:bottom w:val="single" w:sz="4" w:space="0" w:color="auto"/>
              <w:right w:val="single" w:sz="4" w:space="0" w:color="auto"/>
            </w:tcBorders>
            <w:hideMark/>
          </w:tcPr>
          <w:p w:rsidR="002E30E5" w:rsidRPr="00F009D0" w:rsidRDefault="002E30E5" w:rsidP="002E30E5">
            <w:pPr>
              <w:jc w:val="center"/>
              <w:rPr>
                <w:rFonts w:eastAsia="Calibri"/>
                <w:b/>
                <w:sz w:val="28"/>
                <w:szCs w:val="28"/>
                <w:lang w:eastAsia="en-US"/>
              </w:rPr>
            </w:pPr>
            <w:r w:rsidRPr="00F009D0">
              <w:rPr>
                <w:rFonts w:eastAsia="Calibri"/>
                <w:b/>
                <w:sz w:val="28"/>
                <w:szCs w:val="28"/>
                <w:lang w:eastAsia="en-US"/>
              </w:rPr>
              <w:t>50</w:t>
            </w:r>
          </w:p>
        </w:tc>
        <w:tc>
          <w:tcPr>
            <w:tcW w:w="1708" w:type="dxa"/>
            <w:tcBorders>
              <w:top w:val="single" w:sz="4" w:space="0" w:color="auto"/>
              <w:left w:val="single" w:sz="4" w:space="0" w:color="auto"/>
              <w:bottom w:val="single" w:sz="4" w:space="0" w:color="auto"/>
              <w:right w:val="single" w:sz="4" w:space="0" w:color="auto"/>
            </w:tcBorders>
            <w:hideMark/>
          </w:tcPr>
          <w:p w:rsidR="002E30E5" w:rsidRPr="00F009D0" w:rsidRDefault="002E30E5" w:rsidP="002E30E5">
            <w:pPr>
              <w:jc w:val="center"/>
              <w:rPr>
                <w:rFonts w:eastAsia="Calibri"/>
                <w:b/>
                <w:sz w:val="28"/>
                <w:szCs w:val="28"/>
                <w:lang w:eastAsia="en-US"/>
              </w:rPr>
            </w:pPr>
            <w:r w:rsidRPr="00F009D0">
              <w:rPr>
                <w:rFonts w:eastAsia="Calibri"/>
                <w:b/>
                <w:sz w:val="28"/>
                <w:szCs w:val="28"/>
                <w:lang w:eastAsia="en-US"/>
              </w:rPr>
              <w:t>48</w:t>
            </w:r>
          </w:p>
        </w:tc>
      </w:tr>
      <w:tr w:rsidR="002E30E5" w:rsidRPr="00F009D0" w:rsidTr="002E30E5">
        <w:tc>
          <w:tcPr>
            <w:tcW w:w="4173" w:type="dxa"/>
            <w:tcBorders>
              <w:top w:val="single" w:sz="4" w:space="0" w:color="auto"/>
              <w:left w:val="single" w:sz="4" w:space="0" w:color="auto"/>
              <w:bottom w:val="single" w:sz="4" w:space="0" w:color="auto"/>
              <w:right w:val="single" w:sz="4" w:space="0" w:color="auto"/>
            </w:tcBorders>
            <w:hideMark/>
          </w:tcPr>
          <w:p w:rsidR="002E30E5" w:rsidRPr="00F009D0" w:rsidRDefault="002E30E5" w:rsidP="002E30E5">
            <w:pPr>
              <w:jc w:val="both"/>
              <w:rPr>
                <w:rFonts w:eastAsia="Calibri"/>
                <w:b/>
                <w:sz w:val="28"/>
                <w:szCs w:val="28"/>
                <w:lang w:eastAsia="en-US"/>
              </w:rPr>
            </w:pPr>
            <w:r w:rsidRPr="00F009D0">
              <w:rPr>
                <w:rFonts w:eastAsia="Calibri"/>
                <w:b/>
                <w:sz w:val="28"/>
                <w:szCs w:val="28"/>
                <w:lang w:eastAsia="en-US"/>
              </w:rPr>
              <w:t>РП – Варна</w:t>
            </w:r>
          </w:p>
        </w:tc>
        <w:tc>
          <w:tcPr>
            <w:tcW w:w="1700" w:type="dxa"/>
            <w:tcBorders>
              <w:top w:val="single" w:sz="4" w:space="0" w:color="auto"/>
              <w:left w:val="single" w:sz="4" w:space="0" w:color="auto"/>
              <w:bottom w:val="single" w:sz="4" w:space="0" w:color="auto"/>
              <w:right w:val="single" w:sz="4" w:space="0" w:color="auto"/>
            </w:tcBorders>
          </w:tcPr>
          <w:p w:rsidR="002E30E5" w:rsidRPr="00F009D0" w:rsidRDefault="002E30E5" w:rsidP="002E30E5">
            <w:pPr>
              <w:jc w:val="center"/>
              <w:rPr>
                <w:rFonts w:eastAsia="Calibri"/>
                <w:b/>
                <w:sz w:val="28"/>
                <w:szCs w:val="28"/>
                <w:lang w:eastAsia="en-US"/>
              </w:rPr>
            </w:pPr>
            <w:r w:rsidRPr="00F009D0">
              <w:rPr>
                <w:rFonts w:eastAsia="Calibri"/>
                <w:b/>
                <w:sz w:val="28"/>
                <w:szCs w:val="28"/>
                <w:lang w:eastAsia="en-US"/>
              </w:rPr>
              <w:t>376</w:t>
            </w:r>
          </w:p>
        </w:tc>
        <w:tc>
          <w:tcPr>
            <w:tcW w:w="1707" w:type="dxa"/>
            <w:tcBorders>
              <w:top w:val="single" w:sz="4" w:space="0" w:color="auto"/>
              <w:left w:val="single" w:sz="4" w:space="0" w:color="auto"/>
              <w:bottom w:val="single" w:sz="4" w:space="0" w:color="auto"/>
              <w:right w:val="single" w:sz="4" w:space="0" w:color="auto"/>
            </w:tcBorders>
            <w:hideMark/>
          </w:tcPr>
          <w:p w:rsidR="002E30E5" w:rsidRPr="00F009D0" w:rsidRDefault="002E30E5" w:rsidP="002E30E5">
            <w:pPr>
              <w:jc w:val="center"/>
              <w:rPr>
                <w:rFonts w:eastAsia="Calibri"/>
                <w:b/>
                <w:sz w:val="28"/>
                <w:szCs w:val="28"/>
                <w:lang w:eastAsia="en-US"/>
              </w:rPr>
            </w:pPr>
            <w:r w:rsidRPr="00F009D0">
              <w:rPr>
                <w:rFonts w:eastAsia="Calibri"/>
                <w:b/>
                <w:sz w:val="28"/>
                <w:szCs w:val="28"/>
                <w:lang w:eastAsia="en-US"/>
              </w:rPr>
              <w:t>416</w:t>
            </w:r>
          </w:p>
        </w:tc>
        <w:tc>
          <w:tcPr>
            <w:tcW w:w="1708" w:type="dxa"/>
            <w:tcBorders>
              <w:top w:val="single" w:sz="4" w:space="0" w:color="auto"/>
              <w:left w:val="single" w:sz="4" w:space="0" w:color="auto"/>
              <w:bottom w:val="single" w:sz="4" w:space="0" w:color="auto"/>
              <w:right w:val="single" w:sz="4" w:space="0" w:color="auto"/>
            </w:tcBorders>
            <w:hideMark/>
          </w:tcPr>
          <w:p w:rsidR="002E30E5" w:rsidRPr="00F009D0" w:rsidRDefault="002E30E5" w:rsidP="002E30E5">
            <w:pPr>
              <w:jc w:val="center"/>
              <w:rPr>
                <w:rFonts w:eastAsia="Calibri"/>
                <w:b/>
                <w:sz w:val="28"/>
                <w:szCs w:val="28"/>
                <w:lang w:eastAsia="en-US"/>
              </w:rPr>
            </w:pPr>
            <w:r w:rsidRPr="00F009D0">
              <w:rPr>
                <w:rFonts w:eastAsia="Calibri"/>
                <w:b/>
                <w:sz w:val="28"/>
                <w:szCs w:val="28"/>
                <w:lang w:eastAsia="en-US"/>
              </w:rPr>
              <w:t>338</w:t>
            </w:r>
          </w:p>
        </w:tc>
      </w:tr>
      <w:tr w:rsidR="002E30E5" w:rsidRPr="00F009D0" w:rsidTr="002E30E5">
        <w:tc>
          <w:tcPr>
            <w:tcW w:w="4173" w:type="dxa"/>
            <w:tcBorders>
              <w:top w:val="single" w:sz="4" w:space="0" w:color="auto"/>
              <w:left w:val="single" w:sz="4" w:space="0" w:color="auto"/>
              <w:bottom w:val="single" w:sz="4" w:space="0" w:color="auto"/>
              <w:right w:val="single" w:sz="4" w:space="0" w:color="auto"/>
            </w:tcBorders>
            <w:hideMark/>
          </w:tcPr>
          <w:p w:rsidR="002E30E5" w:rsidRPr="00F009D0" w:rsidRDefault="002E30E5" w:rsidP="002E30E5">
            <w:pPr>
              <w:jc w:val="both"/>
              <w:rPr>
                <w:rFonts w:eastAsia="Calibri"/>
                <w:b/>
                <w:sz w:val="28"/>
                <w:szCs w:val="28"/>
                <w:lang w:eastAsia="en-US"/>
              </w:rPr>
            </w:pPr>
            <w:r w:rsidRPr="00F009D0">
              <w:rPr>
                <w:rFonts w:eastAsia="Calibri"/>
                <w:b/>
                <w:sz w:val="28"/>
                <w:szCs w:val="28"/>
                <w:lang w:eastAsia="en-US"/>
              </w:rPr>
              <w:t>Общо за региона на ОП Варна</w:t>
            </w:r>
          </w:p>
        </w:tc>
        <w:tc>
          <w:tcPr>
            <w:tcW w:w="1700" w:type="dxa"/>
            <w:tcBorders>
              <w:top w:val="single" w:sz="4" w:space="0" w:color="auto"/>
              <w:left w:val="single" w:sz="4" w:space="0" w:color="auto"/>
              <w:bottom w:val="single" w:sz="4" w:space="0" w:color="auto"/>
              <w:right w:val="single" w:sz="4" w:space="0" w:color="auto"/>
            </w:tcBorders>
          </w:tcPr>
          <w:p w:rsidR="002E30E5" w:rsidRPr="00F009D0" w:rsidRDefault="002E30E5" w:rsidP="002E30E5">
            <w:pPr>
              <w:jc w:val="center"/>
              <w:rPr>
                <w:rFonts w:eastAsia="Calibri"/>
                <w:b/>
                <w:sz w:val="28"/>
                <w:szCs w:val="28"/>
                <w:lang w:eastAsia="en-US"/>
              </w:rPr>
            </w:pPr>
            <w:r w:rsidRPr="00F009D0">
              <w:rPr>
                <w:rFonts w:eastAsia="Calibri"/>
                <w:b/>
                <w:sz w:val="28"/>
                <w:szCs w:val="28"/>
                <w:lang w:eastAsia="en-US"/>
              </w:rPr>
              <w:t>454</w:t>
            </w:r>
          </w:p>
        </w:tc>
        <w:tc>
          <w:tcPr>
            <w:tcW w:w="1707" w:type="dxa"/>
            <w:tcBorders>
              <w:top w:val="single" w:sz="4" w:space="0" w:color="auto"/>
              <w:left w:val="single" w:sz="4" w:space="0" w:color="auto"/>
              <w:bottom w:val="single" w:sz="4" w:space="0" w:color="auto"/>
              <w:right w:val="single" w:sz="4" w:space="0" w:color="auto"/>
            </w:tcBorders>
            <w:hideMark/>
          </w:tcPr>
          <w:p w:rsidR="002E30E5" w:rsidRPr="00F009D0" w:rsidRDefault="002E30E5" w:rsidP="002E30E5">
            <w:pPr>
              <w:jc w:val="center"/>
              <w:rPr>
                <w:rFonts w:eastAsia="Calibri"/>
                <w:b/>
                <w:sz w:val="28"/>
                <w:szCs w:val="28"/>
                <w:lang w:eastAsia="en-US"/>
              </w:rPr>
            </w:pPr>
            <w:r w:rsidRPr="00F009D0">
              <w:rPr>
                <w:rFonts w:eastAsia="Calibri"/>
                <w:b/>
                <w:sz w:val="28"/>
                <w:szCs w:val="28"/>
                <w:lang w:eastAsia="en-US"/>
              </w:rPr>
              <w:t>466</w:t>
            </w:r>
          </w:p>
        </w:tc>
        <w:tc>
          <w:tcPr>
            <w:tcW w:w="1708" w:type="dxa"/>
            <w:tcBorders>
              <w:top w:val="single" w:sz="4" w:space="0" w:color="auto"/>
              <w:left w:val="single" w:sz="4" w:space="0" w:color="auto"/>
              <w:bottom w:val="single" w:sz="4" w:space="0" w:color="auto"/>
              <w:right w:val="single" w:sz="4" w:space="0" w:color="auto"/>
            </w:tcBorders>
            <w:hideMark/>
          </w:tcPr>
          <w:p w:rsidR="002E30E5" w:rsidRPr="00F009D0" w:rsidRDefault="002E30E5" w:rsidP="002E30E5">
            <w:pPr>
              <w:jc w:val="center"/>
              <w:rPr>
                <w:rFonts w:eastAsia="Calibri"/>
                <w:b/>
                <w:sz w:val="28"/>
                <w:szCs w:val="28"/>
                <w:lang w:eastAsia="en-US"/>
              </w:rPr>
            </w:pPr>
            <w:r w:rsidRPr="00F009D0">
              <w:rPr>
                <w:rFonts w:eastAsia="Calibri"/>
                <w:b/>
                <w:sz w:val="28"/>
                <w:szCs w:val="28"/>
                <w:lang w:eastAsia="en-US"/>
              </w:rPr>
              <w:t>386</w:t>
            </w:r>
          </w:p>
        </w:tc>
      </w:tr>
    </w:tbl>
    <w:p w:rsidR="002E30E5" w:rsidRPr="00E81360" w:rsidRDefault="002E30E5" w:rsidP="002E30E5">
      <w:pPr>
        <w:ind w:firstLine="709"/>
        <w:jc w:val="both"/>
        <w:rPr>
          <w:sz w:val="28"/>
          <w:szCs w:val="28"/>
        </w:rPr>
      </w:pPr>
      <w:r w:rsidRPr="00E81360">
        <w:rPr>
          <w:sz w:val="28"/>
          <w:szCs w:val="28"/>
        </w:rPr>
        <w:t>Горните данни сочат следното:</w:t>
      </w:r>
    </w:p>
    <w:p w:rsidR="002E30E5" w:rsidRPr="00F009D0" w:rsidRDefault="002E30E5" w:rsidP="002E30E5">
      <w:pPr>
        <w:ind w:firstLine="709"/>
        <w:jc w:val="both"/>
        <w:rPr>
          <w:sz w:val="28"/>
          <w:szCs w:val="28"/>
        </w:rPr>
      </w:pPr>
      <w:r w:rsidRPr="00F009D0">
        <w:rPr>
          <w:sz w:val="28"/>
          <w:szCs w:val="28"/>
        </w:rPr>
        <w:t>За района на ОП – Варна е налице намаление на внесените през 2023 г. предложения за споразумения спрямо 2022 г. – с 2.58</w:t>
      </w:r>
      <w:r w:rsidR="00704100">
        <w:rPr>
          <w:sz w:val="28"/>
          <w:szCs w:val="28"/>
        </w:rPr>
        <w:t>%</w:t>
      </w:r>
      <w:r w:rsidRPr="00F009D0">
        <w:rPr>
          <w:sz w:val="28"/>
          <w:szCs w:val="28"/>
        </w:rPr>
        <w:t>, а спрямо 2021 г. е налице увеличение с</w:t>
      </w:r>
      <w:r>
        <w:rPr>
          <w:sz w:val="28"/>
          <w:szCs w:val="28"/>
        </w:rPr>
        <w:t>ъс</w:t>
      </w:r>
      <w:r w:rsidRPr="00F009D0">
        <w:rPr>
          <w:sz w:val="28"/>
          <w:szCs w:val="28"/>
        </w:rPr>
        <w:t xml:space="preserve"> 17.62</w:t>
      </w:r>
      <w:r w:rsidR="00704100">
        <w:rPr>
          <w:sz w:val="28"/>
          <w:szCs w:val="28"/>
        </w:rPr>
        <w:t>%</w:t>
      </w:r>
      <w:r w:rsidRPr="00F009D0">
        <w:rPr>
          <w:sz w:val="28"/>
          <w:szCs w:val="28"/>
        </w:rPr>
        <w:t>.</w:t>
      </w:r>
    </w:p>
    <w:p w:rsidR="002E30E5" w:rsidRPr="00537C62" w:rsidRDefault="002E30E5" w:rsidP="002E30E5">
      <w:pPr>
        <w:ind w:firstLine="709"/>
        <w:jc w:val="both"/>
        <w:rPr>
          <w:b/>
          <w:sz w:val="28"/>
          <w:szCs w:val="28"/>
          <w:u w:val="single"/>
        </w:rPr>
      </w:pPr>
      <w:r w:rsidRPr="00537C62">
        <w:rPr>
          <w:b/>
          <w:sz w:val="28"/>
          <w:szCs w:val="28"/>
          <w:u w:val="single"/>
        </w:rPr>
        <w:t>За ОП –Варна е налице увеличение спрямо предходните отчетни периоди в броя на внесените споразумения. Спрямо 2022 г. увеличението е с 56.00</w:t>
      </w:r>
      <w:r w:rsidR="00704100">
        <w:rPr>
          <w:b/>
          <w:sz w:val="28"/>
          <w:szCs w:val="28"/>
          <w:u w:val="single"/>
        </w:rPr>
        <w:t>%</w:t>
      </w:r>
      <w:r w:rsidRPr="00537C62">
        <w:rPr>
          <w:b/>
          <w:sz w:val="28"/>
          <w:szCs w:val="28"/>
          <w:u w:val="single"/>
        </w:rPr>
        <w:t>, а спрямо 2021 г. увеличението е с 62.50</w:t>
      </w:r>
      <w:r w:rsidR="00704100">
        <w:rPr>
          <w:b/>
          <w:sz w:val="28"/>
          <w:szCs w:val="28"/>
          <w:u w:val="single"/>
        </w:rPr>
        <w:t>%</w:t>
      </w:r>
      <w:r w:rsidRPr="00537C62">
        <w:rPr>
          <w:b/>
          <w:sz w:val="28"/>
          <w:szCs w:val="28"/>
          <w:u w:val="single"/>
        </w:rPr>
        <w:t>.</w:t>
      </w:r>
    </w:p>
    <w:p w:rsidR="002E30E5" w:rsidRPr="00E62EE5" w:rsidRDefault="002E30E5" w:rsidP="002E30E5">
      <w:pPr>
        <w:ind w:firstLine="709"/>
        <w:jc w:val="both"/>
        <w:rPr>
          <w:sz w:val="28"/>
          <w:szCs w:val="28"/>
        </w:rPr>
      </w:pPr>
      <w:r w:rsidRPr="00E62EE5">
        <w:rPr>
          <w:sz w:val="28"/>
          <w:szCs w:val="28"/>
        </w:rPr>
        <w:t>За РП – Варна се отчита намаление на внесените споразумения спрямо 2022 г. – с 9.62</w:t>
      </w:r>
      <w:r w:rsidR="00704100">
        <w:rPr>
          <w:sz w:val="28"/>
          <w:szCs w:val="28"/>
        </w:rPr>
        <w:t>%</w:t>
      </w:r>
      <w:r w:rsidRPr="00E62EE5">
        <w:rPr>
          <w:sz w:val="28"/>
          <w:szCs w:val="28"/>
        </w:rPr>
        <w:t xml:space="preserve"> и увеличение спрямо 2021 г. – с 11.24</w:t>
      </w:r>
      <w:r w:rsidR="00704100">
        <w:rPr>
          <w:sz w:val="28"/>
          <w:szCs w:val="28"/>
        </w:rPr>
        <w:t>%</w:t>
      </w:r>
      <w:r w:rsidRPr="00E62EE5">
        <w:rPr>
          <w:sz w:val="28"/>
          <w:szCs w:val="28"/>
        </w:rPr>
        <w:t>.</w:t>
      </w:r>
    </w:p>
    <w:p w:rsidR="002E30E5" w:rsidRPr="003638EA" w:rsidRDefault="002E30E5" w:rsidP="002E30E5">
      <w:pPr>
        <w:ind w:firstLine="709"/>
        <w:jc w:val="both"/>
        <w:rPr>
          <w:sz w:val="28"/>
          <w:szCs w:val="28"/>
        </w:rPr>
      </w:pPr>
      <w:r w:rsidRPr="003638EA">
        <w:rPr>
          <w:sz w:val="28"/>
          <w:szCs w:val="28"/>
        </w:rPr>
        <w:t>През 2023 г. от общо 479 решения на съдилищата в региона на ОП – Варна по споразумения, 464 са за одобряване или 96.9</w:t>
      </w:r>
      <w:r w:rsidR="00704100">
        <w:rPr>
          <w:sz w:val="28"/>
          <w:szCs w:val="28"/>
        </w:rPr>
        <w:t>%</w:t>
      </w:r>
      <w:r w:rsidRPr="003638EA">
        <w:rPr>
          <w:sz w:val="28"/>
          <w:szCs w:val="28"/>
        </w:rPr>
        <w:t>, 15 бр. споразумения не са одобрени. От неодобрените – 1 брой споразумение е върнато поради допуснато нарушение на закона и процесуалните правила</w:t>
      </w:r>
      <w:r>
        <w:rPr>
          <w:sz w:val="28"/>
          <w:szCs w:val="28"/>
        </w:rPr>
        <w:t>.</w:t>
      </w:r>
      <w:r w:rsidRPr="003638EA">
        <w:rPr>
          <w:sz w:val="28"/>
          <w:szCs w:val="28"/>
        </w:rPr>
        <w:t xml:space="preserve"> През 2022 г. от общо 477 решения на съдилищата в региона на ОП – Варна 465 са за одобряване /97.5</w:t>
      </w:r>
      <w:r w:rsidR="00704100">
        <w:rPr>
          <w:sz w:val="28"/>
          <w:szCs w:val="28"/>
        </w:rPr>
        <w:t>%</w:t>
      </w:r>
      <w:r w:rsidRPr="003638EA">
        <w:rPr>
          <w:sz w:val="28"/>
          <w:szCs w:val="28"/>
        </w:rPr>
        <w:t xml:space="preserve">/. През 2021 г. този брой е бил </w:t>
      </w:r>
      <w:r>
        <w:rPr>
          <w:sz w:val="28"/>
          <w:szCs w:val="28"/>
        </w:rPr>
        <w:t xml:space="preserve">385 </w:t>
      </w:r>
      <w:r w:rsidRPr="003638EA">
        <w:rPr>
          <w:sz w:val="28"/>
          <w:szCs w:val="28"/>
        </w:rPr>
        <w:t>или 97.7</w:t>
      </w:r>
      <w:r w:rsidR="00704100">
        <w:rPr>
          <w:sz w:val="28"/>
          <w:szCs w:val="28"/>
        </w:rPr>
        <w:t>%</w:t>
      </w:r>
      <w:r w:rsidRPr="003638EA">
        <w:rPr>
          <w:sz w:val="28"/>
          <w:szCs w:val="28"/>
        </w:rPr>
        <w:t>.</w:t>
      </w:r>
    </w:p>
    <w:p w:rsidR="002E30E5" w:rsidRPr="00834F35" w:rsidRDefault="002E30E5" w:rsidP="002E30E5">
      <w:pPr>
        <w:ind w:firstLine="709"/>
        <w:jc w:val="both"/>
        <w:rPr>
          <w:b/>
          <w:sz w:val="28"/>
          <w:szCs w:val="28"/>
          <w:u w:val="single"/>
        </w:rPr>
      </w:pPr>
      <w:r w:rsidRPr="00834F35">
        <w:rPr>
          <w:b/>
          <w:sz w:val="28"/>
          <w:szCs w:val="28"/>
          <w:u w:val="single"/>
        </w:rPr>
        <w:lastRenderedPageBreak/>
        <w:t>Видно от посочените данни, и през 2023 г. процентът на одобрените от съда споразумения в региона на ОП Варна запазва изключително високи стойности. Това означава, че прокурорите внасят в съда споразумения, отговарящи на закона и морала, както и че обвинението по съответните досъдебни производства е подкрепено с необходимите доказателства.</w:t>
      </w:r>
    </w:p>
    <w:p w:rsidR="002E30E5" w:rsidRPr="00152E2B" w:rsidRDefault="002E30E5" w:rsidP="002E30E5">
      <w:pPr>
        <w:ind w:firstLine="709"/>
        <w:jc w:val="both"/>
        <w:rPr>
          <w:b/>
          <w:color w:val="FF0000"/>
          <w:sz w:val="28"/>
          <w:szCs w:val="28"/>
        </w:rPr>
      </w:pPr>
    </w:p>
    <w:p w:rsidR="002E30E5" w:rsidRPr="005A1AFB" w:rsidRDefault="002E30E5" w:rsidP="002E30E5">
      <w:pPr>
        <w:ind w:firstLine="709"/>
        <w:jc w:val="center"/>
        <w:rPr>
          <w:b/>
          <w:sz w:val="28"/>
          <w:szCs w:val="28"/>
        </w:rPr>
      </w:pPr>
      <w:r w:rsidRPr="005A1AFB">
        <w:rPr>
          <w:b/>
          <w:sz w:val="28"/>
          <w:szCs w:val="28"/>
        </w:rPr>
        <w:t>Внесени споразумения в съда:</w:t>
      </w:r>
    </w:p>
    <w:p w:rsidR="002E30E5" w:rsidRPr="00152E2B" w:rsidRDefault="002E30E5" w:rsidP="002E30E5">
      <w:pPr>
        <w:ind w:firstLine="709"/>
        <w:jc w:val="both"/>
        <w:rPr>
          <w:b/>
          <w:color w:val="FF0000"/>
          <w:sz w:val="28"/>
          <w:szCs w:val="28"/>
        </w:rPr>
      </w:pPr>
      <w:r w:rsidRPr="00152E2B">
        <w:rPr>
          <w:rFonts w:eastAsia="Calibri"/>
          <w:noProof/>
          <w:color w:val="FF0000"/>
          <w:sz w:val="28"/>
          <w:szCs w:val="28"/>
        </w:rPr>
        <w:drawing>
          <wp:inline distT="0" distB="0" distL="0" distR="0" wp14:anchorId="63B35A30" wp14:editId="7297DB9F">
            <wp:extent cx="5502275" cy="3228340"/>
            <wp:effectExtent l="0" t="0" r="22225" b="10160"/>
            <wp:docPr id="16" name="Ди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E30E5" w:rsidRPr="00152E2B" w:rsidRDefault="002E30E5" w:rsidP="002E30E5">
      <w:pPr>
        <w:ind w:firstLine="709"/>
        <w:jc w:val="both"/>
        <w:rPr>
          <w:b/>
          <w:color w:val="FF0000"/>
          <w:sz w:val="28"/>
          <w:szCs w:val="28"/>
        </w:rPr>
      </w:pPr>
    </w:p>
    <w:p w:rsidR="002E30E5" w:rsidRPr="00151D92" w:rsidRDefault="002E30E5" w:rsidP="002E30E5">
      <w:pPr>
        <w:ind w:firstLine="709"/>
        <w:jc w:val="both"/>
        <w:rPr>
          <w:b/>
          <w:sz w:val="28"/>
          <w:szCs w:val="28"/>
        </w:rPr>
      </w:pPr>
      <w:r w:rsidRPr="00151D92">
        <w:rPr>
          <w:b/>
          <w:sz w:val="28"/>
          <w:szCs w:val="28"/>
        </w:rPr>
        <w:t>1.</w:t>
      </w:r>
      <w:proofErr w:type="spellStart"/>
      <w:r w:rsidRPr="00151D92">
        <w:rPr>
          <w:b/>
          <w:sz w:val="28"/>
          <w:szCs w:val="28"/>
        </w:rPr>
        <w:t>1</w:t>
      </w:r>
      <w:proofErr w:type="spellEnd"/>
      <w:r w:rsidRPr="00151D92">
        <w:rPr>
          <w:b/>
          <w:sz w:val="28"/>
          <w:szCs w:val="28"/>
        </w:rPr>
        <w:t>.3.</w:t>
      </w:r>
      <w:r w:rsidRPr="00151D92">
        <w:rPr>
          <w:sz w:val="28"/>
          <w:szCs w:val="28"/>
        </w:rPr>
        <w:t xml:space="preserve"> </w:t>
      </w:r>
      <w:r w:rsidRPr="00151D92">
        <w:rPr>
          <w:b/>
          <w:sz w:val="28"/>
          <w:szCs w:val="28"/>
        </w:rPr>
        <w:t>Изготвени предложения за освобождаване от наказателна отговорност с налагане на административно наказание по реда на чл. 78 а от НК</w:t>
      </w:r>
    </w:p>
    <w:p w:rsidR="002E30E5" w:rsidRPr="00151D92" w:rsidRDefault="002E30E5" w:rsidP="002E30E5">
      <w:pPr>
        <w:ind w:firstLine="709"/>
        <w:jc w:val="both"/>
        <w:rPr>
          <w:sz w:val="28"/>
          <w:szCs w:val="28"/>
        </w:rPr>
      </w:pPr>
      <w:r w:rsidRPr="00151D92">
        <w:rPr>
          <w:sz w:val="28"/>
          <w:szCs w:val="28"/>
        </w:rPr>
        <w:t>През отчетния период 2023 г. прокурорите от района на ОП – Варна са изготвили 145 предложения по реда на чл. 78 а от НК /</w:t>
      </w:r>
      <w:r>
        <w:rPr>
          <w:sz w:val="28"/>
          <w:szCs w:val="28"/>
        </w:rPr>
        <w:t>всички на РП – Варна</w:t>
      </w:r>
      <w:r w:rsidRPr="00151D92">
        <w:rPr>
          <w:sz w:val="28"/>
          <w:szCs w:val="28"/>
        </w:rPr>
        <w:t xml:space="preserve">/. Този брой е бил 192 през 2022 г. и 213 през 2021 г. </w:t>
      </w:r>
    </w:p>
    <w:p w:rsidR="002E30E5" w:rsidRPr="00151D92" w:rsidRDefault="002E30E5" w:rsidP="002E30E5">
      <w:pPr>
        <w:ind w:firstLine="709"/>
        <w:jc w:val="both"/>
        <w:rPr>
          <w:sz w:val="28"/>
          <w:szCs w:val="28"/>
        </w:rPr>
      </w:pPr>
      <w:r w:rsidRPr="00151D92">
        <w:rPr>
          <w:sz w:val="28"/>
          <w:szCs w:val="28"/>
        </w:rPr>
        <w:t>През 2023 г. съдилищата в региона на ОП – Варна са постановили общо 153 решения по внесени предложения по чл. 78 а от НК. От тях 140 са за освобождаване от наказателна отговорност с налагане на административно наказание, 3 са оправдателни решения, 1 брой е за прекратяване на делото и 9 броя са за връщане на прокуратурата.</w:t>
      </w:r>
    </w:p>
    <w:p w:rsidR="002E30E5" w:rsidRPr="00151D92" w:rsidRDefault="002E30E5" w:rsidP="002E30E5">
      <w:pPr>
        <w:ind w:firstLine="709"/>
        <w:jc w:val="both"/>
        <w:rPr>
          <w:sz w:val="28"/>
          <w:szCs w:val="28"/>
        </w:rPr>
      </w:pPr>
      <w:bookmarkStart w:id="19" w:name="OLE_LINK29"/>
      <w:bookmarkStart w:id="20" w:name="OLE_LINK30"/>
      <w:r w:rsidRPr="00151D92">
        <w:rPr>
          <w:sz w:val="28"/>
          <w:szCs w:val="28"/>
        </w:rPr>
        <w:t xml:space="preserve">През 2022 г. прокурорите от района на ОП – Варна са изготвили 192 предложения по реда на чл. 78 а от НК. Този брой е бил 213 през 2021 г. </w:t>
      </w:r>
    </w:p>
    <w:p w:rsidR="002E30E5" w:rsidRPr="00151D92" w:rsidRDefault="002E30E5" w:rsidP="002E30E5">
      <w:pPr>
        <w:ind w:firstLine="709"/>
        <w:jc w:val="both"/>
        <w:rPr>
          <w:sz w:val="28"/>
          <w:szCs w:val="28"/>
        </w:rPr>
      </w:pPr>
      <w:r w:rsidRPr="00151D92">
        <w:rPr>
          <w:sz w:val="28"/>
          <w:szCs w:val="28"/>
        </w:rPr>
        <w:t>През 2022 г. съдилищата в региона на ОП – Варна са постановили общо 201 решения по внесени предложения по чл. 78 а от НК. От тях 179 са за освобождаване от наказателна отговорност с налагане на административно наказание, 9 са оправдателни решения, 4 броя са за прекратяване на делото и 9 броя са за връщане на прокуратурата.</w:t>
      </w:r>
    </w:p>
    <w:bookmarkEnd w:id="19"/>
    <w:bookmarkEnd w:id="20"/>
    <w:p w:rsidR="002E30E5" w:rsidRPr="00151D92" w:rsidRDefault="002E30E5" w:rsidP="002E30E5">
      <w:pPr>
        <w:ind w:firstLine="709"/>
        <w:jc w:val="both"/>
        <w:rPr>
          <w:sz w:val="28"/>
          <w:szCs w:val="28"/>
        </w:rPr>
      </w:pPr>
      <w:r w:rsidRPr="00151D92">
        <w:rPr>
          <w:sz w:val="28"/>
          <w:szCs w:val="28"/>
        </w:rPr>
        <w:t xml:space="preserve">През 2021 г. съдилищата в региона на ОП – Варна са постановили общо 209 решения по внесени предложения по реда на чл.78 а от НК. От тях 188 броя са за освобождаване от наказателна отговорност с налагане на административно </w:t>
      </w:r>
      <w:r w:rsidRPr="00151D92">
        <w:rPr>
          <w:sz w:val="28"/>
          <w:szCs w:val="28"/>
        </w:rPr>
        <w:lastRenderedPageBreak/>
        <w:t>наказание, 7 броя са оправдателни решения, 2 броя са за прекратяване на делото, 12 броя са за връщане на прокуратурата.</w:t>
      </w:r>
    </w:p>
    <w:p w:rsidR="002E30E5" w:rsidRPr="00151D92" w:rsidRDefault="002E30E5" w:rsidP="002E30E5">
      <w:pPr>
        <w:ind w:firstLine="709"/>
        <w:jc w:val="both"/>
        <w:rPr>
          <w:sz w:val="28"/>
          <w:szCs w:val="28"/>
        </w:rPr>
      </w:pPr>
      <w:r w:rsidRPr="00151D92">
        <w:rPr>
          <w:sz w:val="28"/>
          <w:szCs w:val="28"/>
        </w:rPr>
        <w:t xml:space="preserve">През 2023 г. относителният дял на решенията на съда, с които той е уважил предложенията по чл. 78 а от НК /140/ спрямо общия брой решения по тези актове /153/ е </w:t>
      </w:r>
      <w:r w:rsidRPr="00151D92">
        <w:rPr>
          <w:b/>
          <w:sz w:val="28"/>
          <w:szCs w:val="28"/>
        </w:rPr>
        <w:t>92.00</w:t>
      </w:r>
      <w:r w:rsidR="00704100">
        <w:rPr>
          <w:b/>
          <w:sz w:val="28"/>
          <w:szCs w:val="28"/>
        </w:rPr>
        <w:t>%</w:t>
      </w:r>
      <w:r w:rsidRPr="00151D92">
        <w:rPr>
          <w:b/>
          <w:sz w:val="28"/>
          <w:szCs w:val="28"/>
        </w:rPr>
        <w:t>.</w:t>
      </w:r>
      <w:r w:rsidRPr="00151D92">
        <w:rPr>
          <w:sz w:val="28"/>
          <w:szCs w:val="28"/>
        </w:rPr>
        <w:t xml:space="preserve"> През 2022 г. относителният дял на решенията на съда, с които той е уважил предложенията по чл. 78 а от НК /179/ спрямо общия брой решения на съдилищата по тези внесени актове /201/ е </w:t>
      </w:r>
      <w:r w:rsidRPr="00151D92">
        <w:rPr>
          <w:b/>
          <w:sz w:val="28"/>
          <w:szCs w:val="28"/>
        </w:rPr>
        <w:t>89.05</w:t>
      </w:r>
      <w:r w:rsidR="00704100">
        <w:rPr>
          <w:sz w:val="28"/>
          <w:szCs w:val="28"/>
        </w:rPr>
        <w:t>%</w:t>
      </w:r>
      <w:r w:rsidRPr="00151D92">
        <w:rPr>
          <w:b/>
          <w:sz w:val="28"/>
          <w:szCs w:val="28"/>
        </w:rPr>
        <w:t>.</w:t>
      </w:r>
      <w:r w:rsidRPr="00151D92">
        <w:rPr>
          <w:sz w:val="28"/>
          <w:szCs w:val="28"/>
        </w:rPr>
        <w:t xml:space="preserve"> През 2021 г. този показател е бил </w:t>
      </w:r>
      <w:r w:rsidRPr="00151D92">
        <w:rPr>
          <w:b/>
          <w:sz w:val="28"/>
          <w:szCs w:val="28"/>
        </w:rPr>
        <w:t>89,95</w:t>
      </w:r>
      <w:r w:rsidR="00704100">
        <w:rPr>
          <w:b/>
          <w:sz w:val="28"/>
          <w:szCs w:val="28"/>
        </w:rPr>
        <w:t>%</w:t>
      </w:r>
      <w:r w:rsidRPr="00151D92">
        <w:rPr>
          <w:b/>
          <w:sz w:val="28"/>
          <w:szCs w:val="28"/>
        </w:rPr>
        <w:t>.</w:t>
      </w:r>
      <w:r w:rsidRPr="00151D92">
        <w:rPr>
          <w:sz w:val="28"/>
          <w:szCs w:val="28"/>
        </w:rPr>
        <w:t xml:space="preserve"> </w:t>
      </w:r>
    </w:p>
    <w:p w:rsidR="002E30E5" w:rsidRPr="00151D92" w:rsidRDefault="002E30E5" w:rsidP="002E30E5">
      <w:pPr>
        <w:ind w:firstLine="709"/>
        <w:jc w:val="both"/>
        <w:rPr>
          <w:b/>
          <w:sz w:val="28"/>
          <w:szCs w:val="28"/>
        </w:rPr>
      </w:pPr>
      <w:r w:rsidRPr="00151D92">
        <w:rPr>
          <w:b/>
          <w:sz w:val="28"/>
          <w:szCs w:val="28"/>
        </w:rPr>
        <w:t xml:space="preserve">Видно от горните данни, налице е </w:t>
      </w:r>
      <w:r w:rsidRPr="00151D92">
        <w:rPr>
          <w:b/>
          <w:sz w:val="28"/>
          <w:szCs w:val="28"/>
          <w:u w:val="single"/>
        </w:rPr>
        <w:t>тенденция</w:t>
      </w:r>
      <w:r w:rsidRPr="00151D92">
        <w:rPr>
          <w:b/>
          <w:sz w:val="28"/>
          <w:szCs w:val="28"/>
        </w:rPr>
        <w:t xml:space="preserve"> в периода 202</w:t>
      </w:r>
      <w:r>
        <w:rPr>
          <w:b/>
          <w:sz w:val="28"/>
          <w:szCs w:val="28"/>
        </w:rPr>
        <w:t>1 г. – 2023</w:t>
      </w:r>
      <w:r w:rsidRPr="00151D92">
        <w:rPr>
          <w:b/>
          <w:sz w:val="28"/>
          <w:szCs w:val="28"/>
        </w:rPr>
        <w:t xml:space="preserve"> г. за запазване на високи стойности на този показател, като показателят се е повишил спрямо последните два отчетни периода.</w:t>
      </w:r>
    </w:p>
    <w:p w:rsidR="002E30E5" w:rsidRPr="00A06B36" w:rsidRDefault="002E30E5" w:rsidP="002E30E5">
      <w:pPr>
        <w:ind w:firstLine="709"/>
        <w:jc w:val="both"/>
        <w:rPr>
          <w:b/>
          <w:sz w:val="28"/>
          <w:szCs w:val="28"/>
        </w:rPr>
      </w:pPr>
      <w:r w:rsidRPr="00A06B36">
        <w:rPr>
          <w:b/>
          <w:sz w:val="28"/>
          <w:szCs w:val="28"/>
        </w:rPr>
        <w:t>1.2.Съкратено съдебно следствие</w:t>
      </w:r>
    </w:p>
    <w:p w:rsidR="002E30E5" w:rsidRPr="00A06B36" w:rsidRDefault="002E30E5" w:rsidP="002E30E5">
      <w:pPr>
        <w:ind w:firstLine="709"/>
        <w:jc w:val="both"/>
        <w:rPr>
          <w:sz w:val="28"/>
          <w:szCs w:val="28"/>
        </w:rPr>
      </w:pPr>
      <w:r w:rsidRPr="00A06B36">
        <w:rPr>
          <w:sz w:val="28"/>
          <w:szCs w:val="28"/>
        </w:rPr>
        <w:t xml:space="preserve">През 2023 г. по реда на чл. 373 ал.3, </w:t>
      </w:r>
      <w:proofErr w:type="spellStart"/>
      <w:r w:rsidRPr="00A06B36">
        <w:rPr>
          <w:sz w:val="28"/>
          <w:szCs w:val="28"/>
        </w:rPr>
        <w:t>вр</w:t>
      </w:r>
      <w:proofErr w:type="spellEnd"/>
      <w:r w:rsidRPr="00A06B36">
        <w:rPr>
          <w:sz w:val="28"/>
          <w:szCs w:val="28"/>
        </w:rPr>
        <w:t xml:space="preserve">. чл. 372 ал.4, </w:t>
      </w:r>
      <w:proofErr w:type="spellStart"/>
      <w:r w:rsidRPr="00A06B36">
        <w:rPr>
          <w:sz w:val="28"/>
          <w:szCs w:val="28"/>
        </w:rPr>
        <w:t>вр</w:t>
      </w:r>
      <w:proofErr w:type="spellEnd"/>
      <w:r w:rsidRPr="00A06B36">
        <w:rPr>
          <w:sz w:val="28"/>
          <w:szCs w:val="28"/>
        </w:rPr>
        <w:t>.чл.371 т.2 от НПК са постановени общо 117 осъдителни присъди при общо 379 осъдителни присъди по внесени обвинителни актове. Както и през двата предходни отчетни периода, няма оправдателна присъда, постановена по този ред.</w:t>
      </w:r>
      <w:r>
        <w:rPr>
          <w:sz w:val="28"/>
          <w:szCs w:val="28"/>
        </w:rPr>
        <w:t xml:space="preserve"> </w:t>
      </w:r>
      <w:bookmarkStart w:id="21" w:name="OLE_LINK31"/>
      <w:r w:rsidRPr="00A06B36">
        <w:rPr>
          <w:sz w:val="28"/>
          <w:szCs w:val="28"/>
        </w:rPr>
        <w:t xml:space="preserve">През 2022 г. по </w:t>
      </w:r>
      <w:r>
        <w:rPr>
          <w:sz w:val="28"/>
          <w:szCs w:val="28"/>
        </w:rPr>
        <w:t>този ред са били</w:t>
      </w:r>
      <w:r w:rsidRPr="00A06B36">
        <w:rPr>
          <w:sz w:val="28"/>
          <w:szCs w:val="28"/>
        </w:rPr>
        <w:t xml:space="preserve"> постановени общо 71 осъдителни присъди при общо 344 осъдителни присъди по внесени обвинителни актове. </w:t>
      </w:r>
      <w:bookmarkEnd w:id="21"/>
      <w:r w:rsidRPr="00A06B36">
        <w:rPr>
          <w:sz w:val="28"/>
          <w:szCs w:val="28"/>
        </w:rPr>
        <w:t xml:space="preserve">През 2021 г. </w:t>
      </w:r>
      <w:r>
        <w:rPr>
          <w:sz w:val="28"/>
          <w:szCs w:val="28"/>
        </w:rPr>
        <w:t>по този ред са били</w:t>
      </w:r>
      <w:r w:rsidRPr="00A06B36">
        <w:rPr>
          <w:sz w:val="28"/>
          <w:szCs w:val="28"/>
        </w:rPr>
        <w:t xml:space="preserve"> постановени общо 96 осъдителни присъди при общо 350 осъдителни присъди по внесени обвинителни актове. </w:t>
      </w:r>
    </w:p>
    <w:p w:rsidR="002E30E5" w:rsidRPr="00A06B36" w:rsidRDefault="002E30E5" w:rsidP="002E30E5">
      <w:pPr>
        <w:ind w:firstLine="709"/>
        <w:jc w:val="both"/>
        <w:rPr>
          <w:sz w:val="28"/>
          <w:szCs w:val="28"/>
        </w:rPr>
      </w:pPr>
      <w:r w:rsidRPr="00A06B36">
        <w:rPr>
          <w:sz w:val="28"/>
          <w:szCs w:val="28"/>
        </w:rPr>
        <w:t>През 2023 г. относителният дял на постановените осъдителни присъди по този ред спрямо общият брой осъдителни присъди по внесени ОА е 30.8</w:t>
      </w:r>
      <w:r w:rsidR="00704100">
        <w:rPr>
          <w:sz w:val="28"/>
          <w:szCs w:val="28"/>
        </w:rPr>
        <w:t>%</w:t>
      </w:r>
      <w:r w:rsidRPr="00A06B36">
        <w:rPr>
          <w:sz w:val="28"/>
          <w:szCs w:val="28"/>
        </w:rPr>
        <w:t xml:space="preserve">. През 2022 г. </w:t>
      </w:r>
      <w:r>
        <w:rPr>
          <w:sz w:val="28"/>
          <w:szCs w:val="28"/>
        </w:rPr>
        <w:t>този дял е бил 20.64</w:t>
      </w:r>
      <w:r w:rsidR="00704100">
        <w:rPr>
          <w:sz w:val="28"/>
          <w:szCs w:val="28"/>
        </w:rPr>
        <w:t>%</w:t>
      </w:r>
      <w:r>
        <w:rPr>
          <w:sz w:val="28"/>
          <w:szCs w:val="28"/>
        </w:rPr>
        <w:t xml:space="preserve">, а през 2021 г. - </w:t>
      </w:r>
      <w:r w:rsidRPr="00A06B36">
        <w:rPr>
          <w:sz w:val="28"/>
          <w:szCs w:val="28"/>
        </w:rPr>
        <w:t>27.43</w:t>
      </w:r>
      <w:r w:rsidR="00704100">
        <w:rPr>
          <w:sz w:val="28"/>
          <w:szCs w:val="28"/>
        </w:rPr>
        <w:t>%</w:t>
      </w:r>
      <w:r w:rsidR="006218D1">
        <w:rPr>
          <w:sz w:val="28"/>
          <w:szCs w:val="28"/>
        </w:rPr>
        <w:t>.</w:t>
      </w:r>
      <w:r w:rsidRPr="00A06B36">
        <w:rPr>
          <w:sz w:val="28"/>
          <w:szCs w:val="28"/>
        </w:rPr>
        <w:t xml:space="preserve"> </w:t>
      </w:r>
    </w:p>
    <w:p w:rsidR="002E30E5" w:rsidRPr="00FA57B0" w:rsidRDefault="002E30E5" w:rsidP="002E30E5">
      <w:pPr>
        <w:ind w:firstLine="709"/>
        <w:jc w:val="both"/>
        <w:rPr>
          <w:sz w:val="28"/>
          <w:szCs w:val="28"/>
        </w:rPr>
      </w:pPr>
      <w:r w:rsidRPr="00FA57B0">
        <w:rPr>
          <w:b/>
          <w:sz w:val="28"/>
          <w:szCs w:val="28"/>
        </w:rPr>
        <w:t>1.3.Прекратени от съда дела</w:t>
      </w:r>
      <w:r w:rsidRPr="00FA57B0">
        <w:rPr>
          <w:sz w:val="28"/>
          <w:szCs w:val="28"/>
        </w:rPr>
        <w:t xml:space="preserve"> </w:t>
      </w:r>
    </w:p>
    <w:p w:rsidR="002E30E5" w:rsidRDefault="002E30E5" w:rsidP="002E30E5">
      <w:pPr>
        <w:ind w:firstLine="709"/>
        <w:jc w:val="both"/>
        <w:rPr>
          <w:sz w:val="28"/>
          <w:szCs w:val="28"/>
        </w:rPr>
      </w:pPr>
      <w:r>
        <w:rPr>
          <w:sz w:val="28"/>
          <w:szCs w:val="28"/>
        </w:rPr>
        <w:t>През 2023 г. има 12</w:t>
      </w:r>
      <w:r w:rsidRPr="00FA57B0">
        <w:rPr>
          <w:sz w:val="28"/>
          <w:szCs w:val="28"/>
        </w:rPr>
        <w:t xml:space="preserve"> решения на съдилищата, с които наказателното производство се прекратява, като 11 от тях са по внесени обвинителни актове, а 1 – по внесено предложение по реда на чл.78 а от НК.</w:t>
      </w:r>
      <w:r>
        <w:rPr>
          <w:sz w:val="28"/>
          <w:szCs w:val="28"/>
        </w:rPr>
        <w:t xml:space="preserve"> През 2022 г. тези решения са били 9, а през 2021 г. – 6.</w:t>
      </w:r>
    </w:p>
    <w:p w:rsidR="002E30E5" w:rsidRPr="00AB4034" w:rsidRDefault="002E30E5" w:rsidP="002E30E5">
      <w:pPr>
        <w:ind w:firstLine="709"/>
        <w:jc w:val="both"/>
        <w:rPr>
          <w:b/>
          <w:sz w:val="28"/>
          <w:szCs w:val="28"/>
        </w:rPr>
      </w:pPr>
      <w:r w:rsidRPr="00AB4034">
        <w:rPr>
          <w:b/>
          <w:sz w:val="28"/>
          <w:szCs w:val="28"/>
        </w:rPr>
        <w:t>1.4.Протести – въззивни и касационни</w:t>
      </w:r>
    </w:p>
    <w:p w:rsidR="002E30E5" w:rsidRPr="00AB4034" w:rsidRDefault="002E30E5" w:rsidP="002E30E5">
      <w:pPr>
        <w:ind w:firstLine="709"/>
        <w:jc w:val="both"/>
        <w:rPr>
          <w:sz w:val="28"/>
          <w:szCs w:val="28"/>
        </w:rPr>
      </w:pPr>
      <w:r w:rsidRPr="00AB4034">
        <w:rPr>
          <w:sz w:val="28"/>
          <w:szCs w:val="28"/>
        </w:rPr>
        <w:t xml:space="preserve">През 2023 г. прокурорите от региона на ОП – Варна са изготвили общо 55 броя въззивни протести </w:t>
      </w:r>
      <w:r>
        <w:rPr>
          <w:sz w:val="28"/>
          <w:szCs w:val="28"/>
        </w:rPr>
        <w:t xml:space="preserve">/при 51 броя през 2022 г. и 58 броя през 2021 г./ </w:t>
      </w:r>
      <w:r w:rsidRPr="00AB4034">
        <w:rPr>
          <w:sz w:val="28"/>
          <w:szCs w:val="28"/>
        </w:rPr>
        <w:t xml:space="preserve">срещу осъдителни, оправдателни и частично оправдателни присъди /тук не се включват протестите срещу върнати дела, които са посочени отделно/. </w:t>
      </w:r>
      <w:proofErr w:type="spellStart"/>
      <w:r w:rsidRPr="00AB4034">
        <w:rPr>
          <w:sz w:val="28"/>
          <w:szCs w:val="28"/>
        </w:rPr>
        <w:t>Въззивните</w:t>
      </w:r>
      <w:proofErr w:type="spellEnd"/>
      <w:r w:rsidRPr="00AB4034">
        <w:rPr>
          <w:sz w:val="28"/>
          <w:szCs w:val="28"/>
        </w:rPr>
        <w:t xml:space="preserve"> протести срещу изцяло и частично оправдателни присъди и решения са 38, от които общо разгледани са 33, уважени от съда са 11. Подадени са 3 касационни протести от ОП - Варна.</w:t>
      </w:r>
    </w:p>
    <w:p w:rsidR="00D47BC0" w:rsidRPr="00E51B93" w:rsidRDefault="00D47BC0" w:rsidP="002E30E5">
      <w:pPr>
        <w:pStyle w:val="13"/>
        <w:spacing w:after="0" w:line="240" w:lineRule="auto"/>
        <w:ind w:firstLine="709"/>
        <w:contextualSpacing/>
        <w:jc w:val="both"/>
        <w:rPr>
          <w:rStyle w:val="afb"/>
          <w:b w:val="0"/>
          <w:i w:val="0"/>
          <w:color w:val="5F497A" w:themeColor="accent4" w:themeShade="BF"/>
          <w:sz w:val="28"/>
          <w:szCs w:val="28"/>
        </w:rPr>
      </w:pPr>
    </w:p>
    <w:p w:rsidR="00E51B93" w:rsidRDefault="00E51B93" w:rsidP="000059A2">
      <w:pPr>
        <w:pStyle w:val="13"/>
        <w:numPr>
          <w:ilvl w:val="0"/>
          <w:numId w:val="6"/>
        </w:numPr>
        <w:spacing w:after="0" w:line="240" w:lineRule="auto"/>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t>Постановени оправдателни присъди</w:t>
      </w:r>
      <w:r w:rsidR="00A324E1">
        <w:rPr>
          <w:rStyle w:val="afb"/>
          <w:b w:val="0"/>
          <w:i w:val="0"/>
          <w:color w:val="5F497A" w:themeColor="accent4" w:themeShade="BF"/>
          <w:sz w:val="28"/>
          <w:szCs w:val="28"/>
        </w:rPr>
        <w:t xml:space="preserve"> и</w:t>
      </w:r>
      <w:r w:rsidRPr="00E51B93">
        <w:rPr>
          <w:rStyle w:val="afb"/>
          <w:b w:val="0"/>
          <w:i w:val="0"/>
          <w:color w:val="5F497A" w:themeColor="accent4" w:themeShade="BF"/>
          <w:sz w:val="28"/>
          <w:szCs w:val="28"/>
        </w:rPr>
        <w:t xml:space="preserve"> върнати от съда дела.</w:t>
      </w:r>
    </w:p>
    <w:p w:rsidR="002E30E5" w:rsidRPr="00943C1B" w:rsidRDefault="002E30E5" w:rsidP="002E30E5">
      <w:pPr>
        <w:ind w:firstLine="709"/>
        <w:jc w:val="both"/>
        <w:rPr>
          <w:b/>
          <w:sz w:val="28"/>
          <w:szCs w:val="28"/>
          <w:u w:val="single"/>
        </w:rPr>
      </w:pPr>
      <w:r w:rsidRPr="00943C1B">
        <w:rPr>
          <w:b/>
          <w:sz w:val="28"/>
          <w:szCs w:val="28"/>
          <w:u w:val="single"/>
        </w:rPr>
        <w:t>Върнати от съда дела:</w:t>
      </w:r>
    </w:p>
    <w:p w:rsidR="002E30E5" w:rsidRDefault="002E30E5" w:rsidP="002E30E5">
      <w:pPr>
        <w:ind w:firstLine="709"/>
        <w:jc w:val="both"/>
        <w:rPr>
          <w:sz w:val="28"/>
          <w:szCs w:val="28"/>
        </w:rPr>
      </w:pPr>
      <w:r>
        <w:rPr>
          <w:sz w:val="28"/>
          <w:szCs w:val="28"/>
        </w:rPr>
        <w:t>През 2023 г. от съдилищата в региона на ОП – Варна по внесени прокурорски актове са върнати общо 56 дела /ОП – Варна – 13 и РП – Варна – 43 броя/.</w:t>
      </w:r>
    </w:p>
    <w:p w:rsidR="002E30E5" w:rsidRDefault="002E30E5" w:rsidP="002E30E5">
      <w:pPr>
        <w:ind w:firstLine="709"/>
        <w:jc w:val="both"/>
        <w:rPr>
          <w:sz w:val="28"/>
          <w:szCs w:val="28"/>
        </w:rPr>
      </w:pPr>
      <w:r>
        <w:rPr>
          <w:sz w:val="28"/>
          <w:szCs w:val="28"/>
        </w:rPr>
        <w:t>През 2022 г. от съдилищата в региона на ОП – Варна по внесени прокурорски актове са върнати общо 38 дела /ОП – Варна – 8 и РП – Варна – 30 броя/.</w:t>
      </w:r>
    </w:p>
    <w:p w:rsidR="002E30E5" w:rsidRDefault="002E30E5" w:rsidP="002E30E5">
      <w:pPr>
        <w:ind w:firstLine="709"/>
        <w:jc w:val="both"/>
        <w:rPr>
          <w:sz w:val="28"/>
          <w:szCs w:val="28"/>
        </w:rPr>
      </w:pPr>
      <w:r>
        <w:rPr>
          <w:sz w:val="28"/>
          <w:szCs w:val="28"/>
        </w:rPr>
        <w:lastRenderedPageBreak/>
        <w:t>През 2021 г. от съдилищата в региона на ОП – Варна по внесени прокурорски актове са върнати общо 45 дела /ОП – Варна – 9 броя, РП – Варна – 36 броя/.</w:t>
      </w:r>
    </w:p>
    <w:p w:rsidR="002E30E5" w:rsidRDefault="002E30E5" w:rsidP="002E30E5">
      <w:pPr>
        <w:ind w:firstLine="709"/>
        <w:jc w:val="both"/>
        <w:rPr>
          <w:sz w:val="28"/>
          <w:szCs w:val="28"/>
        </w:rPr>
      </w:pPr>
      <w:r>
        <w:rPr>
          <w:sz w:val="28"/>
          <w:szCs w:val="28"/>
        </w:rPr>
        <w:t>Видно от посочените данни, през 2023 г. е налице увеличение на броя на върнатите дела спрямо предходните два отчетни периода. Увеличението касае както общо региона на ОП – Варна, така и ОП – Варна и РП – Варна поотделно.</w:t>
      </w:r>
    </w:p>
    <w:p w:rsidR="002E30E5" w:rsidRDefault="002E30E5" w:rsidP="002E30E5">
      <w:pPr>
        <w:ind w:firstLine="709"/>
        <w:jc w:val="both"/>
        <w:rPr>
          <w:sz w:val="28"/>
          <w:szCs w:val="28"/>
        </w:rPr>
      </w:pPr>
      <w:r>
        <w:rPr>
          <w:sz w:val="28"/>
          <w:szCs w:val="28"/>
        </w:rPr>
        <w:t xml:space="preserve">През 2023 г. общият брой протести за района на ОП – Варна срещу върнати от съда дела е 17, като 16 от тях са срещу върнати от съда дела по чл. 249 ал.3, </w:t>
      </w:r>
      <w:proofErr w:type="spellStart"/>
      <w:r>
        <w:rPr>
          <w:sz w:val="28"/>
          <w:szCs w:val="28"/>
        </w:rPr>
        <w:t>вр</w:t>
      </w:r>
      <w:proofErr w:type="spellEnd"/>
      <w:r>
        <w:rPr>
          <w:sz w:val="28"/>
          <w:szCs w:val="28"/>
        </w:rPr>
        <w:t xml:space="preserve">. чл. 248 ал.1 т.3 от НПК /разгледани – 15 броя, уважени – 5 броя/, а 1 брой – срещу върнато дело по чл. 377 ал.2 от НПК /разгледан от съда, неуважен/. </w:t>
      </w:r>
    </w:p>
    <w:p w:rsidR="002E30E5" w:rsidRDefault="002E30E5" w:rsidP="002E30E5">
      <w:pPr>
        <w:ind w:firstLine="709"/>
        <w:jc w:val="both"/>
        <w:rPr>
          <w:sz w:val="28"/>
          <w:szCs w:val="28"/>
        </w:rPr>
      </w:pPr>
      <w:bookmarkStart w:id="22" w:name="OLE_LINK7"/>
      <w:r>
        <w:rPr>
          <w:sz w:val="28"/>
          <w:szCs w:val="28"/>
        </w:rPr>
        <w:t xml:space="preserve">През 2022 г. общият брой протести за района на ОП – Варна срещу върнати от съда дела също е бил 17, като всички са срещу върнати от съда дела по чл. 249 ал.3, </w:t>
      </w:r>
      <w:proofErr w:type="spellStart"/>
      <w:r>
        <w:rPr>
          <w:sz w:val="28"/>
          <w:szCs w:val="28"/>
        </w:rPr>
        <w:t>вр</w:t>
      </w:r>
      <w:proofErr w:type="spellEnd"/>
      <w:r>
        <w:rPr>
          <w:sz w:val="28"/>
          <w:szCs w:val="28"/>
        </w:rPr>
        <w:t>. чл. 248 ал.1 т.3 от НПК. От тях разгледани са били 16, а уважени – 8 броя.</w:t>
      </w:r>
    </w:p>
    <w:bookmarkEnd w:id="22"/>
    <w:p w:rsidR="002E30E5" w:rsidRDefault="002E30E5" w:rsidP="002E30E5">
      <w:pPr>
        <w:ind w:firstLine="709"/>
        <w:jc w:val="both"/>
        <w:rPr>
          <w:sz w:val="28"/>
          <w:szCs w:val="28"/>
        </w:rPr>
      </w:pPr>
      <w:r>
        <w:rPr>
          <w:sz w:val="28"/>
          <w:szCs w:val="28"/>
        </w:rPr>
        <w:t>През 2021 г. общият брой протести за региона на ОП – Варна срещу върнати от съда дела е 13. От тях разгледани са били 12 броя протести, а уважени – 5 броя.</w:t>
      </w:r>
    </w:p>
    <w:p w:rsidR="002E30E5" w:rsidRDefault="002E30E5" w:rsidP="002E30E5">
      <w:pPr>
        <w:ind w:firstLine="709"/>
        <w:jc w:val="center"/>
        <w:rPr>
          <w:b/>
          <w:color w:val="FF0000"/>
          <w:sz w:val="28"/>
          <w:szCs w:val="28"/>
        </w:rPr>
      </w:pPr>
    </w:p>
    <w:p w:rsidR="002E30E5" w:rsidRDefault="002E30E5" w:rsidP="002E30E5">
      <w:pPr>
        <w:ind w:firstLine="709"/>
        <w:jc w:val="center"/>
        <w:rPr>
          <w:sz w:val="28"/>
          <w:szCs w:val="28"/>
        </w:rPr>
      </w:pPr>
      <w:r>
        <w:rPr>
          <w:b/>
          <w:sz w:val="28"/>
          <w:szCs w:val="28"/>
        </w:rPr>
        <w:t>Върнати дела по внесени в съда прокурорски актове:</w:t>
      </w:r>
    </w:p>
    <w:p w:rsidR="002E30E5" w:rsidRDefault="002E30E5" w:rsidP="002E30E5">
      <w:pPr>
        <w:ind w:firstLine="709"/>
        <w:jc w:val="both"/>
        <w:rPr>
          <w:color w:val="FF0000"/>
          <w:sz w:val="28"/>
          <w:szCs w:val="28"/>
        </w:rPr>
      </w:pPr>
      <w:r>
        <w:rPr>
          <w:rFonts w:eastAsia="Calibri"/>
          <w:noProof/>
          <w:color w:val="FF0000"/>
          <w:sz w:val="28"/>
          <w:szCs w:val="28"/>
        </w:rPr>
        <w:drawing>
          <wp:inline distT="0" distB="0" distL="0" distR="0" wp14:anchorId="097EDEAC" wp14:editId="63312C65">
            <wp:extent cx="5047013" cy="2588821"/>
            <wp:effectExtent l="0" t="0" r="20320" b="21590"/>
            <wp:docPr id="25" name="Диагра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E30E5" w:rsidRDefault="002E30E5" w:rsidP="002E30E5">
      <w:pPr>
        <w:ind w:firstLine="709"/>
        <w:jc w:val="both"/>
        <w:rPr>
          <w:color w:val="FF0000"/>
          <w:sz w:val="28"/>
          <w:szCs w:val="28"/>
        </w:rPr>
      </w:pPr>
    </w:p>
    <w:p w:rsidR="002E30E5" w:rsidRDefault="002E30E5" w:rsidP="000059A2">
      <w:pPr>
        <w:numPr>
          <w:ilvl w:val="1"/>
          <w:numId w:val="9"/>
        </w:numPr>
        <w:ind w:left="0" w:firstLine="709"/>
        <w:contextualSpacing/>
        <w:jc w:val="both"/>
        <w:rPr>
          <w:b/>
          <w:sz w:val="28"/>
          <w:szCs w:val="28"/>
        </w:rPr>
      </w:pPr>
      <w:r>
        <w:rPr>
          <w:b/>
          <w:sz w:val="28"/>
          <w:szCs w:val="28"/>
        </w:rPr>
        <w:t>Върнати от съда обвинителни актове</w:t>
      </w:r>
    </w:p>
    <w:p w:rsidR="002E30E5" w:rsidRDefault="002E30E5" w:rsidP="002E30E5">
      <w:pPr>
        <w:ind w:firstLine="709"/>
        <w:jc w:val="both"/>
        <w:rPr>
          <w:sz w:val="28"/>
          <w:szCs w:val="28"/>
          <w:u w:val="single"/>
        </w:rPr>
      </w:pPr>
      <w:r>
        <w:rPr>
          <w:sz w:val="28"/>
          <w:szCs w:val="28"/>
          <w:u w:val="single"/>
        </w:rPr>
        <w:t>Върнати дела, внесени с обвинителни актове:</w:t>
      </w:r>
    </w:p>
    <w:p w:rsidR="002E30E5" w:rsidRDefault="002E30E5" w:rsidP="002E30E5">
      <w:pPr>
        <w:ind w:firstLine="709"/>
        <w:jc w:val="both"/>
        <w:rPr>
          <w:sz w:val="28"/>
          <w:szCs w:val="28"/>
        </w:rPr>
      </w:pPr>
      <w:r>
        <w:rPr>
          <w:b/>
          <w:sz w:val="28"/>
          <w:szCs w:val="28"/>
        </w:rPr>
        <w:t>През 2023 г.</w:t>
      </w:r>
      <w:r>
        <w:rPr>
          <w:sz w:val="28"/>
          <w:szCs w:val="28"/>
        </w:rPr>
        <w:t xml:space="preserve"> върнатите от съда дела по внесени обвинителни актове са както следва:</w:t>
      </w:r>
    </w:p>
    <w:p w:rsidR="002E30E5" w:rsidRDefault="002E30E5" w:rsidP="002E30E5">
      <w:pPr>
        <w:ind w:firstLine="709"/>
        <w:jc w:val="both"/>
        <w:rPr>
          <w:b/>
          <w:sz w:val="28"/>
          <w:szCs w:val="28"/>
        </w:rPr>
      </w:pPr>
      <w:r>
        <w:rPr>
          <w:sz w:val="28"/>
          <w:szCs w:val="28"/>
        </w:rPr>
        <w:t xml:space="preserve">Общо за региона на ОП – Варна – </w:t>
      </w:r>
      <w:r>
        <w:rPr>
          <w:b/>
          <w:sz w:val="28"/>
          <w:szCs w:val="28"/>
          <w:u w:val="single"/>
        </w:rPr>
        <w:t>46 броя</w:t>
      </w:r>
      <w:r>
        <w:rPr>
          <w:sz w:val="28"/>
          <w:szCs w:val="28"/>
        </w:rPr>
        <w:t xml:space="preserve"> върнати дела по внесени обвинителни актове /ОП – Варна – 11 броя и РП – Варна – 35 броя/.</w:t>
      </w:r>
    </w:p>
    <w:p w:rsidR="002E30E5" w:rsidRDefault="002E30E5" w:rsidP="002E30E5">
      <w:pPr>
        <w:ind w:firstLine="709"/>
        <w:jc w:val="both"/>
        <w:rPr>
          <w:b/>
          <w:sz w:val="28"/>
          <w:szCs w:val="28"/>
        </w:rPr>
      </w:pPr>
      <w:bookmarkStart w:id="23" w:name="OLE_LINK8"/>
      <w:r>
        <w:rPr>
          <w:b/>
          <w:sz w:val="28"/>
          <w:szCs w:val="28"/>
        </w:rPr>
        <w:t>През 2022 г.</w:t>
      </w:r>
      <w:r>
        <w:rPr>
          <w:sz w:val="28"/>
          <w:szCs w:val="28"/>
        </w:rPr>
        <w:t xml:space="preserve"> общо за региона на ОП – Варна по внесени ОА са били върнати </w:t>
      </w:r>
      <w:r>
        <w:rPr>
          <w:b/>
          <w:sz w:val="28"/>
          <w:szCs w:val="28"/>
          <w:u w:val="single"/>
        </w:rPr>
        <w:t>29 броя</w:t>
      </w:r>
      <w:r>
        <w:rPr>
          <w:sz w:val="28"/>
          <w:szCs w:val="28"/>
        </w:rPr>
        <w:t xml:space="preserve"> дела /ОП – Варна – 8 броя и РП – Варна – 21 броя/.</w:t>
      </w:r>
    </w:p>
    <w:bookmarkEnd w:id="23"/>
    <w:p w:rsidR="002E30E5" w:rsidRDefault="002E30E5" w:rsidP="002E30E5">
      <w:pPr>
        <w:ind w:firstLine="709"/>
        <w:jc w:val="both"/>
        <w:rPr>
          <w:sz w:val="28"/>
          <w:szCs w:val="28"/>
        </w:rPr>
      </w:pPr>
      <w:r>
        <w:rPr>
          <w:b/>
          <w:sz w:val="28"/>
          <w:szCs w:val="28"/>
        </w:rPr>
        <w:t>През 2021 г.</w:t>
      </w:r>
      <w:r>
        <w:rPr>
          <w:sz w:val="28"/>
          <w:szCs w:val="28"/>
        </w:rPr>
        <w:t xml:space="preserve"> този брой е бил </w:t>
      </w:r>
      <w:r>
        <w:rPr>
          <w:b/>
          <w:sz w:val="28"/>
          <w:szCs w:val="28"/>
          <w:u w:val="single"/>
        </w:rPr>
        <w:t xml:space="preserve">33 </w:t>
      </w:r>
      <w:r>
        <w:rPr>
          <w:sz w:val="28"/>
          <w:szCs w:val="28"/>
        </w:rPr>
        <w:t>/ОП – Варна – 9 броя и РП – Варна – 24 броя/.</w:t>
      </w:r>
    </w:p>
    <w:p w:rsidR="002E30E5" w:rsidRDefault="002E30E5" w:rsidP="002E30E5">
      <w:pPr>
        <w:ind w:firstLine="709"/>
        <w:jc w:val="both"/>
        <w:rPr>
          <w:sz w:val="28"/>
          <w:szCs w:val="28"/>
        </w:rPr>
      </w:pPr>
    </w:p>
    <w:p w:rsidR="002E30E5" w:rsidRDefault="002E30E5" w:rsidP="002E30E5">
      <w:pPr>
        <w:ind w:firstLine="709"/>
        <w:jc w:val="both"/>
        <w:rPr>
          <w:color w:val="FF0000"/>
          <w:sz w:val="28"/>
          <w:szCs w:val="28"/>
        </w:rPr>
      </w:pPr>
    </w:p>
    <w:p w:rsidR="002E30E5" w:rsidRDefault="002E30E5" w:rsidP="002E30E5">
      <w:pPr>
        <w:ind w:firstLine="709"/>
        <w:jc w:val="both"/>
        <w:rPr>
          <w:b/>
          <w:sz w:val="28"/>
          <w:szCs w:val="28"/>
          <w:u w:val="single"/>
        </w:rPr>
      </w:pPr>
      <w:r>
        <w:rPr>
          <w:b/>
          <w:sz w:val="28"/>
          <w:szCs w:val="28"/>
          <w:u w:val="single"/>
        </w:rPr>
        <w:lastRenderedPageBreak/>
        <w:t>Видно от горните данни:</w:t>
      </w:r>
    </w:p>
    <w:p w:rsidR="002E30E5" w:rsidRDefault="002E30E5" w:rsidP="002E30E5">
      <w:pPr>
        <w:ind w:firstLine="709"/>
        <w:jc w:val="both"/>
        <w:rPr>
          <w:sz w:val="28"/>
          <w:szCs w:val="28"/>
        </w:rPr>
      </w:pPr>
      <w:r>
        <w:rPr>
          <w:sz w:val="28"/>
          <w:szCs w:val="28"/>
        </w:rPr>
        <w:t>През 2023 г. е налице увеличение на броя на върнатите дела по внесени обвинителни актове както за целия регион на ОП – Варна, така и отделно за ОП – Варна и за РП – Варна спрямо двата предходни отчетни периода.</w:t>
      </w:r>
    </w:p>
    <w:p w:rsidR="002E30E5" w:rsidRDefault="002E30E5" w:rsidP="002E30E5">
      <w:pPr>
        <w:ind w:firstLine="709"/>
        <w:jc w:val="both"/>
        <w:rPr>
          <w:color w:val="FF0000"/>
          <w:sz w:val="28"/>
          <w:szCs w:val="28"/>
        </w:rPr>
      </w:pPr>
    </w:p>
    <w:p w:rsidR="002E30E5" w:rsidRDefault="002E30E5" w:rsidP="002E30E5">
      <w:pPr>
        <w:ind w:firstLine="709"/>
        <w:jc w:val="center"/>
        <w:rPr>
          <w:b/>
          <w:sz w:val="28"/>
          <w:szCs w:val="28"/>
        </w:rPr>
      </w:pPr>
      <w:r>
        <w:rPr>
          <w:b/>
          <w:sz w:val="28"/>
          <w:szCs w:val="28"/>
        </w:rPr>
        <w:t>Върнати от съда дела по внесени обвинителни актове:</w:t>
      </w:r>
    </w:p>
    <w:p w:rsidR="002E30E5" w:rsidRDefault="002E30E5" w:rsidP="002E30E5">
      <w:pPr>
        <w:ind w:firstLine="709"/>
        <w:jc w:val="both"/>
        <w:rPr>
          <w:color w:val="FF0000"/>
          <w:sz w:val="28"/>
          <w:szCs w:val="28"/>
          <w:u w:val="single"/>
        </w:rPr>
      </w:pPr>
      <w:r>
        <w:rPr>
          <w:rFonts w:eastAsia="Calibri"/>
          <w:noProof/>
          <w:color w:val="FF0000"/>
          <w:sz w:val="28"/>
          <w:szCs w:val="28"/>
        </w:rPr>
        <w:drawing>
          <wp:inline distT="0" distB="0" distL="0" distR="0" wp14:anchorId="70811C91" wp14:editId="2431ECE0">
            <wp:extent cx="4940135" cy="2470067"/>
            <wp:effectExtent l="0" t="0" r="13335" b="26035"/>
            <wp:docPr id="24" name="Диагра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E30E5" w:rsidRDefault="002E30E5" w:rsidP="002E30E5">
      <w:pPr>
        <w:ind w:firstLine="709"/>
        <w:jc w:val="both"/>
        <w:rPr>
          <w:color w:val="FF0000"/>
          <w:sz w:val="28"/>
          <w:szCs w:val="28"/>
          <w:u w:val="single"/>
        </w:rPr>
      </w:pPr>
    </w:p>
    <w:p w:rsidR="002E30E5" w:rsidRDefault="002E30E5" w:rsidP="002E30E5">
      <w:pPr>
        <w:ind w:firstLine="709"/>
        <w:jc w:val="both"/>
        <w:rPr>
          <w:b/>
          <w:sz w:val="28"/>
          <w:szCs w:val="28"/>
        </w:rPr>
      </w:pPr>
      <w:r>
        <w:rPr>
          <w:b/>
          <w:sz w:val="28"/>
          <w:szCs w:val="28"/>
        </w:rPr>
        <w:t>2.</w:t>
      </w:r>
      <w:proofErr w:type="spellStart"/>
      <w:r>
        <w:rPr>
          <w:b/>
          <w:sz w:val="28"/>
          <w:szCs w:val="28"/>
        </w:rPr>
        <w:t>2</w:t>
      </w:r>
      <w:proofErr w:type="spellEnd"/>
      <w:r>
        <w:rPr>
          <w:b/>
          <w:sz w:val="28"/>
          <w:szCs w:val="28"/>
        </w:rPr>
        <w:t>.Неодобрени споразумения</w:t>
      </w:r>
    </w:p>
    <w:p w:rsidR="002E30E5" w:rsidRDefault="002E30E5" w:rsidP="002E30E5">
      <w:pPr>
        <w:ind w:firstLine="709"/>
        <w:jc w:val="both"/>
        <w:rPr>
          <w:sz w:val="28"/>
          <w:szCs w:val="28"/>
        </w:rPr>
      </w:pPr>
      <w:r>
        <w:rPr>
          <w:b/>
          <w:sz w:val="28"/>
          <w:szCs w:val="28"/>
        </w:rPr>
        <w:t>През 2023 г</w:t>
      </w:r>
      <w:r>
        <w:rPr>
          <w:sz w:val="28"/>
          <w:szCs w:val="28"/>
        </w:rPr>
        <w:t>. неодобрените от съда споразумения са както следва:</w:t>
      </w:r>
    </w:p>
    <w:p w:rsidR="002E30E5" w:rsidRDefault="002E30E5" w:rsidP="002E30E5">
      <w:pPr>
        <w:ind w:firstLine="709"/>
        <w:jc w:val="both"/>
        <w:rPr>
          <w:b/>
          <w:sz w:val="28"/>
          <w:szCs w:val="28"/>
        </w:rPr>
      </w:pPr>
      <w:r>
        <w:rPr>
          <w:sz w:val="28"/>
          <w:szCs w:val="28"/>
        </w:rPr>
        <w:t xml:space="preserve">Общо за региона на ОП – Варна – </w:t>
      </w:r>
      <w:r>
        <w:rPr>
          <w:b/>
          <w:sz w:val="28"/>
          <w:szCs w:val="28"/>
          <w:u w:val="single"/>
        </w:rPr>
        <w:t>15 броя</w:t>
      </w:r>
      <w:r>
        <w:rPr>
          <w:sz w:val="28"/>
          <w:szCs w:val="28"/>
        </w:rPr>
        <w:t xml:space="preserve">, от които </w:t>
      </w:r>
      <w:r>
        <w:rPr>
          <w:b/>
          <w:sz w:val="28"/>
          <w:szCs w:val="28"/>
          <w:u w:val="single"/>
        </w:rPr>
        <w:t xml:space="preserve">7 </w:t>
      </w:r>
      <w:r>
        <w:rPr>
          <w:sz w:val="28"/>
          <w:szCs w:val="28"/>
        </w:rPr>
        <w:t xml:space="preserve">са внесени от ОП – Варна и 8 – от РП – Варна. От неодобрените споразумение – 1 брой е върнато поради допуснати нарушения на закона и процесуалните правила. </w:t>
      </w:r>
    </w:p>
    <w:p w:rsidR="002E30E5" w:rsidRDefault="002E30E5" w:rsidP="002E30E5">
      <w:pPr>
        <w:ind w:firstLine="709"/>
        <w:jc w:val="both"/>
        <w:rPr>
          <w:sz w:val="28"/>
          <w:szCs w:val="28"/>
        </w:rPr>
      </w:pPr>
      <w:bookmarkStart w:id="24" w:name="OLE_LINK9"/>
      <w:r>
        <w:rPr>
          <w:b/>
          <w:sz w:val="28"/>
          <w:szCs w:val="28"/>
        </w:rPr>
        <w:t>През 2022 г</w:t>
      </w:r>
      <w:r>
        <w:rPr>
          <w:sz w:val="28"/>
          <w:szCs w:val="28"/>
        </w:rPr>
        <w:t>. неодобрените от съда споразумения са както следва:</w:t>
      </w:r>
    </w:p>
    <w:p w:rsidR="002E30E5" w:rsidRDefault="002E30E5" w:rsidP="002E30E5">
      <w:pPr>
        <w:ind w:firstLine="709"/>
        <w:jc w:val="both"/>
        <w:rPr>
          <w:sz w:val="28"/>
          <w:szCs w:val="28"/>
        </w:rPr>
      </w:pPr>
      <w:r>
        <w:rPr>
          <w:sz w:val="28"/>
          <w:szCs w:val="28"/>
        </w:rPr>
        <w:t xml:space="preserve">Общо за региона на ОП – Варна – </w:t>
      </w:r>
      <w:r>
        <w:rPr>
          <w:b/>
          <w:sz w:val="28"/>
          <w:szCs w:val="28"/>
          <w:u w:val="single"/>
        </w:rPr>
        <w:t>12 броя</w:t>
      </w:r>
      <w:r>
        <w:rPr>
          <w:sz w:val="28"/>
          <w:szCs w:val="28"/>
        </w:rPr>
        <w:t xml:space="preserve">, от които </w:t>
      </w:r>
      <w:r>
        <w:rPr>
          <w:b/>
          <w:sz w:val="28"/>
          <w:szCs w:val="28"/>
          <w:u w:val="single"/>
        </w:rPr>
        <w:t>5</w:t>
      </w:r>
      <w:r>
        <w:rPr>
          <w:sz w:val="28"/>
          <w:szCs w:val="28"/>
        </w:rPr>
        <w:t xml:space="preserve"> са внесени от ОП – Варна и 7 – от РП – Варна. Няма върнати неодобрени споразумения поради допуснати нарушения на закона и процесуалните правила.</w:t>
      </w:r>
    </w:p>
    <w:bookmarkEnd w:id="24"/>
    <w:p w:rsidR="002E30E5" w:rsidRDefault="002E30E5" w:rsidP="002E30E5">
      <w:pPr>
        <w:ind w:firstLine="709"/>
        <w:jc w:val="both"/>
        <w:rPr>
          <w:sz w:val="28"/>
          <w:szCs w:val="28"/>
        </w:rPr>
      </w:pPr>
      <w:r>
        <w:rPr>
          <w:b/>
          <w:sz w:val="28"/>
          <w:szCs w:val="28"/>
        </w:rPr>
        <w:t>През 2021 г.</w:t>
      </w:r>
      <w:r>
        <w:rPr>
          <w:sz w:val="28"/>
          <w:szCs w:val="28"/>
        </w:rPr>
        <w:t xml:space="preserve"> неодобрените от съда споразумения са </w:t>
      </w:r>
      <w:r>
        <w:rPr>
          <w:b/>
          <w:sz w:val="28"/>
          <w:szCs w:val="28"/>
          <w:u w:val="single"/>
        </w:rPr>
        <w:t>9 броя</w:t>
      </w:r>
      <w:r>
        <w:rPr>
          <w:sz w:val="28"/>
          <w:szCs w:val="28"/>
        </w:rPr>
        <w:t xml:space="preserve">, всички внесени от РП - Варна. </w:t>
      </w:r>
    </w:p>
    <w:p w:rsidR="002E30E5" w:rsidRDefault="002E30E5" w:rsidP="002E30E5">
      <w:pPr>
        <w:ind w:firstLine="709"/>
        <w:jc w:val="center"/>
        <w:rPr>
          <w:b/>
          <w:sz w:val="28"/>
          <w:szCs w:val="28"/>
        </w:rPr>
      </w:pPr>
      <w:r>
        <w:rPr>
          <w:b/>
          <w:sz w:val="28"/>
          <w:szCs w:val="28"/>
        </w:rPr>
        <w:t>Неодобрени от съда споразумения:</w:t>
      </w:r>
    </w:p>
    <w:p w:rsidR="002E30E5" w:rsidRDefault="002E30E5" w:rsidP="002E30E5">
      <w:pPr>
        <w:ind w:firstLine="709"/>
        <w:jc w:val="both"/>
        <w:rPr>
          <w:b/>
          <w:color w:val="FF0000"/>
          <w:sz w:val="28"/>
          <w:szCs w:val="28"/>
        </w:rPr>
      </w:pPr>
    </w:p>
    <w:p w:rsidR="002E30E5" w:rsidRDefault="002E30E5" w:rsidP="002E30E5">
      <w:pPr>
        <w:ind w:firstLine="709"/>
        <w:jc w:val="both"/>
        <w:rPr>
          <w:color w:val="FF0000"/>
          <w:sz w:val="28"/>
          <w:szCs w:val="28"/>
        </w:rPr>
      </w:pPr>
      <w:r>
        <w:rPr>
          <w:rFonts w:eastAsia="Calibri"/>
          <w:noProof/>
          <w:color w:val="FF0000"/>
          <w:sz w:val="28"/>
          <w:szCs w:val="28"/>
        </w:rPr>
        <w:drawing>
          <wp:inline distT="0" distB="0" distL="0" distR="0" wp14:anchorId="2A590D24" wp14:editId="3559E7A9">
            <wp:extent cx="4997303" cy="2594344"/>
            <wp:effectExtent l="0" t="0" r="13335" b="15875"/>
            <wp:docPr id="23" name="Ди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E30E5" w:rsidRDefault="002E30E5" w:rsidP="002E30E5">
      <w:pPr>
        <w:ind w:firstLine="709"/>
        <w:jc w:val="both"/>
        <w:rPr>
          <w:b/>
          <w:color w:val="FF0000"/>
          <w:sz w:val="28"/>
          <w:szCs w:val="28"/>
        </w:rPr>
      </w:pPr>
    </w:p>
    <w:p w:rsidR="002E30E5" w:rsidRDefault="002E30E5" w:rsidP="002E30E5">
      <w:pPr>
        <w:ind w:firstLine="709"/>
        <w:jc w:val="both"/>
        <w:rPr>
          <w:sz w:val="28"/>
          <w:szCs w:val="28"/>
        </w:rPr>
      </w:pPr>
      <w:r>
        <w:rPr>
          <w:b/>
          <w:sz w:val="28"/>
          <w:szCs w:val="28"/>
        </w:rPr>
        <w:t>2.3.</w:t>
      </w:r>
      <w:r>
        <w:rPr>
          <w:b/>
          <w:sz w:val="28"/>
          <w:szCs w:val="28"/>
          <w:lang w:val="en-US"/>
        </w:rPr>
        <w:t xml:space="preserve"> </w:t>
      </w:r>
      <w:r>
        <w:rPr>
          <w:b/>
          <w:sz w:val="28"/>
          <w:szCs w:val="28"/>
        </w:rPr>
        <w:t>Върнати от съда дела с внесени постановления за освобождаване от наказателна отговорност с налагане на административно наказание</w:t>
      </w:r>
    </w:p>
    <w:p w:rsidR="002E30E5" w:rsidRDefault="002E30E5" w:rsidP="002E30E5">
      <w:pPr>
        <w:ind w:firstLine="709"/>
        <w:jc w:val="both"/>
        <w:rPr>
          <w:sz w:val="28"/>
          <w:szCs w:val="28"/>
        </w:rPr>
      </w:pPr>
      <w:r>
        <w:rPr>
          <w:sz w:val="28"/>
          <w:szCs w:val="28"/>
        </w:rPr>
        <w:t>През 2023 г. върнатите от съда дела с внесени постановления по реда на чл. 78 а от НК са както следва:</w:t>
      </w:r>
    </w:p>
    <w:p w:rsidR="002E30E5" w:rsidRDefault="002E30E5" w:rsidP="002E30E5">
      <w:pPr>
        <w:ind w:firstLine="709"/>
        <w:jc w:val="both"/>
        <w:rPr>
          <w:sz w:val="28"/>
          <w:szCs w:val="28"/>
        </w:rPr>
      </w:pPr>
      <w:r>
        <w:rPr>
          <w:sz w:val="28"/>
          <w:szCs w:val="28"/>
        </w:rPr>
        <w:t xml:space="preserve">Общо за региона на ОП – Варна – </w:t>
      </w:r>
      <w:r>
        <w:rPr>
          <w:b/>
          <w:sz w:val="28"/>
          <w:szCs w:val="28"/>
        </w:rPr>
        <w:t>9 броя</w:t>
      </w:r>
      <w:r>
        <w:rPr>
          <w:sz w:val="28"/>
          <w:szCs w:val="28"/>
        </w:rPr>
        <w:t xml:space="preserve"> /ОП – Варна – 1 брой и РП – Варна – </w:t>
      </w:r>
      <w:r>
        <w:rPr>
          <w:b/>
          <w:sz w:val="28"/>
          <w:szCs w:val="28"/>
        </w:rPr>
        <w:t>8 броя</w:t>
      </w:r>
      <w:r>
        <w:rPr>
          <w:sz w:val="28"/>
          <w:szCs w:val="28"/>
        </w:rPr>
        <w:t>/.</w:t>
      </w:r>
    </w:p>
    <w:p w:rsidR="002E30E5" w:rsidRDefault="002E30E5" w:rsidP="002E30E5">
      <w:pPr>
        <w:ind w:firstLine="709"/>
        <w:jc w:val="both"/>
        <w:rPr>
          <w:sz w:val="28"/>
          <w:szCs w:val="28"/>
        </w:rPr>
      </w:pPr>
      <w:bookmarkStart w:id="25" w:name="OLE_LINK10"/>
      <w:r>
        <w:rPr>
          <w:sz w:val="28"/>
          <w:szCs w:val="28"/>
        </w:rPr>
        <w:t xml:space="preserve">През 2022 г. те са били </w:t>
      </w:r>
      <w:r>
        <w:rPr>
          <w:b/>
          <w:sz w:val="28"/>
          <w:szCs w:val="28"/>
        </w:rPr>
        <w:t>9 броя</w:t>
      </w:r>
      <w:r>
        <w:rPr>
          <w:sz w:val="28"/>
          <w:szCs w:val="28"/>
        </w:rPr>
        <w:t xml:space="preserve"> /всички на РП – Варна/, а през 2021 г. - </w:t>
      </w:r>
      <w:bookmarkEnd w:id="25"/>
      <w:r>
        <w:rPr>
          <w:b/>
          <w:sz w:val="28"/>
          <w:szCs w:val="28"/>
        </w:rPr>
        <w:t>12 броя</w:t>
      </w:r>
      <w:r>
        <w:rPr>
          <w:sz w:val="28"/>
          <w:szCs w:val="28"/>
        </w:rPr>
        <w:t xml:space="preserve"> /на РП – Варна/.</w:t>
      </w:r>
    </w:p>
    <w:p w:rsidR="002E30E5" w:rsidRDefault="002E30E5" w:rsidP="002E30E5">
      <w:pPr>
        <w:ind w:firstLine="709"/>
        <w:jc w:val="both"/>
        <w:rPr>
          <w:b/>
          <w:sz w:val="28"/>
          <w:szCs w:val="28"/>
        </w:rPr>
      </w:pPr>
      <w:r>
        <w:rPr>
          <w:b/>
          <w:sz w:val="28"/>
          <w:szCs w:val="28"/>
        </w:rPr>
        <w:t>Видно от горното, налице е тенденция за РП – Варна за намаляване на броя на върнатите от съда дела, внесени с постановление по чл. 78 а от НК в периода 2021 г. – 2023 г.</w:t>
      </w:r>
    </w:p>
    <w:p w:rsidR="002E30E5" w:rsidRDefault="002E30E5" w:rsidP="002E30E5">
      <w:pPr>
        <w:ind w:firstLine="709"/>
        <w:jc w:val="both"/>
        <w:rPr>
          <w:color w:val="FF0000"/>
          <w:sz w:val="28"/>
          <w:szCs w:val="28"/>
        </w:rPr>
      </w:pPr>
      <w:r>
        <w:rPr>
          <w:b/>
          <w:sz w:val="28"/>
          <w:szCs w:val="28"/>
        </w:rPr>
        <w:t xml:space="preserve">2.4.Върнати с влязъл в сила съдебен акт дела </w:t>
      </w:r>
    </w:p>
    <w:p w:rsidR="002E30E5" w:rsidRDefault="002E30E5" w:rsidP="002E30E5">
      <w:pPr>
        <w:ind w:right="1" w:firstLine="709"/>
        <w:jc w:val="both"/>
        <w:rPr>
          <w:b/>
          <w:sz w:val="28"/>
          <w:szCs w:val="28"/>
        </w:rPr>
      </w:pPr>
      <w:r>
        <w:rPr>
          <w:sz w:val="28"/>
          <w:szCs w:val="28"/>
        </w:rPr>
        <w:t xml:space="preserve">Анализът на причините за връщане на делата от съда на прокуратурата е съобразен с Указанията за подобряване на организацията на работата в ПРБ по НСН, утвърдени със Заповед № РД-02-29/15.12.2017 г. на Главния прокурор на </w:t>
      </w:r>
      <w:proofErr w:type="spellStart"/>
      <w:r>
        <w:rPr>
          <w:sz w:val="28"/>
          <w:szCs w:val="28"/>
        </w:rPr>
        <w:t>РБългария</w:t>
      </w:r>
      <w:proofErr w:type="spellEnd"/>
      <w:r>
        <w:rPr>
          <w:sz w:val="28"/>
          <w:szCs w:val="28"/>
        </w:rPr>
        <w:t>.</w:t>
      </w:r>
      <w:r>
        <w:rPr>
          <w:b/>
          <w:sz w:val="28"/>
          <w:szCs w:val="28"/>
        </w:rPr>
        <w:t xml:space="preserve"> </w:t>
      </w:r>
    </w:p>
    <w:p w:rsidR="002E30E5" w:rsidRDefault="002E30E5" w:rsidP="002E30E5">
      <w:pPr>
        <w:ind w:right="1" w:firstLine="709"/>
        <w:jc w:val="both"/>
        <w:rPr>
          <w:rFonts w:eastAsia="Calibri"/>
          <w:b/>
          <w:color w:val="000000" w:themeColor="text1"/>
          <w:sz w:val="28"/>
          <w:szCs w:val="28"/>
          <w:u w:val="single"/>
        </w:rPr>
      </w:pPr>
      <w:r>
        <w:rPr>
          <w:rFonts w:eastAsia="Calibri"/>
          <w:b/>
          <w:color w:val="000000" w:themeColor="text1"/>
          <w:sz w:val="28"/>
          <w:szCs w:val="28"/>
        </w:rPr>
        <w:t>През 2023 г.</w:t>
      </w:r>
      <w:r>
        <w:rPr>
          <w:rFonts w:eastAsia="Calibri"/>
          <w:color w:val="000000" w:themeColor="text1"/>
          <w:sz w:val="28"/>
          <w:szCs w:val="28"/>
        </w:rPr>
        <w:t xml:space="preserve"> с влязъл в сила съдебен акт от съдилищата в региона на ОП – Варна са били върнати </w:t>
      </w:r>
      <w:r>
        <w:rPr>
          <w:rFonts w:eastAsia="Calibri"/>
          <w:b/>
          <w:color w:val="000000" w:themeColor="text1"/>
          <w:sz w:val="28"/>
          <w:szCs w:val="28"/>
        </w:rPr>
        <w:t xml:space="preserve">общо </w:t>
      </w:r>
      <w:r>
        <w:rPr>
          <w:rFonts w:eastAsia="Calibri"/>
          <w:b/>
          <w:color w:val="000000" w:themeColor="text1"/>
          <w:sz w:val="28"/>
          <w:szCs w:val="28"/>
          <w:u w:val="single"/>
        </w:rPr>
        <w:t>73 дела /19 броя – на ОП – Варна и 54 броя – на РП – Варна/.</w:t>
      </w:r>
    </w:p>
    <w:p w:rsidR="002E30E5" w:rsidRDefault="002E30E5" w:rsidP="002E30E5">
      <w:pPr>
        <w:ind w:right="1" w:firstLine="709"/>
        <w:jc w:val="both"/>
        <w:rPr>
          <w:color w:val="000000" w:themeColor="text1"/>
          <w:sz w:val="28"/>
          <w:szCs w:val="28"/>
        </w:rPr>
      </w:pPr>
      <w:r>
        <w:rPr>
          <w:rFonts w:eastAsia="Calibri"/>
          <w:color w:val="000000" w:themeColor="text1"/>
          <w:sz w:val="28"/>
          <w:szCs w:val="28"/>
        </w:rPr>
        <w:t xml:space="preserve"> </w:t>
      </w:r>
      <w:r>
        <w:rPr>
          <w:color w:val="000000" w:themeColor="text1"/>
          <w:sz w:val="28"/>
          <w:szCs w:val="28"/>
        </w:rPr>
        <w:t>Три от делата</w:t>
      </w:r>
      <w:r>
        <w:rPr>
          <w:color w:val="000000" w:themeColor="text1"/>
          <w:sz w:val="28"/>
          <w:szCs w:val="28"/>
          <w:lang w:val="en-US"/>
        </w:rPr>
        <w:t xml:space="preserve"> </w:t>
      </w:r>
      <w:r>
        <w:rPr>
          <w:color w:val="000000" w:themeColor="text1"/>
          <w:sz w:val="28"/>
          <w:szCs w:val="28"/>
        </w:rPr>
        <w:t>на РП - Варна са връщани по два пъти.</w:t>
      </w:r>
    </w:p>
    <w:p w:rsidR="002E30E5" w:rsidRDefault="002E30E5" w:rsidP="002E30E5">
      <w:pPr>
        <w:overflowPunct w:val="0"/>
        <w:autoSpaceDE w:val="0"/>
        <w:autoSpaceDN w:val="0"/>
        <w:adjustRightInd w:val="0"/>
        <w:ind w:right="1" w:firstLine="709"/>
        <w:jc w:val="both"/>
        <w:rPr>
          <w:b/>
          <w:color w:val="FF0000"/>
          <w:sz w:val="28"/>
          <w:szCs w:val="28"/>
        </w:rPr>
      </w:pPr>
      <w:r>
        <w:rPr>
          <w:color w:val="000000" w:themeColor="text1"/>
          <w:sz w:val="28"/>
          <w:szCs w:val="28"/>
        </w:rPr>
        <w:t>От върнатите с влязъл в сила съдебен акт дела 53 са по обвинителни актове, 16 са споразумения и 4 са по предложения за освобождаване от наказателна отговорност с налагане на административно наказание по реда на чл.78 А от НК.</w:t>
      </w:r>
    </w:p>
    <w:p w:rsidR="002E30E5" w:rsidRDefault="002E30E5" w:rsidP="002E30E5">
      <w:pPr>
        <w:ind w:firstLine="709"/>
        <w:jc w:val="both"/>
        <w:rPr>
          <w:b/>
          <w:sz w:val="28"/>
          <w:szCs w:val="28"/>
          <w:u w:val="single"/>
        </w:rPr>
      </w:pPr>
      <w:r>
        <w:rPr>
          <w:b/>
          <w:sz w:val="28"/>
          <w:szCs w:val="28"/>
        </w:rPr>
        <w:t>През 2022 г.</w:t>
      </w:r>
      <w:r>
        <w:rPr>
          <w:sz w:val="28"/>
          <w:szCs w:val="28"/>
        </w:rPr>
        <w:t xml:space="preserve"> с влязъл в сила съдебен акт от съдилищата в региона на ОП – Варна са били върнати </w:t>
      </w:r>
      <w:r>
        <w:rPr>
          <w:b/>
          <w:sz w:val="28"/>
          <w:szCs w:val="28"/>
        </w:rPr>
        <w:t xml:space="preserve">общо </w:t>
      </w:r>
      <w:r>
        <w:rPr>
          <w:b/>
          <w:sz w:val="28"/>
          <w:szCs w:val="28"/>
          <w:u w:val="single"/>
        </w:rPr>
        <w:t>52 дела /13 – на ОП –Варна и 39 – на РП – Варна/.</w:t>
      </w:r>
    </w:p>
    <w:p w:rsidR="002E30E5" w:rsidRDefault="002E30E5" w:rsidP="002E30E5">
      <w:pPr>
        <w:ind w:firstLine="709"/>
        <w:jc w:val="both"/>
        <w:rPr>
          <w:sz w:val="28"/>
          <w:szCs w:val="28"/>
        </w:rPr>
      </w:pPr>
      <w:r>
        <w:rPr>
          <w:b/>
          <w:sz w:val="28"/>
          <w:szCs w:val="28"/>
        </w:rPr>
        <w:t>През 2021 г.</w:t>
      </w:r>
      <w:r>
        <w:rPr>
          <w:sz w:val="28"/>
          <w:szCs w:val="28"/>
        </w:rPr>
        <w:t xml:space="preserve"> с влязъл в сила съдебен акт от съдилищата в региона на ОП – Варна са били върнати общо </w:t>
      </w:r>
      <w:r>
        <w:rPr>
          <w:b/>
          <w:sz w:val="28"/>
          <w:szCs w:val="28"/>
          <w:u w:val="single"/>
        </w:rPr>
        <w:t>57 дела /9 – на ОП – Варна и 48 – на РП – Варна/</w:t>
      </w:r>
      <w:r>
        <w:rPr>
          <w:sz w:val="28"/>
          <w:szCs w:val="28"/>
        </w:rPr>
        <w:t>.</w:t>
      </w:r>
    </w:p>
    <w:p w:rsidR="002E30E5" w:rsidRDefault="002E30E5" w:rsidP="002E30E5">
      <w:pPr>
        <w:ind w:firstLine="709"/>
        <w:jc w:val="both"/>
        <w:rPr>
          <w:sz w:val="28"/>
          <w:szCs w:val="28"/>
        </w:rPr>
      </w:pPr>
      <w:r>
        <w:rPr>
          <w:sz w:val="28"/>
          <w:szCs w:val="28"/>
        </w:rPr>
        <w:t>Видно от горните данни, през 2023 г. общо за региона на ОП – Варна е налице увеличение на върнатите с влязъл в сила съдебен акт дела спрямо предходните два отчетни периода: спрямо 2022 г. увеличението е с 49.38</w:t>
      </w:r>
      <w:r w:rsidR="00704100">
        <w:rPr>
          <w:sz w:val="28"/>
          <w:szCs w:val="28"/>
        </w:rPr>
        <w:t>%</w:t>
      </w:r>
      <w:r>
        <w:rPr>
          <w:sz w:val="28"/>
          <w:szCs w:val="28"/>
        </w:rPr>
        <w:t>,  а спрямо 2021 г. – с 28.07</w:t>
      </w:r>
      <w:r w:rsidR="00704100">
        <w:rPr>
          <w:sz w:val="28"/>
          <w:szCs w:val="28"/>
        </w:rPr>
        <w:t>%</w:t>
      </w:r>
      <w:r>
        <w:rPr>
          <w:sz w:val="28"/>
          <w:szCs w:val="28"/>
        </w:rPr>
        <w:t>.</w:t>
      </w:r>
    </w:p>
    <w:p w:rsidR="002E30E5" w:rsidRDefault="002E30E5" w:rsidP="002E30E5">
      <w:pPr>
        <w:ind w:firstLine="709"/>
        <w:jc w:val="both"/>
        <w:rPr>
          <w:sz w:val="28"/>
          <w:szCs w:val="28"/>
        </w:rPr>
      </w:pPr>
      <w:r>
        <w:rPr>
          <w:sz w:val="28"/>
          <w:szCs w:val="28"/>
        </w:rPr>
        <w:t xml:space="preserve">За ОП – Варна е </w:t>
      </w:r>
      <w:bookmarkStart w:id="26" w:name="OLE_LINK25"/>
      <w:r>
        <w:rPr>
          <w:sz w:val="28"/>
          <w:szCs w:val="28"/>
        </w:rPr>
        <w:t>налице увеличение на броя на върнатите с влязъл в сила съдебен акт дела  спрямо предходните два отчетни периода: спрямо 2022 г. увеличението е с</w:t>
      </w:r>
      <w:bookmarkEnd w:id="26"/>
      <w:r>
        <w:rPr>
          <w:sz w:val="28"/>
          <w:szCs w:val="28"/>
        </w:rPr>
        <w:t xml:space="preserve"> 46.15</w:t>
      </w:r>
      <w:r w:rsidR="00704100">
        <w:rPr>
          <w:sz w:val="28"/>
          <w:szCs w:val="28"/>
        </w:rPr>
        <w:t>%</w:t>
      </w:r>
      <w:r>
        <w:rPr>
          <w:sz w:val="28"/>
          <w:szCs w:val="28"/>
        </w:rPr>
        <w:t>, а спрямо 2021 г. увеличението е повече от два пъти.</w:t>
      </w:r>
    </w:p>
    <w:p w:rsidR="002E30E5" w:rsidRDefault="002E30E5" w:rsidP="002E30E5">
      <w:pPr>
        <w:ind w:firstLine="709"/>
        <w:jc w:val="both"/>
        <w:rPr>
          <w:sz w:val="28"/>
          <w:szCs w:val="28"/>
        </w:rPr>
      </w:pPr>
      <w:r>
        <w:rPr>
          <w:sz w:val="28"/>
          <w:szCs w:val="28"/>
        </w:rPr>
        <w:t>За РП – Варна също е налице увеличение на броя на върнатите с влязъл в сила съдебен акт дела  спрямо предходните два отчетни периода: спрямо 2022 г. увеличението е с 38.46</w:t>
      </w:r>
      <w:r w:rsidR="00704100">
        <w:rPr>
          <w:sz w:val="28"/>
          <w:szCs w:val="28"/>
        </w:rPr>
        <w:t>%</w:t>
      </w:r>
      <w:r>
        <w:rPr>
          <w:sz w:val="28"/>
          <w:szCs w:val="28"/>
        </w:rPr>
        <w:t>, а спрямо 2021 г. – с 12.5</w:t>
      </w:r>
      <w:r w:rsidR="00704100">
        <w:rPr>
          <w:sz w:val="28"/>
          <w:szCs w:val="28"/>
        </w:rPr>
        <w:t>%</w:t>
      </w:r>
      <w:r>
        <w:rPr>
          <w:sz w:val="28"/>
          <w:szCs w:val="28"/>
        </w:rPr>
        <w:t>.</w:t>
      </w:r>
    </w:p>
    <w:p w:rsidR="002E30E5" w:rsidRDefault="002E30E5" w:rsidP="002E30E5">
      <w:pPr>
        <w:ind w:firstLine="709"/>
        <w:jc w:val="both"/>
        <w:outlineLvl w:val="0"/>
        <w:rPr>
          <w:b/>
          <w:sz w:val="28"/>
          <w:szCs w:val="28"/>
          <w:u w:val="single"/>
        </w:rPr>
      </w:pPr>
      <w:r>
        <w:rPr>
          <w:sz w:val="28"/>
          <w:szCs w:val="28"/>
        </w:rPr>
        <w:t xml:space="preserve">Конкретните дела и причините за постановяване на влезлите в сила съдебни актове за връщане на делото на прокурора през отчетния период 2023 г., са посочени в анализа на върнатите дела за района на ОП – Варна, съобразен с горепосоченото Указание. </w:t>
      </w:r>
    </w:p>
    <w:p w:rsidR="002E30E5" w:rsidRDefault="002E30E5" w:rsidP="002E30E5">
      <w:pPr>
        <w:ind w:firstLine="709"/>
        <w:jc w:val="both"/>
        <w:rPr>
          <w:rFonts w:eastAsia="Calibri"/>
          <w:color w:val="000000" w:themeColor="text1"/>
          <w:sz w:val="28"/>
          <w:szCs w:val="28"/>
        </w:rPr>
      </w:pPr>
      <w:r>
        <w:rPr>
          <w:rFonts w:eastAsia="Calibri"/>
          <w:color w:val="000000"/>
          <w:sz w:val="28"/>
          <w:szCs w:val="28"/>
        </w:rPr>
        <w:t xml:space="preserve">Видно от горепосочения анализ, постановените </w:t>
      </w:r>
      <w:r w:rsidRPr="00943C1B">
        <w:rPr>
          <w:rFonts w:eastAsia="Calibri"/>
          <w:b/>
          <w:color w:val="000000"/>
          <w:sz w:val="28"/>
          <w:szCs w:val="28"/>
          <w:u w:val="single"/>
        </w:rPr>
        <w:t>през 2023 г.</w:t>
      </w:r>
      <w:r>
        <w:rPr>
          <w:rFonts w:eastAsia="Calibri"/>
          <w:color w:val="000000"/>
          <w:sz w:val="28"/>
          <w:szCs w:val="28"/>
        </w:rPr>
        <w:t xml:space="preserve"> от съда актове за връщане на делата, внесени в съда от РП – Варна и ОП – Варна, попадащи </w:t>
      </w:r>
      <w:r>
        <w:rPr>
          <w:rFonts w:eastAsia="Calibri"/>
          <w:b/>
          <w:color w:val="000000"/>
          <w:sz w:val="28"/>
          <w:szCs w:val="28"/>
          <w:u w:val="single"/>
        </w:rPr>
        <w:t xml:space="preserve">в </w:t>
      </w:r>
      <w:r>
        <w:rPr>
          <w:rFonts w:eastAsia="Calibri"/>
          <w:b/>
          <w:color w:val="000000"/>
          <w:sz w:val="28"/>
          <w:szCs w:val="28"/>
          <w:u w:val="single"/>
        </w:rPr>
        <w:lastRenderedPageBreak/>
        <w:t>първата група причини</w:t>
      </w:r>
      <w:r>
        <w:rPr>
          <w:rFonts w:eastAsia="Calibri"/>
          <w:color w:val="000000"/>
          <w:sz w:val="28"/>
          <w:szCs w:val="28"/>
        </w:rPr>
        <w:t xml:space="preserve"> – „връщането на делото се дължи на допуснато на досъдебното производство </w:t>
      </w:r>
      <w:proofErr w:type="spellStart"/>
      <w:r>
        <w:rPr>
          <w:rFonts w:eastAsia="Calibri"/>
          <w:color w:val="000000"/>
          <w:sz w:val="28"/>
          <w:szCs w:val="28"/>
        </w:rPr>
        <w:t>отстранимо</w:t>
      </w:r>
      <w:proofErr w:type="spellEnd"/>
      <w:r>
        <w:rPr>
          <w:rFonts w:eastAsia="Calibri"/>
          <w:color w:val="000000"/>
          <w:sz w:val="28"/>
          <w:szCs w:val="28"/>
        </w:rPr>
        <w:t xml:space="preserve"> съществено нарушение на процесуални правила в хода на разследването, довело до ограничаване на процесуалните правила на обвиняем или пострадал (негови наследници) са общо 35, което представлява </w:t>
      </w:r>
      <w:r>
        <w:rPr>
          <w:rFonts w:eastAsia="Calibri"/>
          <w:b/>
          <w:color w:val="000000" w:themeColor="text1"/>
          <w:sz w:val="28"/>
          <w:szCs w:val="28"/>
          <w:u w:val="single"/>
        </w:rPr>
        <w:t>48</w:t>
      </w:r>
      <w:r w:rsidR="00704100">
        <w:rPr>
          <w:rFonts w:eastAsia="Calibri"/>
          <w:b/>
          <w:color w:val="000000" w:themeColor="text1"/>
          <w:sz w:val="28"/>
          <w:szCs w:val="28"/>
          <w:u w:val="single"/>
        </w:rPr>
        <w:t>%</w:t>
      </w:r>
      <w:r>
        <w:rPr>
          <w:rFonts w:eastAsia="Calibri"/>
          <w:b/>
          <w:color w:val="000000"/>
          <w:sz w:val="28"/>
          <w:szCs w:val="28"/>
          <w:u w:val="single"/>
        </w:rPr>
        <w:t xml:space="preserve"> от общия брой върнати дела</w:t>
      </w:r>
      <w:r>
        <w:rPr>
          <w:rFonts w:eastAsia="Calibri"/>
          <w:color w:val="000000"/>
          <w:sz w:val="28"/>
          <w:szCs w:val="28"/>
        </w:rPr>
        <w:t xml:space="preserve">. Делата, попадащи в тази група, са с най-голям дял от общия брой върнати с окончателни съдебни актове дела. </w:t>
      </w:r>
      <w:r>
        <w:rPr>
          <w:rFonts w:eastAsia="Calibri"/>
          <w:color w:val="000000" w:themeColor="text1"/>
          <w:sz w:val="28"/>
          <w:szCs w:val="28"/>
        </w:rPr>
        <w:t>В тази група причини попадат върнати от съда дела, при които има проведено задочно производство без щателно издирване на обвиняемия (според съда, извод, който в конкретния случай, украинец, изчезнал в зоната на военните действия с Русия, считаме за дискусионен); неустановяване на наследниците на пострадалия.</w:t>
      </w:r>
    </w:p>
    <w:p w:rsidR="002E30E5" w:rsidRDefault="002E30E5" w:rsidP="002E30E5">
      <w:pPr>
        <w:ind w:firstLine="709"/>
        <w:jc w:val="both"/>
        <w:rPr>
          <w:rFonts w:eastAsia="Calibri"/>
          <w:color w:val="000000" w:themeColor="text1"/>
          <w:sz w:val="28"/>
          <w:szCs w:val="28"/>
        </w:rPr>
      </w:pPr>
      <w:r>
        <w:rPr>
          <w:rFonts w:eastAsia="Calibri"/>
          <w:color w:val="000000" w:themeColor="text1"/>
          <w:sz w:val="28"/>
          <w:szCs w:val="28"/>
        </w:rPr>
        <w:tab/>
        <w:t xml:space="preserve">Доколкото връщането на дела за неустановени наследници се налага за поредна година като основание, считаме, че следва да се има предвид необходимостта освен родствената връзка, да е налице и специално лично отношение между съответния роднина и жертвата на престъплението, за да може той, съответният роднина, да претендира да се конституира като пострадал от престъплението. Категорично считаме, че необходимостта той, съответния роднина, да бъде издирван от органите на досъдебното производство, за да бъде известен за това, че негов близък е жертва на престъпление, в значителна степен прави проблематична изискуемата от ВКС силна емоционална връзка помежду им. В този смисъл, ако това е проблем в цялата страна, повтаряме предложението си да се инициира ново произнасяне на ВКС, за да се избегнат излишни забавяния в наказателното производство. </w:t>
      </w:r>
    </w:p>
    <w:p w:rsidR="002E30E5" w:rsidRDefault="002E30E5" w:rsidP="002E30E5">
      <w:pPr>
        <w:ind w:firstLine="709"/>
        <w:jc w:val="both"/>
        <w:rPr>
          <w:rFonts w:eastAsia="Calibri"/>
          <w:color w:val="000000" w:themeColor="text1"/>
          <w:sz w:val="28"/>
          <w:szCs w:val="28"/>
        </w:rPr>
      </w:pPr>
      <w:r>
        <w:rPr>
          <w:rFonts w:eastAsia="Calibri"/>
          <w:color w:val="FF0000"/>
          <w:sz w:val="28"/>
          <w:szCs w:val="28"/>
        </w:rPr>
        <w:t xml:space="preserve">       </w:t>
      </w:r>
      <w:r>
        <w:rPr>
          <w:rFonts w:eastAsia="Calibri"/>
          <w:color w:val="000000"/>
          <w:sz w:val="28"/>
          <w:szCs w:val="28"/>
        </w:rPr>
        <w:t xml:space="preserve">Върнатите дела, попадащи във </w:t>
      </w:r>
      <w:r>
        <w:rPr>
          <w:rFonts w:eastAsia="Calibri"/>
          <w:b/>
          <w:color w:val="000000"/>
          <w:sz w:val="28"/>
          <w:szCs w:val="28"/>
          <w:u w:val="single"/>
        </w:rPr>
        <w:t>втората група причини</w:t>
      </w:r>
      <w:r>
        <w:rPr>
          <w:rFonts w:eastAsia="Calibri"/>
          <w:color w:val="000000"/>
          <w:sz w:val="28"/>
          <w:szCs w:val="28"/>
        </w:rPr>
        <w:t xml:space="preserve"> – „връщането на делото се дължи на констатирани от съда пропуски при изготвянето на обвинителния акт, които са в голяма степен очевидни и са могли да бъдат избегнати при прецизната работа на прокурора“ - 18 броя, което представлява </w:t>
      </w:r>
      <w:r>
        <w:rPr>
          <w:rFonts w:eastAsia="Calibri"/>
          <w:b/>
          <w:color w:val="000000"/>
          <w:sz w:val="28"/>
          <w:szCs w:val="28"/>
          <w:u w:val="single"/>
        </w:rPr>
        <w:t>25</w:t>
      </w:r>
      <w:r w:rsidR="00704100">
        <w:rPr>
          <w:rFonts w:eastAsia="Calibri"/>
          <w:b/>
          <w:color w:val="000000"/>
          <w:sz w:val="28"/>
          <w:szCs w:val="28"/>
          <w:u w:val="single"/>
        </w:rPr>
        <w:t>%</w:t>
      </w:r>
      <w:r>
        <w:rPr>
          <w:rFonts w:eastAsia="Calibri"/>
          <w:b/>
          <w:color w:val="000000"/>
          <w:sz w:val="28"/>
          <w:szCs w:val="28"/>
          <w:u w:val="single"/>
        </w:rPr>
        <w:t xml:space="preserve"> от общия брой върнати дела.</w:t>
      </w:r>
      <w:r>
        <w:rPr>
          <w:rFonts w:eastAsia="Calibri"/>
          <w:color w:val="000000"/>
          <w:sz w:val="28"/>
          <w:szCs w:val="28"/>
        </w:rPr>
        <w:t xml:space="preserve"> Делата, попадащи в тази група, са на второ място с оглед дела им спрямо общия брой върнати дела с окончателен съдебен акт.</w:t>
      </w:r>
    </w:p>
    <w:p w:rsidR="002E30E5" w:rsidRDefault="002E30E5" w:rsidP="002E30E5">
      <w:pPr>
        <w:ind w:firstLine="709"/>
        <w:jc w:val="both"/>
        <w:rPr>
          <w:rFonts w:eastAsia="Calibri"/>
          <w:color w:val="000000" w:themeColor="text1"/>
          <w:sz w:val="28"/>
          <w:szCs w:val="28"/>
          <w:lang w:eastAsia="en-US"/>
        </w:rPr>
      </w:pPr>
      <w:r>
        <w:rPr>
          <w:rFonts w:eastAsia="Calibri"/>
          <w:color w:val="000000"/>
          <w:sz w:val="28"/>
          <w:szCs w:val="28"/>
        </w:rPr>
        <w:t xml:space="preserve">       Върнатите дела, попадащи в </w:t>
      </w:r>
      <w:r>
        <w:rPr>
          <w:rFonts w:eastAsia="Calibri"/>
          <w:b/>
          <w:color w:val="000000"/>
          <w:sz w:val="28"/>
          <w:szCs w:val="28"/>
          <w:u w:val="single"/>
        </w:rPr>
        <w:t>четвъртата група причини</w:t>
      </w:r>
      <w:r>
        <w:rPr>
          <w:rFonts w:eastAsia="Calibri"/>
          <w:color w:val="000000"/>
          <w:sz w:val="28"/>
          <w:szCs w:val="28"/>
        </w:rPr>
        <w:t xml:space="preserve"> – „връщането на делото се дължи на неодобрено от съда споразумение, внесено по реда на чл.382 от НПК, поради липса на предпоставки за разглеждане на делото по Глава 29 от НПК, </w:t>
      </w:r>
      <w:r>
        <w:rPr>
          <w:rFonts w:eastAsia="Calibri"/>
          <w:sz w:val="28"/>
          <w:szCs w:val="28"/>
        </w:rPr>
        <w:t xml:space="preserve">несъгласие на съда с квалификацията на деянието; несъгласие на съда с вида или размера на предложеното наказание; при несъгласие на прокурора или обвиняемия и неговия защитник с предложените промени в споразумението“ – </w:t>
      </w:r>
      <w:r>
        <w:rPr>
          <w:rFonts w:eastAsia="Calibri"/>
          <w:color w:val="000000" w:themeColor="text1"/>
          <w:sz w:val="28"/>
          <w:szCs w:val="28"/>
        </w:rPr>
        <w:t>16</w:t>
      </w:r>
      <w:r>
        <w:rPr>
          <w:rFonts w:eastAsia="Calibri"/>
          <w:color w:val="FFC000"/>
          <w:sz w:val="28"/>
          <w:szCs w:val="28"/>
        </w:rPr>
        <w:t xml:space="preserve"> </w:t>
      </w:r>
      <w:r>
        <w:rPr>
          <w:rFonts w:eastAsia="Calibri"/>
          <w:sz w:val="28"/>
          <w:szCs w:val="28"/>
        </w:rPr>
        <w:t xml:space="preserve">броя или </w:t>
      </w:r>
      <w:r>
        <w:rPr>
          <w:rFonts w:eastAsia="Calibri"/>
          <w:b/>
          <w:color w:val="000000" w:themeColor="text1"/>
          <w:sz w:val="28"/>
          <w:szCs w:val="28"/>
          <w:u w:val="single"/>
        </w:rPr>
        <w:t>22</w:t>
      </w:r>
      <w:r w:rsidR="00704100">
        <w:rPr>
          <w:rFonts w:eastAsia="Calibri"/>
          <w:b/>
          <w:color w:val="000000" w:themeColor="text1"/>
          <w:sz w:val="28"/>
          <w:szCs w:val="28"/>
          <w:u w:val="single"/>
        </w:rPr>
        <w:t>%</w:t>
      </w:r>
      <w:r>
        <w:rPr>
          <w:rFonts w:eastAsia="Calibri"/>
          <w:b/>
          <w:sz w:val="28"/>
          <w:szCs w:val="28"/>
          <w:u w:val="single"/>
        </w:rPr>
        <w:t xml:space="preserve"> от общия брой върнати дела</w:t>
      </w:r>
      <w:r>
        <w:rPr>
          <w:rFonts w:eastAsia="Calibri"/>
          <w:sz w:val="28"/>
          <w:szCs w:val="28"/>
        </w:rPr>
        <w:t>.</w:t>
      </w:r>
      <w:r>
        <w:rPr>
          <w:rFonts w:eastAsia="Calibri"/>
          <w:color w:val="FF0000"/>
          <w:sz w:val="28"/>
          <w:szCs w:val="28"/>
        </w:rPr>
        <w:t xml:space="preserve"> </w:t>
      </w:r>
      <w:r>
        <w:rPr>
          <w:rFonts w:eastAsia="Calibri"/>
          <w:color w:val="000000" w:themeColor="text1"/>
          <w:sz w:val="28"/>
          <w:szCs w:val="28"/>
        </w:rPr>
        <w:t>Преобладават делата, при които съдът е изразил несъгласие с квалификацията на деянието.</w:t>
      </w:r>
    </w:p>
    <w:p w:rsidR="002E30E5" w:rsidRDefault="002E30E5" w:rsidP="002E30E5">
      <w:pPr>
        <w:ind w:firstLine="709"/>
        <w:jc w:val="both"/>
        <w:rPr>
          <w:rFonts w:eastAsia="Calibri"/>
          <w:color w:val="000000" w:themeColor="text1"/>
          <w:sz w:val="28"/>
          <w:szCs w:val="28"/>
        </w:rPr>
      </w:pPr>
      <w:r>
        <w:rPr>
          <w:rFonts w:eastAsia="Calibri"/>
          <w:color w:val="000000"/>
          <w:sz w:val="28"/>
          <w:szCs w:val="28"/>
        </w:rPr>
        <w:t xml:space="preserve">       Върнатите дела, попадащи в </w:t>
      </w:r>
      <w:r>
        <w:rPr>
          <w:rFonts w:eastAsia="Calibri"/>
          <w:b/>
          <w:color w:val="000000"/>
          <w:sz w:val="28"/>
          <w:szCs w:val="28"/>
          <w:u w:val="single"/>
        </w:rPr>
        <w:t>петата група причини</w:t>
      </w:r>
      <w:r>
        <w:rPr>
          <w:rFonts w:eastAsia="Calibri"/>
          <w:color w:val="000000"/>
          <w:sz w:val="28"/>
          <w:szCs w:val="28"/>
        </w:rPr>
        <w:t xml:space="preserve"> – „връщането на делото се дължи на липса на основанията по чл.78а от НК</w:t>
      </w:r>
      <w:r>
        <w:rPr>
          <w:rFonts w:eastAsia="Calibri"/>
          <w:sz w:val="28"/>
          <w:szCs w:val="28"/>
        </w:rPr>
        <w:t xml:space="preserve">“ са </w:t>
      </w:r>
      <w:r>
        <w:rPr>
          <w:rFonts w:eastAsia="Calibri"/>
          <w:color w:val="000000" w:themeColor="text1"/>
          <w:sz w:val="28"/>
          <w:szCs w:val="28"/>
        </w:rPr>
        <w:t>16</w:t>
      </w:r>
      <w:r>
        <w:rPr>
          <w:rFonts w:eastAsia="Calibri"/>
          <w:color w:val="FFC000"/>
          <w:sz w:val="28"/>
          <w:szCs w:val="28"/>
        </w:rPr>
        <w:t xml:space="preserve"> </w:t>
      </w:r>
      <w:r>
        <w:rPr>
          <w:rFonts w:eastAsia="Calibri"/>
          <w:sz w:val="28"/>
          <w:szCs w:val="28"/>
        </w:rPr>
        <w:t xml:space="preserve">броя или </w:t>
      </w:r>
      <w:r>
        <w:rPr>
          <w:rFonts w:eastAsia="Calibri"/>
          <w:b/>
          <w:color w:val="000000" w:themeColor="text1"/>
          <w:sz w:val="28"/>
          <w:szCs w:val="28"/>
          <w:u w:val="single"/>
        </w:rPr>
        <w:t>5</w:t>
      </w:r>
      <w:r w:rsidR="00704100">
        <w:rPr>
          <w:rFonts w:eastAsia="Calibri"/>
          <w:b/>
          <w:color w:val="000000" w:themeColor="text1"/>
          <w:sz w:val="28"/>
          <w:szCs w:val="28"/>
          <w:u w:val="single"/>
        </w:rPr>
        <w:t>%</w:t>
      </w:r>
      <w:r>
        <w:rPr>
          <w:rFonts w:eastAsia="Calibri"/>
          <w:b/>
          <w:sz w:val="28"/>
          <w:szCs w:val="28"/>
          <w:u w:val="single"/>
        </w:rPr>
        <w:t xml:space="preserve"> от общия брой върнати дела.</w:t>
      </w:r>
    </w:p>
    <w:p w:rsidR="002E30E5" w:rsidRDefault="002E30E5" w:rsidP="002E30E5">
      <w:pPr>
        <w:ind w:firstLine="709"/>
        <w:jc w:val="both"/>
        <w:rPr>
          <w:color w:val="FF0000"/>
          <w:sz w:val="28"/>
          <w:szCs w:val="28"/>
        </w:rPr>
      </w:pPr>
      <w:r>
        <w:rPr>
          <w:rFonts w:eastAsia="Calibri"/>
          <w:color w:val="000000"/>
          <w:sz w:val="28"/>
          <w:szCs w:val="28"/>
        </w:rPr>
        <w:t xml:space="preserve">       Не се отчитат върнати дела попадащи в трета група причини: „връщането се дължи на неотстраняване на допуснати очевидни фактически грешки или неспазване на седмодневния срок /чл.248а ал.2 от НПК/“.   </w:t>
      </w:r>
    </w:p>
    <w:p w:rsidR="002E30E5" w:rsidRDefault="002E30E5" w:rsidP="002E30E5">
      <w:pPr>
        <w:ind w:firstLine="709"/>
        <w:jc w:val="both"/>
        <w:rPr>
          <w:rFonts w:eastAsia="Calibri"/>
          <w:sz w:val="28"/>
          <w:szCs w:val="28"/>
        </w:rPr>
      </w:pPr>
      <w:r>
        <w:rPr>
          <w:sz w:val="28"/>
          <w:szCs w:val="28"/>
        </w:rPr>
        <w:lastRenderedPageBreak/>
        <w:t xml:space="preserve">При анализ на причините, довели до връщане на делата с окончателен съдебен акт </w:t>
      </w:r>
      <w:r w:rsidRPr="00943C1B">
        <w:rPr>
          <w:b/>
          <w:sz w:val="28"/>
          <w:szCs w:val="28"/>
          <w:u w:val="single"/>
        </w:rPr>
        <w:t>през 2022 г.</w:t>
      </w:r>
      <w:r>
        <w:rPr>
          <w:sz w:val="28"/>
          <w:szCs w:val="28"/>
        </w:rPr>
        <w:t xml:space="preserve"> е видно, че най-голям е броят на делата, попадащи </w:t>
      </w:r>
      <w:r>
        <w:rPr>
          <w:rFonts w:eastAsia="Calibri"/>
          <w:sz w:val="28"/>
          <w:szCs w:val="28"/>
          <w:lang w:eastAsia="en-US"/>
        </w:rPr>
        <w:t xml:space="preserve">във </w:t>
      </w:r>
      <w:r>
        <w:rPr>
          <w:rFonts w:eastAsia="Calibri"/>
          <w:b/>
          <w:sz w:val="28"/>
          <w:szCs w:val="28"/>
        </w:rPr>
        <w:t>първата група причини</w:t>
      </w:r>
      <w:r>
        <w:rPr>
          <w:rFonts w:eastAsia="Calibri"/>
          <w:sz w:val="28"/>
          <w:szCs w:val="28"/>
        </w:rPr>
        <w:t>– 19 броя или 36,6</w:t>
      </w:r>
      <w:r w:rsidR="00704100">
        <w:rPr>
          <w:rFonts w:eastAsia="Calibri"/>
          <w:sz w:val="28"/>
          <w:szCs w:val="28"/>
        </w:rPr>
        <w:t>%</w:t>
      </w:r>
      <w:r>
        <w:rPr>
          <w:rFonts w:eastAsia="Calibri"/>
          <w:sz w:val="28"/>
          <w:szCs w:val="28"/>
        </w:rPr>
        <w:t xml:space="preserve"> от общия брой върнати дела.</w:t>
      </w:r>
    </w:p>
    <w:p w:rsidR="002E30E5" w:rsidRDefault="002E30E5" w:rsidP="002E30E5">
      <w:pPr>
        <w:ind w:firstLine="709"/>
        <w:jc w:val="both"/>
        <w:rPr>
          <w:rFonts w:eastAsia="Calibri"/>
          <w:sz w:val="28"/>
          <w:szCs w:val="28"/>
        </w:rPr>
      </w:pPr>
      <w:r>
        <w:rPr>
          <w:rFonts w:eastAsia="Calibri"/>
          <w:b/>
          <w:sz w:val="28"/>
          <w:szCs w:val="28"/>
          <w:lang w:eastAsia="en-US"/>
        </w:rPr>
        <w:t>На следващо място са делата, попадащи във втората група причини</w:t>
      </w:r>
      <w:r>
        <w:rPr>
          <w:rFonts w:eastAsia="Calibri"/>
          <w:sz w:val="28"/>
          <w:szCs w:val="28"/>
          <w:lang w:eastAsia="en-US"/>
        </w:rPr>
        <w:t xml:space="preserve"> </w:t>
      </w:r>
      <w:r>
        <w:rPr>
          <w:rFonts w:eastAsia="Calibri"/>
          <w:sz w:val="28"/>
          <w:szCs w:val="28"/>
        </w:rPr>
        <w:t>– общо 14 броя или 27.0</w:t>
      </w:r>
      <w:r w:rsidR="00704100">
        <w:rPr>
          <w:rFonts w:eastAsia="Calibri"/>
          <w:sz w:val="28"/>
          <w:szCs w:val="28"/>
        </w:rPr>
        <w:t>%</w:t>
      </w:r>
      <w:r>
        <w:rPr>
          <w:rFonts w:eastAsia="Calibri"/>
          <w:sz w:val="28"/>
          <w:szCs w:val="28"/>
        </w:rPr>
        <w:t xml:space="preserve"> от общия брой върнати дела.</w:t>
      </w:r>
    </w:p>
    <w:p w:rsidR="002E30E5" w:rsidRDefault="002E30E5" w:rsidP="002E30E5">
      <w:pPr>
        <w:ind w:firstLine="709"/>
        <w:jc w:val="both"/>
        <w:rPr>
          <w:rFonts w:eastAsia="Calibri"/>
          <w:sz w:val="28"/>
          <w:szCs w:val="28"/>
          <w:lang w:eastAsia="en-US"/>
        </w:rPr>
      </w:pPr>
      <w:r>
        <w:rPr>
          <w:rFonts w:eastAsia="Calibri"/>
          <w:sz w:val="28"/>
          <w:szCs w:val="28"/>
        </w:rPr>
        <w:t xml:space="preserve">На следващо място са върнатите дела, отнесени към </w:t>
      </w:r>
      <w:r>
        <w:rPr>
          <w:rFonts w:eastAsia="Calibri"/>
          <w:b/>
          <w:sz w:val="28"/>
          <w:szCs w:val="28"/>
        </w:rPr>
        <w:t>четвъртата група причини</w:t>
      </w:r>
      <w:r>
        <w:rPr>
          <w:rFonts w:eastAsia="Calibri"/>
          <w:sz w:val="28"/>
          <w:szCs w:val="28"/>
        </w:rPr>
        <w:t xml:space="preserve"> </w:t>
      </w:r>
      <w:r>
        <w:rPr>
          <w:rFonts w:eastAsia="Calibri"/>
          <w:sz w:val="28"/>
          <w:szCs w:val="22"/>
          <w:lang w:eastAsia="en-US"/>
        </w:rPr>
        <w:t>– 13 броя или 25.0</w:t>
      </w:r>
      <w:r w:rsidR="00704100">
        <w:rPr>
          <w:rFonts w:eastAsia="Calibri"/>
          <w:sz w:val="28"/>
          <w:szCs w:val="22"/>
          <w:lang w:eastAsia="en-US"/>
        </w:rPr>
        <w:t>%</w:t>
      </w:r>
      <w:r>
        <w:rPr>
          <w:rFonts w:eastAsia="Calibri"/>
          <w:sz w:val="28"/>
          <w:szCs w:val="22"/>
          <w:lang w:eastAsia="en-US"/>
        </w:rPr>
        <w:t xml:space="preserve"> от общия брой върнати дела.</w:t>
      </w:r>
      <w:r>
        <w:rPr>
          <w:rFonts w:eastAsia="Calibri"/>
          <w:sz w:val="28"/>
          <w:szCs w:val="28"/>
          <w:lang w:eastAsia="en-US"/>
        </w:rPr>
        <w:t xml:space="preserve">  </w:t>
      </w:r>
    </w:p>
    <w:p w:rsidR="002E30E5" w:rsidRDefault="002E30E5" w:rsidP="002E30E5">
      <w:pPr>
        <w:ind w:firstLine="709"/>
        <w:jc w:val="both"/>
        <w:rPr>
          <w:rFonts w:eastAsia="Calibri"/>
          <w:sz w:val="28"/>
          <w:szCs w:val="28"/>
          <w:lang w:eastAsia="en-US"/>
        </w:rPr>
      </w:pPr>
      <w:r>
        <w:rPr>
          <w:rFonts w:eastAsia="Calibri"/>
          <w:sz w:val="28"/>
          <w:szCs w:val="28"/>
          <w:lang w:eastAsia="en-US"/>
        </w:rPr>
        <w:t xml:space="preserve">На следващо място са върнатите дела, отнесени към </w:t>
      </w:r>
      <w:r>
        <w:rPr>
          <w:rFonts w:eastAsia="Calibri"/>
          <w:b/>
          <w:sz w:val="28"/>
          <w:szCs w:val="28"/>
          <w:lang w:eastAsia="en-US"/>
        </w:rPr>
        <w:t>петата група</w:t>
      </w:r>
      <w:r>
        <w:rPr>
          <w:rFonts w:eastAsia="Calibri"/>
          <w:sz w:val="28"/>
          <w:szCs w:val="28"/>
          <w:lang w:eastAsia="en-US"/>
        </w:rPr>
        <w:t xml:space="preserve"> </w:t>
      </w:r>
      <w:r>
        <w:rPr>
          <w:rFonts w:eastAsia="Calibri"/>
          <w:b/>
          <w:sz w:val="28"/>
          <w:szCs w:val="28"/>
          <w:lang w:eastAsia="en-US"/>
        </w:rPr>
        <w:t>причини</w:t>
      </w:r>
      <w:r>
        <w:rPr>
          <w:rFonts w:eastAsia="Calibri"/>
          <w:sz w:val="28"/>
          <w:szCs w:val="28"/>
          <w:lang w:eastAsia="en-US"/>
        </w:rPr>
        <w:t xml:space="preserve"> – 6 броя или 11.4</w:t>
      </w:r>
      <w:r w:rsidR="00704100">
        <w:rPr>
          <w:rFonts w:eastAsia="Calibri"/>
          <w:sz w:val="28"/>
          <w:szCs w:val="28"/>
          <w:lang w:eastAsia="en-US"/>
        </w:rPr>
        <w:t>%</w:t>
      </w:r>
      <w:r>
        <w:rPr>
          <w:rFonts w:eastAsia="Calibri"/>
          <w:sz w:val="28"/>
          <w:szCs w:val="28"/>
          <w:lang w:eastAsia="en-US"/>
        </w:rPr>
        <w:t xml:space="preserve"> от общия брой върнати дела.</w:t>
      </w:r>
    </w:p>
    <w:p w:rsidR="002E30E5" w:rsidRDefault="002E30E5" w:rsidP="002E30E5">
      <w:pPr>
        <w:overflowPunct w:val="0"/>
        <w:autoSpaceDE w:val="0"/>
        <w:autoSpaceDN w:val="0"/>
        <w:adjustRightInd w:val="0"/>
        <w:ind w:firstLine="709"/>
        <w:jc w:val="both"/>
        <w:rPr>
          <w:rFonts w:eastAsia="Calibri"/>
          <w:sz w:val="28"/>
          <w:szCs w:val="28"/>
        </w:rPr>
      </w:pPr>
      <w:r>
        <w:rPr>
          <w:rFonts w:eastAsia="Calibri"/>
          <w:sz w:val="28"/>
          <w:szCs w:val="28"/>
        </w:rPr>
        <w:t xml:space="preserve">През 2022 г. </w:t>
      </w:r>
      <w:r>
        <w:rPr>
          <w:rFonts w:eastAsia="Calibri"/>
          <w:b/>
          <w:sz w:val="28"/>
          <w:szCs w:val="28"/>
        </w:rPr>
        <w:t>няма върнати дела</w:t>
      </w:r>
      <w:r>
        <w:rPr>
          <w:rFonts w:eastAsia="Calibri"/>
          <w:sz w:val="28"/>
          <w:szCs w:val="28"/>
        </w:rPr>
        <w:t xml:space="preserve">, които да се отнесат към </w:t>
      </w:r>
      <w:r>
        <w:rPr>
          <w:rFonts w:eastAsia="Calibri"/>
          <w:b/>
          <w:sz w:val="28"/>
          <w:szCs w:val="28"/>
        </w:rPr>
        <w:t>третата група причини</w:t>
      </w:r>
      <w:r>
        <w:rPr>
          <w:rFonts w:eastAsia="Calibri"/>
          <w:sz w:val="28"/>
          <w:szCs w:val="28"/>
        </w:rPr>
        <w:t>.</w:t>
      </w:r>
    </w:p>
    <w:p w:rsidR="002E30E5" w:rsidRDefault="002E30E5" w:rsidP="002E30E5">
      <w:pPr>
        <w:ind w:firstLine="709"/>
        <w:jc w:val="both"/>
        <w:rPr>
          <w:rFonts w:eastAsia="Calibri"/>
          <w:sz w:val="28"/>
          <w:szCs w:val="28"/>
        </w:rPr>
      </w:pPr>
      <w:r>
        <w:rPr>
          <w:sz w:val="28"/>
          <w:szCs w:val="28"/>
        </w:rPr>
        <w:t xml:space="preserve">При анализ на причините, довели до връщане на делата с окончателен съдебен акт </w:t>
      </w:r>
      <w:r w:rsidRPr="00943C1B">
        <w:rPr>
          <w:b/>
          <w:sz w:val="28"/>
          <w:szCs w:val="28"/>
          <w:u w:val="single"/>
        </w:rPr>
        <w:t>през 2021 г.</w:t>
      </w:r>
      <w:r>
        <w:rPr>
          <w:sz w:val="28"/>
          <w:szCs w:val="28"/>
        </w:rPr>
        <w:t xml:space="preserve"> е видно, че най-голям е броят на делата, попадащи </w:t>
      </w:r>
      <w:r>
        <w:rPr>
          <w:rFonts w:eastAsia="Calibri"/>
          <w:sz w:val="28"/>
          <w:szCs w:val="28"/>
          <w:lang w:eastAsia="en-US"/>
        </w:rPr>
        <w:t xml:space="preserve">във </w:t>
      </w:r>
      <w:r>
        <w:rPr>
          <w:rFonts w:eastAsia="Calibri"/>
          <w:b/>
          <w:sz w:val="28"/>
          <w:szCs w:val="28"/>
          <w:lang w:eastAsia="en-US"/>
        </w:rPr>
        <w:t>втората група причини</w:t>
      </w:r>
      <w:r>
        <w:rPr>
          <w:rFonts w:eastAsia="Calibri"/>
          <w:sz w:val="28"/>
          <w:szCs w:val="28"/>
          <w:lang w:eastAsia="en-US"/>
        </w:rPr>
        <w:t xml:space="preserve"> - </w:t>
      </w:r>
      <w:r>
        <w:rPr>
          <w:rFonts w:eastAsia="Calibri"/>
          <w:sz w:val="28"/>
          <w:szCs w:val="28"/>
        </w:rPr>
        <w:t xml:space="preserve"> общо 23 броя или 40,3</w:t>
      </w:r>
      <w:r w:rsidR="00704100">
        <w:rPr>
          <w:rFonts w:eastAsia="Calibri"/>
          <w:sz w:val="28"/>
          <w:szCs w:val="28"/>
        </w:rPr>
        <w:t>%</w:t>
      </w:r>
      <w:r>
        <w:rPr>
          <w:rFonts w:eastAsia="Calibri"/>
          <w:sz w:val="28"/>
          <w:szCs w:val="28"/>
        </w:rPr>
        <w:t xml:space="preserve"> от общия брой върнати дела.</w:t>
      </w:r>
    </w:p>
    <w:p w:rsidR="002E30E5" w:rsidRDefault="002E30E5" w:rsidP="002E30E5">
      <w:pPr>
        <w:ind w:firstLine="709"/>
        <w:jc w:val="both"/>
        <w:rPr>
          <w:rFonts w:eastAsia="Calibri"/>
          <w:sz w:val="28"/>
          <w:szCs w:val="28"/>
        </w:rPr>
      </w:pPr>
      <w:r>
        <w:rPr>
          <w:rFonts w:eastAsia="Calibri"/>
          <w:sz w:val="28"/>
          <w:szCs w:val="28"/>
        </w:rPr>
        <w:t xml:space="preserve">На следващо място са върнатите дела, отнесени към </w:t>
      </w:r>
      <w:r>
        <w:rPr>
          <w:rFonts w:eastAsia="Calibri"/>
          <w:b/>
          <w:sz w:val="28"/>
          <w:szCs w:val="28"/>
        </w:rPr>
        <w:t>първата група причини</w:t>
      </w:r>
      <w:r>
        <w:rPr>
          <w:rFonts w:eastAsia="Calibri"/>
          <w:sz w:val="28"/>
          <w:szCs w:val="28"/>
        </w:rPr>
        <w:t>– 21 броя или 36,8</w:t>
      </w:r>
      <w:r w:rsidR="00704100">
        <w:rPr>
          <w:rFonts w:eastAsia="Calibri"/>
          <w:sz w:val="28"/>
          <w:szCs w:val="28"/>
        </w:rPr>
        <w:t>%</w:t>
      </w:r>
      <w:r>
        <w:rPr>
          <w:rFonts w:eastAsia="Calibri"/>
          <w:sz w:val="28"/>
          <w:szCs w:val="28"/>
        </w:rPr>
        <w:t xml:space="preserve"> от общия брой върнати дела.</w:t>
      </w:r>
    </w:p>
    <w:p w:rsidR="002E30E5" w:rsidRDefault="002E30E5" w:rsidP="002E30E5">
      <w:pPr>
        <w:ind w:firstLine="709"/>
        <w:jc w:val="both"/>
        <w:rPr>
          <w:rFonts w:eastAsia="Calibri"/>
          <w:sz w:val="28"/>
          <w:szCs w:val="28"/>
          <w:lang w:eastAsia="en-US"/>
        </w:rPr>
      </w:pPr>
      <w:r>
        <w:rPr>
          <w:rFonts w:eastAsia="Calibri"/>
          <w:sz w:val="28"/>
          <w:szCs w:val="28"/>
        </w:rPr>
        <w:t xml:space="preserve">Върнатите дела, попадащи в </w:t>
      </w:r>
      <w:r>
        <w:rPr>
          <w:rFonts w:eastAsia="Calibri"/>
          <w:b/>
          <w:sz w:val="28"/>
          <w:szCs w:val="28"/>
        </w:rPr>
        <w:t>четвъртата група причини</w:t>
      </w:r>
      <w:r>
        <w:rPr>
          <w:rFonts w:eastAsia="Calibri"/>
          <w:sz w:val="28"/>
          <w:szCs w:val="28"/>
        </w:rPr>
        <w:t xml:space="preserve"> са </w:t>
      </w:r>
      <w:r>
        <w:rPr>
          <w:rFonts w:eastAsia="Calibri"/>
          <w:sz w:val="28"/>
          <w:szCs w:val="22"/>
          <w:lang w:eastAsia="en-US"/>
        </w:rPr>
        <w:t>12 броя или 21.0</w:t>
      </w:r>
      <w:r w:rsidR="00704100">
        <w:rPr>
          <w:rFonts w:eastAsia="Calibri"/>
          <w:sz w:val="28"/>
          <w:szCs w:val="22"/>
          <w:lang w:eastAsia="en-US"/>
        </w:rPr>
        <w:t>%</w:t>
      </w:r>
      <w:r>
        <w:rPr>
          <w:rFonts w:eastAsia="Calibri"/>
          <w:sz w:val="28"/>
          <w:szCs w:val="22"/>
          <w:lang w:eastAsia="en-US"/>
        </w:rPr>
        <w:t xml:space="preserve"> от общия брой върнати дела.</w:t>
      </w:r>
      <w:r>
        <w:rPr>
          <w:rFonts w:eastAsia="Calibri"/>
          <w:sz w:val="28"/>
          <w:szCs w:val="28"/>
          <w:lang w:eastAsia="en-US"/>
        </w:rPr>
        <w:t xml:space="preserve">   </w:t>
      </w:r>
    </w:p>
    <w:p w:rsidR="002E30E5" w:rsidRDefault="002E30E5" w:rsidP="002E30E5">
      <w:pPr>
        <w:ind w:firstLine="709"/>
        <w:jc w:val="both"/>
        <w:rPr>
          <w:sz w:val="28"/>
          <w:szCs w:val="28"/>
        </w:rPr>
      </w:pPr>
      <w:r>
        <w:rPr>
          <w:rFonts w:eastAsia="Calibri"/>
          <w:sz w:val="28"/>
          <w:szCs w:val="28"/>
          <w:lang w:eastAsia="en-US"/>
        </w:rPr>
        <w:t xml:space="preserve">Върнатите дела, попадащи в </w:t>
      </w:r>
      <w:r>
        <w:rPr>
          <w:rFonts w:eastAsia="Calibri"/>
          <w:b/>
          <w:sz w:val="28"/>
          <w:szCs w:val="28"/>
          <w:lang w:eastAsia="en-US"/>
        </w:rPr>
        <w:t>петата група причини</w:t>
      </w:r>
      <w:r>
        <w:rPr>
          <w:rFonts w:eastAsia="Calibri"/>
          <w:sz w:val="28"/>
          <w:szCs w:val="28"/>
          <w:lang w:eastAsia="en-US"/>
        </w:rPr>
        <w:t xml:space="preserve"> – са  9 броя, които в процентно съотношение представляват 15.8</w:t>
      </w:r>
      <w:r w:rsidR="00704100">
        <w:rPr>
          <w:rFonts w:eastAsia="Calibri"/>
          <w:sz w:val="28"/>
          <w:szCs w:val="28"/>
          <w:lang w:eastAsia="en-US"/>
        </w:rPr>
        <w:t>%</w:t>
      </w:r>
      <w:r>
        <w:rPr>
          <w:rFonts w:eastAsia="Calibri"/>
          <w:sz w:val="28"/>
          <w:szCs w:val="28"/>
          <w:lang w:eastAsia="en-US"/>
        </w:rPr>
        <w:t xml:space="preserve"> от общия брой върнати дела. </w:t>
      </w:r>
    </w:p>
    <w:p w:rsidR="002E30E5" w:rsidRDefault="002E30E5" w:rsidP="002E30E5">
      <w:pPr>
        <w:overflowPunct w:val="0"/>
        <w:autoSpaceDE w:val="0"/>
        <w:autoSpaceDN w:val="0"/>
        <w:adjustRightInd w:val="0"/>
        <w:ind w:firstLine="709"/>
        <w:jc w:val="both"/>
        <w:rPr>
          <w:rFonts w:eastAsia="Calibri"/>
          <w:sz w:val="28"/>
          <w:szCs w:val="28"/>
        </w:rPr>
      </w:pPr>
      <w:r>
        <w:rPr>
          <w:rFonts w:eastAsia="Calibri"/>
          <w:sz w:val="28"/>
          <w:szCs w:val="28"/>
        </w:rPr>
        <w:t xml:space="preserve">През 2021 г. също </w:t>
      </w:r>
      <w:r>
        <w:rPr>
          <w:rFonts w:eastAsia="Calibri"/>
          <w:b/>
          <w:sz w:val="28"/>
          <w:szCs w:val="28"/>
        </w:rPr>
        <w:t>няма върнати дела</w:t>
      </w:r>
      <w:r>
        <w:rPr>
          <w:rFonts w:eastAsia="Calibri"/>
          <w:sz w:val="28"/>
          <w:szCs w:val="28"/>
        </w:rPr>
        <w:t xml:space="preserve">, които да се отнесат към </w:t>
      </w:r>
      <w:r>
        <w:rPr>
          <w:rFonts w:eastAsia="Calibri"/>
          <w:b/>
          <w:sz w:val="28"/>
          <w:szCs w:val="28"/>
        </w:rPr>
        <w:t>третата група причини</w:t>
      </w:r>
      <w:r>
        <w:rPr>
          <w:rFonts w:eastAsia="Calibri"/>
          <w:sz w:val="28"/>
          <w:szCs w:val="28"/>
        </w:rPr>
        <w:t>.</w:t>
      </w:r>
    </w:p>
    <w:p w:rsidR="002E30E5" w:rsidRDefault="002E30E5" w:rsidP="002E30E5">
      <w:pPr>
        <w:ind w:firstLine="709"/>
        <w:jc w:val="both"/>
        <w:rPr>
          <w:sz w:val="28"/>
          <w:szCs w:val="28"/>
        </w:rPr>
      </w:pPr>
      <w:r>
        <w:rPr>
          <w:rFonts w:eastAsia="Calibri"/>
          <w:sz w:val="28"/>
          <w:szCs w:val="28"/>
        </w:rPr>
        <w:t xml:space="preserve">Видно от горните данни, и през периода 2021 г. – 2023 г. най- голям </w:t>
      </w:r>
      <w:r>
        <w:rPr>
          <w:sz w:val="28"/>
          <w:szCs w:val="28"/>
        </w:rPr>
        <w:t>е броят на върнатите с окончателен съдебен акт дела, попадащи в първа и втора група причини. Поради това следва да се подобри работата на прокурорите при ръководството и надзора на досъдебните производства, както и при изготвяне на обвинителните актове.</w:t>
      </w:r>
    </w:p>
    <w:p w:rsidR="002E30E5" w:rsidRDefault="002E30E5" w:rsidP="002E30E5">
      <w:pPr>
        <w:overflowPunct w:val="0"/>
        <w:autoSpaceDE w:val="0"/>
        <w:autoSpaceDN w:val="0"/>
        <w:adjustRightInd w:val="0"/>
        <w:ind w:firstLine="709"/>
        <w:jc w:val="both"/>
        <w:rPr>
          <w:color w:val="FF0000"/>
          <w:sz w:val="28"/>
          <w:szCs w:val="28"/>
        </w:rPr>
      </w:pPr>
    </w:p>
    <w:p w:rsidR="002E30E5" w:rsidRDefault="002E30E5" w:rsidP="002E30E5">
      <w:pPr>
        <w:ind w:firstLine="709"/>
        <w:rPr>
          <w:i/>
          <w:color w:val="FF0000"/>
          <w:sz w:val="28"/>
          <w:szCs w:val="28"/>
        </w:rPr>
      </w:pPr>
      <w:r>
        <w:rPr>
          <w:i/>
          <w:noProof/>
          <w:color w:val="FF0000"/>
          <w:sz w:val="28"/>
          <w:szCs w:val="28"/>
        </w:rPr>
        <w:drawing>
          <wp:inline distT="0" distB="0" distL="0" distR="0" wp14:anchorId="5519001B" wp14:editId="3B25F11D">
            <wp:extent cx="5557652" cy="3051958"/>
            <wp:effectExtent l="0" t="0" r="24130" b="15240"/>
            <wp:docPr id="22" name="Диагра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43C1B" w:rsidRDefault="00943C1B" w:rsidP="002E30E5">
      <w:pPr>
        <w:ind w:firstLine="709"/>
        <w:jc w:val="both"/>
        <w:rPr>
          <w:b/>
          <w:color w:val="FF0000"/>
          <w:sz w:val="28"/>
          <w:szCs w:val="28"/>
          <w:lang w:val="en-US"/>
        </w:rPr>
      </w:pPr>
    </w:p>
    <w:p w:rsidR="00704100" w:rsidRDefault="00704100" w:rsidP="002E30E5">
      <w:pPr>
        <w:ind w:firstLine="709"/>
        <w:jc w:val="both"/>
        <w:rPr>
          <w:b/>
          <w:color w:val="FF0000"/>
          <w:sz w:val="28"/>
          <w:szCs w:val="28"/>
          <w:lang w:val="en-US"/>
        </w:rPr>
      </w:pPr>
    </w:p>
    <w:p w:rsidR="002E30E5" w:rsidRDefault="002E30E5" w:rsidP="002E30E5">
      <w:pPr>
        <w:ind w:firstLine="709"/>
        <w:jc w:val="both"/>
        <w:rPr>
          <w:rFonts w:eastAsia="Calibri"/>
          <w:color w:val="FF0000"/>
          <w:sz w:val="28"/>
          <w:szCs w:val="28"/>
          <w:lang w:val="en-US"/>
        </w:rPr>
      </w:pPr>
      <w:r>
        <w:rPr>
          <w:b/>
          <w:color w:val="FF0000"/>
          <w:sz w:val="28"/>
          <w:szCs w:val="28"/>
          <w:lang w:val="en-US"/>
        </w:rPr>
        <w:lastRenderedPageBreak/>
        <w:t xml:space="preserve"> </w:t>
      </w:r>
      <w:r>
        <w:rPr>
          <w:b/>
          <w:sz w:val="28"/>
          <w:szCs w:val="28"/>
        </w:rPr>
        <w:t>2.5.Постановени оправдателни присъди и решения</w:t>
      </w:r>
    </w:p>
    <w:p w:rsidR="002E30E5" w:rsidRDefault="002E30E5" w:rsidP="002E30E5">
      <w:pPr>
        <w:ind w:firstLine="709"/>
        <w:jc w:val="both"/>
        <w:rPr>
          <w:rFonts w:eastAsia="Calibri"/>
          <w:b/>
          <w:sz w:val="28"/>
          <w:szCs w:val="28"/>
          <w:u w:val="single"/>
        </w:rPr>
      </w:pPr>
      <w:r>
        <w:rPr>
          <w:rFonts w:eastAsia="Calibri"/>
          <w:b/>
          <w:sz w:val="28"/>
          <w:szCs w:val="28"/>
          <w:u w:val="single"/>
        </w:rPr>
        <w:t>Общо за региона на ОП – Варна:</w:t>
      </w:r>
    </w:p>
    <w:p w:rsidR="002E30E5" w:rsidRDefault="002E30E5" w:rsidP="002E30E5">
      <w:pPr>
        <w:ind w:firstLine="709"/>
        <w:jc w:val="both"/>
        <w:rPr>
          <w:rFonts w:eastAsia="Calibri"/>
          <w:sz w:val="28"/>
          <w:szCs w:val="28"/>
        </w:rPr>
      </w:pPr>
      <w:r>
        <w:rPr>
          <w:rFonts w:eastAsia="Calibri"/>
          <w:sz w:val="28"/>
          <w:szCs w:val="28"/>
        </w:rPr>
        <w:t xml:space="preserve">През 2023 г. съдилищата в региона на ОП – Варна са  постановили общо </w:t>
      </w:r>
      <w:r>
        <w:rPr>
          <w:rFonts w:eastAsia="Calibri"/>
          <w:b/>
          <w:sz w:val="28"/>
          <w:szCs w:val="28"/>
          <w:u w:val="single"/>
        </w:rPr>
        <w:t>51 броя оправдателни съдебни актове</w:t>
      </w:r>
      <w:r>
        <w:rPr>
          <w:rFonts w:eastAsia="Calibri"/>
          <w:sz w:val="28"/>
          <w:szCs w:val="28"/>
        </w:rPr>
        <w:t xml:space="preserve"> по внесени в съда дела от прокурорите. По внесени обвинителни актове са 48 от тях, а по внесени предложения по чл. 78 а от НК – 3 броя.</w:t>
      </w:r>
    </w:p>
    <w:p w:rsidR="002E30E5" w:rsidRDefault="002E30E5" w:rsidP="002E30E5">
      <w:pPr>
        <w:ind w:firstLine="709"/>
        <w:jc w:val="both"/>
        <w:rPr>
          <w:rFonts w:eastAsia="Calibri"/>
          <w:sz w:val="28"/>
          <w:szCs w:val="28"/>
        </w:rPr>
      </w:pPr>
      <w:bookmarkStart w:id="27" w:name="OLE_LINK33"/>
      <w:r>
        <w:rPr>
          <w:rFonts w:eastAsia="Calibri"/>
          <w:sz w:val="28"/>
          <w:szCs w:val="28"/>
        </w:rPr>
        <w:t xml:space="preserve">През 2022 г. съдилищата в региона на ОП – Варна са  постановили общо </w:t>
      </w:r>
      <w:r>
        <w:rPr>
          <w:rFonts w:eastAsia="Calibri"/>
          <w:b/>
          <w:sz w:val="28"/>
          <w:szCs w:val="28"/>
          <w:u w:val="single"/>
        </w:rPr>
        <w:t>43 броя оправдателни съдебни актове</w:t>
      </w:r>
      <w:r>
        <w:rPr>
          <w:rFonts w:eastAsia="Calibri"/>
          <w:sz w:val="28"/>
          <w:szCs w:val="28"/>
        </w:rPr>
        <w:t xml:space="preserve"> по внесени в съда дела от прокурорите. По внесени обвинителни актове са 34 от тях, а по внесени предложения по чл. 78 а от НК – 9 броя.</w:t>
      </w:r>
    </w:p>
    <w:bookmarkEnd w:id="27"/>
    <w:p w:rsidR="002E30E5" w:rsidRDefault="002E30E5" w:rsidP="002E30E5">
      <w:pPr>
        <w:ind w:firstLine="709"/>
        <w:jc w:val="both"/>
        <w:rPr>
          <w:rFonts w:eastAsia="Calibri"/>
          <w:sz w:val="28"/>
          <w:szCs w:val="28"/>
        </w:rPr>
      </w:pPr>
      <w:r>
        <w:rPr>
          <w:rFonts w:eastAsia="Calibri"/>
          <w:sz w:val="28"/>
          <w:szCs w:val="28"/>
        </w:rPr>
        <w:t xml:space="preserve">През 2021 г. общият брой на оправдателните съдебни актове за региона е бил </w:t>
      </w:r>
      <w:r>
        <w:rPr>
          <w:rFonts w:eastAsia="Calibri"/>
          <w:b/>
          <w:sz w:val="28"/>
          <w:szCs w:val="28"/>
          <w:u w:val="single"/>
        </w:rPr>
        <w:t>42 броя</w:t>
      </w:r>
      <w:r>
        <w:rPr>
          <w:rFonts w:eastAsia="Calibri"/>
          <w:sz w:val="28"/>
          <w:szCs w:val="28"/>
        </w:rPr>
        <w:t>. 35 броя от тях са по внесени обвинителни актове, а 7 -  по внесени предложения по чл. 78 а от НК.</w:t>
      </w:r>
    </w:p>
    <w:p w:rsidR="002E30E5" w:rsidRDefault="002E30E5" w:rsidP="002E30E5">
      <w:pPr>
        <w:ind w:firstLine="709"/>
        <w:jc w:val="both"/>
        <w:rPr>
          <w:sz w:val="28"/>
          <w:szCs w:val="28"/>
        </w:rPr>
      </w:pPr>
      <w:r>
        <w:rPr>
          <w:sz w:val="28"/>
          <w:szCs w:val="28"/>
        </w:rPr>
        <w:t>Видно от горните данни, през 2023 г. показателят е влошен спрямо предходните два отчетни периода. Налице е увеличение спрямо 2022 г. с 18.6</w:t>
      </w:r>
      <w:r w:rsidR="00704100">
        <w:rPr>
          <w:sz w:val="28"/>
          <w:szCs w:val="28"/>
        </w:rPr>
        <w:t>%</w:t>
      </w:r>
      <w:r>
        <w:rPr>
          <w:sz w:val="28"/>
          <w:szCs w:val="28"/>
        </w:rPr>
        <w:t xml:space="preserve"> и увеличение спрямо 2021 г. с 24.39</w:t>
      </w:r>
      <w:r w:rsidR="00704100">
        <w:rPr>
          <w:sz w:val="28"/>
          <w:szCs w:val="28"/>
        </w:rPr>
        <w:t>%</w:t>
      </w:r>
      <w:r>
        <w:rPr>
          <w:sz w:val="28"/>
          <w:szCs w:val="28"/>
        </w:rPr>
        <w:t>.</w:t>
      </w:r>
    </w:p>
    <w:p w:rsidR="002E30E5" w:rsidRDefault="002E30E5" w:rsidP="002E30E5">
      <w:pPr>
        <w:ind w:firstLine="709"/>
        <w:jc w:val="both"/>
        <w:rPr>
          <w:b/>
          <w:sz w:val="28"/>
          <w:szCs w:val="28"/>
          <w:u w:val="single"/>
        </w:rPr>
      </w:pPr>
      <w:r>
        <w:rPr>
          <w:b/>
          <w:sz w:val="28"/>
          <w:szCs w:val="28"/>
          <w:u w:val="single"/>
        </w:rPr>
        <w:t>За ОП – Варна:</w:t>
      </w:r>
    </w:p>
    <w:p w:rsidR="002E30E5" w:rsidRDefault="002E30E5" w:rsidP="002E30E5">
      <w:pPr>
        <w:ind w:firstLine="709"/>
        <w:jc w:val="both"/>
        <w:rPr>
          <w:sz w:val="28"/>
          <w:szCs w:val="28"/>
        </w:rPr>
      </w:pPr>
      <w:r>
        <w:rPr>
          <w:sz w:val="28"/>
          <w:szCs w:val="28"/>
        </w:rPr>
        <w:t>През 2023 г. от ОС – Варна са постановени общо 9 оправдателни съдебни актове, като всички са по внесени обвинителни актове.</w:t>
      </w:r>
    </w:p>
    <w:p w:rsidR="002E30E5" w:rsidRDefault="002E30E5" w:rsidP="002E30E5">
      <w:pPr>
        <w:ind w:firstLine="709"/>
        <w:jc w:val="both"/>
        <w:rPr>
          <w:sz w:val="28"/>
          <w:szCs w:val="28"/>
        </w:rPr>
      </w:pPr>
      <w:r>
        <w:rPr>
          <w:sz w:val="28"/>
          <w:szCs w:val="28"/>
        </w:rPr>
        <w:t>През 2022 г. от ОС – Варна са постановени общо 5 броя оправдателни съдебни актове, като всички са по внесени обвинителни актове.</w:t>
      </w:r>
    </w:p>
    <w:p w:rsidR="002E30E5" w:rsidRDefault="002E30E5" w:rsidP="002E30E5">
      <w:pPr>
        <w:ind w:firstLine="709"/>
        <w:jc w:val="both"/>
        <w:rPr>
          <w:sz w:val="28"/>
          <w:szCs w:val="28"/>
        </w:rPr>
      </w:pPr>
      <w:r>
        <w:rPr>
          <w:sz w:val="28"/>
          <w:szCs w:val="28"/>
        </w:rPr>
        <w:t>През 2021 г. от ОС – Варна са постановени общо 9 броя оправдателни съдебни актове по внесени в съда дела, от които – 8 броя по обвинителни актове и 1 брой – по внесено предложение по чл. 78 а от НК.</w:t>
      </w:r>
    </w:p>
    <w:p w:rsidR="002E30E5" w:rsidRDefault="002E30E5" w:rsidP="002E30E5">
      <w:pPr>
        <w:ind w:firstLine="709"/>
        <w:jc w:val="both"/>
        <w:rPr>
          <w:sz w:val="28"/>
          <w:szCs w:val="28"/>
        </w:rPr>
      </w:pPr>
      <w:r>
        <w:rPr>
          <w:sz w:val="28"/>
          <w:szCs w:val="28"/>
        </w:rPr>
        <w:t>Видно от горното, за ОП – Варна е налице незначително увеличение на този показател с 4 броя спрямо 2022 г., като показателят не търпи промяна спрямо 2021 г.</w:t>
      </w:r>
    </w:p>
    <w:p w:rsidR="002E30E5" w:rsidRDefault="002E30E5" w:rsidP="002E30E5">
      <w:pPr>
        <w:ind w:firstLine="709"/>
        <w:jc w:val="both"/>
        <w:rPr>
          <w:b/>
          <w:sz w:val="28"/>
          <w:szCs w:val="28"/>
          <w:u w:val="single"/>
        </w:rPr>
      </w:pPr>
      <w:r>
        <w:rPr>
          <w:b/>
          <w:sz w:val="28"/>
          <w:szCs w:val="28"/>
          <w:u w:val="single"/>
        </w:rPr>
        <w:t>За РП – Варна:</w:t>
      </w:r>
    </w:p>
    <w:p w:rsidR="002E30E5" w:rsidRDefault="002E30E5" w:rsidP="002E30E5">
      <w:pPr>
        <w:ind w:firstLine="709"/>
        <w:jc w:val="both"/>
        <w:rPr>
          <w:sz w:val="28"/>
          <w:szCs w:val="28"/>
        </w:rPr>
      </w:pPr>
      <w:r>
        <w:rPr>
          <w:rFonts w:eastAsia="Calibri"/>
          <w:sz w:val="28"/>
          <w:szCs w:val="28"/>
        </w:rPr>
        <w:t xml:space="preserve">През 2023 г. РС – Варна, РС – Девня и РС - Провадия са  постановили общо </w:t>
      </w:r>
      <w:r>
        <w:rPr>
          <w:rFonts w:eastAsia="Calibri"/>
          <w:b/>
          <w:sz w:val="28"/>
          <w:szCs w:val="28"/>
        </w:rPr>
        <w:t>42 броя оправдателни съдебни актове</w:t>
      </w:r>
      <w:r>
        <w:rPr>
          <w:rFonts w:eastAsia="Calibri"/>
          <w:sz w:val="28"/>
          <w:szCs w:val="28"/>
        </w:rPr>
        <w:t xml:space="preserve"> по внесени в съда дела от прокурорите от РП – Варна /ведно с ТО – Девня и ТО – Провадия/. По внесени обвинителни актове са 39 от тях, а по внесени предложения по чл. 78 а от НК – 3 броя.</w:t>
      </w:r>
    </w:p>
    <w:p w:rsidR="002E30E5" w:rsidRDefault="002E30E5" w:rsidP="002E30E5">
      <w:pPr>
        <w:ind w:firstLine="709"/>
        <w:jc w:val="both"/>
        <w:rPr>
          <w:sz w:val="28"/>
          <w:szCs w:val="28"/>
        </w:rPr>
      </w:pPr>
      <w:r>
        <w:rPr>
          <w:sz w:val="28"/>
          <w:szCs w:val="28"/>
        </w:rPr>
        <w:t xml:space="preserve">През 2022 г. от РС – Варна, РС – Девня и РС – Провадия са били постановени </w:t>
      </w:r>
      <w:r>
        <w:rPr>
          <w:b/>
          <w:sz w:val="28"/>
          <w:szCs w:val="28"/>
        </w:rPr>
        <w:t>38 оправдателни съдебни актове</w:t>
      </w:r>
      <w:r>
        <w:rPr>
          <w:sz w:val="28"/>
          <w:szCs w:val="28"/>
        </w:rPr>
        <w:t>, от които – 29 – по внесени обвинителни актове и 9 – по внесени предложения по чл. 78 а от НК.</w:t>
      </w:r>
    </w:p>
    <w:p w:rsidR="002E30E5" w:rsidRDefault="002E30E5" w:rsidP="002E30E5">
      <w:pPr>
        <w:ind w:firstLine="709"/>
        <w:jc w:val="both"/>
        <w:rPr>
          <w:sz w:val="28"/>
          <w:szCs w:val="28"/>
        </w:rPr>
      </w:pPr>
      <w:r>
        <w:rPr>
          <w:sz w:val="28"/>
          <w:szCs w:val="28"/>
        </w:rPr>
        <w:t xml:space="preserve">През 2021 г.  от РС – Варна, РС – Девня и РС – Провадия са били постановени </w:t>
      </w:r>
      <w:r>
        <w:rPr>
          <w:b/>
          <w:sz w:val="28"/>
          <w:szCs w:val="28"/>
        </w:rPr>
        <w:t>33 оправдателни съдебни актове</w:t>
      </w:r>
      <w:r>
        <w:rPr>
          <w:sz w:val="28"/>
          <w:szCs w:val="28"/>
        </w:rPr>
        <w:t>, от които – 27 по внесени обвинителни актове и 6 – по предложения по чл. 78 а от НК.</w:t>
      </w:r>
    </w:p>
    <w:p w:rsidR="002E30E5" w:rsidRDefault="002E30E5" w:rsidP="002E30E5">
      <w:pPr>
        <w:ind w:firstLine="709"/>
        <w:jc w:val="both"/>
        <w:rPr>
          <w:b/>
          <w:sz w:val="28"/>
          <w:szCs w:val="28"/>
        </w:rPr>
      </w:pPr>
      <w:r>
        <w:rPr>
          <w:b/>
          <w:sz w:val="28"/>
          <w:szCs w:val="28"/>
        </w:rPr>
        <w:t>2.6.Влезли в сила оправдателни присъди и решения:</w:t>
      </w:r>
    </w:p>
    <w:p w:rsidR="002E30E5" w:rsidRDefault="002E30E5" w:rsidP="002E30E5">
      <w:pPr>
        <w:ind w:right="140" w:firstLine="709"/>
        <w:jc w:val="both"/>
        <w:rPr>
          <w:rFonts w:eastAsia="Calibri"/>
          <w:sz w:val="28"/>
          <w:szCs w:val="28"/>
        </w:rPr>
      </w:pPr>
      <w:r>
        <w:rPr>
          <w:rFonts w:eastAsia="Calibri"/>
          <w:sz w:val="28"/>
          <w:szCs w:val="28"/>
          <w:lang w:eastAsia="en-US"/>
        </w:rPr>
        <w:t xml:space="preserve">Анализът на причините за постановяване на оправдателни съдебни актове в региона на ОП – Варна е съобразен с Указания за подобряване организацията на работа в прокуратурата на </w:t>
      </w:r>
      <w:proofErr w:type="spellStart"/>
      <w:r>
        <w:rPr>
          <w:rFonts w:eastAsia="Calibri"/>
          <w:sz w:val="28"/>
          <w:szCs w:val="28"/>
          <w:lang w:eastAsia="en-US"/>
        </w:rPr>
        <w:t>РБългария</w:t>
      </w:r>
      <w:proofErr w:type="spellEnd"/>
      <w:r>
        <w:rPr>
          <w:rFonts w:eastAsia="Calibri"/>
          <w:sz w:val="28"/>
          <w:szCs w:val="28"/>
          <w:lang w:eastAsia="en-US"/>
        </w:rPr>
        <w:t xml:space="preserve"> по НСН, приети със Заповед № РД-02-29/15.12.2017 г. на Главния прокурор на </w:t>
      </w:r>
      <w:proofErr w:type="spellStart"/>
      <w:r>
        <w:rPr>
          <w:rFonts w:eastAsia="Calibri"/>
          <w:sz w:val="28"/>
          <w:szCs w:val="28"/>
          <w:lang w:eastAsia="en-US"/>
        </w:rPr>
        <w:t>РБългария</w:t>
      </w:r>
      <w:proofErr w:type="spellEnd"/>
      <w:r>
        <w:rPr>
          <w:rFonts w:eastAsia="Calibri"/>
          <w:sz w:val="28"/>
          <w:szCs w:val="28"/>
          <w:lang w:eastAsia="en-US"/>
        </w:rPr>
        <w:t xml:space="preserve">. Съгласно Указанията „Оправдателна присъда е съдебен акт, с който предадено на съд лице е </w:t>
      </w:r>
      <w:r>
        <w:rPr>
          <w:rFonts w:eastAsia="Calibri"/>
          <w:sz w:val="28"/>
          <w:szCs w:val="28"/>
          <w:lang w:eastAsia="en-US"/>
        </w:rPr>
        <w:lastRenderedPageBreak/>
        <w:t xml:space="preserve">оправдано изцяло по всички повдигнати обвинения, вкл. и когато му е наложено административно наказание“. Анализът обхваща само влезлите в сила оправдателни присъди и е съобразен с обстоятелството, че броят на оправдателните съдебни актове е равен на броя на оправданите лица. </w:t>
      </w:r>
    </w:p>
    <w:p w:rsidR="002E30E5" w:rsidRDefault="002E30E5" w:rsidP="002E30E5">
      <w:pPr>
        <w:ind w:right="140" w:firstLine="709"/>
        <w:jc w:val="both"/>
        <w:rPr>
          <w:rFonts w:eastAsia="Calibri"/>
          <w:sz w:val="28"/>
          <w:szCs w:val="28"/>
        </w:rPr>
      </w:pPr>
      <w:r>
        <w:rPr>
          <w:rFonts w:eastAsia="Calibri"/>
          <w:b/>
          <w:sz w:val="28"/>
          <w:szCs w:val="28"/>
          <w:u w:val="single"/>
        </w:rPr>
        <w:t>През 2023 г.</w:t>
      </w:r>
      <w:r>
        <w:rPr>
          <w:rFonts w:eastAsia="Calibri"/>
          <w:sz w:val="28"/>
          <w:szCs w:val="28"/>
        </w:rPr>
        <w:t xml:space="preserve"> влезлите в сила оправдателни присъди и решения, постановени от съдилищата от региона на ОП – Варна са </w:t>
      </w:r>
      <w:r>
        <w:rPr>
          <w:rFonts w:eastAsia="Calibri"/>
          <w:b/>
          <w:sz w:val="28"/>
          <w:szCs w:val="28"/>
          <w:u w:val="single"/>
        </w:rPr>
        <w:t>общо 55 броя</w:t>
      </w:r>
      <w:r>
        <w:rPr>
          <w:rFonts w:eastAsia="Calibri"/>
          <w:sz w:val="28"/>
          <w:szCs w:val="28"/>
        </w:rPr>
        <w:t>. От тях 51 броя са по обвинителни актове, а 4 броя по предложения за освобождаване от наказателна отговорност с налагане на административно наказание по реда на чл.78а от НК</w:t>
      </w:r>
      <w:r>
        <w:rPr>
          <w:rFonts w:eastAsia="Calibri"/>
          <w:sz w:val="28"/>
          <w:szCs w:val="28"/>
          <w:lang w:val="en-US"/>
        </w:rPr>
        <w:t xml:space="preserve">, </w:t>
      </w:r>
      <w:r>
        <w:rPr>
          <w:rFonts w:eastAsia="Calibri"/>
          <w:sz w:val="28"/>
          <w:szCs w:val="28"/>
        </w:rPr>
        <w:t>като последните се отчитат само от РП – Варна.</w:t>
      </w:r>
    </w:p>
    <w:p w:rsidR="002E30E5" w:rsidRDefault="002E30E5" w:rsidP="002E30E5">
      <w:pPr>
        <w:ind w:right="140" w:firstLine="709"/>
        <w:jc w:val="both"/>
        <w:rPr>
          <w:rFonts w:eastAsia="Calibri"/>
          <w:sz w:val="28"/>
          <w:szCs w:val="28"/>
        </w:rPr>
      </w:pPr>
      <w:r>
        <w:rPr>
          <w:rFonts w:eastAsia="Calibri"/>
          <w:sz w:val="28"/>
          <w:szCs w:val="28"/>
        </w:rPr>
        <w:t xml:space="preserve">За ОП – Варна влезлите в сила оправдателни присъди са </w:t>
      </w:r>
      <w:r>
        <w:rPr>
          <w:rFonts w:eastAsia="Calibri"/>
          <w:b/>
          <w:sz w:val="28"/>
          <w:szCs w:val="28"/>
          <w:u w:val="single"/>
        </w:rPr>
        <w:t>12 броя</w:t>
      </w:r>
      <w:r>
        <w:rPr>
          <w:rFonts w:eastAsia="Calibri"/>
          <w:sz w:val="28"/>
          <w:szCs w:val="28"/>
        </w:rPr>
        <w:t>.</w:t>
      </w:r>
    </w:p>
    <w:p w:rsidR="002E30E5" w:rsidRDefault="002E30E5" w:rsidP="002E30E5">
      <w:pPr>
        <w:ind w:right="140" w:firstLine="709"/>
        <w:jc w:val="both"/>
        <w:rPr>
          <w:rFonts w:eastAsia="Calibri"/>
          <w:sz w:val="28"/>
          <w:szCs w:val="28"/>
        </w:rPr>
      </w:pPr>
      <w:r>
        <w:rPr>
          <w:rFonts w:eastAsia="Calibri"/>
          <w:sz w:val="28"/>
          <w:szCs w:val="28"/>
        </w:rPr>
        <w:t xml:space="preserve">За РП – Варна /с териториалните й отделения Девня и Провадия/ – </w:t>
      </w:r>
      <w:r>
        <w:rPr>
          <w:rFonts w:eastAsia="Calibri"/>
          <w:b/>
          <w:sz w:val="28"/>
          <w:szCs w:val="28"/>
          <w:u w:val="single"/>
        </w:rPr>
        <w:t>43 броя</w:t>
      </w:r>
      <w:r>
        <w:rPr>
          <w:rFonts w:eastAsia="Calibri"/>
          <w:sz w:val="28"/>
          <w:szCs w:val="28"/>
        </w:rPr>
        <w:t>.</w:t>
      </w:r>
    </w:p>
    <w:p w:rsidR="002E30E5" w:rsidRDefault="002E30E5" w:rsidP="002E30E5">
      <w:pPr>
        <w:ind w:right="140" w:firstLine="709"/>
        <w:jc w:val="both"/>
        <w:rPr>
          <w:rFonts w:eastAsia="Calibri"/>
          <w:b/>
          <w:color w:val="FF0000"/>
          <w:sz w:val="28"/>
          <w:szCs w:val="28"/>
          <w:lang w:bidi="bg-BG"/>
        </w:rPr>
      </w:pPr>
      <w:r>
        <w:rPr>
          <w:rFonts w:eastAsia="Calibri"/>
          <w:sz w:val="28"/>
          <w:szCs w:val="28"/>
        </w:rPr>
        <w:t>Броят на оправдателните присъди е равен на броя на оправданите лица, поради което е по – голям от общия брой на делата, по които има влезли в сила оправдателни присъди /10 бр. дела за ОП – Варна и 36 броя дела за РП – Варна/.</w:t>
      </w:r>
    </w:p>
    <w:p w:rsidR="002E30E5" w:rsidRDefault="002E30E5" w:rsidP="002E30E5">
      <w:pPr>
        <w:widowControl w:val="0"/>
        <w:ind w:right="140" w:firstLine="709"/>
        <w:jc w:val="both"/>
        <w:rPr>
          <w:rFonts w:eastAsia="Calibri"/>
          <w:sz w:val="28"/>
          <w:szCs w:val="28"/>
          <w:lang w:bidi="bg-BG"/>
        </w:rPr>
      </w:pPr>
      <w:r>
        <w:rPr>
          <w:rFonts w:eastAsia="Calibri"/>
          <w:b/>
          <w:sz w:val="28"/>
          <w:szCs w:val="28"/>
          <w:lang w:bidi="bg-BG"/>
        </w:rPr>
        <w:t>През 2022 г.</w:t>
      </w:r>
      <w:r>
        <w:rPr>
          <w:rFonts w:eastAsia="Calibri"/>
          <w:sz w:val="28"/>
          <w:szCs w:val="28"/>
          <w:lang w:bidi="bg-BG"/>
        </w:rPr>
        <w:t xml:space="preserve"> влезлите в сила оправдателни присъди и решения, постановени от съдилищата от региона на ОП – Варна са </w:t>
      </w:r>
      <w:r>
        <w:rPr>
          <w:rFonts w:eastAsia="Calibri"/>
          <w:b/>
          <w:sz w:val="28"/>
          <w:szCs w:val="28"/>
          <w:u w:val="single"/>
          <w:lang w:bidi="bg-BG"/>
        </w:rPr>
        <w:t>общо 55 броя</w:t>
      </w:r>
      <w:r>
        <w:rPr>
          <w:rFonts w:eastAsia="Calibri"/>
          <w:sz w:val="28"/>
          <w:szCs w:val="28"/>
          <w:lang w:bidi="bg-BG"/>
        </w:rPr>
        <w:t>. От тях 49 броя са по обвинителни актове, а 6 броя по предложения за освобождаване от наказателна отговорност с налагане на административно наказание по реда на чл.78а от НК /като последните се отчитат само от РП – Варна/.</w:t>
      </w:r>
    </w:p>
    <w:p w:rsidR="002E30E5" w:rsidRDefault="002E30E5" w:rsidP="002E30E5">
      <w:pPr>
        <w:widowControl w:val="0"/>
        <w:ind w:right="140" w:firstLine="709"/>
        <w:jc w:val="both"/>
        <w:rPr>
          <w:rFonts w:eastAsia="Calibri"/>
          <w:sz w:val="28"/>
          <w:szCs w:val="28"/>
          <w:lang w:bidi="bg-BG"/>
        </w:rPr>
      </w:pPr>
      <w:r>
        <w:rPr>
          <w:rFonts w:eastAsia="Calibri"/>
          <w:sz w:val="28"/>
          <w:szCs w:val="28"/>
          <w:lang w:bidi="bg-BG"/>
        </w:rPr>
        <w:t xml:space="preserve">За ОП – Варна влезлите в сила оправдателни присъди са </w:t>
      </w:r>
      <w:r>
        <w:rPr>
          <w:rFonts w:eastAsia="Calibri"/>
          <w:b/>
          <w:sz w:val="28"/>
          <w:szCs w:val="28"/>
          <w:u w:val="single"/>
          <w:lang w:bidi="bg-BG"/>
        </w:rPr>
        <w:t>20 броя</w:t>
      </w:r>
      <w:r>
        <w:rPr>
          <w:rFonts w:eastAsia="Calibri"/>
          <w:sz w:val="28"/>
          <w:szCs w:val="28"/>
          <w:lang w:bidi="bg-BG"/>
        </w:rPr>
        <w:t>.</w:t>
      </w:r>
    </w:p>
    <w:p w:rsidR="002E30E5" w:rsidRDefault="002E30E5" w:rsidP="002E30E5">
      <w:pPr>
        <w:widowControl w:val="0"/>
        <w:ind w:right="140" w:firstLine="709"/>
        <w:jc w:val="both"/>
        <w:rPr>
          <w:rFonts w:eastAsia="Calibri"/>
          <w:b/>
          <w:sz w:val="28"/>
          <w:szCs w:val="28"/>
          <w:u w:val="single"/>
          <w:lang w:bidi="bg-BG"/>
        </w:rPr>
      </w:pPr>
      <w:r>
        <w:rPr>
          <w:rFonts w:eastAsia="Calibri"/>
          <w:sz w:val="28"/>
          <w:szCs w:val="28"/>
          <w:lang w:bidi="bg-BG"/>
        </w:rPr>
        <w:t xml:space="preserve">РП – Варна /с териториалните й отделения Девня и Провадия/ – </w:t>
      </w:r>
      <w:r>
        <w:rPr>
          <w:rFonts w:eastAsia="Calibri"/>
          <w:b/>
          <w:sz w:val="28"/>
          <w:szCs w:val="28"/>
          <w:u w:val="single"/>
          <w:lang w:bidi="bg-BG"/>
        </w:rPr>
        <w:t>35 броя.</w:t>
      </w:r>
    </w:p>
    <w:p w:rsidR="002E30E5" w:rsidRDefault="002E30E5" w:rsidP="002E30E5">
      <w:pPr>
        <w:ind w:firstLine="709"/>
        <w:jc w:val="both"/>
        <w:rPr>
          <w:rFonts w:eastAsia="Calibri"/>
          <w:sz w:val="28"/>
          <w:szCs w:val="28"/>
          <w:lang w:eastAsia="en-US"/>
        </w:rPr>
      </w:pPr>
      <w:r>
        <w:rPr>
          <w:rFonts w:eastAsia="Calibri"/>
          <w:b/>
          <w:sz w:val="28"/>
          <w:szCs w:val="28"/>
          <w:lang w:eastAsia="en-US"/>
        </w:rPr>
        <w:t>През 2021г.</w:t>
      </w:r>
      <w:r>
        <w:rPr>
          <w:rFonts w:eastAsia="Calibri"/>
          <w:sz w:val="28"/>
          <w:szCs w:val="28"/>
          <w:lang w:eastAsia="en-US"/>
        </w:rPr>
        <w:t xml:space="preserve"> влезлите в сила оправдателни присъди и решения /по лица/, постановени от съдилищата от региона на ОП – Варна, са </w:t>
      </w:r>
      <w:r>
        <w:rPr>
          <w:rFonts w:eastAsia="Calibri"/>
          <w:b/>
          <w:sz w:val="28"/>
          <w:szCs w:val="28"/>
          <w:u w:val="single"/>
          <w:lang w:eastAsia="en-US"/>
        </w:rPr>
        <w:t>общо 69</w:t>
      </w:r>
      <w:r>
        <w:rPr>
          <w:rFonts w:eastAsia="Calibri"/>
          <w:sz w:val="28"/>
          <w:szCs w:val="28"/>
          <w:lang w:eastAsia="en-US"/>
        </w:rPr>
        <w:t xml:space="preserve"> броя. От тях:</w:t>
      </w:r>
    </w:p>
    <w:p w:rsidR="002E30E5" w:rsidRDefault="002E30E5" w:rsidP="002E30E5">
      <w:pPr>
        <w:ind w:firstLine="709"/>
        <w:jc w:val="both"/>
        <w:rPr>
          <w:rFonts w:eastAsia="Calibri"/>
          <w:sz w:val="28"/>
          <w:szCs w:val="28"/>
          <w:lang w:eastAsia="en-US"/>
        </w:rPr>
      </w:pPr>
      <w:r>
        <w:rPr>
          <w:rFonts w:eastAsia="Calibri"/>
          <w:sz w:val="28"/>
          <w:szCs w:val="28"/>
          <w:lang w:eastAsia="en-US"/>
        </w:rPr>
        <w:t xml:space="preserve">За ОП – Варна влезлите в сила оправдателни присъди са </w:t>
      </w:r>
      <w:r>
        <w:rPr>
          <w:rFonts w:eastAsia="Calibri"/>
          <w:b/>
          <w:sz w:val="28"/>
          <w:szCs w:val="28"/>
          <w:lang w:eastAsia="en-US"/>
        </w:rPr>
        <w:t>6 броя.</w:t>
      </w:r>
    </w:p>
    <w:p w:rsidR="002E30E5" w:rsidRDefault="002E30E5" w:rsidP="002E30E5">
      <w:pPr>
        <w:ind w:firstLine="709"/>
        <w:jc w:val="both"/>
        <w:rPr>
          <w:rFonts w:eastAsia="Calibri"/>
          <w:sz w:val="28"/>
          <w:szCs w:val="28"/>
        </w:rPr>
      </w:pPr>
      <w:r>
        <w:rPr>
          <w:rFonts w:eastAsia="Calibri"/>
          <w:sz w:val="28"/>
          <w:szCs w:val="28"/>
          <w:lang w:eastAsia="en-US"/>
        </w:rPr>
        <w:t xml:space="preserve">За РП – Варна влезлите в сила оправдателни присъди са </w:t>
      </w:r>
      <w:r>
        <w:rPr>
          <w:rFonts w:eastAsia="Calibri"/>
          <w:b/>
          <w:sz w:val="28"/>
          <w:szCs w:val="28"/>
          <w:lang w:eastAsia="en-US"/>
        </w:rPr>
        <w:t>63 броя.</w:t>
      </w:r>
    </w:p>
    <w:p w:rsidR="002E30E5" w:rsidRDefault="002E30E5" w:rsidP="002E30E5">
      <w:pPr>
        <w:ind w:firstLine="709"/>
        <w:jc w:val="both"/>
        <w:outlineLvl w:val="0"/>
        <w:rPr>
          <w:b/>
          <w:sz w:val="28"/>
          <w:szCs w:val="28"/>
          <w:u w:val="single"/>
        </w:rPr>
      </w:pPr>
      <w:bookmarkStart w:id="28" w:name="OLE_LINK52"/>
      <w:r>
        <w:rPr>
          <w:b/>
          <w:sz w:val="28"/>
          <w:szCs w:val="28"/>
          <w:u w:val="single"/>
        </w:rPr>
        <w:t>Видно от горните данни, през 2023 г. за региона на ОП – Варна е налице намаление на общия брой влезли в сила оправдателни актове спрямо 2021 г. с 20.29</w:t>
      </w:r>
      <w:r w:rsidR="00704100">
        <w:rPr>
          <w:b/>
          <w:sz w:val="28"/>
          <w:szCs w:val="28"/>
          <w:u w:val="single"/>
        </w:rPr>
        <w:t>%</w:t>
      </w:r>
      <w:r>
        <w:rPr>
          <w:b/>
          <w:sz w:val="28"/>
          <w:szCs w:val="28"/>
          <w:u w:val="single"/>
        </w:rPr>
        <w:t>, а спрямо 2022 г.  показателят не бележи промяна.</w:t>
      </w:r>
    </w:p>
    <w:p w:rsidR="002E30E5" w:rsidRDefault="002E30E5" w:rsidP="002E30E5">
      <w:pPr>
        <w:ind w:firstLine="709"/>
        <w:jc w:val="both"/>
        <w:outlineLvl w:val="0"/>
        <w:rPr>
          <w:b/>
          <w:sz w:val="28"/>
          <w:szCs w:val="28"/>
          <w:u w:val="single"/>
        </w:rPr>
      </w:pPr>
      <w:r>
        <w:rPr>
          <w:b/>
          <w:sz w:val="28"/>
          <w:szCs w:val="28"/>
          <w:u w:val="single"/>
        </w:rPr>
        <w:t>За ОП – Варна показателят бележи значително подобрение спрямо 2022 г. – намаление с 40.00</w:t>
      </w:r>
      <w:r w:rsidR="00704100">
        <w:rPr>
          <w:b/>
          <w:sz w:val="28"/>
          <w:szCs w:val="28"/>
          <w:u w:val="single"/>
        </w:rPr>
        <w:t>%</w:t>
      </w:r>
      <w:r>
        <w:rPr>
          <w:b/>
          <w:sz w:val="28"/>
          <w:szCs w:val="28"/>
          <w:u w:val="single"/>
        </w:rPr>
        <w:t xml:space="preserve">, а спрямо 2021 г. е налице увеличение  /с 6 броя/. </w:t>
      </w:r>
    </w:p>
    <w:p w:rsidR="002E30E5" w:rsidRDefault="002E30E5" w:rsidP="002E30E5">
      <w:pPr>
        <w:ind w:firstLine="709"/>
        <w:jc w:val="both"/>
        <w:outlineLvl w:val="0"/>
        <w:rPr>
          <w:sz w:val="28"/>
          <w:szCs w:val="28"/>
        </w:rPr>
      </w:pPr>
      <w:r>
        <w:rPr>
          <w:sz w:val="28"/>
          <w:szCs w:val="28"/>
        </w:rPr>
        <w:t>За РП – Варна показателят бележи влошаване спрямо 2022 г. – увеличение с 22.86</w:t>
      </w:r>
      <w:r w:rsidR="00704100">
        <w:rPr>
          <w:sz w:val="28"/>
          <w:szCs w:val="28"/>
        </w:rPr>
        <w:t>%</w:t>
      </w:r>
      <w:r>
        <w:rPr>
          <w:sz w:val="28"/>
          <w:szCs w:val="28"/>
        </w:rPr>
        <w:t>, а спрямо 2021 г. е налице  подобрение– намаление с 31.75</w:t>
      </w:r>
      <w:r w:rsidR="00704100">
        <w:rPr>
          <w:sz w:val="28"/>
          <w:szCs w:val="28"/>
        </w:rPr>
        <w:t>%</w:t>
      </w:r>
      <w:r>
        <w:rPr>
          <w:sz w:val="28"/>
          <w:szCs w:val="28"/>
        </w:rPr>
        <w:t>.</w:t>
      </w:r>
    </w:p>
    <w:p w:rsidR="002E30E5" w:rsidRDefault="002E30E5" w:rsidP="002E30E5">
      <w:pPr>
        <w:ind w:right="140" w:firstLine="709"/>
        <w:jc w:val="both"/>
        <w:rPr>
          <w:rFonts w:eastAsia="Calibri"/>
          <w:bCs/>
          <w:sz w:val="28"/>
          <w:szCs w:val="28"/>
        </w:rPr>
      </w:pPr>
      <w:r>
        <w:rPr>
          <w:rFonts w:eastAsia="Calibri"/>
          <w:bCs/>
          <w:sz w:val="28"/>
          <w:szCs w:val="28"/>
        </w:rPr>
        <w:t xml:space="preserve">През 2023 г. влезлите в законна сила оправдателни присъди и решения, попадащи в </w:t>
      </w:r>
      <w:r>
        <w:rPr>
          <w:rFonts w:eastAsia="Calibri"/>
          <w:b/>
          <w:bCs/>
          <w:sz w:val="28"/>
          <w:szCs w:val="28"/>
          <w:u w:val="single"/>
        </w:rPr>
        <w:t>първата група</w:t>
      </w:r>
      <w:r>
        <w:rPr>
          <w:rFonts w:eastAsia="Calibri"/>
          <w:bCs/>
          <w:sz w:val="28"/>
          <w:szCs w:val="28"/>
        </w:rPr>
        <w:t xml:space="preserve"> причини - „оправдателната присъда се дължи в голяма степен на неправилно квалифициране на деянието с обвинителния акт“ са </w:t>
      </w:r>
      <w:r>
        <w:rPr>
          <w:rFonts w:eastAsia="Calibri"/>
          <w:b/>
          <w:bCs/>
          <w:sz w:val="28"/>
          <w:szCs w:val="28"/>
        </w:rPr>
        <w:t>26 броя</w:t>
      </w:r>
      <w:r>
        <w:rPr>
          <w:rFonts w:eastAsia="Calibri"/>
          <w:bCs/>
          <w:sz w:val="28"/>
          <w:szCs w:val="28"/>
        </w:rPr>
        <w:t xml:space="preserve">, което представлява </w:t>
      </w:r>
      <w:r>
        <w:rPr>
          <w:rFonts w:eastAsia="Calibri"/>
          <w:b/>
          <w:bCs/>
          <w:sz w:val="28"/>
          <w:szCs w:val="28"/>
        </w:rPr>
        <w:t>47,3</w:t>
      </w:r>
      <w:r w:rsidR="00704100">
        <w:rPr>
          <w:rFonts w:eastAsia="Calibri"/>
          <w:b/>
          <w:bCs/>
          <w:sz w:val="28"/>
          <w:szCs w:val="28"/>
        </w:rPr>
        <w:t>%</w:t>
      </w:r>
      <w:r>
        <w:rPr>
          <w:rFonts w:eastAsia="Calibri"/>
          <w:bCs/>
          <w:sz w:val="28"/>
          <w:szCs w:val="28"/>
        </w:rPr>
        <w:t xml:space="preserve"> от общия брой влезли в сила оправдателни присъди. </w:t>
      </w:r>
    </w:p>
    <w:p w:rsidR="002E30E5" w:rsidRDefault="002E30E5" w:rsidP="002E30E5">
      <w:pPr>
        <w:ind w:right="140" w:firstLine="709"/>
        <w:jc w:val="both"/>
        <w:rPr>
          <w:rFonts w:eastAsia="Calibri"/>
          <w:bCs/>
          <w:sz w:val="28"/>
          <w:szCs w:val="28"/>
        </w:rPr>
      </w:pPr>
      <w:bookmarkStart w:id="29" w:name="OLE_LINK39"/>
      <w:r>
        <w:rPr>
          <w:rFonts w:eastAsia="Calibri"/>
          <w:bCs/>
          <w:sz w:val="28"/>
          <w:szCs w:val="28"/>
        </w:rPr>
        <w:t>През 2022 г. влезлите в законна сила оправдателни присъди и решения, попадащи в тази група причини са били 23 броя, което представлява 41,8</w:t>
      </w:r>
      <w:r w:rsidR="00704100">
        <w:rPr>
          <w:rFonts w:eastAsia="Calibri"/>
          <w:bCs/>
          <w:sz w:val="28"/>
          <w:szCs w:val="28"/>
        </w:rPr>
        <w:t>%</w:t>
      </w:r>
      <w:r>
        <w:rPr>
          <w:rFonts w:eastAsia="Calibri"/>
          <w:bCs/>
          <w:sz w:val="28"/>
          <w:szCs w:val="28"/>
        </w:rPr>
        <w:t xml:space="preserve"> от общия брой влезли в сила оправдателни присъди. По този показател през 2021 г. са били отчетени 48 броя присъди, представляващи 69,5</w:t>
      </w:r>
      <w:r w:rsidR="00704100">
        <w:rPr>
          <w:rFonts w:eastAsia="Calibri"/>
          <w:bCs/>
          <w:sz w:val="28"/>
          <w:szCs w:val="28"/>
        </w:rPr>
        <w:t>%</w:t>
      </w:r>
      <w:r>
        <w:rPr>
          <w:rFonts w:eastAsia="Calibri"/>
          <w:bCs/>
          <w:sz w:val="28"/>
          <w:szCs w:val="28"/>
        </w:rPr>
        <w:t xml:space="preserve"> от общия брой влезли в сила оправдателни присъди за този отчетен период.</w:t>
      </w:r>
    </w:p>
    <w:p w:rsidR="002E30E5" w:rsidRDefault="002E30E5" w:rsidP="002E30E5">
      <w:pPr>
        <w:ind w:right="140" w:firstLine="709"/>
        <w:jc w:val="both"/>
        <w:rPr>
          <w:rFonts w:eastAsia="Calibri"/>
          <w:bCs/>
          <w:sz w:val="28"/>
          <w:szCs w:val="28"/>
        </w:rPr>
      </w:pPr>
      <w:r>
        <w:rPr>
          <w:rFonts w:eastAsia="Calibri"/>
          <w:bCs/>
          <w:sz w:val="28"/>
          <w:szCs w:val="28"/>
        </w:rPr>
        <w:lastRenderedPageBreak/>
        <w:t xml:space="preserve"> </w:t>
      </w:r>
      <w:bookmarkEnd w:id="29"/>
      <w:r>
        <w:rPr>
          <w:rFonts w:eastAsia="Calibri"/>
          <w:bCs/>
          <w:color w:val="000000" w:themeColor="text1"/>
          <w:sz w:val="28"/>
          <w:szCs w:val="28"/>
        </w:rPr>
        <w:t xml:space="preserve">При седемнадесет от оправдателните присъди и решения от тази група съдът е приел, че събраните доказателства не са достатъчни за постановяване на осъдителна присъда, а при осем – че деянието е </w:t>
      </w:r>
      <w:proofErr w:type="spellStart"/>
      <w:r>
        <w:rPr>
          <w:rFonts w:eastAsia="Calibri"/>
          <w:bCs/>
          <w:color w:val="000000" w:themeColor="text1"/>
          <w:sz w:val="28"/>
          <w:szCs w:val="28"/>
        </w:rPr>
        <w:t>несъставомерно</w:t>
      </w:r>
      <w:proofErr w:type="spellEnd"/>
      <w:r>
        <w:rPr>
          <w:rFonts w:eastAsia="Calibri"/>
          <w:bCs/>
          <w:color w:val="000000" w:themeColor="text1"/>
          <w:sz w:val="28"/>
          <w:szCs w:val="28"/>
        </w:rPr>
        <w:t xml:space="preserve"> от обективна или субективна страна. По едно от делата съдът е приел, че правилната квалификация на деянието обуславя то да бъде от частен характер /</w:t>
      </w:r>
      <w:proofErr w:type="spellStart"/>
      <w:r>
        <w:rPr>
          <w:rFonts w:eastAsia="Calibri"/>
          <w:bCs/>
          <w:color w:val="000000" w:themeColor="text1"/>
          <w:sz w:val="28"/>
          <w:szCs w:val="28"/>
        </w:rPr>
        <w:t>п</w:t>
      </w:r>
      <w:r>
        <w:rPr>
          <w:rStyle w:val="24"/>
          <w:rFonts w:eastAsia="Courier New"/>
        </w:rPr>
        <w:t>роцесното</w:t>
      </w:r>
      <w:proofErr w:type="spellEnd"/>
      <w:r>
        <w:rPr>
          <w:rStyle w:val="24"/>
          <w:rFonts w:eastAsia="Courier New"/>
        </w:rPr>
        <w:t xml:space="preserve"> престъпление по чл.216, ал.1 от НК следва да се квалифицира като „маловажен случай“ по смисъла на чл.93, т.9 от НК, респективно като деяние по чл.216, ал.4 от НК/. </w:t>
      </w:r>
    </w:p>
    <w:p w:rsidR="002E30E5" w:rsidRPr="002E30E5" w:rsidRDefault="002E30E5" w:rsidP="002E30E5">
      <w:pPr>
        <w:ind w:right="140" w:firstLine="709"/>
        <w:jc w:val="both"/>
        <w:rPr>
          <w:rFonts w:eastAsia="Calibri"/>
          <w:b/>
          <w:bCs/>
          <w:sz w:val="28"/>
          <w:szCs w:val="28"/>
        </w:rPr>
      </w:pPr>
      <w:r w:rsidRPr="002E30E5">
        <w:rPr>
          <w:rFonts w:eastAsia="Calibri"/>
          <w:bCs/>
          <w:sz w:val="28"/>
          <w:szCs w:val="28"/>
        </w:rPr>
        <w:t xml:space="preserve">Не се отчитат оправдателни присъди, попадащи във </w:t>
      </w:r>
      <w:r w:rsidRPr="002E30E5">
        <w:rPr>
          <w:rFonts w:eastAsia="Calibri"/>
          <w:b/>
          <w:bCs/>
          <w:sz w:val="28"/>
          <w:szCs w:val="28"/>
          <w:u w:val="single"/>
        </w:rPr>
        <w:t>втората група</w:t>
      </w:r>
      <w:r w:rsidRPr="002E30E5">
        <w:rPr>
          <w:rFonts w:eastAsia="Calibri"/>
          <w:bCs/>
          <w:sz w:val="28"/>
          <w:szCs w:val="28"/>
        </w:rPr>
        <w:t xml:space="preserve"> причини - “оправдателната присъда се дължи в голяма степен на пропуски и грешки или пасивност при събиране на доказателствата в хода на досъдебното производство“. В тази група причини през 2022 г. са били отчетени 5 броя, което представлява 9,1</w:t>
      </w:r>
      <w:r w:rsidR="00704100">
        <w:rPr>
          <w:rFonts w:eastAsia="Calibri"/>
          <w:bCs/>
          <w:sz w:val="28"/>
          <w:szCs w:val="28"/>
        </w:rPr>
        <w:t>%</w:t>
      </w:r>
      <w:r w:rsidRPr="002E30E5">
        <w:rPr>
          <w:rFonts w:eastAsia="Calibri"/>
          <w:bCs/>
          <w:sz w:val="28"/>
          <w:szCs w:val="28"/>
        </w:rPr>
        <w:t xml:space="preserve"> от общия брой влезли в сила оправдателни присъди. През 2021 г. също са били отчетени 5 броя присъди, представляващи 7,2</w:t>
      </w:r>
      <w:r w:rsidR="00704100">
        <w:rPr>
          <w:rFonts w:eastAsia="Calibri"/>
          <w:bCs/>
          <w:sz w:val="28"/>
          <w:szCs w:val="28"/>
        </w:rPr>
        <w:t>%</w:t>
      </w:r>
      <w:r w:rsidRPr="002E30E5">
        <w:rPr>
          <w:rFonts w:eastAsia="Calibri"/>
          <w:bCs/>
          <w:sz w:val="28"/>
          <w:szCs w:val="28"/>
        </w:rPr>
        <w:t xml:space="preserve"> от общия брой влезли в сила оправдателни присъди. Посочените данни следва да бъдат отчетени като позитив в работата на прокурорите в района на ОП – Варна в хода на досъдебното производство.</w:t>
      </w:r>
    </w:p>
    <w:p w:rsidR="002E30E5" w:rsidRPr="002E30E5" w:rsidRDefault="002E30E5" w:rsidP="002E30E5">
      <w:pPr>
        <w:ind w:right="141" w:firstLine="709"/>
        <w:jc w:val="both"/>
        <w:rPr>
          <w:rFonts w:eastAsia="Calibri"/>
          <w:bCs/>
          <w:sz w:val="28"/>
          <w:szCs w:val="28"/>
        </w:rPr>
      </w:pPr>
      <w:r w:rsidRPr="002E30E5">
        <w:rPr>
          <w:rFonts w:eastAsia="Calibri"/>
          <w:bCs/>
          <w:sz w:val="28"/>
          <w:szCs w:val="28"/>
        </w:rPr>
        <w:t xml:space="preserve">Налице е една оправдателна присъда, попадаща в </w:t>
      </w:r>
      <w:r w:rsidRPr="002E30E5">
        <w:rPr>
          <w:rFonts w:eastAsia="Calibri"/>
          <w:b/>
          <w:bCs/>
          <w:sz w:val="28"/>
          <w:szCs w:val="28"/>
          <w:u w:val="single"/>
        </w:rPr>
        <w:t>третата група</w:t>
      </w:r>
      <w:r w:rsidRPr="002E30E5">
        <w:rPr>
          <w:rFonts w:eastAsia="Calibri"/>
          <w:bCs/>
          <w:sz w:val="28"/>
          <w:szCs w:val="28"/>
        </w:rPr>
        <w:t xml:space="preserve"> причини - “Оправдателната присъда с дължи в голяма степен на пропуски и процесуална пасивност в съдебната фаза или на неподаване на съответен протест“. През 2022 г. не е имало присъди, отчетени по този критерий, а през 2021 г. – 1 брой. </w:t>
      </w:r>
    </w:p>
    <w:p w:rsidR="002E30E5" w:rsidRPr="002E30E5" w:rsidRDefault="002E30E5" w:rsidP="002E30E5">
      <w:pPr>
        <w:ind w:right="140" w:firstLine="709"/>
        <w:jc w:val="both"/>
        <w:rPr>
          <w:rFonts w:eastAsia="Calibri"/>
          <w:bCs/>
          <w:sz w:val="28"/>
          <w:szCs w:val="28"/>
        </w:rPr>
      </w:pPr>
      <w:r w:rsidRPr="002E30E5">
        <w:rPr>
          <w:rFonts w:eastAsia="Calibri"/>
          <w:bCs/>
          <w:sz w:val="28"/>
          <w:szCs w:val="28"/>
        </w:rPr>
        <w:t xml:space="preserve">В </w:t>
      </w:r>
      <w:r w:rsidRPr="002E30E5">
        <w:rPr>
          <w:rFonts w:eastAsia="Calibri"/>
          <w:b/>
          <w:bCs/>
          <w:sz w:val="28"/>
          <w:szCs w:val="28"/>
          <w:u w:val="single"/>
        </w:rPr>
        <w:t>четвъртата група</w:t>
      </w:r>
      <w:r w:rsidRPr="002E30E5">
        <w:rPr>
          <w:rFonts w:eastAsia="Calibri"/>
          <w:bCs/>
          <w:sz w:val="28"/>
          <w:szCs w:val="28"/>
        </w:rPr>
        <w:t xml:space="preserve"> причини „оправдателната присъда се дължи на събирането на нови доказателства в съдебната фаза, които не са могли да бъдат установени на досъдебното производство“ попадат общо </w:t>
      </w:r>
      <w:r w:rsidRPr="002E30E5">
        <w:rPr>
          <w:rFonts w:eastAsia="Calibri"/>
          <w:b/>
          <w:bCs/>
          <w:sz w:val="28"/>
          <w:szCs w:val="28"/>
        </w:rPr>
        <w:t>10 броя</w:t>
      </w:r>
      <w:r w:rsidRPr="002E30E5">
        <w:rPr>
          <w:rFonts w:eastAsia="Calibri"/>
          <w:bCs/>
          <w:sz w:val="28"/>
          <w:szCs w:val="28"/>
        </w:rPr>
        <w:t xml:space="preserve">, които съставляват </w:t>
      </w:r>
      <w:r w:rsidRPr="002E30E5">
        <w:rPr>
          <w:rFonts w:eastAsia="Calibri"/>
          <w:b/>
          <w:bCs/>
          <w:sz w:val="28"/>
          <w:szCs w:val="28"/>
        </w:rPr>
        <w:t>18,2</w:t>
      </w:r>
      <w:r w:rsidR="00704100">
        <w:rPr>
          <w:rFonts w:eastAsia="Calibri"/>
          <w:b/>
          <w:bCs/>
          <w:sz w:val="28"/>
          <w:szCs w:val="28"/>
        </w:rPr>
        <w:t>%</w:t>
      </w:r>
      <w:r w:rsidRPr="002E30E5">
        <w:rPr>
          <w:rFonts w:eastAsia="Calibri"/>
          <w:bCs/>
          <w:sz w:val="28"/>
          <w:szCs w:val="28"/>
        </w:rPr>
        <w:t xml:space="preserve"> от общия брой. През 2022 г. са били 8 броя</w:t>
      </w:r>
      <w:r w:rsidRPr="002E30E5">
        <w:rPr>
          <w:rFonts w:eastAsia="Calibri"/>
          <w:b/>
          <w:bCs/>
          <w:sz w:val="28"/>
          <w:szCs w:val="28"/>
        </w:rPr>
        <w:t xml:space="preserve"> </w:t>
      </w:r>
      <w:r w:rsidRPr="002E30E5">
        <w:rPr>
          <w:rFonts w:eastAsia="Calibri"/>
          <w:bCs/>
          <w:sz w:val="28"/>
          <w:szCs w:val="28"/>
        </w:rPr>
        <w:t>или 14,5</w:t>
      </w:r>
      <w:r w:rsidR="00704100">
        <w:rPr>
          <w:rFonts w:eastAsia="Calibri"/>
          <w:bCs/>
          <w:sz w:val="28"/>
          <w:szCs w:val="28"/>
        </w:rPr>
        <w:t>%</w:t>
      </w:r>
      <w:r w:rsidRPr="002E30E5">
        <w:rPr>
          <w:rFonts w:eastAsia="Calibri"/>
          <w:bCs/>
          <w:sz w:val="28"/>
          <w:szCs w:val="28"/>
        </w:rPr>
        <w:t xml:space="preserve"> от общия брой, а през 2021 г. - 5 броя или 7,2</w:t>
      </w:r>
      <w:r w:rsidR="00704100">
        <w:rPr>
          <w:rFonts w:eastAsia="Calibri"/>
          <w:bCs/>
          <w:sz w:val="28"/>
          <w:szCs w:val="28"/>
        </w:rPr>
        <w:t>%</w:t>
      </w:r>
      <w:r w:rsidRPr="002E30E5">
        <w:rPr>
          <w:rFonts w:eastAsia="Calibri"/>
          <w:bCs/>
          <w:sz w:val="28"/>
          <w:szCs w:val="28"/>
        </w:rPr>
        <w:t xml:space="preserve"> от общия брой. </w:t>
      </w:r>
    </w:p>
    <w:p w:rsidR="002E30E5" w:rsidRPr="002E30E5" w:rsidRDefault="002E30E5" w:rsidP="002E30E5">
      <w:pPr>
        <w:ind w:firstLine="709"/>
        <w:jc w:val="both"/>
        <w:rPr>
          <w:rStyle w:val="FontStyle13"/>
          <w:rFonts w:ascii="Times New Roman" w:eastAsia="Courier New" w:hAnsi="Times New Roman" w:cs="Times New Roman"/>
          <w:bCs/>
          <w:color w:val="000000" w:themeColor="text1"/>
          <w:sz w:val="28"/>
          <w:szCs w:val="28"/>
        </w:rPr>
      </w:pPr>
      <w:r w:rsidRPr="002E30E5">
        <w:rPr>
          <w:bCs/>
          <w:color w:val="000000" w:themeColor="text1"/>
          <w:sz w:val="28"/>
          <w:szCs w:val="28"/>
        </w:rPr>
        <w:t>Констатира се, че в пет от случаите на постановяване на оправдателен съдебен акт</w:t>
      </w:r>
      <w:r w:rsidRPr="002E30E5">
        <w:rPr>
          <w:b/>
          <w:bCs/>
          <w:color w:val="000000" w:themeColor="text1"/>
          <w:sz w:val="28"/>
          <w:szCs w:val="28"/>
        </w:rPr>
        <w:t xml:space="preserve"> </w:t>
      </w:r>
      <w:r w:rsidRPr="002E30E5">
        <w:rPr>
          <w:rStyle w:val="FontStyle13"/>
          <w:rFonts w:ascii="Times New Roman" w:eastAsiaTheme="majorEastAsia" w:hAnsi="Times New Roman" w:cs="Times New Roman"/>
          <w:color w:val="000000" w:themeColor="text1"/>
          <w:sz w:val="28"/>
          <w:szCs w:val="28"/>
        </w:rPr>
        <w:t xml:space="preserve">причината е назначаване на експертизи в хода на съдебното следствие, които дават заключения, сочещи на </w:t>
      </w:r>
      <w:proofErr w:type="spellStart"/>
      <w:r w:rsidRPr="002E30E5">
        <w:rPr>
          <w:rStyle w:val="FontStyle13"/>
          <w:rFonts w:ascii="Times New Roman" w:eastAsiaTheme="majorEastAsia" w:hAnsi="Times New Roman" w:cs="Times New Roman"/>
          <w:color w:val="000000" w:themeColor="text1"/>
          <w:sz w:val="28"/>
          <w:szCs w:val="28"/>
        </w:rPr>
        <w:t>несъставомерност</w:t>
      </w:r>
      <w:proofErr w:type="spellEnd"/>
      <w:r w:rsidRPr="002E30E5">
        <w:rPr>
          <w:rStyle w:val="FontStyle13"/>
          <w:rFonts w:ascii="Times New Roman" w:eastAsiaTheme="majorEastAsia" w:hAnsi="Times New Roman" w:cs="Times New Roman"/>
          <w:color w:val="000000" w:themeColor="text1"/>
          <w:sz w:val="28"/>
          <w:szCs w:val="28"/>
        </w:rPr>
        <w:t xml:space="preserve"> на деянието – в два от случаите от съда са били назначени тройни експертизи; в два от случаите повторни експертизи, а по едно от делата в съдебна фаза е назначена съдебно – психиатрична експертиза на пострадалата, като освидетелстване на същата не е извършвано по досъдебното производство. Три от постановените оправдателни присъди се дължат на промяна на показания на свидетели в съдебно заседание. </w:t>
      </w:r>
      <w:r w:rsidRPr="002E30E5">
        <w:rPr>
          <w:bCs/>
          <w:color w:val="000000" w:themeColor="text1"/>
          <w:sz w:val="28"/>
          <w:szCs w:val="28"/>
        </w:rPr>
        <w:t>При едно от делата причина за постановяване на оправдателния съдебен акт са</w:t>
      </w:r>
      <w:r w:rsidRPr="002E30E5">
        <w:rPr>
          <w:rStyle w:val="FontStyle13"/>
          <w:rFonts w:ascii="Times New Roman" w:eastAsiaTheme="majorEastAsia" w:hAnsi="Times New Roman" w:cs="Times New Roman"/>
          <w:color w:val="000000" w:themeColor="text1"/>
          <w:sz w:val="28"/>
          <w:szCs w:val="28"/>
        </w:rPr>
        <w:t xml:space="preserve"> показанията на двамата </w:t>
      </w:r>
      <w:proofErr w:type="spellStart"/>
      <w:r w:rsidRPr="002E30E5">
        <w:rPr>
          <w:rStyle w:val="FontStyle13"/>
          <w:rFonts w:ascii="Times New Roman" w:eastAsiaTheme="majorEastAsia" w:hAnsi="Times New Roman" w:cs="Times New Roman"/>
          <w:color w:val="000000" w:themeColor="text1"/>
          <w:sz w:val="28"/>
          <w:szCs w:val="28"/>
        </w:rPr>
        <w:t>съучастници</w:t>
      </w:r>
      <w:proofErr w:type="spellEnd"/>
      <w:r w:rsidRPr="002E30E5">
        <w:rPr>
          <w:rStyle w:val="FontStyle13"/>
          <w:rFonts w:ascii="Times New Roman" w:eastAsiaTheme="majorEastAsia" w:hAnsi="Times New Roman" w:cs="Times New Roman"/>
          <w:color w:val="000000" w:themeColor="text1"/>
          <w:sz w:val="28"/>
          <w:szCs w:val="28"/>
        </w:rPr>
        <w:t xml:space="preserve"> на оправданото лице, които след сключване на споразумение са заявили в съдебно заседание в качеството на свидетели, че той не е знаел, че извършват кражба. Има една оправдателна присъда, постановена поради приложението на чл.218б от НК.</w:t>
      </w:r>
    </w:p>
    <w:p w:rsidR="002E30E5" w:rsidRPr="002E30E5" w:rsidRDefault="002E30E5" w:rsidP="002E30E5">
      <w:pPr>
        <w:ind w:firstLine="709"/>
        <w:jc w:val="both"/>
        <w:rPr>
          <w:rFonts w:eastAsia="Calibri"/>
          <w:color w:val="000000"/>
          <w:sz w:val="28"/>
          <w:szCs w:val="28"/>
        </w:rPr>
      </w:pPr>
      <w:r w:rsidRPr="002E30E5">
        <w:rPr>
          <w:rFonts w:eastAsia="Calibri"/>
          <w:bCs/>
          <w:sz w:val="28"/>
          <w:szCs w:val="28"/>
        </w:rPr>
        <w:t xml:space="preserve">Оправдателните присъди, попадащи в </w:t>
      </w:r>
      <w:r w:rsidRPr="002E30E5">
        <w:rPr>
          <w:rFonts w:eastAsia="Calibri"/>
          <w:b/>
          <w:bCs/>
          <w:sz w:val="28"/>
          <w:szCs w:val="28"/>
          <w:u w:val="single"/>
        </w:rPr>
        <w:t>петата група</w:t>
      </w:r>
      <w:r w:rsidRPr="002E30E5">
        <w:rPr>
          <w:rFonts w:eastAsia="Calibri"/>
          <w:bCs/>
          <w:sz w:val="28"/>
          <w:szCs w:val="28"/>
        </w:rPr>
        <w:t xml:space="preserve"> причини „оправдателната присъда се дължи на противоречива съдебна практика, промяна на доминиращата практика или други обстоятелства, свързани с тълкуването на закона, които не компрометират тезата на прокурора, внесъл обвинителния акт или поддържал обвинението“, са </w:t>
      </w:r>
      <w:r w:rsidRPr="002E30E5">
        <w:rPr>
          <w:rFonts w:eastAsia="Calibri"/>
          <w:b/>
          <w:bCs/>
          <w:sz w:val="28"/>
          <w:szCs w:val="28"/>
        </w:rPr>
        <w:t>18 броя</w:t>
      </w:r>
      <w:r w:rsidRPr="002E30E5">
        <w:rPr>
          <w:rFonts w:eastAsia="Calibri"/>
          <w:bCs/>
          <w:sz w:val="28"/>
          <w:szCs w:val="28"/>
        </w:rPr>
        <w:t xml:space="preserve">, което съставлява </w:t>
      </w:r>
      <w:r w:rsidRPr="002E30E5">
        <w:rPr>
          <w:rFonts w:eastAsia="Calibri"/>
          <w:b/>
          <w:bCs/>
          <w:sz w:val="28"/>
          <w:szCs w:val="28"/>
        </w:rPr>
        <w:t>32,7</w:t>
      </w:r>
      <w:r w:rsidR="00704100">
        <w:rPr>
          <w:rFonts w:eastAsia="Calibri"/>
          <w:b/>
          <w:bCs/>
          <w:sz w:val="28"/>
          <w:szCs w:val="28"/>
        </w:rPr>
        <w:t>%</w:t>
      </w:r>
      <w:r w:rsidRPr="002E30E5">
        <w:rPr>
          <w:rFonts w:eastAsia="Calibri"/>
          <w:bCs/>
          <w:sz w:val="28"/>
          <w:szCs w:val="28"/>
        </w:rPr>
        <w:t xml:space="preserve"> от общия </w:t>
      </w:r>
      <w:r w:rsidRPr="002E30E5">
        <w:rPr>
          <w:rFonts w:eastAsia="Calibri"/>
          <w:bCs/>
          <w:sz w:val="28"/>
          <w:szCs w:val="28"/>
        </w:rPr>
        <w:lastRenderedPageBreak/>
        <w:t>брой. През 2022 г. те са били 19 броя, което съставлява 34,5</w:t>
      </w:r>
      <w:r w:rsidR="00704100">
        <w:rPr>
          <w:rFonts w:eastAsia="Calibri"/>
          <w:bCs/>
          <w:sz w:val="28"/>
          <w:szCs w:val="28"/>
        </w:rPr>
        <w:t>%</w:t>
      </w:r>
      <w:r w:rsidRPr="002E30E5">
        <w:rPr>
          <w:rFonts w:eastAsia="Calibri"/>
          <w:bCs/>
          <w:sz w:val="28"/>
          <w:szCs w:val="28"/>
        </w:rPr>
        <w:t xml:space="preserve"> от общия брой. През 2021 г. - 10 броя или 14,5</w:t>
      </w:r>
      <w:r w:rsidR="00704100">
        <w:rPr>
          <w:rFonts w:eastAsia="Calibri"/>
          <w:bCs/>
          <w:sz w:val="28"/>
          <w:szCs w:val="28"/>
        </w:rPr>
        <w:t>%</w:t>
      </w:r>
      <w:r w:rsidRPr="002E30E5">
        <w:rPr>
          <w:rFonts w:eastAsia="Calibri"/>
          <w:bCs/>
          <w:sz w:val="28"/>
          <w:szCs w:val="28"/>
        </w:rPr>
        <w:t xml:space="preserve"> от общия брой. </w:t>
      </w:r>
    </w:p>
    <w:p w:rsidR="002E30E5" w:rsidRPr="002E30E5" w:rsidRDefault="002E30E5" w:rsidP="002E30E5">
      <w:pPr>
        <w:ind w:firstLine="709"/>
        <w:jc w:val="both"/>
        <w:rPr>
          <w:rFonts w:eastAsia="Calibri"/>
          <w:bCs/>
          <w:sz w:val="28"/>
          <w:szCs w:val="28"/>
        </w:rPr>
      </w:pPr>
      <w:r w:rsidRPr="002E30E5">
        <w:rPr>
          <w:rFonts w:eastAsia="Calibri"/>
          <w:bCs/>
          <w:sz w:val="28"/>
          <w:szCs w:val="28"/>
        </w:rPr>
        <w:t>Преобладаващата причина при тази група влезли в сила оправдателни присъди е приложението на чл.9, ал.2 от НК от съда – при 10 броя присъди. През предходната година отново приложението на чл.9, ал.2 от НК от съда е било преобладаваща причина при делата с оправдателен съдебен акт от тази група /10 броя присъди и през 2022 г./</w:t>
      </w:r>
      <w:bookmarkStart w:id="30" w:name="OLE_LINK89"/>
      <w:r w:rsidRPr="002E30E5">
        <w:rPr>
          <w:rFonts w:eastAsia="Calibri"/>
          <w:bCs/>
          <w:sz w:val="28"/>
          <w:szCs w:val="28"/>
        </w:rPr>
        <w:t>. Изложеното сочи на сериозен разбой между критериите на прокурорите и съда относно приложението на посочената законова разпоредба, съществуващ трайно в годините.</w:t>
      </w:r>
      <w:bookmarkEnd w:id="30"/>
      <w:r w:rsidRPr="002E30E5">
        <w:rPr>
          <w:rFonts w:eastAsia="Calibri"/>
          <w:bCs/>
          <w:sz w:val="28"/>
          <w:szCs w:val="28"/>
        </w:rPr>
        <w:t xml:space="preserve"> </w:t>
      </w:r>
    </w:p>
    <w:p w:rsidR="002E30E5" w:rsidRPr="002E30E5" w:rsidRDefault="002E30E5" w:rsidP="002E30E5">
      <w:pPr>
        <w:ind w:firstLine="709"/>
        <w:jc w:val="both"/>
        <w:rPr>
          <w:rFonts w:eastAsia="Calibri"/>
          <w:bCs/>
          <w:sz w:val="28"/>
          <w:szCs w:val="28"/>
        </w:rPr>
      </w:pPr>
      <w:r w:rsidRPr="002E30E5">
        <w:rPr>
          <w:rFonts w:eastAsia="Calibri"/>
          <w:bCs/>
          <w:sz w:val="28"/>
          <w:szCs w:val="28"/>
        </w:rPr>
        <w:t xml:space="preserve">При едно от делата, попадащи в петата група причини, постановяването на оправдателен съдебен акт по възведеното обвинение за престъпление по чл.329 от НК е обусловено от обявяването на посочената разпоредба за противоконституционна с Решение №13/27.09.2022 г. на КС на РБ. По едно от делата причина за оправдаването на подсъдимите е промяна на доминиращата съдебна практика относно престъпленията по чл.252, ал.1 от НК. От РП – Варна се отчита и едно дело, по което прокурорът двукратно е прекратил наказателното производство, но постановленията му са били отменяни от съда, а след това решаващият съд изцяло е приел първоначалните доводи на наблюдаващия прокурор за липса на осъществен състав на престъпление. </w:t>
      </w:r>
    </w:p>
    <w:p w:rsidR="002E30E5" w:rsidRPr="002E30E5" w:rsidRDefault="002E30E5" w:rsidP="002E30E5">
      <w:pPr>
        <w:ind w:firstLine="709"/>
        <w:jc w:val="both"/>
        <w:rPr>
          <w:rFonts w:eastAsia="Calibri"/>
          <w:bCs/>
          <w:sz w:val="28"/>
          <w:szCs w:val="28"/>
        </w:rPr>
      </w:pPr>
      <w:r w:rsidRPr="002E30E5">
        <w:rPr>
          <w:rFonts w:eastAsia="Calibri"/>
          <w:bCs/>
          <w:sz w:val="28"/>
          <w:szCs w:val="28"/>
        </w:rPr>
        <w:t xml:space="preserve">Видно от горните данни, най-голям е относителният дял на влезлите в сила оправдателни присъди, отнесени към група първа - „оправдателната присъда се дължи в голяма степен на неправилно квалифициране на деянието с обвинителния акт“ / РП – Варна – 24 броя и ОП – Варна  – 2 броя/. Анализите на влезлите в сила оправдателни присъди за предходните две години също сочат най – голям относителен дял на оправдателните присъди по този показател. Предвид това, магистратите следва да полагат повече усилия за подобряване квалификацията си чрез участия в обучения, самоподготовка, запознаване с актуалната съдебна практика, съвместни обсъждания на констатираните спорни въпроси и динамичните промени в материалния и процесуалния наказателни закони. </w:t>
      </w:r>
    </w:p>
    <w:bookmarkEnd w:id="28"/>
    <w:p w:rsidR="002E30E5" w:rsidRPr="002E30E5" w:rsidRDefault="002E30E5" w:rsidP="002E30E5">
      <w:pPr>
        <w:ind w:firstLine="709"/>
        <w:jc w:val="both"/>
        <w:outlineLvl w:val="0"/>
        <w:rPr>
          <w:b/>
          <w:sz w:val="28"/>
          <w:szCs w:val="28"/>
          <w:u w:val="single"/>
        </w:rPr>
      </w:pPr>
      <w:proofErr w:type="spellStart"/>
      <w:r w:rsidRPr="002E30E5">
        <w:rPr>
          <w:b/>
          <w:sz w:val="28"/>
          <w:szCs w:val="28"/>
        </w:rPr>
        <w:t>Находящата</w:t>
      </w:r>
      <w:proofErr w:type="spellEnd"/>
      <w:r w:rsidRPr="002E30E5">
        <w:rPr>
          <w:b/>
          <w:sz w:val="28"/>
          <w:szCs w:val="28"/>
        </w:rPr>
        <w:t xml:space="preserve"> се по-долу графика илюстрира броя на влезлите в сила оправдателни присъди за периода 2021 г. - 2023 г. </w:t>
      </w:r>
      <w:r w:rsidRPr="002E30E5">
        <w:rPr>
          <w:b/>
          <w:sz w:val="28"/>
          <w:szCs w:val="28"/>
          <w:u w:val="single"/>
        </w:rPr>
        <w:t>по лица.</w:t>
      </w:r>
    </w:p>
    <w:p w:rsidR="002E30E5" w:rsidRPr="002E30E5" w:rsidRDefault="002E30E5" w:rsidP="002E30E5">
      <w:pPr>
        <w:ind w:firstLine="709"/>
        <w:jc w:val="both"/>
        <w:outlineLvl w:val="0"/>
        <w:rPr>
          <w:color w:val="FF0000"/>
          <w:sz w:val="28"/>
          <w:szCs w:val="28"/>
        </w:rPr>
      </w:pPr>
    </w:p>
    <w:p w:rsidR="002E30E5" w:rsidRDefault="002E30E5" w:rsidP="002E30E5">
      <w:pPr>
        <w:ind w:firstLine="709"/>
        <w:jc w:val="both"/>
        <w:outlineLvl w:val="0"/>
        <w:rPr>
          <w:color w:val="FF0000"/>
          <w:sz w:val="28"/>
          <w:szCs w:val="28"/>
        </w:rPr>
      </w:pPr>
      <w:r>
        <w:rPr>
          <w:noProof/>
          <w:color w:val="FF0000"/>
          <w:sz w:val="28"/>
          <w:szCs w:val="28"/>
        </w:rPr>
        <w:drawing>
          <wp:inline distT="0" distB="0" distL="0" distR="0" wp14:anchorId="399FAF31" wp14:editId="3E10B37B">
            <wp:extent cx="5438899" cy="2458192"/>
            <wp:effectExtent l="0" t="0" r="9525" b="18415"/>
            <wp:docPr id="17" name="Ди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E30E5" w:rsidRDefault="002E30E5" w:rsidP="000059A2">
      <w:pPr>
        <w:numPr>
          <w:ilvl w:val="1"/>
          <w:numId w:val="10"/>
        </w:numPr>
        <w:ind w:left="0" w:firstLine="709"/>
        <w:contextualSpacing/>
        <w:jc w:val="both"/>
        <w:outlineLvl w:val="0"/>
        <w:rPr>
          <w:sz w:val="28"/>
          <w:szCs w:val="28"/>
        </w:rPr>
      </w:pPr>
      <w:r>
        <w:rPr>
          <w:b/>
          <w:sz w:val="28"/>
          <w:szCs w:val="28"/>
        </w:rPr>
        <w:lastRenderedPageBreak/>
        <w:t>Относителен дял на оправданите лица с влезли в сила оправдателни присъди/решения спрямо осъдените и санкционирани лица с влезли в сила осъдителни и санкционни решения</w:t>
      </w:r>
      <w:r>
        <w:rPr>
          <w:sz w:val="28"/>
          <w:szCs w:val="28"/>
        </w:rPr>
        <w:t xml:space="preserve"> </w:t>
      </w:r>
    </w:p>
    <w:p w:rsidR="002E30E5" w:rsidRDefault="002E30E5" w:rsidP="002E30E5">
      <w:pPr>
        <w:ind w:firstLine="709"/>
        <w:jc w:val="both"/>
        <w:outlineLvl w:val="0"/>
        <w:rPr>
          <w:b/>
          <w:sz w:val="28"/>
          <w:szCs w:val="28"/>
          <w:u w:val="single"/>
        </w:rPr>
      </w:pPr>
      <w:r>
        <w:rPr>
          <w:b/>
          <w:sz w:val="28"/>
          <w:szCs w:val="28"/>
          <w:u w:val="single"/>
        </w:rPr>
        <w:t>Общо за региона на ОП – Варна:</w:t>
      </w:r>
    </w:p>
    <w:p w:rsidR="002E30E5" w:rsidRDefault="002E30E5" w:rsidP="002E30E5">
      <w:pPr>
        <w:ind w:firstLine="709"/>
        <w:jc w:val="both"/>
        <w:outlineLvl w:val="0"/>
        <w:rPr>
          <w:b/>
          <w:sz w:val="28"/>
          <w:szCs w:val="28"/>
          <w:u w:val="single"/>
        </w:rPr>
      </w:pPr>
      <w:r>
        <w:rPr>
          <w:sz w:val="28"/>
          <w:szCs w:val="28"/>
        </w:rPr>
        <w:t xml:space="preserve">През 2023 г. общо за региона на ОП – Варна </w:t>
      </w:r>
      <w:bookmarkStart w:id="31" w:name="OLE_LINK67"/>
      <w:r>
        <w:rPr>
          <w:sz w:val="28"/>
          <w:szCs w:val="28"/>
        </w:rPr>
        <w:t xml:space="preserve">относителният дял на оправданите лица с влезли в сила оправдателни присъди и решения /55 броя/ спрямо осъдените и санкционирани лица с влязъл в сила съдебен акт /1792 броя/ </w:t>
      </w:r>
      <w:bookmarkEnd w:id="31"/>
      <w:r>
        <w:rPr>
          <w:sz w:val="28"/>
          <w:szCs w:val="28"/>
        </w:rPr>
        <w:t xml:space="preserve">е </w:t>
      </w:r>
      <w:r>
        <w:rPr>
          <w:b/>
          <w:sz w:val="28"/>
          <w:szCs w:val="28"/>
        </w:rPr>
        <w:t>3.07</w:t>
      </w:r>
      <w:r w:rsidR="00704100">
        <w:rPr>
          <w:b/>
          <w:sz w:val="28"/>
          <w:szCs w:val="28"/>
        </w:rPr>
        <w:t>%</w:t>
      </w:r>
      <w:r>
        <w:rPr>
          <w:b/>
          <w:sz w:val="28"/>
          <w:szCs w:val="28"/>
        </w:rPr>
        <w:t>.</w:t>
      </w:r>
    </w:p>
    <w:p w:rsidR="002E30E5" w:rsidRDefault="002E30E5" w:rsidP="002E30E5">
      <w:pPr>
        <w:ind w:firstLine="709"/>
        <w:jc w:val="both"/>
        <w:outlineLvl w:val="0"/>
        <w:rPr>
          <w:b/>
          <w:sz w:val="28"/>
          <w:szCs w:val="28"/>
        </w:rPr>
      </w:pPr>
      <w:bookmarkStart w:id="32" w:name="OLE_LINK66"/>
      <w:r>
        <w:rPr>
          <w:sz w:val="28"/>
          <w:szCs w:val="28"/>
        </w:rPr>
        <w:t xml:space="preserve">През 2022 г. този показател е бил </w:t>
      </w:r>
      <w:r>
        <w:rPr>
          <w:b/>
          <w:sz w:val="28"/>
          <w:szCs w:val="28"/>
        </w:rPr>
        <w:t>3.09</w:t>
      </w:r>
      <w:r w:rsidR="00704100">
        <w:rPr>
          <w:b/>
          <w:sz w:val="28"/>
          <w:szCs w:val="28"/>
        </w:rPr>
        <w:t>%</w:t>
      </w:r>
      <w:r>
        <w:rPr>
          <w:b/>
          <w:sz w:val="28"/>
          <w:szCs w:val="28"/>
        </w:rPr>
        <w:t>, а през 2021 г. – 4.16</w:t>
      </w:r>
      <w:r w:rsidR="00704100">
        <w:rPr>
          <w:b/>
          <w:sz w:val="28"/>
          <w:szCs w:val="28"/>
        </w:rPr>
        <w:t>%</w:t>
      </w:r>
      <w:r>
        <w:rPr>
          <w:b/>
          <w:sz w:val="28"/>
          <w:szCs w:val="28"/>
        </w:rPr>
        <w:t>.</w:t>
      </w:r>
    </w:p>
    <w:p w:rsidR="002E30E5" w:rsidRDefault="002E30E5" w:rsidP="002E30E5">
      <w:pPr>
        <w:ind w:firstLine="709"/>
        <w:jc w:val="both"/>
        <w:outlineLvl w:val="0"/>
        <w:rPr>
          <w:b/>
          <w:sz w:val="28"/>
          <w:szCs w:val="28"/>
        </w:rPr>
      </w:pPr>
      <w:r>
        <w:rPr>
          <w:b/>
          <w:sz w:val="28"/>
          <w:szCs w:val="28"/>
        </w:rPr>
        <w:t>Показателят, който се базира на влезли в сила съдебни актове, бележи подобрение спрямо двата предходни отчетни периоди.</w:t>
      </w:r>
    </w:p>
    <w:bookmarkEnd w:id="32"/>
    <w:p w:rsidR="002E30E5" w:rsidRDefault="002E30E5" w:rsidP="002E30E5">
      <w:pPr>
        <w:ind w:firstLine="709"/>
        <w:jc w:val="both"/>
        <w:outlineLvl w:val="0"/>
        <w:rPr>
          <w:b/>
          <w:sz w:val="28"/>
          <w:szCs w:val="28"/>
          <w:u w:val="single"/>
        </w:rPr>
      </w:pPr>
      <w:r>
        <w:rPr>
          <w:b/>
          <w:sz w:val="28"/>
          <w:szCs w:val="28"/>
          <w:u w:val="single"/>
        </w:rPr>
        <w:t xml:space="preserve">За ОП – Варна </w:t>
      </w:r>
    </w:p>
    <w:p w:rsidR="002E30E5" w:rsidRDefault="002E30E5" w:rsidP="002E30E5">
      <w:pPr>
        <w:ind w:firstLine="709"/>
        <w:jc w:val="both"/>
        <w:outlineLvl w:val="0"/>
        <w:rPr>
          <w:sz w:val="28"/>
          <w:szCs w:val="28"/>
        </w:rPr>
      </w:pPr>
      <w:r>
        <w:rPr>
          <w:sz w:val="28"/>
          <w:szCs w:val="28"/>
        </w:rPr>
        <w:t xml:space="preserve">През 2023 г. относителният дял на оправданите лица с влезли в сила оправдателни присъди и решения /12 броя/ спрямо осъдените и санкционирани лица с влязъл в сила съдебен акт /196 броя/ е </w:t>
      </w:r>
      <w:r>
        <w:rPr>
          <w:b/>
          <w:sz w:val="28"/>
          <w:szCs w:val="28"/>
          <w:u w:val="single"/>
        </w:rPr>
        <w:t>6.12</w:t>
      </w:r>
      <w:r w:rsidR="00704100">
        <w:rPr>
          <w:b/>
          <w:sz w:val="28"/>
          <w:szCs w:val="28"/>
          <w:u w:val="single"/>
        </w:rPr>
        <w:t>%</w:t>
      </w:r>
      <w:r>
        <w:rPr>
          <w:sz w:val="28"/>
          <w:szCs w:val="28"/>
        </w:rPr>
        <w:t xml:space="preserve">, през 2022 г. този показател е </w:t>
      </w:r>
      <w:r>
        <w:rPr>
          <w:b/>
          <w:sz w:val="28"/>
          <w:szCs w:val="28"/>
          <w:u w:val="single"/>
        </w:rPr>
        <w:t>12.58</w:t>
      </w:r>
      <w:r w:rsidR="00704100">
        <w:rPr>
          <w:b/>
          <w:sz w:val="28"/>
          <w:szCs w:val="28"/>
          <w:u w:val="single"/>
        </w:rPr>
        <w:t>%</w:t>
      </w:r>
      <w:r>
        <w:rPr>
          <w:b/>
          <w:sz w:val="28"/>
          <w:szCs w:val="28"/>
          <w:u w:val="single"/>
        </w:rPr>
        <w:t>,</w:t>
      </w:r>
      <w:r>
        <w:rPr>
          <w:sz w:val="28"/>
          <w:szCs w:val="28"/>
        </w:rPr>
        <w:t xml:space="preserve"> а през 2021 г. – </w:t>
      </w:r>
      <w:r>
        <w:rPr>
          <w:b/>
          <w:sz w:val="28"/>
          <w:szCs w:val="28"/>
          <w:u w:val="single"/>
        </w:rPr>
        <w:t>3.95</w:t>
      </w:r>
      <w:r w:rsidR="00704100">
        <w:rPr>
          <w:b/>
          <w:sz w:val="28"/>
          <w:szCs w:val="28"/>
          <w:u w:val="single"/>
        </w:rPr>
        <w:t>%</w:t>
      </w:r>
      <w:r>
        <w:rPr>
          <w:b/>
          <w:sz w:val="28"/>
          <w:szCs w:val="28"/>
          <w:u w:val="single"/>
        </w:rPr>
        <w:t>.</w:t>
      </w:r>
    </w:p>
    <w:p w:rsidR="002E30E5" w:rsidRDefault="002E30E5" w:rsidP="002E30E5">
      <w:pPr>
        <w:ind w:firstLine="709"/>
        <w:jc w:val="both"/>
        <w:outlineLvl w:val="0"/>
        <w:rPr>
          <w:b/>
          <w:sz w:val="28"/>
          <w:szCs w:val="28"/>
        </w:rPr>
      </w:pPr>
      <w:r>
        <w:rPr>
          <w:b/>
          <w:sz w:val="28"/>
          <w:szCs w:val="28"/>
        </w:rPr>
        <w:t>Видно е, че за ОП – Варна е налице значително /в два пъти/ подобрение на този важен показател спрямо 2022 г.</w:t>
      </w:r>
    </w:p>
    <w:p w:rsidR="002E30E5" w:rsidRDefault="002E30E5" w:rsidP="002E30E5">
      <w:pPr>
        <w:ind w:firstLine="709"/>
        <w:jc w:val="both"/>
        <w:outlineLvl w:val="0"/>
        <w:rPr>
          <w:color w:val="FF0000"/>
          <w:sz w:val="28"/>
          <w:szCs w:val="28"/>
        </w:rPr>
      </w:pPr>
    </w:p>
    <w:p w:rsidR="00D47BC0" w:rsidRDefault="00D47BC0" w:rsidP="002E30E5">
      <w:pPr>
        <w:pStyle w:val="13"/>
        <w:spacing w:after="0" w:line="240" w:lineRule="auto"/>
        <w:ind w:firstLine="709"/>
        <w:contextualSpacing/>
        <w:jc w:val="both"/>
        <w:rPr>
          <w:rStyle w:val="afb"/>
          <w:b w:val="0"/>
          <w:i w:val="0"/>
          <w:color w:val="5F497A" w:themeColor="accent4" w:themeShade="BF"/>
          <w:sz w:val="28"/>
          <w:szCs w:val="28"/>
        </w:rPr>
      </w:pPr>
    </w:p>
    <w:p w:rsidR="00D47BC0" w:rsidRDefault="00D47BC0" w:rsidP="002E30E5">
      <w:pPr>
        <w:pStyle w:val="13"/>
        <w:spacing w:after="0" w:line="240" w:lineRule="auto"/>
        <w:ind w:firstLine="709"/>
        <w:contextualSpacing/>
        <w:jc w:val="both"/>
        <w:rPr>
          <w:rStyle w:val="afb"/>
          <w:b w:val="0"/>
          <w:i w:val="0"/>
          <w:color w:val="5F497A" w:themeColor="accent4" w:themeShade="BF"/>
          <w:sz w:val="28"/>
          <w:szCs w:val="28"/>
        </w:rPr>
      </w:pPr>
    </w:p>
    <w:p w:rsidR="00D47BC0" w:rsidRDefault="00D47BC0" w:rsidP="002E30E5">
      <w:pPr>
        <w:pStyle w:val="13"/>
        <w:spacing w:after="0" w:line="240" w:lineRule="auto"/>
        <w:ind w:firstLine="709"/>
        <w:contextualSpacing/>
        <w:jc w:val="both"/>
        <w:rPr>
          <w:rStyle w:val="afb"/>
          <w:b w:val="0"/>
          <w:i w:val="0"/>
          <w:color w:val="5F497A" w:themeColor="accent4" w:themeShade="BF"/>
          <w:sz w:val="28"/>
          <w:szCs w:val="28"/>
        </w:rPr>
      </w:pPr>
    </w:p>
    <w:p w:rsidR="00D47BC0" w:rsidRDefault="00D47BC0"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EB1CBC" w:rsidRDefault="00EB1CBC" w:rsidP="002E30E5">
      <w:pPr>
        <w:pStyle w:val="13"/>
        <w:spacing w:after="0" w:line="240" w:lineRule="auto"/>
        <w:ind w:firstLine="709"/>
        <w:contextualSpacing/>
        <w:jc w:val="both"/>
        <w:rPr>
          <w:rStyle w:val="afb"/>
          <w:b w:val="0"/>
          <w:i w:val="0"/>
          <w:color w:val="5F497A" w:themeColor="accent4" w:themeShade="BF"/>
          <w:sz w:val="28"/>
          <w:szCs w:val="28"/>
        </w:rPr>
      </w:pPr>
    </w:p>
    <w:p w:rsidR="00D47BC0" w:rsidRDefault="00D47BC0" w:rsidP="002E30E5">
      <w:pPr>
        <w:pStyle w:val="13"/>
        <w:spacing w:after="0" w:line="240" w:lineRule="auto"/>
        <w:ind w:firstLine="709"/>
        <w:contextualSpacing/>
        <w:jc w:val="both"/>
        <w:rPr>
          <w:rStyle w:val="afb"/>
          <w:b w:val="0"/>
          <w:i w:val="0"/>
          <w:color w:val="5F497A" w:themeColor="accent4" w:themeShade="BF"/>
          <w:sz w:val="28"/>
          <w:szCs w:val="28"/>
        </w:rPr>
      </w:pPr>
    </w:p>
    <w:p w:rsidR="00D47BC0" w:rsidRDefault="00D47BC0" w:rsidP="002E30E5">
      <w:pPr>
        <w:pStyle w:val="13"/>
        <w:spacing w:after="0" w:line="240" w:lineRule="auto"/>
        <w:ind w:firstLine="709"/>
        <w:contextualSpacing/>
        <w:jc w:val="both"/>
        <w:rPr>
          <w:rStyle w:val="afb"/>
          <w:b w:val="0"/>
          <w:i w:val="0"/>
          <w:color w:val="5F497A" w:themeColor="accent4" w:themeShade="BF"/>
          <w:sz w:val="28"/>
          <w:szCs w:val="28"/>
        </w:rPr>
      </w:pPr>
    </w:p>
    <w:p w:rsidR="00E51B93" w:rsidRDefault="00E51B93" w:rsidP="000059A2">
      <w:pPr>
        <w:pStyle w:val="13"/>
        <w:numPr>
          <w:ilvl w:val="0"/>
          <w:numId w:val="6"/>
        </w:numPr>
        <w:spacing w:after="0" w:line="240" w:lineRule="auto"/>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lastRenderedPageBreak/>
        <w:t>Гражданско-съдебен надзор.</w:t>
      </w:r>
    </w:p>
    <w:p w:rsidR="00736CF7" w:rsidRPr="00C6666F" w:rsidRDefault="00736CF7" w:rsidP="00C6666F">
      <w:pPr>
        <w:pStyle w:val="13"/>
        <w:spacing w:after="0" w:line="240" w:lineRule="auto"/>
        <w:ind w:firstLine="709"/>
        <w:contextualSpacing/>
        <w:jc w:val="both"/>
        <w:rPr>
          <w:rStyle w:val="afb"/>
          <w:i w:val="0"/>
          <w:color w:val="auto"/>
          <w:sz w:val="28"/>
          <w:szCs w:val="28"/>
        </w:rPr>
      </w:pPr>
      <w:r w:rsidRPr="00C6666F">
        <w:rPr>
          <w:rStyle w:val="afb"/>
          <w:i w:val="0"/>
          <w:color w:val="auto"/>
          <w:sz w:val="28"/>
          <w:szCs w:val="28"/>
        </w:rPr>
        <w:t>Предявени искове от прокурор. Уважени и неуважени искове.</w:t>
      </w:r>
    </w:p>
    <w:p w:rsidR="00C6666F" w:rsidRPr="00C6666F" w:rsidRDefault="00C6666F" w:rsidP="00C6666F">
      <w:pPr>
        <w:ind w:firstLine="709"/>
        <w:contextualSpacing/>
        <w:jc w:val="both"/>
        <w:rPr>
          <w:sz w:val="28"/>
          <w:szCs w:val="28"/>
        </w:rPr>
      </w:pPr>
      <w:r w:rsidRPr="00C6666F">
        <w:rPr>
          <w:sz w:val="28"/>
          <w:szCs w:val="28"/>
        </w:rPr>
        <w:t xml:space="preserve">През 2023 г. дейността на Окръжна прокуратура – Варна и включените в района ѝ прокуратури – РП Варна и ТО Девня и Провадия при осъществяването на гражданско-съдебния надзор се е осъществявала в съответствие с изискванията на закона и създадените вече организация и отчетност. </w:t>
      </w:r>
    </w:p>
    <w:p w:rsidR="00C6666F" w:rsidRPr="00C6666F" w:rsidRDefault="00C6666F" w:rsidP="00C6666F">
      <w:pPr>
        <w:ind w:firstLine="709"/>
        <w:contextualSpacing/>
        <w:jc w:val="both"/>
        <w:rPr>
          <w:sz w:val="28"/>
          <w:szCs w:val="28"/>
        </w:rPr>
      </w:pPr>
      <w:r w:rsidRPr="00C6666F">
        <w:rPr>
          <w:sz w:val="28"/>
          <w:szCs w:val="28"/>
        </w:rPr>
        <w:t>Подадените искови молби за отчетния период са 96 всички изготвени от ОП – Варна. Наблюдава се  намаление 47,83</w:t>
      </w:r>
      <w:r w:rsidR="00704100">
        <w:rPr>
          <w:sz w:val="28"/>
          <w:szCs w:val="28"/>
        </w:rPr>
        <w:t>%</w:t>
      </w:r>
      <w:r w:rsidRPr="00C6666F">
        <w:rPr>
          <w:sz w:val="28"/>
          <w:szCs w:val="28"/>
        </w:rPr>
        <w:t xml:space="preserve"> на броят им в сравнение с предходната 2022 година.             </w:t>
      </w:r>
    </w:p>
    <w:p w:rsidR="00C6666F" w:rsidRPr="00C6666F" w:rsidRDefault="00C6666F" w:rsidP="00C6666F">
      <w:pPr>
        <w:ind w:firstLine="709"/>
        <w:jc w:val="both"/>
        <w:rPr>
          <w:sz w:val="28"/>
          <w:szCs w:val="28"/>
        </w:rPr>
      </w:pPr>
      <w:r w:rsidRPr="00C6666F">
        <w:rPr>
          <w:sz w:val="28"/>
          <w:szCs w:val="28"/>
        </w:rPr>
        <w:t>През 2023 г. ОС – Варна е разгледал 118 иска предявени от ОП – Варна, като е уважил и актът е влязъл в сила по 111 от тях, а седем дела са били прекратени. Броят разгледани искови молби на ВОП от ОС – Варна през отчетният период е с 20,81</w:t>
      </w:r>
      <w:r w:rsidR="00704100">
        <w:rPr>
          <w:sz w:val="28"/>
          <w:szCs w:val="28"/>
        </w:rPr>
        <w:t>%</w:t>
      </w:r>
      <w:r w:rsidRPr="00C6666F">
        <w:rPr>
          <w:sz w:val="28"/>
          <w:szCs w:val="28"/>
        </w:rPr>
        <w:t xml:space="preserve"> по-малък от разгледаните искови молби през 2022 г. През отчетния период РС – Варна не е разглеждал искови молби подадени от РП – Варна.</w:t>
      </w:r>
    </w:p>
    <w:p w:rsidR="00C6666F" w:rsidRPr="00C6666F" w:rsidRDefault="00C6666F" w:rsidP="00C6666F">
      <w:pPr>
        <w:ind w:firstLine="709"/>
        <w:jc w:val="both"/>
        <w:rPr>
          <w:sz w:val="28"/>
          <w:szCs w:val="28"/>
        </w:rPr>
      </w:pPr>
      <w:r w:rsidRPr="00C6666F">
        <w:rPr>
          <w:sz w:val="28"/>
          <w:szCs w:val="28"/>
        </w:rPr>
        <w:t>През 2023 г. прокурорите от ОП – Варна и РП – Варна са участвали общо в 433 заседания, в които са били разгледани 315 граждански и търговски дела. Броят на съдебните заседания през отчетния период бележи незначителен спад в сравнение с отчетната 2022 г. И през отчетната година продължава тенденцията голяма част от делата с правно основание чл. 155 и чл. 252 от ТЗ да се разглеждат в закрито съдебно заседание.</w:t>
      </w:r>
    </w:p>
    <w:p w:rsidR="00C6666F" w:rsidRPr="00C6666F" w:rsidRDefault="00C6666F" w:rsidP="00C6666F">
      <w:pPr>
        <w:ind w:firstLine="709"/>
        <w:jc w:val="both"/>
        <w:rPr>
          <w:sz w:val="28"/>
          <w:szCs w:val="28"/>
        </w:rPr>
      </w:pPr>
      <w:r w:rsidRPr="00C6666F">
        <w:rPr>
          <w:sz w:val="28"/>
          <w:szCs w:val="28"/>
        </w:rPr>
        <w:t>Общият брой граждански и търговски дела през 2023 г., по които ОП – Варна е била страна е 255, от които 224 първоинстанционни и 31 въззивни. Решени са били общо 163 дела, от които 127 първоинстанционни, а 36 въззивни наблюдава се намаляване на броя на първоинстанционните граждански и търговски дела – с 28,89</w:t>
      </w:r>
      <w:r w:rsidR="00704100">
        <w:rPr>
          <w:sz w:val="28"/>
          <w:szCs w:val="28"/>
        </w:rPr>
        <w:t>%</w:t>
      </w:r>
      <w:r w:rsidRPr="00C6666F">
        <w:rPr>
          <w:sz w:val="28"/>
          <w:szCs w:val="28"/>
        </w:rPr>
        <w:t xml:space="preserve"> по отношение на 2022 г. Точно обратната е тенденцията при въззивните граждански дела през 2023 г. въззивните дела бележат ръст с 34,78</w:t>
      </w:r>
      <w:r w:rsidR="00704100">
        <w:rPr>
          <w:sz w:val="28"/>
          <w:szCs w:val="28"/>
        </w:rPr>
        <w:t>%</w:t>
      </w:r>
      <w:r w:rsidRPr="00C6666F">
        <w:rPr>
          <w:sz w:val="28"/>
          <w:szCs w:val="28"/>
        </w:rPr>
        <w:t xml:space="preserve"> спрямо 2022 г..  </w:t>
      </w:r>
    </w:p>
    <w:p w:rsidR="00C6666F" w:rsidRPr="00C6666F" w:rsidRDefault="00C6666F" w:rsidP="00C6666F">
      <w:pPr>
        <w:ind w:firstLine="709"/>
        <w:jc w:val="both"/>
        <w:rPr>
          <w:sz w:val="28"/>
          <w:szCs w:val="28"/>
        </w:rPr>
      </w:pPr>
      <w:r w:rsidRPr="00C6666F">
        <w:rPr>
          <w:sz w:val="28"/>
          <w:szCs w:val="28"/>
        </w:rPr>
        <w:t xml:space="preserve">През отчетния период прокурорите от РП – Варна са взели участие в 129 заседания при разглеждането на 97 от общо 197 граждански дела, по които Прокуратурата е била страна. През периода районните съдилища в гр. Варна, Девня и Провадия са постановили решения по 221 граждански дела, по които РП – Варна е била страна.   </w:t>
      </w:r>
    </w:p>
    <w:p w:rsidR="00C6666F" w:rsidRPr="00C6666F" w:rsidRDefault="00C6666F" w:rsidP="00C6666F">
      <w:pPr>
        <w:ind w:firstLine="709"/>
        <w:jc w:val="both"/>
        <w:rPr>
          <w:sz w:val="28"/>
          <w:szCs w:val="28"/>
        </w:rPr>
      </w:pPr>
      <w:r w:rsidRPr="00C6666F">
        <w:rPr>
          <w:sz w:val="28"/>
          <w:szCs w:val="28"/>
        </w:rPr>
        <w:t>Наблюдава се тенденция към намаляване броя на заседанията, в които участват прокурорите от РП – Варна спрямо 2022 г. – с 15</w:t>
      </w:r>
      <w:r w:rsidR="00704100">
        <w:rPr>
          <w:sz w:val="28"/>
          <w:szCs w:val="28"/>
        </w:rPr>
        <w:t>%</w:t>
      </w:r>
      <w:r w:rsidR="006218D1">
        <w:rPr>
          <w:sz w:val="28"/>
          <w:szCs w:val="28"/>
        </w:rPr>
        <w:t>.</w:t>
      </w:r>
      <w:r w:rsidRPr="00C6666F">
        <w:rPr>
          <w:sz w:val="28"/>
          <w:szCs w:val="28"/>
        </w:rPr>
        <w:t xml:space="preserve"> </w:t>
      </w:r>
    </w:p>
    <w:p w:rsidR="00C6666F" w:rsidRPr="00C6666F" w:rsidRDefault="00C6666F" w:rsidP="00C6666F">
      <w:pPr>
        <w:ind w:firstLine="709"/>
        <w:jc w:val="both"/>
        <w:rPr>
          <w:sz w:val="28"/>
          <w:szCs w:val="28"/>
        </w:rPr>
      </w:pPr>
      <w:r w:rsidRPr="00C6666F">
        <w:rPr>
          <w:sz w:val="28"/>
          <w:szCs w:val="28"/>
        </w:rPr>
        <w:t xml:space="preserve">Прокурорите от съдебния район са взели участие във всички дела, за които законът задължително предвижда участието на прокурор. </w:t>
      </w:r>
    </w:p>
    <w:p w:rsidR="00C6666F" w:rsidRPr="00C6666F" w:rsidRDefault="00C6666F" w:rsidP="00C6666F">
      <w:pPr>
        <w:ind w:firstLine="709"/>
        <w:jc w:val="both"/>
        <w:rPr>
          <w:b/>
          <w:color w:val="002060"/>
          <w:sz w:val="28"/>
          <w:szCs w:val="28"/>
        </w:rPr>
      </w:pPr>
      <w:r w:rsidRPr="00C6666F">
        <w:rPr>
          <w:b/>
          <w:color w:val="002060"/>
          <w:sz w:val="28"/>
          <w:szCs w:val="28"/>
        </w:rPr>
        <w:t>Дейност на Прокуратурата по Закона за отнемане в полза на държавата на незаконно придобито имущество</w:t>
      </w:r>
    </w:p>
    <w:p w:rsidR="00C6666F" w:rsidRPr="00C6666F" w:rsidRDefault="00C6666F" w:rsidP="00C6666F">
      <w:pPr>
        <w:ind w:firstLine="709"/>
        <w:jc w:val="both"/>
        <w:rPr>
          <w:sz w:val="28"/>
          <w:szCs w:val="28"/>
        </w:rPr>
      </w:pPr>
      <w:r w:rsidRPr="00C6666F">
        <w:rPr>
          <w:sz w:val="28"/>
          <w:szCs w:val="28"/>
        </w:rPr>
        <w:t>През 2023 г. ОП – Варна е изпратила 802 уведомления до КП КОНПИ, което е със 12</w:t>
      </w:r>
      <w:r w:rsidR="00704100">
        <w:rPr>
          <w:sz w:val="28"/>
          <w:szCs w:val="28"/>
        </w:rPr>
        <w:t>%</w:t>
      </w:r>
      <w:r w:rsidRPr="00C6666F">
        <w:rPr>
          <w:sz w:val="28"/>
          <w:szCs w:val="28"/>
        </w:rPr>
        <w:t xml:space="preserve"> повече от изпратените през 2022 г., а РП – Варна е сезирала КОНПИ с 18 уведомления. Създаден един съвместен екип между КПКОНПИ и ПРБ както и през 2022 г. и през 2021 г. </w:t>
      </w:r>
    </w:p>
    <w:p w:rsidR="00C6666F" w:rsidRDefault="00C6666F" w:rsidP="00C6666F">
      <w:pPr>
        <w:ind w:firstLine="709"/>
        <w:jc w:val="both"/>
        <w:rPr>
          <w:sz w:val="28"/>
          <w:szCs w:val="28"/>
          <w:lang w:val="en-US"/>
        </w:rPr>
      </w:pPr>
    </w:p>
    <w:p w:rsidR="00943C1B" w:rsidRPr="00943C1B" w:rsidRDefault="00943C1B" w:rsidP="00C6666F">
      <w:pPr>
        <w:ind w:firstLine="709"/>
        <w:jc w:val="both"/>
        <w:rPr>
          <w:sz w:val="28"/>
          <w:szCs w:val="28"/>
          <w:lang w:val="en-US"/>
        </w:rPr>
      </w:pPr>
    </w:p>
    <w:p w:rsidR="00C6666F" w:rsidRPr="00C6666F" w:rsidRDefault="00C6666F" w:rsidP="000059A2">
      <w:pPr>
        <w:pStyle w:val="13"/>
        <w:numPr>
          <w:ilvl w:val="0"/>
          <w:numId w:val="6"/>
        </w:numPr>
        <w:spacing w:after="0" w:line="240" w:lineRule="auto"/>
        <w:ind w:left="0" w:firstLine="709"/>
        <w:contextualSpacing/>
        <w:jc w:val="both"/>
        <w:rPr>
          <w:rStyle w:val="afb"/>
          <w:b w:val="0"/>
          <w:i w:val="0"/>
          <w:color w:val="5F497A" w:themeColor="accent4" w:themeShade="BF"/>
          <w:sz w:val="28"/>
          <w:szCs w:val="28"/>
        </w:rPr>
      </w:pPr>
      <w:r w:rsidRPr="00C6666F">
        <w:rPr>
          <w:rStyle w:val="afb"/>
          <w:b w:val="0"/>
          <w:i w:val="0"/>
          <w:color w:val="5F497A" w:themeColor="accent4" w:themeShade="BF"/>
          <w:sz w:val="28"/>
          <w:szCs w:val="28"/>
        </w:rPr>
        <w:lastRenderedPageBreak/>
        <w:t>Осъдителни решения срещу Прокуратурата на Република България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w:t>
      </w:r>
    </w:p>
    <w:p w:rsidR="00C6666F" w:rsidRPr="00C6666F" w:rsidRDefault="00C6666F" w:rsidP="00C6666F">
      <w:pPr>
        <w:ind w:firstLine="709"/>
        <w:jc w:val="both"/>
        <w:rPr>
          <w:sz w:val="28"/>
          <w:szCs w:val="28"/>
        </w:rPr>
      </w:pPr>
      <w:r w:rsidRPr="00C6666F">
        <w:rPr>
          <w:sz w:val="28"/>
          <w:szCs w:val="28"/>
        </w:rPr>
        <w:t xml:space="preserve">През отчетната година ОС – Варна е постановил 11 решения като първа инстанция, като с 9 по тях е уважил претенциите срещу Прокуратурата на Р България. ОП – Варна е обжалвала 7 от тези решения. До края на отчетния период са били разгледани 6 въззивни жалби, но нито една от тях не е била уважена. ОП – Варна е изготвила 2 касационни жалби. ВКС е разгледал 2 касационни жалби, като няма уважени.   </w:t>
      </w:r>
    </w:p>
    <w:p w:rsidR="00C6666F" w:rsidRPr="00C6666F" w:rsidRDefault="00C6666F" w:rsidP="00C6666F">
      <w:pPr>
        <w:ind w:firstLine="709"/>
        <w:jc w:val="both"/>
        <w:rPr>
          <w:sz w:val="28"/>
          <w:szCs w:val="28"/>
        </w:rPr>
      </w:pPr>
      <w:r w:rsidRPr="00C6666F">
        <w:rPr>
          <w:sz w:val="28"/>
          <w:szCs w:val="28"/>
        </w:rPr>
        <w:t>През последните две години резултатите на ОП – Варна по посочените показатели са идентични, като се наблюдава незначително намаляване на постановените първоинстанционни съдебни решения от ОС – Варна  по ЗОДОВ спрямо 2021 г.</w:t>
      </w:r>
    </w:p>
    <w:p w:rsidR="00C6666F" w:rsidRPr="00C6666F" w:rsidRDefault="00C6666F" w:rsidP="00C6666F">
      <w:pPr>
        <w:ind w:firstLine="709"/>
        <w:jc w:val="both"/>
        <w:rPr>
          <w:sz w:val="28"/>
          <w:szCs w:val="28"/>
        </w:rPr>
      </w:pPr>
      <w:r w:rsidRPr="00C6666F">
        <w:rPr>
          <w:sz w:val="28"/>
          <w:szCs w:val="28"/>
        </w:rPr>
        <w:t xml:space="preserve">През отчетния период РС – Варна е постановил 22 решения по дела по чл. 2 от ЗОДОВ, като с 20 от тях исковете са били уважени. РП – Варна е изготвила 14 въззивни жалби срещу осъдителните решения. Решените през отчетния период от ОС – Варна въззивни граждански дела по ЗОДОВ са 25. Тук се наблюдава тенденция към намаляване на броя на подадените пред ОС – Варна искови молби по ЗОДОВ срещу ПРБ. Следователно вече трайно е прекъсната тенденцията, наблюдавана през периода 2019 г. – 2021 г., за постепенно завишаване броя на подадените в ОС – Варна искове по ЗОДОВ срещу Прокуратурата на Р. България. </w:t>
      </w:r>
    </w:p>
    <w:p w:rsidR="00C6666F" w:rsidRPr="00C6666F" w:rsidRDefault="00C6666F" w:rsidP="00C6666F">
      <w:pPr>
        <w:ind w:firstLine="709"/>
        <w:jc w:val="both"/>
        <w:rPr>
          <w:sz w:val="28"/>
          <w:szCs w:val="28"/>
        </w:rPr>
      </w:pPr>
      <w:r w:rsidRPr="00C6666F">
        <w:rPr>
          <w:sz w:val="28"/>
          <w:szCs w:val="28"/>
        </w:rPr>
        <w:t xml:space="preserve">През отчетния период ОС – Варна е постановил 25 решения като </w:t>
      </w:r>
      <w:proofErr w:type="spellStart"/>
      <w:r w:rsidRPr="00C6666F">
        <w:rPr>
          <w:sz w:val="28"/>
          <w:szCs w:val="28"/>
        </w:rPr>
        <w:t>въззивна</w:t>
      </w:r>
      <w:proofErr w:type="spellEnd"/>
      <w:r w:rsidRPr="00C6666F">
        <w:rPr>
          <w:sz w:val="28"/>
          <w:szCs w:val="28"/>
        </w:rPr>
        <w:t xml:space="preserve"> инстанция. С 23 по тях претенцията срещу Прокуратурата са били уважени. ОП – Варна е изготвила касационни жалби по 2 въззивни решения. ВКС е разгледал 2 касационни жалби,  като и е отхвърлил и двете.  </w:t>
      </w:r>
    </w:p>
    <w:p w:rsidR="00C6666F" w:rsidRPr="00C6666F" w:rsidRDefault="00C6666F" w:rsidP="00C6666F">
      <w:pPr>
        <w:ind w:firstLine="709"/>
        <w:jc w:val="both"/>
        <w:rPr>
          <w:sz w:val="28"/>
          <w:szCs w:val="28"/>
        </w:rPr>
      </w:pPr>
      <w:r w:rsidRPr="00C6666F">
        <w:rPr>
          <w:sz w:val="28"/>
          <w:szCs w:val="28"/>
        </w:rPr>
        <w:t xml:space="preserve">През отчетния период са влезли в сила решенията общо 30 решения, с които исковете срещу Прокуратурата са били уважени. 23 от тях са били предявени пред РС. </w:t>
      </w:r>
    </w:p>
    <w:p w:rsidR="00C6666F" w:rsidRPr="00C6666F" w:rsidRDefault="00C6666F" w:rsidP="00C6666F">
      <w:pPr>
        <w:ind w:firstLine="709"/>
        <w:jc w:val="both"/>
        <w:rPr>
          <w:sz w:val="28"/>
          <w:szCs w:val="28"/>
        </w:rPr>
      </w:pPr>
      <w:r w:rsidRPr="00C6666F">
        <w:rPr>
          <w:sz w:val="28"/>
          <w:szCs w:val="28"/>
        </w:rPr>
        <w:t>През настоящия период преобладаващо е основанието водено срещу ищеца досъдебно производство, което е приключило с оправдателна присъда – 21 от делата, водено срещу ищеца досъдебно производство, приключило с постановление за прекратяване –шест от делата. В два от случаите Прокуратурата е била осъдена да възмезди ищците поради нарушаване на правото на разглеждане на делото в разумен срок. Едно е влязлото в сила решение, с което Прокуратурата на РБ е била осъдена да възмезди ищеца поради изпълнение на наложеното наказание над определения от съда срок/размер.</w:t>
      </w:r>
    </w:p>
    <w:p w:rsidR="00C6666F" w:rsidRPr="00C6666F" w:rsidRDefault="00C6666F" w:rsidP="00C6666F">
      <w:pPr>
        <w:ind w:firstLine="709"/>
        <w:jc w:val="both"/>
        <w:rPr>
          <w:sz w:val="28"/>
          <w:szCs w:val="28"/>
        </w:rPr>
      </w:pPr>
      <w:r w:rsidRPr="00C6666F">
        <w:rPr>
          <w:sz w:val="28"/>
          <w:szCs w:val="28"/>
        </w:rPr>
        <w:t>Общата сума на обезщетенията по влезлите в сила през 2023 г. решения възлиза на 277 539,19 лв. През 2022 г. - 309 694,37 лв., през 2021 г. - 187 886,43 лв.</w:t>
      </w:r>
    </w:p>
    <w:p w:rsidR="00C6666F" w:rsidRPr="00C6666F" w:rsidRDefault="00C6666F" w:rsidP="00C6666F">
      <w:pPr>
        <w:shd w:val="clear" w:color="auto" w:fill="FFFFFF"/>
        <w:spacing w:before="5" w:line="317" w:lineRule="exact"/>
        <w:ind w:firstLine="709"/>
        <w:jc w:val="both"/>
        <w:rPr>
          <w:sz w:val="28"/>
          <w:szCs w:val="28"/>
        </w:rPr>
      </w:pPr>
      <w:r w:rsidRPr="00C6666F">
        <w:rPr>
          <w:sz w:val="28"/>
          <w:szCs w:val="28"/>
        </w:rPr>
        <w:t>Видно от изложеното общия размер на присъдените обезщетения по ЗОДОВ е по-малка с 10</w:t>
      </w:r>
      <w:r w:rsidR="00704100">
        <w:rPr>
          <w:sz w:val="28"/>
          <w:szCs w:val="28"/>
        </w:rPr>
        <w:t>%</w:t>
      </w:r>
      <w:r w:rsidRPr="00C6666F">
        <w:rPr>
          <w:sz w:val="28"/>
          <w:szCs w:val="28"/>
        </w:rPr>
        <w:t xml:space="preserve">, спрямо общия размер на присъдените обезщетения от предходната година. Прокуратурата е упражнявала пълноценно функциите си като ответник. Изготвяните отговори са обхващали всички възможни </w:t>
      </w:r>
      <w:r w:rsidRPr="00C6666F">
        <w:rPr>
          <w:sz w:val="28"/>
          <w:szCs w:val="28"/>
        </w:rPr>
        <w:lastRenderedPageBreak/>
        <w:t xml:space="preserve">възражения по исковете, правилно са били организирани доказателствените искания, съдебните актове са били обжалвани с мотивирани жалби, а решенията, с които претенциите са били уважени, са обжалвани пред втора инстанция.  </w:t>
      </w:r>
    </w:p>
    <w:p w:rsidR="00C6666F" w:rsidRPr="00C6666F" w:rsidRDefault="00C6666F" w:rsidP="00C6666F">
      <w:pPr>
        <w:ind w:firstLine="709"/>
        <w:jc w:val="both"/>
        <w:rPr>
          <w:sz w:val="28"/>
          <w:szCs w:val="28"/>
        </w:rPr>
      </w:pPr>
      <w:r w:rsidRPr="00C6666F">
        <w:rPr>
          <w:sz w:val="28"/>
          <w:szCs w:val="28"/>
        </w:rPr>
        <w:t>През отчетния период Прокуратурите в съдебния район не са предвиждали и предприемали „индивидуални и общи мерки във връзка с решенията на Европейския съд по правата на човека по дела срещу България“.  Обективно невъзможно е прокурорите да следят образуваните пред този съд дела, с основание - наказателно преследване на територията на Р България и  запознаване с неговите решения. Не са провеждани и обучения на прокурорите – с оглед съобразяване в работата им с решенията на ЕСПЧ.</w:t>
      </w:r>
    </w:p>
    <w:p w:rsidR="00C6666F" w:rsidRPr="00C6666F" w:rsidRDefault="00C6666F" w:rsidP="00C6666F">
      <w:pPr>
        <w:pStyle w:val="13"/>
        <w:ind w:firstLine="709"/>
        <w:contextualSpacing/>
        <w:jc w:val="both"/>
        <w:rPr>
          <w:rStyle w:val="afb"/>
          <w:i w:val="0"/>
          <w:color w:val="auto"/>
          <w:sz w:val="28"/>
          <w:szCs w:val="28"/>
        </w:rPr>
      </w:pPr>
    </w:p>
    <w:p w:rsidR="00736CF7" w:rsidRPr="00C6666F" w:rsidRDefault="00736CF7"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C6666F" w:rsidRPr="00C6666F" w:rsidRDefault="00C6666F" w:rsidP="00C6666F">
      <w:pPr>
        <w:pStyle w:val="13"/>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spacing w:after="0" w:line="240" w:lineRule="auto"/>
        <w:ind w:firstLine="709"/>
        <w:contextualSpacing/>
        <w:jc w:val="both"/>
        <w:rPr>
          <w:rStyle w:val="afb"/>
          <w:b w:val="0"/>
          <w:i w:val="0"/>
          <w:color w:val="5F497A" w:themeColor="accent4" w:themeShade="BF"/>
          <w:sz w:val="28"/>
          <w:szCs w:val="28"/>
        </w:rPr>
      </w:pPr>
    </w:p>
    <w:p w:rsidR="00E51B93" w:rsidRPr="00E51B93" w:rsidRDefault="00E51B93" w:rsidP="000059A2">
      <w:pPr>
        <w:pStyle w:val="13"/>
        <w:numPr>
          <w:ilvl w:val="0"/>
          <w:numId w:val="6"/>
        </w:numPr>
        <w:spacing w:after="0" w:line="240" w:lineRule="auto"/>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lastRenderedPageBreak/>
        <w:t>Изпълнение на наказанията и другите принудителни мерки.</w:t>
      </w:r>
    </w:p>
    <w:p w:rsidR="00C6666F" w:rsidRPr="00C6666F" w:rsidRDefault="00C6666F" w:rsidP="00C6666F">
      <w:pPr>
        <w:ind w:firstLine="709"/>
        <w:jc w:val="both"/>
        <w:rPr>
          <w:sz w:val="28"/>
          <w:szCs w:val="28"/>
        </w:rPr>
      </w:pPr>
      <w:r w:rsidRPr="00C6666F">
        <w:rPr>
          <w:sz w:val="28"/>
          <w:szCs w:val="28"/>
        </w:rPr>
        <w:t>През 2023г. в Окръжна прокуратура – Варна са получавани за изпълнение съдебни актове на Окръжен съд – Варна, както и съдебни актове на други съдилища, изпълнението на които е било делегирано от съответната прокуратура на ОП – Варна. През 2023г. в Районна прокуратура – Варна са получавани за изпълнение съдебни актове на Районен съд – Варна, Районен съд – Девня и Районен съд – Провадия, както и съдебни актове на други съдилища, изпълнението на които е било делегирано от съответната прокуратура на РП – Варна.</w:t>
      </w:r>
    </w:p>
    <w:p w:rsidR="00C6666F" w:rsidRPr="00C6666F" w:rsidRDefault="00C6666F" w:rsidP="00C6666F">
      <w:pPr>
        <w:ind w:firstLine="709"/>
        <w:jc w:val="both"/>
        <w:rPr>
          <w:sz w:val="28"/>
          <w:szCs w:val="28"/>
        </w:rPr>
      </w:pPr>
      <w:r w:rsidRPr="00C6666F">
        <w:rPr>
          <w:sz w:val="28"/>
          <w:szCs w:val="28"/>
        </w:rPr>
        <w:t xml:space="preserve">През 2023г. дейността в надзора в  ОП – Варна е извършвана от четирима прокурори /като през месец ноември 2023г. единият от прокурорите, включени в надзора, е заменен с друг прокурор/, а в РП – Варна както следва: през първото шестмесечие - от петима прокурори, а през второто шестмесечие – от шестима прокурори.  </w:t>
      </w:r>
    </w:p>
    <w:p w:rsidR="00C6666F" w:rsidRPr="00C6666F" w:rsidRDefault="00C6666F" w:rsidP="00C6666F">
      <w:pPr>
        <w:ind w:firstLine="709"/>
        <w:jc w:val="both"/>
        <w:rPr>
          <w:sz w:val="28"/>
          <w:szCs w:val="28"/>
        </w:rPr>
      </w:pPr>
      <w:r w:rsidRPr="00C6666F">
        <w:rPr>
          <w:sz w:val="28"/>
          <w:szCs w:val="28"/>
        </w:rPr>
        <w:t>Общият брой на съдебните актове, които през 2023г. са получени за изпълнение в ОП – Варна и РП - Варна, е 1 044 /</w:t>
      </w:r>
      <w:r w:rsidRPr="00C6666F">
        <w:rPr>
          <w:b/>
          <w:sz w:val="28"/>
          <w:szCs w:val="28"/>
        </w:rPr>
        <w:t>от които: в ОП – Варна – 105 бр.; в РП – Варна – 939 бр.</w:t>
      </w:r>
      <w:r w:rsidRPr="00C6666F">
        <w:rPr>
          <w:sz w:val="28"/>
          <w:szCs w:val="28"/>
        </w:rPr>
        <w:t>/. През 2022г. общият брой на получените за изпълнение съдебни актове е бил 1 149 бр. /</w:t>
      </w:r>
      <w:r w:rsidRPr="00C6666F">
        <w:rPr>
          <w:b/>
          <w:sz w:val="28"/>
          <w:szCs w:val="28"/>
        </w:rPr>
        <w:t>от които: в ОП – Варна 104 бр.; в РП – Варна – 1045 бр.</w:t>
      </w:r>
      <w:r w:rsidRPr="00C6666F">
        <w:rPr>
          <w:sz w:val="28"/>
          <w:szCs w:val="28"/>
        </w:rPr>
        <w:t>/. През 2021г. общият брой на получените за изпълнение съдебни актове е бил 954 бр. /</w:t>
      </w:r>
      <w:r w:rsidRPr="00C6666F">
        <w:rPr>
          <w:b/>
          <w:sz w:val="28"/>
          <w:szCs w:val="28"/>
        </w:rPr>
        <w:t>от които: в ОП – Варна – 104 бр.; в РП – Варна – 850 бр.</w:t>
      </w:r>
      <w:r w:rsidRPr="00C6666F">
        <w:rPr>
          <w:sz w:val="28"/>
          <w:szCs w:val="28"/>
        </w:rPr>
        <w:t>/. През 2023г. за ОП – Варна е налице незначително увеличение с 0.96</w:t>
      </w:r>
      <w:r w:rsidR="00704100">
        <w:rPr>
          <w:sz w:val="28"/>
          <w:szCs w:val="28"/>
        </w:rPr>
        <w:t>%</w:t>
      </w:r>
      <w:r w:rsidRPr="00C6666F">
        <w:rPr>
          <w:sz w:val="28"/>
          <w:szCs w:val="28"/>
        </w:rPr>
        <w:t xml:space="preserve"> както спрямо 2022г., така и спрямо 2021г. През 2023г. за РП – Варна пък е налице намаление с 10.14</w:t>
      </w:r>
      <w:r w:rsidR="00704100">
        <w:rPr>
          <w:sz w:val="28"/>
          <w:szCs w:val="28"/>
        </w:rPr>
        <w:t>%</w:t>
      </w:r>
      <w:r w:rsidRPr="00C6666F">
        <w:rPr>
          <w:sz w:val="28"/>
          <w:szCs w:val="28"/>
        </w:rPr>
        <w:t xml:space="preserve"> спрямо 2022г. и увеличение с 10.47</w:t>
      </w:r>
      <w:r w:rsidR="00704100">
        <w:rPr>
          <w:sz w:val="28"/>
          <w:szCs w:val="28"/>
        </w:rPr>
        <w:t>%</w:t>
      </w:r>
      <w:r w:rsidRPr="00C6666F">
        <w:rPr>
          <w:sz w:val="28"/>
          <w:szCs w:val="28"/>
        </w:rPr>
        <w:t xml:space="preserve"> спрямо 2021г.</w:t>
      </w:r>
    </w:p>
    <w:p w:rsidR="00C6666F" w:rsidRPr="00C6666F" w:rsidRDefault="00C6666F" w:rsidP="00C6666F">
      <w:pPr>
        <w:ind w:firstLine="709"/>
        <w:jc w:val="both"/>
        <w:rPr>
          <w:sz w:val="28"/>
          <w:szCs w:val="28"/>
        </w:rPr>
      </w:pPr>
      <w:r w:rsidRPr="00C6666F">
        <w:rPr>
          <w:sz w:val="28"/>
          <w:szCs w:val="28"/>
        </w:rPr>
        <w:t>Разгледани по видове на наложените наказания, съдебните актове, които през 2023г. са постъпили в ОП  – Варна и РП – Варна, са както следва:</w:t>
      </w:r>
    </w:p>
    <w:p w:rsidR="00C6666F" w:rsidRPr="00C6666F" w:rsidRDefault="00C6666F" w:rsidP="00C6666F">
      <w:pPr>
        <w:ind w:firstLine="709"/>
        <w:jc w:val="both"/>
        <w:rPr>
          <w:sz w:val="28"/>
          <w:szCs w:val="28"/>
        </w:rPr>
      </w:pPr>
      <w:bookmarkStart w:id="33" w:name="OLE_LINK12"/>
      <w:r w:rsidRPr="00C6666F">
        <w:rPr>
          <w:sz w:val="28"/>
          <w:szCs w:val="28"/>
        </w:rPr>
        <w:t xml:space="preserve">с наложено наказание </w:t>
      </w:r>
      <w:r w:rsidRPr="00C6666F">
        <w:rPr>
          <w:b/>
          <w:sz w:val="28"/>
          <w:szCs w:val="28"/>
        </w:rPr>
        <w:t>„лишаване от свобода</w:t>
      </w:r>
      <w:r w:rsidRPr="00C6666F">
        <w:rPr>
          <w:sz w:val="28"/>
          <w:szCs w:val="28"/>
        </w:rPr>
        <w:t xml:space="preserve"> – общо 491 бр. /</w:t>
      </w:r>
      <w:r w:rsidRPr="00C6666F">
        <w:rPr>
          <w:b/>
          <w:sz w:val="28"/>
          <w:szCs w:val="28"/>
        </w:rPr>
        <w:t>при: 469 бр. за 2022г. и 458 бр. за 2021г.</w:t>
      </w:r>
      <w:r w:rsidRPr="00C6666F">
        <w:rPr>
          <w:sz w:val="28"/>
          <w:szCs w:val="28"/>
        </w:rPr>
        <w:t>/, като е налице увеличение с 4.69</w:t>
      </w:r>
      <w:r w:rsidR="00704100">
        <w:rPr>
          <w:sz w:val="28"/>
          <w:szCs w:val="28"/>
        </w:rPr>
        <w:t>%</w:t>
      </w:r>
      <w:r w:rsidRPr="00C6666F">
        <w:rPr>
          <w:sz w:val="28"/>
          <w:szCs w:val="28"/>
        </w:rPr>
        <w:t xml:space="preserve"> спрямо 2022г. и увеличение със 7.21</w:t>
      </w:r>
      <w:r w:rsidR="00704100">
        <w:rPr>
          <w:sz w:val="28"/>
          <w:szCs w:val="28"/>
        </w:rPr>
        <w:t>%</w:t>
      </w:r>
      <w:r w:rsidRPr="00C6666F">
        <w:rPr>
          <w:sz w:val="28"/>
          <w:szCs w:val="28"/>
        </w:rPr>
        <w:t xml:space="preserve"> спрямо 2021г.;</w:t>
      </w:r>
    </w:p>
    <w:p w:rsidR="00C6666F" w:rsidRPr="00C6666F" w:rsidRDefault="00C6666F" w:rsidP="00C6666F">
      <w:pPr>
        <w:ind w:firstLine="709"/>
        <w:jc w:val="both"/>
        <w:rPr>
          <w:sz w:val="28"/>
          <w:szCs w:val="28"/>
        </w:rPr>
      </w:pPr>
      <w:r w:rsidRPr="00C6666F">
        <w:rPr>
          <w:sz w:val="28"/>
          <w:szCs w:val="28"/>
        </w:rPr>
        <w:t xml:space="preserve">с наложено наказание </w:t>
      </w:r>
      <w:r w:rsidRPr="00C6666F">
        <w:rPr>
          <w:b/>
          <w:sz w:val="28"/>
          <w:szCs w:val="28"/>
        </w:rPr>
        <w:t>„пробация“</w:t>
      </w:r>
      <w:r w:rsidRPr="00C6666F">
        <w:rPr>
          <w:sz w:val="28"/>
          <w:szCs w:val="28"/>
        </w:rPr>
        <w:t xml:space="preserve"> – общо 175 бр. /</w:t>
      </w:r>
      <w:r w:rsidRPr="00C6666F">
        <w:rPr>
          <w:b/>
          <w:sz w:val="28"/>
          <w:szCs w:val="28"/>
        </w:rPr>
        <w:t>при: 182 бр. за 2022г. и 191 бр. за 2021г.</w:t>
      </w:r>
      <w:r w:rsidRPr="00C6666F">
        <w:rPr>
          <w:sz w:val="28"/>
          <w:szCs w:val="28"/>
        </w:rPr>
        <w:t>/, като е налице намаление с 3.85</w:t>
      </w:r>
      <w:r w:rsidR="00704100">
        <w:rPr>
          <w:sz w:val="28"/>
          <w:szCs w:val="28"/>
        </w:rPr>
        <w:t>%</w:t>
      </w:r>
      <w:r w:rsidRPr="00C6666F">
        <w:rPr>
          <w:sz w:val="28"/>
          <w:szCs w:val="28"/>
        </w:rPr>
        <w:t xml:space="preserve"> спрямо 2022г. и намаление с 8.38</w:t>
      </w:r>
      <w:r w:rsidR="00704100">
        <w:rPr>
          <w:sz w:val="28"/>
          <w:szCs w:val="28"/>
        </w:rPr>
        <w:t>%</w:t>
      </w:r>
      <w:r w:rsidRPr="00C6666F">
        <w:rPr>
          <w:sz w:val="28"/>
          <w:szCs w:val="28"/>
        </w:rPr>
        <w:t xml:space="preserve"> спрямо 2021г.;</w:t>
      </w:r>
    </w:p>
    <w:p w:rsidR="00C6666F" w:rsidRPr="00C6666F" w:rsidRDefault="00C6666F" w:rsidP="00C6666F">
      <w:pPr>
        <w:ind w:firstLine="709"/>
        <w:jc w:val="both"/>
        <w:rPr>
          <w:sz w:val="28"/>
          <w:szCs w:val="28"/>
        </w:rPr>
      </w:pPr>
      <w:r w:rsidRPr="00C6666F">
        <w:rPr>
          <w:sz w:val="28"/>
          <w:szCs w:val="28"/>
        </w:rPr>
        <w:t xml:space="preserve">с наложено наказание </w:t>
      </w:r>
      <w:r w:rsidRPr="00C6666F">
        <w:rPr>
          <w:b/>
          <w:sz w:val="28"/>
          <w:szCs w:val="28"/>
        </w:rPr>
        <w:t>„лишаване от права“</w:t>
      </w:r>
      <w:r w:rsidRPr="00C6666F">
        <w:rPr>
          <w:sz w:val="28"/>
          <w:szCs w:val="28"/>
        </w:rPr>
        <w:t xml:space="preserve"> – общо 419 бр. /</w:t>
      </w:r>
      <w:r w:rsidRPr="00C6666F">
        <w:rPr>
          <w:b/>
          <w:sz w:val="28"/>
          <w:szCs w:val="28"/>
        </w:rPr>
        <w:t>при: 493 бр. за 2022г. и 311 бр. за 2021г.</w:t>
      </w:r>
      <w:r w:rsidRPr="00C6666F">
        <w:rPr>
          <w:sz w:val="28"/>
          <w:szCs w:val="28"/>
        </w:rPr>
        <w:t>/, като е налице намаление с 15.01</w:t>
      </w:r>
      <w:r w:rsidR="00704100">
        <w:rPr>
          <w:sz w:val="28"/>
          <w:szCs w:val="28"/>
        </w:rPr>
        <w:t>%</w:t>
      </w:r>
      <w:r w:rsidRPr="00C6666F">
        <w:rPr>
          <w:sz w:val="28"/>
          <w:szCs w:val="28"/>
        </w:rPr>
        <w:t xml:space="preserve"> спрямо 2022г. и увеличение с 34.73</w:t>
      </w:r>
      <w:r w:rsidR="00704100">
        <w:rPr>
          <w:sz w:val="28"/>
          <w:szCs w:val="28"/>
        </w:rPr>
        <w:t>%</w:t>
      </w:r>
      <w:r w:rsidRPr="00C6666F">
        <w:rPr>
          <w:sz w:val="28"/>
          <w:szCs w:val="28"/>
        </w:rPr>
        <w:t xml:space="preserve"> спрямо 2021г.;</w:t>
      </w:r>
    </w:p>
    <w:p w:rsidR="00C6666F" w:rsidRPr="00C6666F" w:rsidRDefault="00C6666F" w:rsidP="00C6666F">
      <w:pPr>
        <w:ind w:firstLine="709"/>
        <w:jc w:val="both"/>
        <w:rPr>
          <w:sz w:val="28"/>
          <w:szCs w:val="28"/>
        </w:rPr>
      </w:pPr>
      <w:r w:rsidRPr="00C6666F">
        <w:rPr>
          <w:sz w:val="28"/>
          <w:szCs w:val="28"/>
        </w:rPr>
        <w:t xml:space="preserve">с наложено наказание </w:t>
      </w:r>
      <w:r w:rsidRPr="00C6666F">
        <w:rPr>
          <w:b/>
          <w:sz w:val="28"/>
          <w:szCs w:val="28"/>
        </w:rPr>
        <w:t>„обществено порицание“</w:t>
      </w:r>
      <w:r w:rsidRPr="00C6666F">
        <w:rPr>
          <w:sz w:val="28"/>
          <w:szCs w:val="28"/>
        </w:rPr>
        <w:t xml:space="preserve"> – общо 20 бр. /</w:t>
      </w:r>
      <w:r w:rsidRPr="00C6666F">
        <w:rPr>
          <w:b/>
          <w:sz w:val="28"/>
          <w:szCs w:val="28"/>
        </w:rPr>
        <w:t>при: 24 бр. за 2022г. и 18 бр. за 2021г.</w:t>
      </w:r>
      <w:r w:rsidRPr="00C6666F">
        <w:rPr>
          <w:sz w:val="28"/>
          <w:szCs w:val="28"/>
        </w:rPr>
        <w:t>/, като е налице намаление с 16.67</w:t>
      </w:r>
      <w:r w:rsidR="00704100">
        <w:rPr>
          <w:sz w:val="28"/>
          <w:szCs w:val="28"/>
        </w:rPr>
        <w:t>%</w:t>
      </w:r>
      <w:r w:rsidRPr="00C6666F">
        <w:rPr>
          <w:sz w:val="28"/>
          <w:szCs w:val="28"/>
        </w:rPr>
        <w:t xml:space="preserve"> спрямо 2022г. и увеличение с 11.11</w:t>
      </w:r>
      <w:r w:rsidR="00704100">
        <w:rPr>
          <w:sz w:val="28"/>
          <w:szCs w:val="28"/>
        </w:rPr>
        <w:t>%</w:t>
      </w:r>
      <w:r w:rsidRPr="00C6666F">
        <w:rPr>
          <w:sz w:val="28"/>
          <w:szCs w:val="28"/>
        </w:rPr>
        <w:t xml:space="preserve"> спрямо 2021г.</w:t>
      </w:r>
      <w:bookmarkEnd w:id="33"/>
    </w:p>
    <w:p w:rsidR="00C6666F" w:rsidRPr="00C6666F" w:rsidRDefault="00C6666F" w:rsidP="00C6666F">
      <w:pPr>
        <w:ind w:firstLine="709"/>
        <w:jc w:val="both"/>
        <w:rPr>
          <w:sz w:val="28"/>
          <w:szCs w:val="28"/>
        </w:rPr>
      </w:pPr>
      <w:r w:rsidRPr="00C6666F">
        <w:rPr>
          <w:sz w:val="28"/>
          <w:szCs w:val="28"/>
        </w:rPr>
        <w:t>През 2023г., както и през 2022г. и 2021г., не са получавани за изпълнение съдебни актове с наложено наказание „доживотен затвор“ или „доживотен затвор без замяна“.</w:t>
      </w:r>
    </w:p>
    <w:p w:rsidR="00C6666F" w:rsidRPr="00C6666F" w:rsidRDefault="00C6666F" w:rsidP="00C6666F">
      <w:pPr>
        <w:ind w:firstLine="709"/>
        <w:jc w:val="both"/>
        <w:rPr>
          <w:sz w:val="28"/>
          <w:szCs w:val="28"/>
        </w:rPr>
      </w:pPr>
      <w:r w:rsidRPr="00C6666F">
        <w:rPr>
          <w:sz w:val="28"/>
          <w:szCs w:val="28"/>
        </w:rPr>
        <w:t>През 2023г. са налице общо 8 случая, при които на основание чл.415 от НПК е отложено изпълнението на наказанието по постъпил за изпълнение съдебен акт /</w:t>
      </w:r>
      <w:r w:rsidRPr="00C6666F">
        <w:rPr>
          <w:b/>
          <w:sz w:val="28"/>
          <w:szCs w:val="28"/>
        </w:rPr>
        <w:t>при: 6 случая за 2022г. и 7 случая за 2021г.</w:t>
      </w:r>
      <w:r w:rsidRPr="00C6666F">
        <w:rPr>
          <w:sz w:val="28"/>
          <w:szCs w:val="28"/>
        </w:rPr>
        <w:t xml:space="preserve">/. </w:t>
      </w:r>
    </w:p>
    <w:p w:rsidR="00C6666F" w:rsidRPr="00C6666F" w:rsidRDefault="00C6666F" w:rsidP="00C6666F">
      <w:pPr>
        <w:ind w:firstLine="709"/>
        <w:jc w:val="both"/>
        <w:rPr>
          <w:sz w:val="28"/>
          <w:szCs w:val="28"/>
        </w:rPr>
      </w:pPr>
      <w:r w:rsidRPr="00C6666F">
        <w:rPr>
          <w:sz w:val="28"/>
          <w:szCs w:val="28"/>
        </w:rPr>
        <w:t xml:space="preserve">През 2023г. получените в ОП – Варна и РП – Варна съдебни актове, по които наложените наказания не са приведени в изпълнение, са общо                 26 </w:t>
      </w:r>
      <w:r w:rsidRPr="00C6666F">
        <w:rPr>
          <w:sz w:val="28"/>
          <w:szCs w:val="28"/>
        </w:rPr>
        <w:lastRenderedPageBreak/>
        <w:t>бр. /</w:t>
      </w:r>
      <w:r w:rsidRPr="00C6666F">
        <w:rPr>
          <w:b/>
          <w:sz w:val="28"/>
          <w:szCs w:val="28"/>
        </w:rPr>
        <w:t>от които: за ОП – Варна – 9 бр.; за РП – Варна - 17 бр.</w:t>
      </w:r>
      <w:r w:rsidRPr="00C6666F">
        <w:rPr>
          <w:sz w:val="28"/>
          <w:szCs w:val="28"/>
        </w:rPr>
        <w:t>/. По този показател с налице увеличение както спрямо 2022г. когато не са били приведени в изпълнение наказанията по общо 25 съдебни акта /</w:t>
      </w:r>
      <w:r w:rsidRPr="00C6666F">
        <w:rPr>
          <w:b/>
          <w:sz w:val="28"/>
          <w:szCs w:val="28"/>
        </w:rPr>
        <w:t>от които: за ОП – Варна – 10 бр.; за РП – Варна – 15 бр.</w:t>
      </w:r>
      <w:r w:rsidRPr="00C6666F">
        <w:rPr>
          <w:sz w:val="28"/>
          <w:szCs w:val="28"/>
        </w:rPr>
        <w:t>/, така и спрямо 2021г. когато не са били приведени в изпълнение наказанията по общо 20 съдебни акта /</w:t>
      </w:r>
      <w:r w:rsidRPr="00C6666F">
        <w:rPr>
          <w:b/>
          <w:sz w:val="28"/>
          <w:szCs w:val="28"/>
        </w:rPr>
        <w:t>от които: за ОП – Варна – 12 бр.; за РП – Варна – 8 бр.</w:t>
      </w:r>
      <w:r w:rsidRPr="00C6666F">
        <w:rPr>
          <w:sz w:val="28"/>
          <w:szCs w:val="28"/>
        </w:rPr>
        <w:t>/.</w:t>
      </w:r>
    </w:p>
    <w:p w:rsidR="00C6666F" w:rsidRPr="00C6666F" w:rsidRDefault="00C6666F" w:rsidP="00C6666F">
      <w:pPr>
        <w:ind w:firstLine="709"/>
        <w:jc w:val="both"/>
        <w:rPr>
          <w:sz w:val="28"/>
          <w:szCs w:val="28"/>
        </w:rPr>
      </w:pPr>
      <w:r w:rsidRPr="00C6666F">
        <w:rPr>
          <w:sz w:val="28"/>
          <w:szCs w:val="28"/>
        </w:rPr>
        <w:t>През 2023г. са налице общо 37 случая, при които от окръжния прокурор на ОП – Варна на основание чл.448 от НПК е прекъснато изпълнението на наказание „лишаване от свобода“, което наказание преди това е било приведено в изпълнение от ОП - Варна. По този показател е налице увеличение както спрямо 2022г. /</w:t>
      </w:r>
      <w:r w:rsidRPr="00C6666F">
        <w:rPr>
          <w:b/>
          <w:sz w:val="28"/>
          <w:szCs w:val="28"/>
        </w:rPr>
        <w:t>когато са били налице 30 такива случая</w:t>
      </w:r>
      <w:r w:rsidRPr="00C6666F">
        <w:rPr>
          <w:sz w:val="28"/>
          <w:szCs w:val="28"/>
        </w:rPr>
        <w:t>/, така и спрямо 2021г.  /</w:t>
      </w:r>
      <w:r w:rsidRPr="00C6666F">
        <w:rPr>
          <w:b/>
          <w:sz w:val="28"/>
          <w:szCs w:val="28"/>
        </w:rPr>
        <w:t>когато са били налице 13 такива случая</w:t>
      </w:r>
      <w:r w:rsidRPr="00C6666F">
        <w:rPr>
          <w:sz w:val="28"/>
          <w:szCs w:val="28"/>
        </w:rPr>
        <w:t>/.</w:t>
      </w:r>
    </w:p>
    <w:p w:rsidR="00C6666F" w:rsidRPr="00C6666F" w:rsidRDefault="00C6666F" w:rsidP="00C6666F">
      <w:pPr>
        <w:ind w:firstLine="709"/>
        <w:jc w:val="both"/>
        <w:rPr>
          <w:sz w:val="28"/>
          <w:szCs w:val="28"/>
        </w:rPr>
      </w:pPr>
      <w:r w:rsidRPr="00C6666F">
        <w:rPr>
          <w:sz w:val="28"/>
          <w:szCs w:val="28"/>
        </w:rPr>
        <w:t>През 2023г. прокурори от ОП – Варна и РП – Варна са участвали в общо  495 съдебни производства във връзка с изпълнение на наказания, по които са били проведени общо 583 съдебни заседания. По този показател е налице увеличение както 2022г. /</w:t>
      </w:r>
      <w:r w:rsidRPr="00C6666F">
        <w:rPr>
          <w:b/>
          <w:sz w:val="28"/>
          <w:szCs w:val="28"/>
        </w:rPr>
        <w:t xml:space="preserve">когато е </w:t>
      </w:r>
      <w:proofErr w:type="spellStart"/>
      <w:r w:rsidRPr="00C6666F">
        <w:rPr>
          <w:b/>
          <w:sz w:val="28"/>
          <w:szCs w:val="28"/>
        </w:rPr>
        <w:t>участвано</w:t>
      </w:r>
      <w:proofErr w:type="spellEnd"/>
      <w:r w:rsidRPr="00C6666F">
        <w:rPr>
          <w:b/>
          <w:sz w:val="28"/>
          <w:szCs w:val="28"/>
        </w:rPr>
        <w:t xml:space="preserve"> в 443 съдебни производства, по които са проведени общо 534 съдебни заседания</w:t>
      </w:r>
      <w:r w:rsidRPr="00C6666F">
        <w:rPr>
          <w:sz w:val="28"/>
          <w:szCs w:val="28"/>
        </w:rPr>
        <w:t>/, така и спрямо 2021г. /</w:t>
      </w:r>
      <w:r w:rsidRPr="00C6666F">
        <w:rPr>
          <w:b/>
          <w:sz w:val="28"/>
          <w:szCs w:val="28"/>
        </w:rPr>
        <w:t xml:space="preserve">когато е </w:t>
      </w:r>
      <w:proofErr w:type="spellStart"/>
      <w:r w:rsidRPr="00C6666F">
        <w:rPr>
          <w:b/>
          <w:sz w:val="28"/>
          <w:szCs w:val="28"/>
        </w:rPr>
        <w:t>участвано</w:t>
      </w:r>
      <w:proofErr w:type="spellEnd"/>
      <w:r w:rsidRPr="00C6666F">
        <w:rPr>
          <w:b/>
          <w:sz w:val="28"/>
          <w:szCs w:val="28"/>
        </w:rPr>
        <w:t xml:space="preserve"> в общо 414 съдебни производства, по които са проведени общо 482 съдебни заседания</w:t>
      </w:r>
      <w:r w:rsidRPr="00C6666F">
        <w:rPr>
          <w:sz w:val="28"/>
          <w:szCs w:val="28"/>
        </w:rPr>
        <w:t>/.</w:t>
      </w:r>
    </w:p>
    <w:p w:rsidR="00C6666F" w:rsidRPr="00C6666F" w:rsidRDefault="00C6666F" w:rsidP="00C6666F">
      <w:pPr>
        <w:ind w:firstLine="709"/>
        <w:jc w:val="both"/>
        <w:rPr>
          <w:sz w:val="28"/>
          <w:szCs w:val="28"/>
        </w:rPr>
      </w:pPr>
      <w:r w:rsidRPr="00C6666F">
        <w:rPr>
          <w:sz w:val="28"/>
          <w:szCs w:val="28"/>
        </w:rPr>
        <w:t xml:space="preserve">През 2023г. прокурорите от надзора в ОП – Варна и в РП – Варна всеки месец са извършвали проверки в Сектор „Арести“ при ОС „ИН“ – Варна.     Прокурорите от надзора в ОП – Варна са извършвали проверки и в Затвора – гр.Варна и двете затворнически общежития към него                               /ЗООТ – Варна и ЗО – Разделна/. </w:t>
      </w:r>
    </w:p>
    <w:p w:rsidR="00736CF7" w:rsidRPr="00C6666F" w:rsidRDefault="00736CF7"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736CF7" w:rsidRPr="00C6666F" w:rsidRDefault="00736CF7"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3C7B49" w:rsidRPr="00C6666F" w:rsidRDefault="003C7B49" w:rsidP="00C6666F">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E46B1E" w:rsidRDefault="00E46B1E" w:rsidP="004827F3">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E46B1E" w:rsidRDefault="00E46B1E" w:rsidP="004827F3">
      <w:pPr>
        <w:pStyle w:val="13"/>
        <w:tabs>
          <w:tab w:val="left" w:pos="955"/>
        </w:tabs>
        <w:spacing w:after="0" w:line="240" w:lineRule="auto"/>
        <w:ind w:firstLine="709"/>
        <w:contextualSpacing/>
        <w:jc w:val="both"/>
        <w:rPr>
          <w:rStyle w:val="afb"/>
          <w:b w:val="0"/>
          <w:i w:val="0"/>
          <w:color w:val="5F497A" w:themeColor="accent4" w:themeShade="BF"/>
          <w:sz w:val="28"/>
          <w:szCs w:val="28"/>
        </w:rPr>
      </w:pPr>
    </w:p>
    <w:p w:rsidR="00E51B93" w:rsidRPr="00E51B93" w:rsidRDefault="00E51B93" w:rsidP="000059A2">
      <w:pPr>
        <w:pStyle w:val="13"/>
        <w:numPr>
          <w:ilvl w:val="0"/>
          <w:numId w:val="7"/>
        </w:numPr>
        <w:spacing w:after="0" w:line="240" w:lineRule="auto"/>
        <w:ind w:left="0" w:firstLine="709"/>
        <w:contextualSpacing/>
        <w:jc w:val="both"/>
        <w:rPr>
          <w:rStyle w:val="afb"/>
          <w:b w:val="0"/>
          <w:i w:val="0"/>
          <w:color w:val="5F497A" w:themeColor="accent4" w:themeShade="BF"/>
          <w:sz w:val="28"/>
          <w:szCs w:val="28"/>
          <w:lang w:val="en-US"/>
        </w:rPr>
      </w:pPr>
      <w:r w:rsidRPr="00E51B93">
        <w:rPr>
          <w:rStyle w:val="afb"/>
          <w:b w:val="0"/>
          <w:i w:val="0"/>
          <w:color w:val="5F497A" w:themeColor="accent4" w:themeShade="BF"/>
          <w:sz w:val="28"/>
          <w:szCs w:val="28"/>
        </w:rPr>
        <w:lastRenderedPageBreak/>
        <w:t>ДЕЙНОСТ ПО ИЗПЪЛНЕНИЕ НА ПРЕПОРЪКИТЕ В РАМКИТЕ НА ВЪРХОВЕНСТВОТО НА ПРАВОТО. СПЕЦИАЛЕН НАДЗОР И НАКАЗАТЕЛНИ ПРОИЗВОДСТВА, ОБРАЗУВАНИ ЗА НЯКОИ КАТЕГОРИИ ТЕЖКИ ПРЕСТЪПЛЕНИЯ И ТАКИВА ОТ ОСОБЕН ОБЩЕСТВЕН ИНТЕРЕС.</w:t>
      </w:r>
    </w:p>
    <w:p w:rsidR="003C7B49" w:rsidRDefault="003C7B49" w:rsidP="00704528">
      <w:pPr>
        <w:pStyle w:val="13"/>
        <w:spacing w:after="0" w:line="240" w:lineRule="auto"/>
        <w:ind w:firstLine="709"/>
        <w:contextualSpacing/>
        <w:jc w:val="both"/>
        <w:rPr>
          <w:rStyle w:val="afb"/>
          <w:b w:val="0"/>
          <w:i w:val="0"/>
          <w:color w:val="5F497A" w:themeColor="accent4" w:themeShade="BF"/>
          <w:sz w:val="28"/>
          <w:szCs w:val="28"/>
        </w:rPr>
      </w:pPr>
    </w:p>
    <w:p w:rsidR="00704528" w:rsidRDefault="00704528" w:rsidP="00704528">
      <w:pPr>
        <w:ind w:firstLine="709"/>
        <w:contextualSpacing/>
        <w:jc w:val="both"/>
        <w:rPr>
          <w:sz w:val="28"/>
          <w:szCs w:val="28"/>
        </w:rPr>
      </w:pPr>
      <w:r>
        <w:rPr>
          <w:sz w:val="28"/>
          <w:szCs w:val="28"/>
        </w:rPr>
        <w:t>Със Заповед №РД-02-16/21.07.2023 г. на И. Ф. Главен прокурор на Р България горепосоченото Указание за специален надзор е отменено и е преустановено изпълнението на каквито и да било ангажименти по наказателните производства, взети на специален надзор.</w:t>
      </w:r>
    </w:p>
    <w:p w:rsidR="00704528" w:rsidRDefault="00704528" w:rsidP="00704528">
      <w:pPr>
        <w:ind w:firstLine="708"/>
        <w:contextualSpacing/>
        <w:jc w:val="both"/>
        <w:rPr>
          <w:sz w:val="28"/>
          <w:szCs w:val="28"/>
        </w:rPr>
      </w:pPr>
      <w:r>
        <w:rPr>
          <w:sz w:val="28"/>
          <w:szCs w:val="28"/>
        </w:rPr>
        <w:t>В обхвата на делата от особен обществен интерес са включени образуваните за организирана престъпност, корупция, изпиране на пари, злоупотребите със средства на ЕС, подправените парични знаци и платежни инструменти,</w:t>
      </w:r>
      <w:r>
        <w:t xml:space="preserve"> </w:t>
      </w:r>
      <w:r>
        <w:rPr>
          <w:sz w:val="28"/>
          <w:szCs w:val="28"/>
        </w:rPr>
        <w:t>данъчните престъплени</w:t>
      </w:r>
      <w:r w:rsidR="00922B37">
        <w:rPr>
          <w:sz w:val="28"/>
          <w:szCs w:val="28"/>
        </w:rPr>
        <w:t>я,  наркотици, трафик на хора.</w:t>
      </w:r>
    </w:p>
    <w:p w:rsidR="00922B37" w:rsidRDefault="00922B37" w:rsidP="00704528">
      <w:pPr>
        <w:ind w:firstLine="708"/>
        <w:contextualSpacing/>
        <w:jc w:val="both"/>
        <w:rPr>
          <w:sz w:val="28"/>
          <w:szCs w:val="28"/>
        </w:rPr>
      </w:pPr>
    </w:p>
    <w:p w:rsidR="00704528" w:rsidRDefault="00704528" w:rsidP="00704528">
      <w:pPr>
        <w:keepNext/>
        <w:keepLines/>
        <w:ind w:firstLine="709"/>
        <w:contextualSpacing/>
        <w:jc w:val="both"/>
        <w:outlineLvl w:val="1"/>
        <w:rPr>
          <w:rFonts w:eastAsiaTheme="majorEastAsia"/>
          <w:b/>
          <w:bCs/>
          <w:sz w:val="28"/>
          <w:szCs w:val="28"/>
          <w:u w:val="single"/>
          <w:lang w:eastAsia="en-US"/>
        </w:rPr>
      </w:pPr>
      <w:bookmarkStart w:id="34" w:name="_Toc506557849"/>
      <w:r>
        <w:rPr>
          <w:rFonts w:eastAsiaTheme="majorEastAsia"/>
          <w:bCs/>
          <w:color w:val="FF0000"/>
          <w:sz w:val="28"/>
          <w:szCs w:val="28"/>
        </w:rPr>
        <w:tab/>
      </w:r>
      <w:r>
        <w:rPr>
          <w:rFonts w:eastAsiaTheme="majorEastAsia"/>
          <w:b/>
          <w:bCs/>
          <w:sz w:val="28"/>
          <w:szCs w:val="28"/>
          <w:u w:val="single"/>
          <w:lang w:val="en-US"/>
        </w:rPr>
        <w:t>3</w:t>
      </w:r>
      <w:r>
        <w:rPr>
          <w:rFonts w:eastAsiaTheme="majorEastAsia"/>
          <w:b/>
          <w:bCs/>
          <w:sz w:val="28"/>
          <w:szCs w:val="28"/>
          <w:u w:val="single"/>
        </w:rPr>
        <w:t>.1. Организирана престъпност /таблица 4.1/.</w:t>
      </w:r>
      <w:bookmarkEnd w:id="34"/>
      <w:r>
        <w:rPr>
          <w:rFonts w:eastAsiaTheme="majorEastAsia"/>
          <w:b/>
          <w:bCs/>
          <w:sz w:val="28"/>
          <w:szCs w:val="28"/>
          <w:u w:val="single"/>
        </w:rPr>
        <w:t xml:space="preserve"> </w:t>
      </w:r>
    </w:p>
    <w:tbl>
      <w:tblPr>
        <w:tblStyle w:val="25"/>
        <w:tblW w:w="0" w:type="auto"/>
        <w:tblInd w:w="0" w:type="dxa"/>
        <w:tblLook w:val="04A0" w:firstRow="1" w:lastRow="0" w:firstColumn="1" w:lastColumn="0" w:noHBand="0" w:noVBand="1"/>
      </w:tblPr>
      <w:tblGrid>
        <w:gridCol w:w="7361"/>
        <w:gridCol w:w="776"/>
        <w:gridCol w:w="776"/>
        <w:gridCol w:w="1056"/>
      </w:tblGrid>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bookmarkStart w:id="35" w:name="_Hlk155695739"/>
            <w:r>
              <w:rPr>
                <w:sz w:val="28"/>
                <w:szCs w:val="28"/>
              </w:rPr>
              <w:t>Показатели</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2021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2022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color w:val="FF0000"/>
                <w:sz w:val="28"/>
                <w:szCs w:val="28"/>
                <w:lang w:eastAsia="en-US"/>
              </w:rPr>
            </w:pPr>
            <w:r>
              <w:rPr>
                <w:sz w:val="28"/>
                <w:szCs w:val="28"/>
              </w:rPr>
              <w:t>2023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Наблюдавани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rPr>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33</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eastAsia="en-US"/>
              </w:rPr>
            </w:pPr>
            <w:r>
              <w:rPr>
                <w:sz w:val="28"/>
                <w:szCs w:val="28"/>
                <w:lang w:val="en-US"/>
              </w:rPr>
              <w:t>44*</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Новообразувани ДП</w:t>
            </w:r>
          </w:p>
        </w:tc>
        <w:tc>
          <w:tcPr>
            <w:tcW w:w="0" w:type="auto"/>
            <w:tcBorders>
              <w:top w:val="single" w:sz="4" w:space="0" w:color="auto"/>
              <w:left w:val="single" w:sz="4" w:space="0" w:color="auto"/>
              <w:bottom w:val="single" w:sz="4" w:space="0" w:color="auto"/>
              <w:right w:val="single" w:sz="4" w:space="0" w:color="auto"/>
            </w:tcBorders>
          </w:tcPr>
          <w:p w:rsidR="00704528" w:rsidRDefault="00704528" w:rsidP="00704528">
            <w:pPr>
              <w:contextualSpacing/>
              <w:jc w:val="both"/>
              <w:rPr>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7</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Решени ДП</w:t>
            </w:r>
          </w:p>
        </w:tc>
        <w:tc>
          <w:tcPr>
            <w:tcW w:w="0" w:type="auto"/>
            <w:tcBorders>
              <w:top w:val="single" w:sz="4" w:space="0" w:color="auto"/>
              <w:left w:val="single" w:sz="4" w:space="0" w:color="auto"/>
              <w:bottom w:val="single" w:sz="4" w:space="0" w:color="auto"/>
              <w:right w:val="single" w:sz="4" w:space="0" w:color="auto"/>
            </w:tcBorders>
          </w:tcPr>
          <w:p w:rsidR="00704528" w:rsidRDefault="00704528" w:rsidP="00704528">
            <w:pPr>
              <w:contextualSpacing/>
              <w:jc w:val="both"/>
              <w:rPr>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9</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15**</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Прокурорски актове, внесени в съда</w:t>
            </w:r>
          </w:p>
        </w:tc>
        <w:tc>
          <w:tcPr>
            <w:tcW w:w="0" w:type="auto"/>
            <w:tcBorders>
              <w:top w:val="single" w:sz="4" w:space="0" w:color="auto"/>
              <w:left w:val="single" w:sz="4" w:space="0" w:color="auto"/>
              <w:bottom w:val="single" w:sz="4" w:space="0" w:color="auto"/>
              <w:right w:val="single" w:sz="4" w:space="0" w:color="auto"/>
            </w:tcBorders>
          </w:tcPr>
          <w:p w:rsidR="00704528" w:rsidRDefault="00704528" w:rsidP="00704528">
            <w:pPr>
              <w:contextualSpacing/>
              <w:jc w:val="both"/>
              <w:rPr>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19***</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Лица по внесените в съда прокурорски актове</w:t>
            </w:r>
          </w:p>
        </w:tc>
        <w:tc>
          <w:tcPr>
            <w:tcW w:w="0" w:type="auto"/>
            <w:tcBorders>
              <w:top w:val="single" w:sz="4" w:space="0" w:color="auto"/>
              <w:left w:val="single" w:sz="4" w:space="0" w:color="auto"/>
              <w:bottom w:val="single" w:sz="4" w:space="0" w:color="auto"/>
              <w:right w:val="single" w:sz="4" w:space="0" w:color="auto"/>
            </w:tcBorders>
          </w:tcPr>
          <w:p w:rsidR="00704528" w:rsidRDefault="00704528" w:rsidP="00704528">
            <w:pPr>
              <w:contextualSpacing/>
              <w:jc w:val="both"/>
              <w:rPr>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25</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Осъдени и санкционирани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tcPr>
          <w:p w:rsidR="00704528" w:rsidRDefault="00704528" w:rsidP="00704528">
            <w:pPr>
              <w:contextualSpacing/>
              <w:jc w:val="both"/>
              <w:rPr>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27****</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Оправдани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tcPr>
          <w:p w:rsidR="00704528" w:rsidRDefault="00704528" w:rsidP="00704528">
            <w:pPr>
              <w:contextualSpacing/>
              <w:jc w:val="both"/>
              <w:rPr>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eastAsia="en-US"/>
              </w:rPr>
            </w:pPr>
            <w:r>
              <w:rPr>
                <w:sz w:val="28"/>
                <w:szCs w:val="28"/>
              </w:rPr>
              <w:t>0</w:t>
            </w:r>
          </w:p>
        </w:tc>
      </w:tr>
    </w:tbl>
    <w:bookmarkEnd w:id="35"/>
    <w:p w:rsidR="00704528" w:rsidRDefault="00704528" w:rsidP="00704528">
      <w:pPr>
        <w:ind w:firstLine="709"/>
        <w:contextualSpacing/>
        <w:jc w:val="both"/>
        <w:rPr>
          <w:i/>
          <w:sz w:val="28"/>
          <w:szCs w:val="28"/>
        </w:rPr>
      </w:pPr>
      <w:r>
        <w:rPr>
          <w:i/>
          <w:sz w:val="28"/>
          <w:szCs w:val="28"/>
        </w:rPr>
        <w:t>Сравнения между двата отчетни периода е трудно да се направи, предвид обстоятелството, че преходния отчетен период е едва 5 месеца.</w:t>
      </w:r>
    </w:p>
    <w:p w:rsidR="00704528" w:rsidRDefault="00704528" w:rsidP="00704528">
      <w:pPr>
        <w:ind w:firstLine="709"/>
        <w:contextualSpacing/>
        <w:jc w:val="both"/>
        <w:rPr>
          <w:i/>
          <w:sz w:val="28"/>
          <w:szCs w:val="28"/>
        </w:rPr>
      </w:pPr>
      <w:r>
        <w:rPr>
          <w:i/>
          <w:sz w:val="28"/>
          <w:szCs w:val="28"/>
        </w:rPr>
        <w:t xml:space="preserve">Като цяло трудности при разследването на новообразуваните  </w:t>
      </w:r>
      <w:r w:rsidR="00922B37">
        <w:rPr>
          <w:i/>
          <w:sz w:val="28"/>
          <w:szCs w:val="28"/>
        </w:rPr>
        <w:t>дела за ОПГ не са констатирани.</w:t>
      </w:r>
    </w:p>
    <w:p w:rsidR="00922B37" w:rsidRDefault="00922B37" w:rsidP="00704528">
      <w:pPr>
        <w:ind w:firstLine="709"/>
        <w:contextualSpacing/>
        <w:jc w:val="both"/>
        <w:rPr>
          <w:i/>
          <w:sz w:val="28"/>
          <w:szCs w:val="28"/>
        </w:rPr>
      </w:pPr>
    </w:p>
    <w:p w:rsidR="00704528" w:rsidRDefault="00704528" w:rsidP="00704528">
      <w:pPr>
        <w:keepNext/>
        <w:keepLines/>
        <w:ind w:firstLine="709"/>
        <w:contextualSpacing/>
        <w:jc w:val="both"/>
        <w:outlineLvl w:val="1"/>
        <w:rPr>
          <w:rFonts w:eastAsiaTheme="majorEastAsia"/>
          <w:b/>
          <w:bCs/>
          <w:sz w:val="28"/>
          <w:szCs w:val="28"/>
          <w:u w:val="single"/>
          <w:lang w:eastAsia="en-US"/>
        </w:rPr>
      </w:pPr>
      <w:bookmarkStart w:id="36" w:name="_Toc506557850"/>
      <w:r>
        <w:rPr>
          <w:rFonts w:eastAsiaTheme="majorEastAsia"/>
          <w:b/>
          <w:bCs/>
          <w:sz w:val="28"/>
          <w:szCs w:val="28"/>
          <w:u w:val="single"/>
          <w:lang w:val="en-US"/>
        </w:rPr>
        <w:t>3</w:t>
      </w:r>
      <w:r>
        <w:rPr>
          <w:rFonts w:eastAsiaTheme="majorEastAsia"/>
          <w:b/>
          <w:bCs/>
          <w:sz w:val="28"/>
          <w:szCs w:val="28"/>
          <w:u w:val="single"/>
        </w:rPr>
        <w:t>.2. Корупционни престъпления /таблица 4.2.</w:t>
      </w:r>
      <w:r>
        <w:rPr>
          <w:rFonts w:eastAsiaTheme="majorEastAsia"/>
          <w:b/>
          <w:bCs/>
          <w:sz w:val="28"/>
          <w:szCs w:val="28"/>
          <w:u w:val="single"/>
          <w:lang w:val="en-US"/>
        </w:rPr>
        <w:t>1.</w:t>
      </w:r>
      <w:r>
        <w:rPr>
          <w:rFonts w:eastAsiaTheme="majorEastAsia"/>
          <w:b/>
          <w:bCs/>
          <w:sz w:val="28"/>
          <w:szCs w:val="28"/>
          <w:u w:val="single"/>
        </w:rPr>
        <w:t>/</w:t>
      </w:r>
      <w:bookmarkEnd w:id="36"/>
    </w:p>
    <w:p w:rsidR="00704528" w:rsidRDefault="00704528" w:rsidP="00704528">
      <w:pPr>
        <w:ind w:firstLine="709"/>
        <w:contextualSpacing/>
        <w:jc w:val="both"/>
        <w:rPr>
          <w:sz w:val="28"/>
          <w:szCs w:val="28"/>
        </w:rPr>
      </w:pPr>
      <w:r>
        <w:rPr>
          <w:sz w:val="28"/>
          <w:szCs w:val="28"/>
        </w:rPr>
        <w:t>Общата картина на корупционните престъпления през отчетната година и преходните две години за района на Окръжна прокуратура – Варна е следната:</w:t>
      </w:r>
    </w:p>
    <w:p w:rsidR="00704528" w:rsidRDefault="00704528" w:rsidP="00704528">
      <w:pPr>
        <w:ind w:firstLine="709"/>
        <w:contextualSpacing/>
        <w:jc w:val="both"/>
        <w:rPr>
          <w:sz w:val="28"/>
          <w:szCs w:val="28"/>
        </w:rPr>
      </w:pPr>
    </w:p>
    <w:tbl>
      <w:tblPr>
        <w:tblStyle w:val="210"/>
        <w:tblW w:w="0" w:type="auto"/>
        <w:tblInd w:w="0" w:type="dxa"/>
        <w:tblLook w:val="04A0" w:firstRow="1" w:lastRow="0" w:firstColumn="1" w:lastColumn="0" w:noHBand="0" w:noVBand="1"/>
      </w:tblPr>
      <w:tblGrid>
        <w:gridCol w:w="7361"/>
        <w:gridCol w:w="776"/>
        <w:gridCol w:w="776"/>
        <w:gridCol w:w="776"/>
      </w:tblGrid>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bookmarkStart w:id="37" w:name="OLE_LINK36"/>
            <w:r>
              <w:rPr>
                <w:sz w:val="28"/>
                <w:szCs w:val="28"/>
              </w:rPr>
              <w:t>Показатели</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color w:val="FF0000"/>
                <w:sz w:val="28"/>
                <w:szCs w:val="28"/>
              </w:rPr>
            </w:pPr>
            <w:r>
              <w:rPr>
                <w:sz w:val="28"/>
                <w:szCs w:val="28"/>
              </w:rPr>
              <w:t>2023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Наблюдавани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rPr>
                <w:sz w:val="28"/>
                <w:szCs w:val="28"/>
              </w:rPr>
            </w:pPr>
            <w:r>
              <w:rPr>
                <w:sz w:val="28"/>
                <w:szCs w:val="28"/>
              </w:rPr>
              <w:t>134</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138</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168</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Новообразувани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45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42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68</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Решени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65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62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78</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Прокурорски актове, внесени в съда</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14</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17</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Лица по внесените в съда прокурорски актове</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14</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16</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Осъдени и санкционирани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10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15</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Оправдани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w:t>
            </w:r>
          </w:p>
        </w:tc>
      </w:tr>
    </w:tbl>
    <w:bookmarkEnd w:id="37"/>
    <w:p w:rsidR="00704528" w:rsidRDefault="00704528" w:rsidP="00704528">
      <w:pPr>
        <w:ind w:firstLine="709"/>
        <w:contextualSpacing/>
        <w:jc w:val="both"/>
        <w:rPr>
          <w:i/>
          <w:sz w:val="28"/>
          <w:szCs w:val="28"/>
        </w:rPr>
      </w:pPr>
      <w:r>
        <w:rPr>
          <w:sz w:val="28"/>
          <w:szCs w:val="28"/>
        </w:rPr>
        <w:t xml:space="preserve">Делата за подкуп, наблюдавани от ОП – Варна през 2023 г. са 14 бр., докато през 2022 г. са били 10 бр., а през 2021 г. – 13 бр. </w:t>
      </w:r>
      <w:r>
        <w:rPr>
          <w:i/>
          <w:sz w:val="28"/>
          <w:szCs w:val="28"/>
        </w:rPr>
        <w:t>Налице е увеличение с 40% спрямо 2022 г. и с 7,7</w:t>
      </w:r>
      <w:r w:rsidR="00704100">
        <w:rPr>
          <w:i/>
          <w:sz w:val="28"/>
          <w:szCs w:val="28"/>
        </w:rPr>
        <w:t>%</w:t>
      </w:r>
      <w:r>
        <w:rPr>
          <w:i/>
          <w:sz w:val="28"/>
          <w:szCs w:val="28"/>
        </w:rPr>
        <w:t xml:space="preserve"> спрямо 2021 г.  </w:t>
      </w:r>
    </w:p>
    <w:p w:rsidR="00704528" w:rsidRDefault="00704528" w:rsidP="00704528">
      <w:pPr>
        <w:ind w:firstLine="709"/>
        <w:contextualSpacing/>
        <w:jc w:val="both"/>
        <w:rPr>
          <w:i/>
          <w:sz w:val="28"/>
          <w:szCs w:val="28"/>
        </w:rPr>
      </w:pPr>
      <w:r>
        <w:rPr>
          <w:sz w:val="28"/>
          <w:szCs w:val="28"/>
        </w:rPr>
        <w:lastRenderedPageBreak/>
        <w:t xml:space="preserve">През 2023 г. делата, водени за престъпления по служба под надзора на ОП - Варна са 17 бр. През 2022 г. те са били 16 бр., а през 2021 г. – 18 бр. </w:t>
      </w:r>
      <w:r>
        <w:rPr>
          <w:i/>
          <w:sz w:val="28"/>
          <w:szCs w:val="28"/>
        </w:rPr>
        <w:t xml:space="preserve">И през трите отчетни периода бройката е относително константна.   </w:t>
      </w:r>
    </w:p>
    <w:p w:rsidR="00704528" w:rsidRDefault="00704528" w:rsidP="00704528">
      <w:pPr>
        <w:ind w:firstLine="709"/>
        <w:contextualSpacing/>
        <w:jc w:val="both"/>
        <w:rPr>
          <w:i/>
          <w:sz w:val="28"/>
          <w:szCs w:val="28"/>
        </w:rPr>
      </w:pPr>
      <w:r>
        <w:rPr>
          <w:i/>
          <w:sz w:val="28"/>
          <w:szCs w:val="28"/>
        </w:rPr>
        <w:t>Като цяло през отчетната 2023 г. за района на ОП – Варна  е налице значително повишаване при общия брой наблюдавани, новообразувани, решени, внесени в съд и осъдени лица и намаление на оправдателните присъди.</w:t>
      </w:r>
    </w:p>
    <w:p w:rsidR="00704528" w:rsidRDefault="00704528" w:rsidP="00704528">
      <w:pPr>
        <w:ind w:firstLine="709"/>
        <w:contextualSpacing/>
        <w:jc w:val="both"/>
        <w:rPr>
          <w:i/>
          <w:sz w:val="28"/>
          <w:szCs w:val="28"/>
        </w:rPr>
      </w:pPr>
    </w:p>
    <w:p w:rsidR="00704528" w:rsidRDefault="00704528" w:rsidP="00704528">
      <w:pPr>
        <w:ind w:firstLine="709"/>
        <w:contextualSpacing/>
        <w:jc w:val="both"/>
        <w:rPr>
          <w:i/>
          <w:sz w:val="28"/>
          <w:szCs w:val="28"/>
        </w:rPr>
      </w:pPr>
      <w:r>
        <w:rPr>
          <w:noProof/>
        </w:rPr>
        <w:drawing>
          <wp:inline distT="0" distB="0" distL="0" distR="0" wp14:anchorId="1B44E018" wp14:editId="3C55BDCE">
            <wp:extent cx="5771515" cy="5462905"/>
            <wp:effectExtent l="0" t="0" r="19685" b="23495"/>
            <wp:docPr id="31" name="Диагра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04528" w:rsidRDefault="00704528" w:rsidP="00704528">
      <w:pPr>
        <w:ind w:firstLine="709"/>
        <w:contextualSpacing/>
        <w:jc w:val="both"/>
        <w:rPr>
          <w:i/>
          <w:sz w:val="28"/>
          <w:szCs w:val="28"/>
        </w:rPr>
      </w:pPr>
    </w:p>
    <w:p w:rsidR="00704528" w:rsidRDefault="00704528" w:rsidP="00704528">
      <w:pPr>
        <w:ind w:firstLine="709"/>
        <w:contextualSpacing/>
        <w:jc w:val="both"/>
        <w:rPr>
          <w:i/>
          <w:sz w:val="28"/>
          <w:szCs w:val="28"/>
        </w:rPr>
      </w:pPr>
      <w:r>
        <w:rPr>
          <w:i/>
          <w:sz w:val="28"/>
          <w:szCs w:val="28"/>
        </w:rPr>
        <w:t xml:space="preserve">Констатираната в миналогодишния доклад тенденция за  намаляване на броя на новообразуваните дела е преодоляна през настоящия отчетен период. </w:t>
      </w:r>
    </w:p>
    <w:p w:rsidR="00704528" w:rsidRDefault="00704528" w:rsidP="00704528">
      <w:pPr>
        <w:ind w:firstLine="708"/>
        <w:contextualSpacing/>
        <w:jc w:val="both"/>
        <w:rPr>
          <w:i/>
          <w:sz w:val="28"/>
          <w:szCs w:val="28"/>
        </w:rPr>
      </w:pPr>
      <w:r>
        <w:rPr>
          <w:i/>
          <w:sz w:val="28"/>
          <w:szCs w:val="28"/>
        </w:rPr>
        <w:t xml:space="preserve">Причината за това се дължи на връщане на подсъдността на окръжните прокуратури спрямо лицата, заемащи висши държавни длъжности, което от своя страна увеличи броя на </w:t>
      </w:r>
      <w:proofErr w:type="spellStart"/>
      <w:r>
        <w:rPr>
          <w:i/>
          <w:sz w:val="28"/>
          <w:szCs w:val="28"/>
        </w:rPr>
        <w:t>сезиранията</w:t>
      </w:r>
      <w:proofErr w:type="spellEnd"/>
      <w:r>
        <w:rPr>
          <w:i/>
          <w:sz w:val="28"/>
          <w:szCs w:val="28"/>
        </w:rPr>
        <w:t xml:space="preserve"> за извършени престъпления от страна на МВР. </w:t>
      </w:r>
    </w:p>
    <w:p w:rsidR="00704528" w:rsidRDefault="00704528" w:rsidP="00704528">
      <w:pPr>
        <w:ind w:firstLine="708"/>
        <w:contextualSpacing/>
        <w:jc w:val="both"/>
        <w:rPr>
          <w:i/>
          <w:sz w:val="28"/>
          <w:szCs w:val="28"/>
        </w:rPr>
      </w:pPr>
      <w:r>
        <w:rPr>
          <w:i/>
          <w:sz w:val="28"/>
          <w:szCs w:val="28"/>
        </w:rPr>
        <w:t xml:space="preserve">Показателите в тази връзка пряко зависят от работата органите на МВР.  Ако от тяхна страна не постъпва информация за наличието на данни за извършено престъпление, няма как Прокуратурата да влезе в своите функции. В </w:t>
      </w:r>
      <w:r>
        <w:rPr>
          <w:i/>
          <w:sz w:val="28"/>
          <w:szCs w:val="28"/>
        </w:rPr>
        <w:lastRenderedPageBreak/>
        <w:t xml:space="preserve">тази връзка още по-активна следва да бъде и работата на МВР, особено на сектор „Икономическа полиция“ и Дирекция „Вътрешна сигурност“.  </w:t>
      </w:r>
    </w:p>
    <w:p w:rsidR="00704528" w:rsidRDefault="00704528" w:rsidP="00704528">
      <w:pPr>
        <w:ind w:firstLine="708"/>
        <w:contextualSpacing/>
        <w:jc w:val="both"/>
        <w:rPr>
          <w:i/>
          <w:sz w:val="28"/>
          <w:szCs w:val="28"/>
        </w:rPr>
      </w:pPr>
      <w:r>
        <w:rPr>
          <w:i/>
          <w:sz w:val="28"/>
          <w:szCs w:val="28"/>
        </w:rPr>
        <w:t xml:space="preserve">На 01.03.2024 г. влиза в сила $9 от Закона за противодействие на корупцията и измененията в тази връзка в НПК, според които в Комисията за противодействия на корупцията е създадена специализирана дирекция "Противодействие на корупцията" с разследващи инспектори, които ще извършват разследване </w:t>
      </w:r>
      <w:r>
        <w:t xml:space="preserve"> </w:t>
      </w:r>
      <w:r>
        <w:rPr>
          <w:i/>
          <w:sz w:val="28"/>
          <w:szCs w:val="28"/>
        </w:rPr>
        <w:t xml:space="preserve">за престъпления по чл. 201, чл. 202, ал. 1 и 2, чл. 203, ал. 1, чл. 219, ал. 3 и 4, чл. 220, 224, 225б, 225в, 254а, чл. 254б, ал. 2, чл. 282, 282а, 283, 283а, 283б, чл. 294, ал. 4 във връзка с ал. 2, чл. 301, 302, 302а, 304, 304а, 304б, 305, 305а, 307 и чл. 387, ал. 3 от Наказателния кодекс, както и всяко едно друго престъпление, извършено от лица, заемащи публични длъжности, посочени в чл. 6, ал. 1 от Закона за противодействие на корупцията.   </w:t>
      </w:r>
    </w:p>
    <w:p w:rsidR="00704528" w:rsidRDefault="00704528" w:rsidP="00704528">
      <w:pPr>
        <w:ind w:firstLine="708"/>
        <w:contextualSpacing/>
        <w:jc w:val="both"/>
        <w:rPr>
          <w:i/>
          <w:sz w:val="28"/>
          <w:szCs w:val="28"/>
        </w:rPr>
      </w:pPr>
      <w:r>
        <w:rPr>
          <w:i/>
          <w:sz w:val="28"/>
          <w:szCs w:val="28"/>
        </w:rPr>
        <w:t xml:space="preserve">Тепърва ще следва да се използва и  този инструмент при разследването на корупционните престъпления. </w:t>
      </w:r>
    </w:p>
    <w:p w:rsidR="00704528" w:rsidRDefault="00704528" w:rsidP="00704528">
      <w:pPr>
        <w:keepNext/>
        <w:keepLines/>
        <w:contextualSpacing/>
        <w:jc w:val="both"/>
        <w:outlineLvl w:val="1"/>
        <w:rPr>
          <w:rFonts w:eastAsiaTheme="majorEastAsia"/>
          <w:bCs/>
          <w:color w:val="FF0000"/>
          <w:sz w:val="28"/>
          <w:szCs w:val="28"/>
          <w:lang w:val="en-US"/>
        </w:rPr>
      </w:pPr>
      <w:bookmarkStart w:id="38" w:name="_Toc506557852"/>
    </w:p>
    <w:p w:rsidR="00704528" w:rsidRDefault="00704528" w:rsidP="00704528">
      <w:pPr>
        <w:keepNext/>
        <w:keepLines/>
        <w:ind w:firstLine="709"/>
        <w:contextualSpacing/>
        <w:jc w:val="both"/>
        <w:outlineLvl w:val="1"/>
        <w:rPr>
          <w:rFonts w:eastAsiaTheme="majorEastAsia"/>
          <w:b/>
          <w:bCs/>
          <w:sz w:val="28"/>
          <w:szCs w:val="28"/>
          <w:u w:val="single"/>
        </w:rPr>
      </w:pPr>
      <w:r>
        <w:rPr>
          <w:rFonts w:eastAsiaTheme="majorEastAsia"/>
          <w:b/>
          <w:bCs/>
          <w:sz w:val="28"/>
          <w:szCs w:val="28"/>
          <w:u w:val="single"/>
          <w:lang w:val="en-US"/>
        </w:rPr>
        <w:t>3</w:t>
      </w:r>
      <w:r>
        <w:rPr>
          <w:rFonts w:eastAsiaTheme="majorEastAsia"/>
          <w:b/>
          <w:bCs/>
          <w:sz w:val="28"/>
          <w:szCs w:val="28"/>
          <w:u w:val="single"/>
        </w:rPr>
        <w:t>.3. Изпиране на пари /таблица 4.2.</w:t>
      </w:r>
      <w:proofErr w:type="spellStart"/>
      <w:r>
        <w:rPr>
          <w:rFonts w:eastAsiaTheme="majorEastAsia"/>
          <w:b/>
          <w:bCs/>
          <w:sz w:val="28"/>
          <w:szCs w:val="28"/>
          <w:u w:val="single"/>
        </w:rPr>
        <w:t>2</w:t>
      </w:r>
      <w:proofErr w:type="spellEnd"/>
      <w:r>
        <w:rPr>
          <w:rFonts w:eastAsiaTheme="majorEastAsia"/>
          <w:b/>
          <w:bCs/>
          <w:sz w:val="28"/>
          <w:szCs w:val="28"/>
          <w:u w:val="single"/>
        </w:rPr>
        <w:t>./</w:t>
      </w:r>
      <w:bookmarkEnd w:id="38"/>
    </w:p>
    <w:p w:rsidR="00704528" w:rsidRDefault="00704528" w:rsidP="00704528">
      <w:pPr>
        <w:ind w:firstLine="708"/>
        <w:contextualSpacing/>
        <w:jc w:val="both"/>
        <w:rPr>
          <w:sz w:val="28"/>
          <w:szCs w:val="28"/>
        </w:rPr>
      </w:pPr>
      <w:r>
        <w:rPr>
          <w:sz w:val="28"/>
          <w:szCs w:val="28"/>
        </w:rPr>
        <w:t>Показателите за тази категория дела са следните:</w:t>
      </w:r>
    </w:p>
    <w:tbl>
      <w:tblPr>
        <w:tblStyle w:val="210"/>
        <w:tblW w:w="9889" w:type="dxa"/>
        <w:tblInd w:w="0" w:type="dxa"/>
        <w:tblLayout w:type="fixed"/>
        <w:tblLook w:val="04A0" w:firstRow="1" w:lastRow="0" w:firstColumn="1" w:lastColumn="0" w:noHBand="0" w:noVBand="1"/>
      </w:tblPr>
      <w:tblGrid>
        <w:gridCol w:w="4219"/>
        <w:gridCol w:w="851"/>
        <w:gridCol w:w="2551"/>
        <w:gridCol w:w="2268"/>
      </w:tblGrid>
      <w:tr w:rsidR="00922B37" w:rsidTr="00922B37">
        <w:tc>
          <w:tcPr>
            <w:tcW w:w="4219" w:type="dxa"/>
            <w:tcBorders>
              <w:top w:val="single" w:sz="4" w:space="0" w:color="auto"/>
              <w:left w:val="single" w:sz="4" w:space="0" w:color="auto"/>
              <w:bottom w:val="single" w:sz="4" w:space="0" w:color="auto"/>
              <w:right w:val="single" w:sz="4" w:space="0" w:color="auto"/>
            </w:tcBorders>
            <w:hideMark/>
          </w:tcPr>
          <w:p w:rsidR="00922B37" w:rsidRDefault="00922B37" w:rsidP="00704528">
            <w:pPr>
              <w:contextualSpacing/>
              <w:jc w:val="both"/>
              <w:rPr>
                <w:sz w:val="28"/>
                <w:szCs w:val="28"/>
              </w:rPr>
            </w:pPr>
            <w:r>
              <w:rPr>
                <w:sz w:val="28"/>
                <w:szCs w:val="28"/>
              </w:rPr>
              <w:t>Показатели</w:t>
            </w:r>
          </w:p>
        </w:tc>
        <w:tc>
          <w:tcPr>
            <w:tcW w:w="8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2021</w:t>
            </w:r>
          </w:p>
        </w:tc>
        <w:tc>
          <w:tcPr>
            <w:tcW w:w="25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2022</w:t>
            </w:r>
          </w:p>
        </w:tc>
        <w:tc>
          <w:tcPr>
            <w:tcW w:w="2268"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2023</w:t>
            </w:r>
          </w:p>
        </w:tc>
      </w:tr>
      <w:tr w:rsidR="00922B37" w:rsidTr="00922B37">
        <w:tc>
          <w:tcPr>
            <w:tcW w:w="4219" w:type="dxa"/>
            <w:tcBorders>
              <w:top w:val="single" w:sz="4" w:space="0" w:color="auto"/>
              <w:left w:val="single" w:sz="4" w:space="0" w:color="auto"/>
              <w:bottom w:val="single" w:sz="4" w:space="0" w:color="auto"/>
              <w:right w:val="single" w:sz="4" w:space="0" w:color="auto"/>
            </w:tcBorders>
            <w:hideMark/>
          </w:tcPr>
          <w:p w:rsidR="00922B37" w:rsidRDefault="00922B37" w:rsidP="00704528">
            <w:pPr>
              <w:contextualSpacing/>
              <w:jc w:val="both"/>
              <w:rPr>
                <w:sz w:val="28"/>
                <w:szCs w:val="28"/>
              </w:rPr>
            </w:pPr>
            <w:r>
              <w:rPr>
                <w:sz w:val="28"/>
                <w:szCs w:val="28"/>
              </w:rPr>
              <w:t>Наблюдавани ДП</w:t>
            </w:r>
          </w:p>
        </w:tc>
        <w:tc>
          <w:tcPr>
            <w:tcW w:w="8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31</w:t>
            </w:r>
          </w:p>
        </w:tc>
        <w:tc>
          <w:tcPr>
            <w:tcW w:w="25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 xml:space="preserve"> 35</w:t>
            </w:r>
          </w:p>
        </w:tc>
        <w:tc>
          <w:tcPr>
            <w:tcW w:w="2268"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28</w:t>
            </w:r>
          </w:p>
        </w:tc>
      </w:tr>
      <w:tr w:rsidR="00922B37" w:rsidTr="00922B37">
        <w:tc>
          <w:tcPr>
            <w:tcW w:w="4219" w:type="dxa"/>
            <w:tcBorders>
              <w:top w:val="single" w:sz="4" w:space="0" w:color="auto"/>
              <w:left w:val="single" w:sz="4" w:space="0" w:color="auto"/>
              <w:bottom w:val="single" w:sz="4" w:space="0" w:color="auto"/>
              <w:right w:val="single" w:sz="4" w:space="0" w:color="auto"/>
            </w:tcBorders>
            <w:hideMark/>
          </w:tcPr>
          <w:p w:rsidR="00922B37" w:rsidRDefault="00922B37" w:rsidP="00704528">
            <w:pPr>
              <w:contextualSpacing/>
              <w:jc w:val="both"/>
              <w:rPr>
                <w:sz w:val="28"/>
                <w:szCs w:val="28"/>
              </w:rPr>
            </w:pPr>
            <w:r>
              <w:rPr>
                <w:sz w:val="28"/>
                <w:szCs w:val="28"/>
              </w:rPr>
              <w:t>Новообразувани ДП</w:t>
            </w:r>
          </w:p>
        </w:tc>
        <w:tc>
          <w:tcPr>
            <w:tcW w:w="8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5</w:t>
            </w:r>
          </w:p>
        </w:tc>
        <w:tc>
          <w:tcPr>
            <w:tcW w:w="25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9</w:t>
            </w:r>
          </w:p>
        </w:tc>
        <w:tc>
          <w:tcPr>
            <w:tcW w:w="2268"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5</w:t>
            </w:r>
          </w:p>
        </w:tc>
      </w:tr>
      <w:tr w:rsidR="00922B37" w:rsidTr="00922B37">
        <w:tc>
          <w:tcPr>
            <w:tcW w:w="4219" w:type="dxa"/>
            <w:tcBorders>
              <w:top w:val="single" w:sz="4" w:space="0" w:color="auto"/>
              <w:left w:val="single" w:sz="4" w:space="0" w:color="auto"/>
              <w:bottom w:val="single" w:sz="4" w:space="0" w:color="auto"/>
              <w:right w:val="single" w:sz="4" w:space="0" w:color="auto"/>
            </w:tcBorders>
            <w:hideMark/>
          </w:tcPr>
          <w:p w:rsidR="00922B37" w:rsidRDefault="00922B37" w:rsidP="00704528">
            <w:pPr>
              <w:contextualSpacing/>
              <w:jc w:val="both"/>
              <w:rPr>
                <w:sz w:val="28"/>
                <w:szCs w:val="28"/>
              </w:rPr>
            </w:pPr>
            <w:r>
              <w:rPr>
                <w:sz w:val="28"/>
                <w:szCs w:val="28"/>
              </w:rPr>
              <w:t>Решени ДП*</w:t>
            </w:r>
          </w:p>
        </w:tc>
        <w:tc>
          <w:tcPr>
            <w:tcW w:w="8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13</w:t>
            </w:r>
          </w:p>
        </w:tc>
        <w:tc>
          <w:tcPr>
            <w:tcW w:w="25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21</w:t>
            </w:r>
          </w:p>
        </w:tc>
        <w:tc>
          <w:tcPr>
            <w:tcW w:w="2268"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13</w:t>
            </w:r>
          </w:p>
        </w:tc>
      </w:tr>
      <w:tr w:rsidR="00922B37" w:rsidTr="00922B37">
        <w:tc>
          <w:tcPr>
            <w:tcW w:w="4219" w:type="dxa"/>
            <w:tcBorders>
              <w:top w:val="single" w:sz="4" w:space="0" w:color="auto"/>
              <w:left w:val="single" w:sz="4" w:space="0" w:color="auto"/>
              <w:bottom w:val="single" w:sz="4" w:space="0" w:color="auto"/>
              <w:right w:val="single" w:sz="4" w:space="0" w:color="auto"/>
            </w:tcBorders>
            <w:hideMark/>
          </w:tcPr>
          <w:p w:rsidR="00922B37" w:rsidRDefault="00922B37" w:rsidP="00704528">
            <w:pPr>
              <w:contextualSpacing/>
              <w:jc w:val="both"/>
              <w:rPr>
                <w:sz w:val="28"/>
                <w:szCs w:val="28"/>
              </w:rPr>
            </w:pPr>
            <w:r>
              <w:rPr>
                <w:sz w:val="28"/>
                <w:szCs w:val="28"/>
              </w:rPr>
              <w:t>Прокурорски актове, внесени в съда</w:t>
            </w:r>
          </w:p>
        </w:tc>
        <w:tc>
          <w:tcPr>
            <w:tcW w:w="8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3</w:t>
            </w:r>
          </w:p>
        </w:tc>
        <w:tc>
          <w:tcPr>
            <w:tcW w:w="25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3</w:t>
            </w:r>
          </w:p>
        </w:tc>
      </w:tr>
      <w:tr w:rsidR="00922B37" w:rsidTr="00922B37">
        <w:tc>
          <w:tcPr>
            <w:tcW w:w="4219" w:type="dxa"/>
            <w:tcBorders>
              <w:top w:val="single" w:sz="4" w:space="0" w:color="auto"/>
              <w:left w:val="single" w:sz="4" w:space="0" w:color="auto"/>
              <w:bottom w:val="single" w:sz="4" w:space="0" w:color="auto"/>
              <w:right w:val="single" w:sz="4" w:space="0" w:color="auto"/>
            </w:tcBorders>
            <w:hideMark/>
          </w:tcPr>
          <w:p w:rsidR="00922B37" w:rsidRDefault="00922B37" w:rsidP="00704528">
            <w:pPr>
              <w:contextualSpacing/>
              <w:jc w:val="both"/>
              <w:rPr>
                <w:sz w:val="28"/>
                <w:szCs w:val="28"/>
              </w:rPr>
            </w:pPr>
            <w:r>
              <w:rPr>
                <w:sz w:val="28"/>
                <w:szCs w:val="28"/>
              </w:rPr>
              <w:t>Лица по внесените в съда прокурорски актове</w:t>
            </w:r>
          </w:p>
        </w:tc>
        <w:tc>
          <w:tcPr>
            <w:tcW w:w="8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 xml:space="preserve"> 4</w:t>
            </w:r>
          </w:p>
        </w:tc>
        <w:tc>
          <w:tcPr>
            <w:tcW w:w="25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3</w:t>
            </w:r>
          </w:p>
        </w:tc>
      </w:tr>
      <w:tr w:rsidR="00922B37" w:rsidTr="00922B37">
        <w:tc>
          <w:tcPr>
            <w:tcW w:w="4219" w:type="dxa"/>
            <w:tcBorders>
              <w:top w:val="single" w:sz="4" w:space="0" w:color="auto"/>
              <w:left w:val="single" w:sz="4" w:space="0" w:color="auto"/>
              <w:bottom w:val="single" w:sz="4" w:space="0" w:color="auto"/>
              <w:right w:val="single" w:sz="4" w:space="0" w:color="auto"/>
            </w:tcBorders>
            <w:hideMark/>
          </w:tcPr>
          <w:p w:rsidR="00922B37" w:rsidRDefault="00922B37" w:rsidP="00704528">
            <w:pPr>
              <w:contextualSpacing/>
              <w:jc w:val="both"/>
              <w:rPr>
                <w:sz w:val="28"/>
                <w:szCs w:val="28"/>
              </w:rPr>
            </w:pPr>
            <w:r>
              <w:rPr>
                <w:sz w:val="28"/>
                <w:szCs w:val="28"/>
              </w:rPr>
              <w:t>Осъдени и санкционирани лица с влязъл в сила съдебен акт</w:t>
            </w:r>
          </w:p>
        </w:tc>
        <w:tc>
          <w:tcPr>
            <w:tcW w:w="8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 xml:space="preserve"> 2</w:t>
            </w:r>
          </w:p>
        </w:tc>
        <w:tc>
          <w:tcPr>
            <w:tcW w:w="25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4</w:t>
            </w:r>
            <w:r>
              <w:t xml:space="preserve"> ( 1 лице от  акт, внесен през преходен период</w:t>
            </w:r>
            <w:r>
              <w:rPr>
                <w:sz w:val="28"/>
                <w:szCs w:val="28"/>
              </w:rPr>
              <w:t>)</w:t>
            </w:r>
          </w:p>
        </w:tc>
      </w:tr>
      <w:tr w:rsidR="00922B37" w:rsidTr="00922B37">
        <w:tc>
          <w:tcPr>
            <w:tcW w:w="4219" w:type="dxa"/>
            <w:tcBorders>
              <w:top w:val="single" w:sz="4" w:space="0" w:color="auto"/>
              <w:left w:val="single" w:sz="4" w:space="0" w:color="auto"/>
              <w:bottom w:val="single" w:sz="4" w:space="0" w:color="auto"/>
              <w:right w:val="single" w:sz="4" w:space="0" w:color="auto"/>
            </w:tcBorders>
            <w:hideMark/>
          </w:tcPr>
          <w:p w:rsidR="00922B37" w:rsidRDefault="00922B37" w:rsidP="00704528">
            <w:pPr>
              <w:contextualSpacing/>
              <w:jc w:val="both"/>
              <w:rPr>
                <w:sz w:val="28"/>
                <w:szCs w:val="28"/>
              </w:rPr>
            </w:pPr>
            <w:r>
              <w:rPr>
                <w:sz w:val="28"/>
                <w:szCs w:val="28"/>
              </w:rPr>
              <w:t>Оправдани лица с влязъл в сила съдебен акт</w:t>
            </w:r>
          </w:p>
        </w:tc>
        <w:tc>
          <w:tcPr>
            <w:tcW w:w="8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 xml:space="preserve"> 0</w:t>
            </w:r>
          </w:p>
        </w:tc>
        <w:tc>
          <w:tcPr>
            <w:tcW w:w="2551"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pPr>
            <w:r>
              <w:t>1(</w:t>
            </w:r>
            <w:bookmarkStart w:id="39" w:name="OLE_LINK20"/>
            <w:r>
              <w:t>от акт, внесен през преходен период</w:t>
            </w:r>
            <w:bookmarkEnd w:id="39"/>
            <w:r>
              <w:t>)</w:t>
            </w:r>
          </w:p>
        </w:tc>
        <w:tc>
          <w:tcPr>
            <w:tcW w:w="2268" w:type="dxa"/>
            <w:tcBorders>
              <w:top w:val="single" w:sz="4" w:space="0" w:color="auto"/>
              <w:left w:val="single" w:sz="4" w:space="0" w:color="auto"/>
              <w:bottom w:val="single" w:sz="4" w:space="0" w:color="auto"/>
              <w:right w:val="single" w:sz="4" w:space="0" w:color="auto"/>
            </w:tcBorders>
            <w:hideMark/>
          </w:tcPr>
          <w:p w:rsidR="00922B37" w:rsidRDefault="00922B37" w:rsidP="00922B37">
            <w:pPr>
              <w:contextualSpacing/>
              <w:jc w:val="right"/>
              <w:rPr>
                <w:sz w:val="28"/>
                <w:szCs w:val="28"/>
              </w:rPr>
            </w:pPr>
            <w:r>
              <w:rPr>
                <w:sz w:val="28"/>
                <w:szCs w:val="28"/>
              </w:rPr>
              <w:t>0</w:t>
            </w:r>
          </w:p>
        </w:tc>
      </w:tr>
    </w:tbl>
    <w:p w:rsidR="00704528" w:rsidRDefault="00704528" w:rsidP="00704528">
      <w:pPr>
        <w:ind w:firstLine="709"/>
        <w:contextualSpacing/>
        <w:jc w:val="both"/>
        <w:rPr>
          <w:i/>
          <w:sz w:val="28"/>
          <w:szCs w:val="28"/>
        </w:rPr>
      </w:pPr>
      <w:r>
        <w:rPr>
          <w:i/>
          <w:sz w:val="28"/>
          <w:szCs w:val="28"/>
        </w:rPr>
        <w:t xml:space="preserve">При сравнение на актуалните данни с тези от предходните две години е видно, че е налице спад по показателите „наблюдавани ДП“, „новообразувани“ и „решени“ и устойчивост по показатели „внесени в съд“, „осъдени“ и „оправдани“ лица.    </w:t>
      </w:r>
    </w:p>
    <w:p w:rsidR="00704528" w:rsidRDefault="00704528" w:rsidP="00704528">
      <w:pPr>
        <w:ind w:firstLine="709"/>
        <w:contextualSpacing/>
        <w:jc w:val="both"/>
        <w:rPr>
          <w:i/>
          <w:sz w:val="28"/>
          <w:szCs w:val="28"/>
        </w:rPr>
      </w:pPr>
      <w:r>
        <w:rPr>
          <w:i/>
          <w:sz w:val="28"/>
          <w:szCs w:val="28"/>
        </w:rPr>
        <w:t xml:space="preserve">Причините за намалението на бройките при този вид дела се дължат на по-малкото сезирания в тази връзка от страна на органите отговорни за разкриването на този вид престъпления. </w:t>
      </w:r>
    </w:p>
    <w:p w:rsidR="00704528" w:rsidRDefault="00704528" w:rsidP="00704528">
      <w:pPr>
        <w:ind w:firstLine="709"/>
        <w:contextualSpacing/>
        <w:jc w:val="both"/>
        <w:rPr>
          <w:color w:val="FF0000"/>
          <w:sz w:val="28"/>
          <w:szCs w:val="28"/>
        </w:rPr>
      </w:pPr>
    </w:p>
    <w:p w:rsidR="00704528" w:rsidRDefault="00704528" w:rsidP="00704528">
      <w:pPr>
        <w:pStyle w:val="a3"/>
        <w:ind w:left="0" w:firstLine="709"/>
        <w:jc w:val="both"/>
        <w:outlineLvl w:val="1"/>
        <w:rPr>
          <w:b/>
          <w:sz w:val="28"/>
          <w:szCs w:val="28"/>
          <w:u w:val="single"/>
        </w:rPr>
      </w:pPr>
      <w:r>
        <w:rPr>
          <w:b/>
          <w:sz w:val="28"/>
          <w:szCs w:val="28"/>
          <w:u w:val="single"/>
          <w:lang w:val="en-US"/>
        </w:rPr>
        <w:t>3</w:t>
      </w:r>
      <w:r>
        <w:rPr>
          <w:b/>
          <w:sz w:val="28"/>
          <w:szCs w:val="28"/>
          <w:u w:val="single"/>
        </w:rPr>
        <w:t xml:space="preserve">.4 </w:t>
      </w:r>
      <w:bookmarkStart w:id="40" w:name="OLE_LINK41"/>
      <w:r>
        <w:rPr>
          <w:b/>
          <w:sz w:val="28"/>
          <w:szCs w:val="28"/>
          <w:u w:val="single"/>
        </w:rPr>
        <w:t xml:space="preserve">Престъпления с предмет – имущество и/или средства от фондове, принадлежащи на ЕС или предоставени от ЕС на българската държава </w:t>
      </w:r>
      <w:bookmarkEnd w:id="40"/>
      <w:r>
        <w:rPr>
          <w:b/>
          <w:sz w:val="28"/>
          <w:szCs w:val="28"/>
          <w:u w:val="single"/>
        </w:rPr>
        <w:t>/таблица 4.2.</w:t>
      </w:r>
      <w:proofErr w:type="spellStart"/>
      <w:r>
        <w:rPr>
          <w:b/>
          <w:sz w:val="28"/>
          <w:szCs w:val="28"/>
          <w:u w:val="single"/>
        </w:rPr>
        <w:t>2</w:t>
      </w:r>
      <w:proofErr w:type="spellEnd"/>
      <w:r>
        <w:rPr>
          <w:b/>
          <w:sz w:val="28"/>
          <w:szCs w:val="28"/>
          <w:u w:val="single"/>
        </w:rPr>
        <w:t>./</w:t>
      </w:r>
      <w:bookmarkStart w:id="41" w:name="_Toc506557856"/>
    </w:p>
    <w:p w:rsidR="00704528" w:rsidRDefault="00704528" w:rsidP="00704528">
      <w:pPr>
        <w:pStyle w:val="a3"/>
        <w:ind w:left="0" w:firstLine="709"/>
        <w:jc w:val="both"/>
        <w:outlineLvl w:val="1"/>
        <w:rPr>
          <w:sz w:val="28"/>
          <w:szCs w:val="28"/>
        </w:rPr>
      </w:pPr>
      <w:r>
        <w:rPr>
          <w:sz w:val="28"/>
          <w:szCs w:val="28"/>
        </w:rPr>
        <w:t>Показателите за ОП – Варна са следните:</w:t>
      </w:r>
    </w:p>
    <w:tbl>
      <w:tblPr>
        <w:tblStyle w:val="210"/>
        <w:tblW w:w="0" w:type="auto"/>
        <w:tblInd w:w="0" w:type="dxa"/>
        <w:tblLook w:val="04A0" w:firstRow="1" w:lastRow="0" w:firstColumn="1" w:lastColumn="0" w:noHBand="0" w:noVBand="1"/>
      </w:tblPr>
      <w:tblGrid>
        <w:gridCol w:w="7361"/>
        <w:gridCol w:w="776"/>
        <w:gridCol w:w="776"/>
        <w:gridCol w:w="776"/>
      </w:tblGrid>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bookmarkStart w:id="42" w:name="OLE_LINK43"/>
            <w:r>
              <w:rPr>
                <w:sz w:val="28"/>
                <w:szCs w:val="28"/>
              </w:rPr>
              <w:t>Показатели</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Наблюдавани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rPr>
                <w:sz w:val="28"/>
                <w:szCs w:val="28"/>
              </w:rPr>
            </w:pPr>
            <w:r>
              <w:rPr>
                <w:sz w:val="28"/>
                <w:szCs w:val="28"/>
              </w:rPr>
              <w:t>14</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9</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6</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lastRenderedPageBreak/>
              <w:t>Новообразувани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5</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Решени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Прокурорски актове, внесени в съда</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Лица по внесените в съда прокурорски актове</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Осъдени и санкционирани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Оправдани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0</w:t>
            </w:r>
          </w:p>
        </w:tc>
      </w:tr>
    </w:tbl>
    <w:bookmarkEnd w:id="42"/>
    <w:p w:rsidR="00704528" w:rsidRDefault="00704528" w:rsidP="00704528">
      <w:pPr>
        <w:pStyle w:val="a3"/>
        <w:ind w:left="0" w:firstLine="709"/>
        <w:jc w:val="both"/>
        <w:outlineLvl w:val="1"/>
        <w:rPr>
          <w:sz w:val="28"/>
          <w:szCs w:val="28"/>
        </w:rPr>
      </w:pPr>
      <w:r>
        <w:rPr>
          <w:sz w:val="28"/>
          <w:szCs w:val="28"/>
        </w:rPr>
        <w:t>Налице е 500% увеличение при новообразуваните в сравнение с 2022 г. и с 66,7</w:t>
      </w:r>
      <w:r w:rsidR="00704100">
        <w:rPr>
          <w:sz w:val="28"/>
          <w:szCs w:val="28"/>
        </w:rPr>
        <w:t>%</w:t>
      </w:r>
      <w:r>
        <w:rPr>
          <w:sz w:val="28"/>
          <w:szCs w:val="28"/>
        </w:rPr>
        <w:t xml:space="preserve"> за 2021 г.</w:t>
      </w:r>
    </w:p>
    <w:p w:rsidR="00704528" w:rsidRDefault="00704528" w:rsidP="00922B37">
      <w:pPr>
        <w:pStyle w:val="a3"/>
        <w:ind w:left="0" w:firstLine="709"/>
        <w:jc w:val="both"/>
        <w:outlineLvl w:val="1"/>
        <w:rPr>
          <w:rFonts w:eastAsiaTheme="majorEastAsia"/>
          <w:bCs/>
          <w:color w:val="FF0000"/>
          <w:sz w:val="28"/>
          <w:szCs w:val="28"/>
        </w:rPr>
      </w:pPr>
      <w:r>
        <w:rPr>
          <w:i/>
          <w:sz w:val="28"/>
          <w:szCs w:val="28"/>
        </w:rPr>
        <w:t xml:space="preserve"> </w:t>
      </w:r>
    </w:p>
    <w:p w:rsidR="00704528" w:rsidRDefault="00704528" w:rsidP="00704528">
      <w:pPr>
        <w:keepNext/>
        <w:keepLines/>
        <w:ind w:firstLine="709"/>
        <w:contextualSpacing/>
        <w:jc w:val="both"/>
        <w:outlineLvl w:val="1"/>
        <w:rPr>
          <w:rFonts w:eastAsiaTheme="majorEastAsia"/>
          <w:b/>
          <w:bCs/>
          <w:sz w:val="28"/>
          <w:szCs w:val="28"/>
          <w:u w:val="single"/>
        </w:rPr>
      </w:pPr>
      <w:r>
        <w:rPr>
          <w:rFonts w:eastAsiaTheme="majorEastAsia"/>
          <w:b/>
          <w:bCs/>
          <w:sz w:val="28"/>
          <w:szCs w:val="28"/>
          <w:u w:val="single"/>
          <w:lang w:val="en-US"/>
        </w:rPr>
        <w:t>3</w:t>
      </w:r>
      <w:r>
        <w:rPr>
          <w:rFonts w:eastAsiaTheme="majorEastAsia"/>
          <w:b/>
          <w:bCs/>
          <w:sz w:val="28"/>
          <w:szCs w:val="28"/>
          <w:u w:val="single"/>
        </w:rPr>
        <w:t xml:space="preserve">.5. </w:t>
      </w:r>
      <w:bookmarkStart w:id="43" w:name="OLE_LINK42"/>
      <w:r>
        <w:rPr>
          <w:rFonts w:eastAsiaTheme="majorEastAsia"/>
          <w:b/>
          <w:bCs/>
          <w:sz w:val="28"/>
          <w:szCs w:val="28"/>
          <w:u w:val="single"/>
        </w:rPr>
        <w:t>Престъпления против паричната и кредитната система – изготвяне и прокарване в обръщение и използване на неистински и преправени парични и други знаци и платежни инструменти</w:t>
      </w:r>
      <w:bookmarkEnd w:id="43"/>
      <w:r>
        <w:rPr>
          <w:rFonts w:eastAsiaTheme="majorEastAsia"/>
          <w:b/>
          <w:bCs/>
          <w:sz w:val="28"/>
          <w:szCs w:val="28"/>
          <w:u w:val="single"/>
        </w:rPr>
        <w:t>. /таблица 4.2.3/</w:t>
      </w:r>
      <w:bookmarkEnd w:id="41"/>
    </w:p>
    <w:p w:rsidR="00704528" w:rsidRDefault="00704528" w:rsidP="00704528">
      <w:pPr>
        <w:ind w:firstLine="709"/>
        <w:contextualSpacing/>
        <w:jc w:val="both"/>
        <w:rPr>
          <w:sz w:val="28"/>
          <w:szCs w:val="28"/>
        </w:rPr>
      </w:pPr>
      <w:r>
        <w:rPr>
          <w:sz w:val="28"/>
          <w:szCs w:val="28"/>
        </w:rPr>
        <w:t xml:space="preserve">Показателите на наблюдаваните досъдебни производства от тази категория за района на ОП –Варна са следните: </w:t>
      </w:r>
    </w:p>
    <w:tbl>
      <w:tblPr>
        <w:tblStyle w:val="210"/>
        <w:tblW w:w="0" w:type="auto"/>
        <w:tblInd w:w="0" w:type="dxa"/>
        <w:tblLook w:val="04A0" w:firstRow="1" w:lastRow="0" w:firstColumn="1" w:lastColumn="0" w:noHBand="0" w:noVBand="1"/>
      </w:tblPr>
      <w:tblGrid>
        <w:gridCol w:w="7361"/>
        <w:gridCol w:w="776"/>
        <w:gridCol w:w="776"/>
        <w:gridCol w:w="776"/>
      </w:tblGrid>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bookmarkStart w:id="44" w:name="_Hlk155699516"/>
            <w:r>
              <w:rPr>
                <w:sz w:val="28"/>
                <w:szCs w:val="28"/>
              </w:rPr>
              <w:t>Показатели</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Наблюдавани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rPr>
                <w:sz w:val="28"/>
                <w:szCs w:val="28"/>
              </w:rPr>
            </w:pPr>
            <w:r>
              <w:rPr>
                <w:sz w:val="28"/>
                <w:szCs w:val="28"/>
              </w:rPr>
              <w:t>344</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386</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443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Новообразувани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134</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157</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150</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Решени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245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270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331</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Прокурорски актове, внесени в съда</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33</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21</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Лица по внесените в съда прокурорски актове</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25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38</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25</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Осъдени и санкционирани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24</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27*</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Оправдани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w:t>
            </w:r>
          </w:p>
        </w:tc>
      </w:tr>
    </w:tbl>
    <w:bookmarkEnd w:id="44"/>
    <w:p w:rsidR="00704528" w:rsidRDefault="00704528" w:rsidP="00E61EBB">
      <w:pPr>
        <w:ind w:firstLine="709"/>
        <w:contextualSpacing/>
        <w:jc w:val="both"/>
        <w:rPr>
          <w:rFonts w:asciiTheme="minorHAnsi" w:eastAsiaTheme="minorHAnsi" w:hAnsiTheme="minorHAnsi" w:cstheme="minorBidi"/>
          <w:sz w:val="28"/>
          <w:szCs w:val="28"/>
          <w:lang w:eastAsia="en-US"/>
        </w:rPr>
      </w:pPr>
      <w:r>
        <w:rPr>
          <w:sz w:val="28"/>
          <w:szCs w:val="28"/>
        </w:rPr>
        <w:t xml:space="preserve">Традиционно най-голям е броят на делата по чл.249 от НК. </w:t>
      </w:r>
    </w:p>
    <w:p w:rsidR="00E61EBB" w:rsidRDefault="00704528" w:rsidP="00E61EBB">
      <w:pPr>
        <w:ind w:firstLine="709"/>
        <w:contextualSpacing/>
        <w:jc w:val="both"/>
        <w:rPr>
          <w:i/>
          <w:sz w:val="28"/>
          <w:szCs w:val="28"/>
        </w:rPr>
      </w:pPr>
      <w:r>
        <w:rPr>
          <w:i/>
          <w:sz w:val="28"/>
          <w:szCs w:val="28"/>
        </w:rPr>
        <w:t>Налице е увеличение на решените досъдебни производства с 22.6% в сравнение с 2022 г. и с 35.1</w:t>
      </w:r>
      <w:r w:rsidR="00704100">
        <w:rPr>
          <w:i/>
          <w:sz w:val="28"/>
          <w:szCs w:val="28"/>
        </w:rPr>
        <w:t>%</w:t>
      </w:r>
      <w:r>
        <w:rPr>
          <w:i/>
          <w:sz w:val="28"/>
          <w:szCs w:val="28"/>
        </w:rPr>
        <w:t xml:space="preserve"> в сравнение с 2021 г. Поостаналите показатели е налице лек спад, който може да бъде обяснен със спецификите и трудностите при разследването </w:t>
      </w:r>
      <w:r w:rsidR="00E61EBB">
        <w:rPr>
          <w:i/>
          <w:sz w:val="28"/>
          <w:szCs w:val="28"/>
        </w:rPr>
        <w:t>на престъпленията от този вид.</w:t>
      </w:r>
    </w:p>
    <w:p w:rsidR="00704528" w:rsidRDefault="00704528" w:rsidP="00E61EBB">
      <w:pPr>
        <w:ind w:firstLine="709"/>
        <w:contextualSpacing/>
        <w:jc w:val="both"/>
        <w:rPr>
          <w:i/>
          <w:sz w:val="28"/>
          <w:szCs w:val="28"/>
        </w:rPr>
      </w:pPr>
      <w:r>
        <w:rPr>
          <w:i/>
          <w:sz w:val="28"/>
          <w:szCs w:val="28"/>
        </w:rPr>
        <w:t xml:space="preserve"> </w:t>
      </w:r>
    </w:p>
    <w:p w:rsidR="00704528" w:rsidRDefault="00704528" w:rsidP="00704528">
      <w:pPr>
        <w:keepNext/>
        <w:keepLines/>
        <w:ind w:firstLine="709"/>
        <w:contextualSpacing/>
        <w:jc w:val="both"/>
        <w:outlineLvl w:val="1"/>
        <w:rPr>
          <w:rFonts w:eastAsiaTheme="majorEastAsia"/>
          <w:b/>
          <w:bCs/>
          <w:sz w:val="28"/>
          <w:szCs w:val="28"/>
          <w:u w:val="single"/>
          <w:lang w:eastAsia="en-US"/>
        </w:rPr>
      </w:pPr>
      <w:bookmarkStart w:id="45" w:name="_Toc506557857"/>
      <w:r>
        <w:rPr>
          <w:rFonts w:eastAsiaTheme="majorEastAsia"/>
          <w:bCs/>
          <w:color w:val="FF0000"/>
          <w:sz w:val="28"/>
          <w:szCs w:val="28"/>
        </w:rPr>
        <w:tab/>
      </w:r>
      <w:r>
        <w:rPr>
          <w:rFonts w:eastAsiaTheme="majorEastAsia"/>
          <w:b/>
          <w:bCs/>
          <w:sz w:val="28"/>
          <w:szCs w:val="28"/>
          <w:u w:val="single"/>
          <w:lang w:val="en-US"/>
        </w:rPr>
        <w:t>3</w:t>
      </w:r>
      <w:r>
        <w:rPr>
          <w:rFonts w:eastAsiaTheme="majorEastAsia"/>
          <w:b/>
          <w:bCs/>
          <w:sz w:val="28"/>
          <w:szCs w:val="28"/>
          <w:u w:val="single"/>
        </w:rPr>
        <w:t xml:space="preserve">.6. </w:t>
      </w:r>
      <w:bookmarkStart w:id="46" w:name="OLE_LINK44"/>
      <w:r>
        <w:rPr>
          <w:rFonts w:eastAsiaTheme="majorEastAsia"/>
          <w:b/>
          <w:bCs/>
          <w:sz w:val="28"/>
          <w:szCs w:val="28"/>
          <w:u w:val="single"/>
        </w:rPr>
        <w:t>Данъчни престъпления</w:t>
      </w:r>
      <w:bookmarkEnd w:id="46"/>
      <w:r>
        <w:rPr>
          <w:rFonts w:eastAsiaTheme="majorEastAsia"/>
          <w:b/>
          <w:bCs/>
          <w:sz w:val="28"/>
          <w:szCs w:val="28"/>
          <w:u w:val="single"/>
        </w:rPr>
        <w:t>. Престъпления с предмет ДДС.</w:t>
      </w:r>
      <w:bookmarkEnd w:id="45"/>
      <w:r>
        <w:rPr>
          <w:rFonts w:eastAsiaTheme="majorEastAsia"/>
          <w:b/>
          <w:bCs/>
          <w:sz w:val="28"/>
          <w:szCs w:val="28"/>
          <w:u w:val="single"/>
        </w:rPr>
        <w:t xml:space="preserve"> </w:t>
      </w:r>
      <w:bookmarkStart w:id="47" w:name="_Toc506557858"/>
      <w:r>
        <w:rPr>
          <w:rFonts w:eastAsiaTheme="majorEastAsia"/>
          <w:b/>
          <w:bCs/>
          <w:sz w:val="28"/>
          <w:szCs w:val="28"/>
          <w:u w:val="single"/>
        </w:rPr>
        <w:t>/таблица 4.2.</w:t>
      </w:r>
      <w:proofErr w:type="spellStart"/>
      <w:r>
        <w:rPr>
          <w:rFonts w:eastAsiaTheme="majorEastAsia"/>
          <w:b/>
          <w:bCs/>
          <w:sz w:val="28"/>
          <w:szCs w:val="28"/>
          <w:u w:val="single"/>
        </w:rPr>
        <w:t>2</w:t>
      </w:r>
      <w:proofErr w:type="spellEnd"/>
      <w:r>
        <w:rPr>
          <w:rFonts w:eastAsiaTheme="majorEastAsia"/>
          <w:b/>
          <w:bCs/>
          <w:sz w:val="28"/>
          <w:szCs w:val="28"/>
          <w:u w:val="single"/>
        </w:rPr>
        <w:t>./</w:t>
      </w:r>
      <w:bookmarkEnd w:id="47"/>
    </w:p>
    <w:p w:rsidR="00704528" w:rsidRDefault="00704528" w:rsidP="00704528">
      <w:pPr>
        <w:ind w:firstLine="709"/>
        <w:contextualSpacing/>
        <w:jc w:val="both"/>
        <w:rPr>
          <w:sz w:val="28"/>
          <w:szCs w:val="28"/>
        </w:rPr>
      </w:pPr>
      <w:r>
        <w:rPr>
          <w:sz w:val="28"/>
          <w:szCs w:val="28"/>
        </w:rPr>
        <w:t>През 2023 г. в района на ОП - Варна са наблюдавани общо 331 досъдебни производства за данъчни престъпления, от които най-голям дял традиционно имат тези, свързани с ДДС, чийто брой е 159. От общия брой дела от тази категория, наблюдаваните от ОП - Варна са 282, а от РП - Варна – 49.</w:t>
      </w:r>
    </w:p>
    <w:p w:rsidR="00E61EBB" w:rsidRDefault="00E61EBB" w:rsidP="00704528">
      <w:pPr>
        <w:ind w:firstLine="709"/>
        <w:contextualSpacing/>
        <w:jc w:val="both"/>
        <w:rPr>
          <w:sz w:val="28"/>
          <w:szCs w:val="28"/>
        </w:rPr>
      </w:pPr>
    </w:p>
    <w:p w:rsidR="00704528" w:rsidRDefault="00704528" w:rsidP="00704528">
      <w:pPr>
        <w:ind w:firstLine="709"/>
        <w:contextualSpacing/>
        <w:jc w:val="both"/>
        <w:rPr>
          <w:sz w:val="28"/>
          <w:szCs w:val="28"/>
        </w:rPr>
      </w:pPr>
      <w:r>
        <w:rPr>
          <w:sz w:val="28"/>
          <w:szCs w:val="28"/>
        </w:rPr>
        <w:t>Представени в табличен вид данните са следните:</w:t>
      </w:r>
    </w:p>
    <w:tbl>
      <w:tblPr>
        <w:tblStyle w:val="210"/>
        <w:tblW w:w="0" w:type="auto"/>
        <w:tblInd w:w="0" w:type="dxa"/>
        <w:tblLook w:val="04A0" w:firstRow="1" w:lastRow="0" w:firstColumn="1" w:lastColumn="0" w:noHBand="0" w:noVBand="1"/>
      </w:tblPr>
      <w:tblGrid>
        <w:gridCol w:w="7361"/>
        <w:gridCol w:w="776"/>
        <w:gridCol w:w="776"/>
        <w:gridCol w:w="776"/>
      </w:tblGrid>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bookmarkStart w:id="48" w:name="_Hlk156474237"/>
            <w:r>
              <w:rPr>
                <w:sz w:val="28"/>
                <w:szCs w:val="28"/>
              </w:rPr>
              <w:t>Показатели</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Наблюдавани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rPr>
                <w:sz w:val="28"/>
                <w:szCs w:val="28"/>
              </w:rPr>
            </w:pPr>
            <w:r>
              <w:rPr>
                <w:sz w:val="28"/>
                <w:szCs w:val="28"/>
              </w:rPr>
              <w:t>310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315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331</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Новообразувани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85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71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96</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Решени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114</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129</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133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Прокурорски актове, внесени в съда</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18</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16</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Лица по внесените в съда прокурорски актове</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25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21</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Осъдени и санкционирани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14</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Оправдани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6</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w:t>
            </w:r>
          </w:p>
        </w:tc>
      </w:tr>
    </w:tbl>
    <w:bookmarkEnd w:id="48"/>
    <w:p w:rsidR="00704528" w:rsidRDefault="00704528" w:rsidP="00704528">
      <w:pPr>
        <w:ind w:firstLine="709"/>
        <w:contextualSpacing/>
        <w:jc w:val="both"/>
        <w:rPr>
          <w:sz w:val="28"/>
          <w:szCs w:val="28"/>
        </w:rPr>
      </w:pPr>
      <w:r>
        <w:rPr>
          <w:sz w:val="28"/>
          <w:szCs w:val="28"/>
        </w:rPr>
        <w:lastRenderedPageBreak/>
        <w:t xml:space="preserve">Констатира се увеличение при новообразуваните и решените дела и намаление на оправданите лица, в сравнение с предишните два отчетни периода. </w:t>
      </w:r>
    </w:p>
    <w:p w:rsidR="00704528" w:rsidRDefault="00704528" w:rsidP="00704528">
      <w:pPr>
        <w:contextualSpacing/>
        <w:jc w:val="both"/>
        <w:rPr>
          <w:color w:val="FF0000"/>
          <w:sz w:val="28"/>
          <w:szCs w:val="28"/>
        </w:rPr>
      </w:pPr>
    </w:p>
    <w:p w:rsidR="00704528" w:rsidRDefault="00704528" w:rsidP="00704528">
      <w:pPr>
        <w:ind w:firstLine="709"/>
        <w:contextualSpacing/>
        <w:jc w:val="both"/>
        <w:rPr>
          <w:sz w:val="28"/>
          <w:szCs w:val="28"/>
        </w:rPr>
      </w:pPr>
      <w:r>
        <w:rPr>
          <w:sz w:val="28"/>
          <w:szCs w:val="28"/>
        </w:rPr>
        <w:t>Относно делата, свързани с ДДС, показателите са следните:</w:t>
      </w:r>
    </w:p>
    <w:tbl>
      <w:tblPr>
        <w:tblStyle w:val="210"/>
        <w:tblW w:w="0" w:type="auto"/>
        <w:tblInd w:w="0" w:type="dxa"/>
        <w:tblLook w:val="04A0" w:firstRow="1" w:lastRow="0" w:firstColumn="1" w:lastColumn="0" w:noHBand="0" w:noVBand="1"/>
      </w:tblPr>
      <w:tblGrid>
        <w:gridCol w:w="7361"/>
        <w:gridCol w:w="776"/>
        <w:gridCol w:w="776"/>
        <w:gridCol w:w="776"/>
      </w:tblGrid>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Показатели</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Наблюдавани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rPr>
                <w:sz w:val="28"/>
                <w:szCs w:val="28"/>
              </w:rPr>
            </w:pPr>
            <w:r>
              <w:rPr>
                <w:sz w:val="28"/>
                <w:szCs w:val="28"/>
              </w:rPr>
              <w:t>145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162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159</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Новообразувани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40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39</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Решени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52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75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60</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Прокурорски актове, внесени в съда</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6</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Лица по внесените в съда прокурорски актове</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17</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8</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Осъдени и санкционирани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Оправдани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w:t>
            </w:r>
          </w:p>
        </w:tc>
      </w:tr>
    </w:tbl>
    <w:p w:rsidR="00704528" w:rsidRDefault="00704528" w:rsidP="00704528">
      <w:pPr>
        <w:ind w:firstLine="709"/>
        <w:contextualSpacing/>
        <w:jc w:val="both"/>
        <w:rPr>
          <w:sz w:val="28"/>
          <w:szCs w:val="28"/>
        </w:rPr>
      </w:pPr>
      <w:r>
        <w:rPr>
          <w:sz w:val="28"/>
          <w:szCs w:val="28"/>
        </w:rPr>
        <w:t xml:space="preserve">При делата с предмет ДДС също е налице увеличение на новообразуваните дела и намаление на броя на оправданите лица. </w:t>
      </w:r>
    </w:p>
    <w:p w:rsidR="00704528" w:rsidRDefault="00704528" w:rsidP="00704528">
      <w:pPr>
        <w:ind w:firstLine="709"/>
        <w:contextualSpacing/>
        <w:jc w:val="both"/>
        <w:rPr>
          <w:color w:val="FF0000"/>
          <w:sz w:val="28"/>
          <w:szCs w:val="28"/>
        </w:rPr>
      </w:pPr>
      <w:r>
        <w:rPr>
          <w:color w:val="FF0000"/>
          <w:sz w:val="28"/>
          <w:szCs w:val="28"/>
        </w:rPr>
        <w:t xml:space="preserve"> </w:t>
      </w:r>
    </w:p>
    <w:p w:rsidR="00704528" w:rsidRDefault="00704528" w:rsidP="00704528">
      <w:pPr>
        <w:keepNext/>
        <w:keepLines/>
        <w:ind w:firstLine="709"/>
        <w:contextualSpacing/>
        <w:jc w:val="both"/>
        <w:outlineLvl w:val="1"/>
        <w:rPr>
          <w:rFonts w:eastAsiaTheme="majorEastAsia"/>
          <w:b/>
          <w:bCs/>
          <w:sz w:val="28"/>
          <w:szCs w:val="28"/>
          <w:u w:val="single"/>
          <w:lang w:eastAsia="en-US"/>
        </w:rPr>
      </w:pPr>
      <w:bookmarkStart w:id="49" w:name="_Toc506557859"/>
      <w:r>
        <w:rPr>
          <w:rFonts w:eastAsiaTheme="majorEastAsia"/>
          <w:b/>
          <w:bCs/>
          <w:sz w:val="28"/>
          <w:szCs w:val="28"/>
          <w:u w:val="single"/>
          <w:lang w:val="en-US"/>
        </w:rPr>
        <w:t>3</w:t>
      </w:r>
      <w:r>
        <w:rPr>
          <w:rFonts w:eastAsiaTheme="majorEastAsia"/>
          <w:b/>
          <w:bCs/>
          <w:sz w:val="28"/>
          <w:szCs w:val="28"/>
          <w:u w:val="single"/>
        </w:rPr>
        <w:t xml:space="preserve">.7. </w:t>
      </w:r>
      <w:bookmarkStart w:id="50" w:name="OLE_LINK47"/>
      <w:r>
        <w:rPr>
          <w:rFonts w:eastAsiaTheme="majorEastAsia"/>
          <w:b/>
          <w:bCs/>
          <w:sz w:val="28"/>
          <w:szCs w:val="28"/>
          <w:u w:val="single"/>
        </w:rPr>
        <w:t>Престъпления с предмет наркотични вещества и прекурсори. Контрабанда</w:t>
      </w:r>
      <w:bookmarkEnd w:id="50"/>
      <w:r>
        <w:rPr>
          <w:rFonts w:eastAsiaTheme="majorEastAsia"/>
          <w:b/>
          <w:bCs/>
          <w:sz w:val="28"/>
          <w:szCs w:val="28"/>
          <w:u w:val="single"/>
        </w:rPr>
        <w:t xml:space="preserve"> /таблица 4.3.1./</w:t>
      </w:r>
      <w:bookmarkEnd w:id="49"/>
    </w:p>
    <w:p w:rsidR="00704528" w:rsidRDefault="00704528" w:rsidP="00704528">
      <w:pPr>
        <w:ind w:firstLine="709"/>
        <w:contextualSpacing/>
        <w:jc w:val="both"/>
        <w:rPr>
          <w:sz w:val="28"/>
          <w:szCs w:val="28"/>
        </w:rPr>
      </w:pPr>
      <w:bookmarkStart w:id="51" w:name="OLE_LINK21"/>
    </w:p>
    <w:p w:rsidR="00704528" w:rsidRDefault="00704528" w:rsidP="00704528">
      <w:pPr>
        <w:ind w:firstLine="709"/>
        <w:contextualSpacing/>
        <w:jc w:val="both"/>
        <w:rPr>
          <w:sz w:val="28"/>
          <w:szCs w:val="28"/>
        </w:rPr>
      </w:pPr>
      <w:r>
        <w:rPr>
          <w:sz w:val="28"/>
          <w:szCs w:val="28"/>
        </w:rPr>
        <w:t>В тази категория данните са следните:</w:t>
      </w:r>
    </w:p>
    <w:tbl>
      <w:tblPr>
        <w:tblStyle w:val="210"/>
        <w:tblW w:w="0" w:type="auto"/>
        <w:tblInd w:w="0" w:type="dxa"/>
        <w:tblLook w:val="04A0" w:firstRow="1" w:lastRow="0" w:firstColumn="1" w:lastColumn="0" w:noHBand="0" w:noVBand="1"/>
      </w:tblPr>
      <w:tblGrid>
        <w:gridCol w:w="4361"/>
        <w:gridCol w:w="1843"/>
        <w:gridCol w:w="1984"/>
        <w:gridCol w:w="1809"/>
      </w:tblGrid>
      <w:tr w:rsidR="00704528" w:rsidTr="00E61EBB">
        <w:tc>
          <w:tcPr>
            <w:tcW w:w="4361"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Показатели</w:t>
            </w:r>
          </w:p>
        </w:tc>
        <w:tc>
          <w:tcPr>
            <w:tcW w:w="1843"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2021</w:t>
            </w:r>
          </w:p>
        </w:tc>
        <w:tc>
          <w:tcPr>
            <w:tcW w:w="1984"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2022</w:t>
            </w:r>
          </w:p>
        </w:tc>
        <w:tc>
          <w:tcPr>
            <w:tcW w:w="1809"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2023</w:t>
            </w:r>
          </w:p>
        </w:tc>
      </w:tr>
      <w:tr w:rsidR="00704528" w:rsidTr="00E61EBB">
        <w:tc>
          <w:tcPr>
            <w:tcW w:w="4361"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Наблюдавани ДП</w:t>
            </w:r>
          </w:p>
        </w:tc>
        <w:tc>
          <w:tcPr>
            <w:tcW w:w="1843"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rPr>
                <w:sz w:val="28"/>
                <w:szCs w:val="28"/>
              </w:rPr>
            </w:pPr>
            <w:r>
              <w:rPr>
                <w:sz w:val="28"/>
                <w:szCs w:val="28"/>
              </w:rPr>
              <w:t>900(от тях 8 бр. са за контрабанда)</w:t>
            </w:r>
          </w:p>
        </w:tc>
        <w:tc>
          <w:tcPr>
            <w:tcW w:w="1984"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963(от тях 7 бр. са за контрабанда)</w:t>
            </w:r>
          </w:p>
        </w:tc>
        <w:tc>
          <w:tcPr>
            <w:tcW w:w="1809"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1071(от тях 4 бр. са за контрабанда)</w:t>
            </w:r>
          </w:p>
        </w:tc>
      </w:tr>
      <w:tr w:rsidR="00704528" w:rsidTr="00E61EBB">
        <w:tc>
          <w:tcPr>
            <w:tcW w:w="4361"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Новообразувани ДП</w:t>
            </w:r>
          </w:p>
        </w:tc>
        <w:tc>
          <w:tcPr>
            <w:tcW w:w="1843"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546</w:t>
            </w:r>
          </w:p>
        </w:tc>
        <w:tc>
          <w:tcPr>
            <w:tcW w:w="1984"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650</w:t>
            </w:r>
          </w:p>
        </w:tc>
        <w:tc>
          <w:tcPr>
            <w:tcW w:w="1809"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720</w:t>
            </w:r>
          </w:p>
        </w:tc>
      </w:tr>
      <w:tr w:rsidR="00704528" w:rsidTr="00E61EBB">
        <w:tc>
          <w:tcPr>
            <w:tcW w:w="4361"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Решени ДП</w:t>
            </w:r>
          </w:p>
        </w:tc>
        <w:tc>
          <w:tcPr>
            <w:tcW w:w="1843"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679</w:t>
            </w:r>
          </w:p>
        </w:tc>
        <w:tc>
          <w:tcPr>
            <w:tcW w:w="1984"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695</w:t>
            </w:r>
          </w:p>
        </w:tc>
        <w:tc>
          <w:tcPr>
            <w:tcW w:w="1809"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810</w:t>
            </w:r>
          </w:p>
        </w:tc>
      </w:tr>
      <w:tr w:rsidR="00704528" w:rsidTr="00E61EBB">
        <w:tc>
          <w:tcPr>
            <w:tcW w:w="4361"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Прокурорски актове, внесени в съда</w:t>
            </w:r>
          </w:p>
        </w:tc>
        <w:tc>
          <w:tcPr>
            <w:tcW w:w="1843"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233</w:t>
            </w:r>
          </w:p>
        </w:tc>
        <w:tc>
          <w:tcPr>
            <w:tcW w:w="1984"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300</w:t>
            </w:r>
          </w:p>
        </w:tc>
        <w:tc>
          <w:tcPr>
            <w:tcW w:w="1809"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390</w:t>
            </w:r>
          </w:p>
        </w:tc>
      </w:tr>
      <w:tr w:rsidR="00704528" w:rsidTr="00E61EBB">
        <w:tc>
          <w:tcPr>
            <w:tcW w:w="4361"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Лица по внесените в съда прокурорски актове</w:t>
            </w:r>
          </w:p>
        </w:tc>
        <w:tc>
          <w:tcPr>
            <w:tcW w:w="1843"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237</w:t>
            </w:r>
          </w:p>
        </w:tc>
        <w:tc>
          <w:tcPr>
            <w:tcW w:w="1984"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312</w:t>
            </w:r>
          </w:p>
        </w:tc>
        <w:tc>
          <w:tcPr>
            <w:tcW w:w="1809"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413</w:t>
            </w:r>
          </w:p>
        </w:tc>
      </w:tr>
      <w:tr w:rsidR="00704528" w:rsidTr="00E61EBB">
        <w:tc>
          <w:tcPr>
            <w:tcW w:w="4361"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Осъдени и санкционирани лица с влязъл в сила съдебен акт</w:t>
            </w:r>
          </w:p>
        </w:tc>
        <w:tc>
          <w:tcPr>
            <w:tcW w:w="1843"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214</w:t>
            </w:r>
          </w:p>
        </w:tc>
        <w:tc>
          <w:tcPr>
            <w:tcW w:w="1984"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283</w:t>
            </w:r>
          </w:p>
        </w:tc>
        <w:tc>
          <w:tcPr>
            <w:tcW w:w="1809"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386</w:t>
            </w:r>
          </w:p>
        </w:tc>
      </w:tr>
      <w:tr w:rsidR="00704528" w:rsidTr="00E61EBB">
        <w:tc>
          <w:tcPr>
            <w:tcW w:w="4361"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Оправдани лица с влязъл в сила съдебен акт</w:t>
            </w:r>
          </w:p>
        </w:tc>
        <w:tc>
          <w:tcPr>
            <w:tcW w:w="1843"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 xml:space="preserve"> 5</w:t>
            </w:r>
          </w:p>
        </w:tc>
        <w:tc>
          <w:tcPr>
            <w:tcW w:w="1984"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5</w:t>
            </w:r>
          </w:p>
        </w:tc>
        <w:tc>
          <w:tcPr>
            <w:tcW w:w="1809" w:type="dxa"/>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w:t>
            </w:r>
          </w:p>
        </w:tc>
      </w:tr>
    </w:tbl>
    <w:p w:rsidR="00704528" w:rsidRDefault="00704528" w:rsidP="00704528">
      <w:pPr>
        <w:contextualSpacing/>
        <w:rPr>
          <w:rFonts w:ascii="Calibri" w:eastAsia="Calibri" w:hAnsi="Calibri"/>
          <w:sz w:val="22"/>
          <w:szCs w:val="22"/>
          <w:lang w:eastAsia="en-US"/>
        </w:rPr>
      </w:pPr>
    </w:p>
    <w:bookmarkEnd w:id="51"/>
    <w:p w:rsidR="00704528" w:rsidRDefault="00704528" w:rsidP="00704528">
      <w:pPr>
        <w:ind w:firstLine="708"/>
        <w:contextualSpacing/>
        <w:jc w:val="both"/>
        <w:rPr>
          <w:sz w:val="28"/>
          <w:szCs w:val="28"/>
        </w:rPr>
      </w:pPr>
      <w:r>
        <w:rPr>
          <w:sz w:val="28"/>
          <w:szCs w:val="28"/>
        </w:rPr>
        <w:t xml:space="preserve">Налице е осезаемо увеличение по всички показатели, с изключение на оправданите лица, където е налице намаление. </w:t>
      </w:r>
      <w:bookmarkStart w:id="52" w:name="OLE_LINK32"/>
      <w:r>
        <w:rPr>
          <w:sz w:val="28"/>
          <w:szCs w:val="28"/>
        </w:rPr>
        <w:t>Например само при новообразуваните процентното увеличение е с 10.8</w:t>
      </w:r>
      <w:r w:rsidR="00704100">
        <w:rPr>
          <w:sz w:val="28"/>
          <w:szCs w:val="28"/>
        </w:rPr>
        <w:t>%</w:t>
      </w:r>
      <w:r>
        <w:rPr>
          <w:sz w:val="28"/>
          <w:szCs w:val="28"/>
        </w:rPr>
        <w:t xml:space="preserve"> спрямо 2022 г. и с 31.9</w:t>
      </w:r>
      <w:r w:rsidR="00704100">
        <w:rPr>
          <w:sz w:val="28"/>
          <w:szCs w:val="28"/>
        </w:rPr>
        <w:t>%</w:t>
      </w:r>
      <w:r>
        <w:rPr>
          <w:sz w:val="28"/>
          <w:szCs w:val="28"/>
        </w:rPr>
        <w:t xml:space="preserve"> спрямо 2021 г.   При решените увеличение е с 16.5</w:t>
      </w:r>
      <w:r w:rsidR="00704100">
        <w:rPr>
          <w:sz w:val="28"/>
          <w:szCs w:val="28"/>
        </w:rPr>
        <w:t>%</w:t>
      </w:r>
      <w:r>
        <w:rPr>
          <w:sz w:val="28"/>
          <w:szCs w:val="28"/>
        </w:rPr>
        <w:t xml:space="preserve"> спрямо 2022 г. и с 19.3</w:t>
      </w:r>
      <w:r w:rsidR="00704100">
        <w:rPr>
          <w:sz w:val="28"/>
          <w:szCs w:val="28"/>
        </w:rPr>
        <w:t>%</w:t>
      </w:r>
      <w:r>
        <w:rPr>
          <w:sz w:val="28"/>
          <w:szCs w:val="28"/>
        </w:rPr>
        <w:t xml:space="preserve"> спрямо 2021 г.  Осъдените лица през 2023 г. са с 36.4</w:t>
      </w:r>
      <w:r w:rsidR="00704100">
        <w:rPr>
          <w:sz w:val="28"/>
          <w:szCs w:val="28"/>
        </w:rPr>
        <w:t>%</w:t>
      </w:r>
      <w:r>
        <w:rPr>
          <w:sz w:val="28"/>
          <w:szCs w:val="28"/>
        </w:rPr>
        <w:t xml:space="preserve"> повече в сравнение с 2022 г. и с 80.4</w:t>
      </w:r>
      <w:r w:rsidR="00704100">
        <w:rPr>
          <w:sz w:val="28"/>
          <w:szCs w:val="28"/>
        </w:rPr>
        <w:t>%</w:t>
      </w:r>
      <w:r>
        <w:rPr>
          <w:sz w:val="28"/>
          <w:szCs w:val="28"/>
        </w:rPr>
        <w:t xml:space="preserve"> повече в сравнение с 2021 г. </w:t>
      </w:r>
    </w:p>
    <w:p w:rsidR="00704528" w:rsidRDefault="00704528" w:rsidP="00704528">
      <w:pPr>
        <w:ind w:firstLine="708"/>
        <w:contextualSpacing/>
        <w:jc w:val="both"/>
        <w:rPr>
          <w:sz w:val="28"/>
          <w:szCs w:val="28"/>
        </w:rPr>
      </w:pPr>
      <w:r>
        <w:rPr>
          <w:sz w:val="28"/>
          <w:szCs w:val="28"/>
        </w:rPr>
        <w:t xml:space="preserve">Посочените показатели имат следното графично изражение: </w:t>
      </w:r>
    </w:p>
    <w:bookmarkEnd w:id="52"/>
    <w:p w:rsidR="00704528" w:rsidRDefault="00704528" w:rsidP="00704528">
      <w:pPr>
        <w:ind w:firstLine="709"/>
        <w:contextualSpacing/>
        <w:jc w:val="both"/>
        <w:rPr>
          <w:color w:val="FF0000"/>
          <w:sz w:val="28"/>
          <w:szCs w:val="28"/>
        </w:rPr>
      </w:pPr>
      <w:r>
        <w:rPr>
          <w:color w:val="FF0000"/>
          <w:sz w:val="28"/>
          <w:szCs w:val="28"/>
        </w:rPr>
        <w:t xml:space="preserve"> </w:t>
      </w:r>
    </w:p>
    <w:p w:rsidR="00704528" w:rsidRDefault="00704528" w:rsidP="00704528">
      <w:pPr>
        <w:ind w:firstLine="709"/>
        <w:contextualSpacing/>
        <w:jc w:val="both"/>
        <w:rPr>
          <w:color w:val="FF0000"/>
          <w:sz w:val="28"/>
          <w:szCs w:val="28"/>
        </w:rPr>
      </w:pPr>
      <w:r>
        <w:rPr>
          <w:noProof/>
        </w:rPr>
        <w:lastRenderedPageBreak/>
        <w:drawing>
          <wp:inline distT="0" distB="0" distL="0" distR="0" wp14:anchorId="405F4D72" wp14:editId="232ADE71">
            <wp:extent cx="5771515" cy="6709410"/>
            <wp:effectExtent l="0" t="0" r="19685" b="15240"/>
            <wp:docPr id="30" name="Диагра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04528" w:rsidRDefault="00704528" w:rsidP="00704528">
      <w:pPr>
        <w:ind w:firstLine="709"/>
        <w:contextualSpacing/>
        <w:jc w:val="both"/>
        <w:rPr>
          <w:color w:val="FF0000"/>
          <w:sz w:val="28"/>
          <w:szCs w:val="28"/>
        </w:rPr>
      </w:pPr>
    </w:p>
    <w:p w:rsidR="00704528" w:rsidRDefault="00704528" w:rsidP="00704528">
      <w:pPr>
        <w:ind w:firstLine="709"/>
        <w:contextualSpacing/>
        <w:jc w:val="both"/>
        <w:rPr>
          <w:i/>
          <w:color w:val="FF0000"/>
          <w:sz w:val="28"/>
          <w:szCs w:val="28"/>
        </w:rPr>
      </w:pPr>
      <w:bookmarkStart w:id="53" w:name="OLE_LINK23"/>
      <w:r>
        <w:rPr>
          <w:sz w:val="28"/>
          <w:szCs w:val="28"/>
        </w:rPr>
        <w:t xml:space="preserve"> </w:t>
      </w:r>
      <w:bookmarkEnd w:id="53"/>
      <w:r>
        <w:rPr>
          <w:noProof/>
        </w:rPr>
        <w:drawing>
          <wp:inline distT="0" distB="0" distL="0" distR="0" wp14:anchorId="3EA4483A" wp14:editId="3F73B53C">
            <wp:extent cx="5735782" cy="2066306"/>
            <wp:effectExtent l="0" t="0" r="17780" b="10160"/>
            <wp:docPr id="29" name="Диагра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04528" w:rsidRDefault="00704528" w:rsidP="00704528">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515"/>
        </w:tabs>
        <w:ind w:firstLine="709"/>
        <w:contextualSpacing/>
        <w:jc w:val="both"/>
        <w:outlineLvl w:val="1"/>
        <w:rPr>
          <w:rFonts w:eastAsiaTheme="majorEastAsia"/>
          <w:b/>
          <w:bCs/>
          <w:sz w:val="28"/>
          <w:szCs w:val="28"/>
          <w:u w:val="single"/>
          <w:lang w:eastAsia="en-US"/>
        </w:rPr>
      </w:pPr>
      <w:bookmarkStart w:id="54" w:name="_Toc506557860"/>
      <w:r>
        <w:rPr>
          <w:rFonts w:eastAsiaTheme="majorEastAsia"/>
          <w:bCs/>
          <w:color w:val="FF0000"/>
          <w:sz w:val="28"/>
          <w:szCs w:val="28"/>
        </w:rPr>
        <w:lastRenderedPageBreak/>
        <w:tab/>
      </w:r>
      <w:r>
        <w:rPr>
          <w:rFonts w:eastAsiaTheme="majorEastAsia"/>
          <w:b/>
          <w:bCs/>
          <w:sz w:val="28"/>
          <w:szCs w:val="28"/>
          <w:u w:val="single"/>
          <w:lang w:val="en-US"/>
        </w:rPr>
        <w:t>3</w:t>
      </w:r>
      <w:r>
        <w:rPr>
          <w:rFonts w:eastAsiaTheme="majorEastAsia"/>
          <w:b/>
          <w:bCs/>
          <w:sz w:val="28"/>
          <w:szCs w:val="28"/>
          <w:u w:val="single"/>
        </w:rPr>
        <w:t xml:space="preserve">.8. </w:t>
      </w:r>
      <w:bookmarkStart w:id="55" w:name="OLE_LINK50"/>
      <w:r>
        <w:rPr>
          <w:rFonts w:eastAsiaTheme="majorEastAsia"/>
          <w:b/>
          <w:bCs/>
          <w:sz w:val="28"/>
          <w:szCs w:val="28"/>
          <w:u w:val="single"/>
        </w:rPr>
        <w:t xml:space="preserve">Незаконен трафик на хора </w:t>
      </w:r>
      <w:bookmarkEnd w:id="55"/>
      <w:r>
        <w:rPr>
          <w:rFonts w:eastAsiaTheme="majorEastAsia"/>
          <w:b/>
          <w:bCs/>
          <w:sz w:val="28"/>
          <w:szCs w:val="28"/>
          <w:u w:val="single"/>
        </w:rPr>
        <w:t>/таблица 4.</w:t>
      </w:r>
      <w:proofErr w:type="spellStart"/>
      <w:r>
        <w:rPr>
          <w:rFonts w:eastAsiaTheme="majorEastAsia"/>
          <w:b/>
          <w:bCs/>
          <w:sz w:val="28"/>
          <w:szCs w:val="28"/>
          <w:u w:val="single"/>
        </w:rPr>
        <w:t>4</w:t>
      </w:r>
      <w:proofErr w:type="spellEnd"/>
      <w:r>
        <w:rPr>
          <w:rFonts w:eastAsiaTheme="majorEastAsia"/>
          <w:b/>
          <w:bCs/>
          <w:sz w:val="28"/>
          <w:szCs w:val="28"/>
          <w:u w:val="single"/>
        </w:rPr>
        <w:t>.1./</w:t>
      </w:r>
      <w:bookmarkEnd w:id="54"/>
      <w:r>
        <w:rPr>
          <w:rFonts w:eastAsiaTheme="majorEastAsia"/>
          <w:b/>
          <w:bCs/>
          <w:sz w:val="28"/>
          <w:szCs w:val="28"/>
          <w:u w:val="single"/>
        </w:rPr>
        <w:tab/>
      </w:r>
      <w:r>
        <w:rPr>
          <w:rFonts w:eastAsiaTheme="majorEastAsia"/>
          <w:b/>
          <w:bCs/>
          <w:sz w:val="28"/>
          <w:szCs w:val="28"/>
          <w:u w:val="single"/>
        </w:rPr>
        <w:tab/>
      </w:r>
    </w:p>
    <w:p w:rsidR="00704528" w:rsidRDefault="00704528" w:rsidP="00704528">
      <w:pPr>
        <w:ind w:firstLine="709"/>
        <w:contextualSpacing/>
        <w:jc w:val="both"/>
        <w:rPr>
          <w:sz w:val="28"/>
          <w:szCs w:val="28"/>
        </w:rPr>
      </w:pPr>
      <w:r>
        <w:rPr>
          <w:sz w:val="28"/>
          <w:szCs w:val="28"/>
        </w:rPr>
        <w:t>Представени в табличен вид, показателите за делата от този вид са следните:</w:t>
      </w:r>
    </w:p>
    <w:tbl>
      <w:tblPr>
        <w:tblStyle w:val="210"/>
        <w:tblW w:w="0" w:type="auto"/>
        <w:tblInd w:w="0" w:type="dxa"/>
        <w:tblLook w:val="04A0" w:firstRow="1" w:lastRow="0" w:firstColumn="1" w:lastColumn="0" w:noHBand="0" w:noVBand="1"/>
      </w:tblPr>
      <w:tblGrid>
        <w:gridCol w:w="7361"/>
        <w:gridCol w:w="776"/>
        <w:gridCol w:w="776"/>
        <w:gridCol w:w="776"/>
      </w:tblGrid>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Показатели</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2022</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2023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Наблюдавани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rPr>
                <w:sz w:val="22"/>
                <w:szCs w:val="22"/>
                <w:lang w:val="en-US"/>
              </w:rPr>
            </w:pPr>
            <w:r>
              <w:rPr>
                <w:lang w:val="en-US"/>
              </w:rPr>
              <w:t>14</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11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13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Новообразувани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3</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Решени ДП</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7</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6</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Прокурорски актове, внесени в съда</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0</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Лица по внесените в съда прокурорски актове</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0</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Осъдени и санкционирани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0</w:t>
            </w:r>
          </w:p>
        </w:tc>
      </w:tr>
      <w:tr w:rsidR="00704528" w:rsidTr="00704528">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Оправдани лица с влязъл в сила съдебен акт</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lang w:val="en-US"/>
              </w:rPr>
            </w:pPr>
            <w:r>
              <w:rPr>
                <w:sz w:val="28"/>
                <w:szCs w:val="28"/>
                <w:lang w:val="en-US"/>
              </w:rPr>
              <w:t>0</w:t>
            </w:r>
          </w:p>
        </w:tc>
        <w:tc>
          <w:tcPr>
            <w:tcW w:w="0" w:type="auto"/>
            <w:tcBorders>
              <w:top w:val="single" w:sz="4" w:space="0" w:color="auto"/>
              <w:left w:val="single" w:sz="4" w:space="0" w:color="auto"/>
              <w:bottom w:val="single" w:sz="4" w:space="0" w:color="auto"/>
              <w:right w:val="single" w:sz="4" w:space="0" w:color="auto"/>
            </w:tcBorders>
            <w:hideMark/>
          </w:tcPr>
          <w:p w:rsidR="00704528" w:rsidRDefault="00704528" w:rsidP="00704528">
            <w:pPr>
              <w:contextualSpacing/>
              <w:jc w:val="both"/>
              <w:rPr>
                <w:sz w:val="28"/>
                <w:szCs w:val="28"/>
              </w:rPr>
            </w:pPr>
            <w:r>
              <w:rPr>
                <w:sz w:val="28"/>
                <w:szCs w:val="28"/>
              </w:rPr>
              <w:t>0</w:t>
            </w:r>
          </w:p>
        </w:tc>
      </w:tr>
    </w:tbl>
    <w:p w:rsidR="00704528" w:rsidRDefault="00704528" w:rsidP="00704528">
      <w:pPr>
        <w:contextualSpacing/>
        <w:rPr>
          <w:rFonts w:ascii="Calibri" w:eastAsia="Calibri" w:hAnsi="Calibri"/>
          <w:sz w:val="22"/>
          <w:szCs w:val="22"/>
          <w:lang w:eastAsia="en-US"/>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704528">
      <w:pPr>
        <w:ind w:firstLine="709"/>
        <w:contextualSpacing/>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C527A0" w:rsidRDefault="00C527A0" w:rsidP="006E7434">
      <w:pPr>
        <w:ind w:firstLine="709"/>
        <w:rPr>
          <w:b/>
          <w:sz w:val="28"/>
          <w:szCs w:val="28"/>
          <w:u w:val="single"/>
        </w:rPr>
      </w:pPr>
    </w:p>
    <w:p w:rsidR="006E7434" w:rsidRDefault="006E7434" w:rsidP="006E7434">
      <w:pPr>
        <w:ind w:firstLine="709"/>
        <w:rPr>
          <w:b/>
          <w:sz w:val="28"/>
          <w:szCs w:val="28"/>
          <w:u w:val="single"/>
        </w:rPr>
      </w:pPr>
      <w:r>
        <w:rPr>
          <w:b/>
          <w:sz w:val="28"/>
          <w:szCs w:val="28"/>
          <w:u w:val="single"/>
        </w:rPr>
        <w:lastRenderedPageBreak/>
        <w:t>Наказателни производства, образувани за престъпления, извършени от непълнолетни лица</w:t>
      </w:r>
    </w:p>
    <w:p w:rsidR="003C7B49" w:rsidRDefault="003C7B49" w:rsidP="006E7434">
      <w:pPr>
        <w:pStyle w:val="13"/>
        <w:spacing w:after="0" w:line="240" w:lineRule="auto"/>
        <w:ind w:firstLine="709"/>
        <w:contextualSpacing/>
        <w:jc w:val="both"/>
        <w:rPr>
          <w:rStyle w:val="afb"/>
          <w:b w:val="0"/>
          <w:i w:val="0"/>
          <w:color w:val="5F497A" w:themeColor="accent4" w:themeShade="BF"/>
          <w:sz w:val="28"/>
          <w:szCs w:val="28"/>
        </w:rPr>
      </w:pPr>
    </w:p>
    <w:p w:rsidR="00E61EBB" w:rsidRDefault="00E61EBB" w:rsidP="00E61EBB">
      <w:pPr>
        <w:jc w:val="both"/>
        <w:rPr>
          <w:b/>
          <w:sz w:val="28"/>
          <w:szCs w:val="28"/>
        </w:rPr>
      </w:pPr>
      <w:r>
        <w:rPr>
          <w:b/>
          <w:sz w:val="28"/>
          <w:szCs w:val="28"/>
        </w:rPr>
        <w:tab/>
      </w:r>
      <w:r>
        <w:rPr>
          <w:sz w:val="28"/>
          <w:szCs w:val="28"/>
        </w:rPr>
        <w:t xml:space="preserve">Броят на наблюдаваните досъдебни производства срещу непълнолетни лица през 2023 г. от Окръжна прокуратура – Варна и Районна прокуратура - Варна е </w:t>
      </w:r>
      <w:r>
        <w:rPr>
          <w:b/>
          <w:sz w:val="28"/>
          <w:szCs w:val="28"/>
        </w:rPr>
        <w:t xml:space="preserve">75. </w:t>
      </w:r>
      <w:r>
        <w:rPr>
          <w:sz w:val="28"/>
          <w:szCs w:val="28"/>
        </w:rPr>
        <w:t xml:space="preserve">От тях новообразуваните са </w:t>
      </w:r>
      <w:r>
        <w:rPr>
          <w:b/>
          <w:sz w:val="28"/>
          <w:szCs w:val="28"/>
        </w:rPr>
        <w:t xml:space="preserve">15. </w:t>
      </w:r>
      <w:r>
        <w:rPr>
          <w:sz w:val="28"/>
          <w:szCs w:val="28"/>
        </w:rPr>
        <w:t xml:space="preserve">Налице е завишаване на наблюдаваните и намаляване на новообразуваните дела срещу такива лица спрямо предходните години. През 2022 г. наблюдаваните досъдебни производства срещу непълнолетни са били </w:t>
      </w:r>
      <w:r>
        <w:rPr>
          <w:b/>
          <w:sz w:val="28"/>
          <w:szCs w:val="28"/>
        </w:rPr>
        <w:t>63</w:t>
      </w:r>
      <w:r>
        <w:rPr>
          <w:sz w:val="28"/>
          <w:szCs w:val="28"/>
        </w:rPr>
        <w:t xml:space="preserve">, от които </w:t>
      </w:r>
      <w:r>
        <w:rPr>
          <w:b/>
          <w:sz w:val="28"/>
          <w:szCs w:val="28"/>
        </w:rPr>
        <w:t>21</w:t>
      </w:r>
      <w:r>
        <w:rPr>
          <w:sz w:val="28"/>
          <w:szCs w:val="28"/>
        </w:rPr>
        <w:t xml:space="preserve"> новообразувани. През 2021 г. наблюдаваните досъдебни производства срещу непълнолетни са били </w:t>
      </w:r>
      <w:r>
        <w:rPr>
          <w:b/>
          <w:sz w:val="28"/>
          <w:szCs w:val="28"/>
        </w:rPr>
        <w:t>58</w:t>
      </w:r>
      <w:r>
        <w:rPr>
          <w:sz w:val="28"/>
          <w:szCs w:val="28"/>
        </w:rPr>
        <w:t xml:space="preserve">, от които </w:t>
      </w:r>
      <w:r>
        <w:rPr>
          <w:b/>
          <w:sz w:val="28"/>
          <w:szCs w:val="28"/>
        </w:rPr>
        <w:t>16</w:t>
      </w:r>
      <w:r>
        <w:rPr>
          <w:sz w:val="28"/>
          <w:szCs w:val="28"/>
        </w:rPr>
        <w:t xml:space="preserve"> новообразувани. В сравнение с предходната 2022 г. броят на наблюдаваните досъдебни производства срещу непълнолетни се е увеличил с </w:t>
      </w:r>
      <w:r>
        <w:rPr>
          <w:b/>
          <w:sz w:val="28"/>
          <w:szCs w:val="28"/>
        </w:rPr>
        <w:t>19%,</w:t>
      </w:r>
      <w:r>
        <w:rPr>
          <w:sz w:val="28"/>
          <w:szCs w:val="28"/>
        </w:rPr>
        <w:t xml:space="preserve"> а броят на новообразуваните е намалял с </w:t>
      </w:r>
      <w:r>
        <w:rPr>
          <w:b/>
          <w:sz w:val="28"/>
          <w:szCs w:val="28"/>
        </w:rPr>
        <w:t>40%.</w:t>
      </w:r>
    </w:p>
    <w:p w:rsidR="00E61EBB" w:rsidRDefault="00E61EBB" w:rsidP="00E61EBB">
      <w:pPr>
        <w:ind w:firstLine="720"/>
        <w:jc w:val="both"/>
        <w:rPr>
          <w:color w:val="000000"/>
          <w:sz w:val="28"/>
          <w:szCs w:val="28"/>
        </w:rPr>
      </w:pPr>
      <w:r>
        <w:rPr>
          <w:color w:val="000000"/>
          <w:sz w:val="28"/>
          <w:szCs w:val="28"/>
        </w:rPr>
        <w:t xml:space="preserve">През отчетния период от наблюдаваните досъдебни производства срещу непълнолетни лица най-голям е делът на производствата, образувани за престъпления против собствеността /предимно кражби и грабежи/ – </w:t>
      </w:r>
      <w:r>
        <w:rPr>
          <w:b/>
          <w:color w:val="000000"/>
          <w:sz w:val="28"/>
          <w:szCs w:val="28"/>
        </w:rPr>
        <w:t xml:space="preserve">37, </w:t>
      </w:r>
      <w:r>
        <w:rPr>
          <w:color w:val="000000"/>
          <w:sz w:val="28"/>
          <w:szCs w:val="28"/>
        </w:rPr>
        <w:t xml:space="preserve">или </w:t>
      </w:r>
      <w:r>
        <w:rPr>
          <w:b/>
          <w:sz w:val="28"/>
          <w:szCs w:val="28"/>
        </w:rPr>
        <w:t xml:space="preserve">49% </w:t>
      </w:r>
      <w:r>
        <w:rPr>
          <w:color w:val="000000"/>
          <w:sz w:val="28"/>
          <w:szCs w:val="28"/>
        </w:rPr>
        <w:t>от наблюдаваните.</w:t>
      </w:r>
      <w:r>
        <w:rPr>
          <w:b/>
          <w:color w:val="000000"/>
          <w:sz w:val="28"/>
          <w:szCs w:val="28"/>
        </w:rPr>
        <w:t xml:space="preserve"> </w:t>
      </w:r>
      <w:r>
        <w:rPr>
          <w:color w:val="000000"/>
          <w:sz w:val="28"/>
          <w:szCs w:val="28"/>
        </w:rPr>
        <w:t xml:space="preserve">Следват ги общоопасните престъпления /по транспорта и съобщенията и с предмет наркотични вещества/ – </w:t>
      </w:r>
      <w:r>
        <w:rPr>
          <w:b/>
          <w:color w:val="000000"/>
          <w:sz w:val="28"/>
          <w:szCs w:val="28"/>
        </w:rPr>
        <w:t>28</w:t>
      </w:r>
      <w:r>
        <w:rPr>
          <w:color w:val="000000"/>
          <w:sz w:val="28"/>
          <w:szCs w:val="28"/>
        </w:rPr>
        <w:t xml:space="preserve">, или </w:t>
      </w:r>
      <w:r>
        <w:rPr>
          <w:b/>
          <w:sz w:val="28"/>
          <w:szCs w:val="28"/>
        </w:rPr>
        <w:t>37%</w:t>
      </w:r>
      <w:r>
        <w:rPr>
          <w:color w:val="C00000"/>
          <w:sz w:val="28"/>
          <w:szCs w:val="28"/>
        </w:rPr>
        <w:t xml:space="preserve"> </w:t>
      </w:r>
      <w:r>
        <w:rPr>
          <w:color w:val="000000"/>
          <w:sz w:val="28"/>
          <w:szCs w:val="28"/>
        </w:rPr>
        <w:t>от наблюдаваните. Делата за престъпления против личността са 8, образувани съответно за деяния по чл. 116 НК /1 дело/, по чл. 129 НК и по чл. 131 НК /общо 3 дела/, по чл. 151 НК /2 дела/ и по чл. 157 НК /2 дела/. Налице е леко увеличение на броя на тези дела спрямо предходните 2022 г. и 2021 г,. когато те са били по 6.</w:t>
      </w:r>
    </w:p>
    <w:p w:rsidR="00E61EBB" w:rsidRDefault="00E61EBB" w:rsidP="00E61EBB">
      <w:pPr>
        <w:jc w:val="both"/>
        <w:rPr>
          <w:sz w:val="28"/>
          <w:szCs w:val="28"/>
        </w:rPr>
      </w:pPr>
      <w:r>
        <w:rPr>
          <w:sz w:val="28"/>
          <w:szCs w:val="28"/>
        </w:rPr>
        <w:tab/>
        <w:t xml:space="preserve">Приключените дела са </w:t>
      </w:r>
      <w:r>
        <w:rPr>
          <w:b/>
          <w:sz w:val="28"/>
          <w:szCs w:val="28"/>
        </w:rPr>
        <w:t>67</w:t>
      </w:r>
      <w:r>
        <w:rPr>
          <w:sz w:val="28"/>
          <w:szCs w:val="28"/>
        </w:rPr>
        <w:t xml:space="preserve">, спрямо </w:t>
      </w:r>
      <w:r>
        <w:rPr>
          <w:b/>
          <w:sz w:val="28"/>
          <w:szCs w:val="28"/>
        </w:rPr>
        <w:t>53 за 2022 г. и</w:t>
      </w:r>
      <w:r>
        <w:rPr>
          <w:sz w:val="28"/>
          <w:szCs w:val="28"/>
        </w:rPr>
        <w:t xml:space="preserve"> </w:t>
      </w:r>
      <w:r>
        <w:rPr>
          <w:b/>
          <w:sz w:val="28"/>
          <w:szCs w:val="28"/>
        </w:rPr>
        <w:t>51 за 2021 г.</w:t>
      </w:r>
      <w:r>
        <w:rPr>
          <w:sz w:val="28"/>
          <w:szCs w:val="28"/>
        </w:rPr>
        <w:t xml:space="preserve"> Видно е, че броят на приключените досъдебни производства е увеличен спрямо предходните 2 години. </w:t>
      </w:r>
    </w:p>
    <w:p w:rsidR="00E61EBB" w:rsidRDefault="00E61EBB" w:rsidP="00E61EBB">
      <w:pPr>
        <w:jc w:val="both"/>
        <w:rPr>
          <w:sz w:val="28"/>
          <w:szCs w:val="28"/>
        </w:rPr>
      </w:pPr>
      <w:r>
        <w:rPr>
          <w:sz w:val="28"/>
          <w:szCs w:val="28"/>
        </w:rPr>
        <w:tab/>
        <w:t xml:space="preserve">Неприключилите дела срещу непълнолетни са </w:t>
      </w:r>
      <w:r>
        <w:rPr>
          <w:b/>
          <w:sz w:val="28"/>
          <w:szCs w:val="28"/>
        </w:rPr>
        <w:t>7</w:t>
      </w:r>
      <w:r>
        <w:rPr>
          <w:sz w:val="28"/>
          <w:szCs w:val="28"/>
        </w:rPr>
        <w:t xml:space="preserve"> /9% от наблюдаваните/, спрямо </w:t>
      </w:r>
      <w:r>
        <w:rPr>
          <w:b/>
          <w:sz w:val="28"/>
          <w:szCs w:val="28"/>
        </w:rPr>
        <w:t>10 за 2022 г.</w:t>
      </w:r>
      <w:r>
        <w:rPr>
          <w:sz w:val="28"/>
          <w:szCs w:val="28"/>
        </w:rPr>
        <w:t xml:space="preserve"> /16% от наблюдаваните тогава/</w:t>
      </w:r>
      <w:r>
        <w:rPr>
          <w:color w:val="C00000"/>
          <w:sz w:val="28"/>
          <w:szCs w:val="28"/>
        </w:rPr>
        <w:t xml:space="preserve"> </w:t>
      </w:r>
      <w:r>
        <w:rPr>
          <w:sz w:val="28"/>
          <w:szCs w:val="28"/>
        </w:rPr>
        <w:t xml:space="preserve">и </w:t>
      </w:r>
      <w:r>
        <w:rPr>
          <w:b/>
          <w:sz w:val="28"/>
          <w:szCs w:val="28"/>
        </w:rPr>
        <w:t>7 за 2021 г.</w:t>
      </w:r>
      <w:r>
        <w:rPr>
          <w:sz w:val="28"/>
          <w:szCs w:val="28"/>
        </w:rPr>
        <w:t xml:space="preserve"> /12% от наблюдаваните тогава/. Съпоставено с предходните 2 години, </w:t>
      </w:r>
      <w:r>
        <w:rPr>
          <w:sz w:val="28"/>
          <w:szCs w:val="28"/>
          <w:shd w:val="clear" w:color="auto" w:fill="FFFFFF"/>
        </w:rPr>
        <w:t>н</w:t>
      </w:r>
      <w:r>
        <w:rPr>
          <w:sz w:val="28"/>
          <w:szCs w:val="28"/>
        </w:rPr>
        <w:t>алице е намаляване дела на останалите неприключени производства спрямо наблюдаваните през периода.</w:t>
      </w:r>
      <w:r>
        <w:rPr>
          <w:color w:val="C00000"/>
          <w:sz w:val="28"/>
          <w:szCs w:val="28"/>
        </w:rPr>
        <w:t xml:space="preserve"> </w:t>
      </w:r>
    </w:p>
    <w:p w:rsidR="00E61EBB" w:rsidRDefault="00E61EBB" w:rsidP="00E61EBB">
      <w:pPr>
        <w:jc w:val="both"/>
        <w:rPr>
          <w:sz w:val="28"/>
          <w:szCs w:val="28"/>
        </w:rPr>
      </w:pPr>
      <w:r>
        <w:rPr>
          <w:sz w:val="28"/>
          <w:szCs w:val="28"/>
        </w:rPr>
        <w:tab/>
        <w:t xml:space="preserve">През периода по наблюдаваните производства са били задържани две непълнолетни лица. </w:t>
      </w:r>
    </w:p>
    <w:p w:rsidR="00E61EBB" w:rsidRDefault="00E61EBB" w:rsidP="00E61EBB">
      <w:pPr>
        <w:jc w:val="both"/>
        <w:rPr>
          <w:color w:val="000000"/>
          <w:sz w:val="28"/>
          <w:szCs w:val="28"/>
        </w:rPr>
      </w:pPr>
      <w:r>
        <w:rPr>
          <w:color w:val="FF0000"/>
          <w:sz w:val="28"/>
          <w:szCs w:val="28"/>
        </w:rPr>
        <w:tab/>
      </w:r>
      <w:r>
        <w:rPr>
          <w:color w:val="000000"/>
          <w:sz w:val="28"/>
          <w:szCs w:val="28"/>
        </w:rPr>
        <w:t xml:space="preserve">Общият брой решени от прокурор дела по същество през отчетния период е </w:t>
      </w:r>
      <w:r>
        <w:rPr>
          <w:b/>
          <w:color w:val="000000"/>
          <w:sz w:val="28"/>
          <w:szCs w:val="28"/>
        </w:rPr>
        <w:t>64</w:t>
      </w:r>
      <w:r>
        <w:rPr>
          <w:color w:val="000000"/>
          <w:sz w:val="28"/>
          <w:szCs w:val="28"/>
        </w:rPr>
        <w:t xml:space="preserve">, спрямо </w:t>
      </w:r>
      <w:r>
        <w:rPr>
          <w:b/>
          <w:color w:val="000000"/>
          <w:sz w:val="28"/>
          <w:szCs w:val="28"/>
        </w:rPr>
        <w:t>54 за 2022 г. и</w:t>
      </w:r>
      <w:r>
        <w:rPr>
          <w:color w:val="000000"/>
          <w:sz w:val="28"/>
          <w:szCs w:val="28"/>
        </w:rPr>
        <w:t xml:space="preserve"> </w:t>
      </w:r>
      <w:r>
        <w:rPr>
          <w:b/>
          <w:color w:val="000000"/>
          <w:sz w:val="28"/>
          <w:szCs w:val="28"/>
        </w:rPr>
        <w:t xml:space="preserve">47 за 2021 г. </w:t>
      </w:r>
      <w:r>
        <w:rPr>
          <w:color w:val="000000"/>
          <w:sz w:val="28"/>
          <w:szCs w:val="28"/>
        </w:rPr>
        <w:t>От тях:</w:t>
      </w:r>
    </w:p>
    <w:p w:rsidR="00E61EBB" w:rsidRDefault="00E61EBB" w:rsidP="00E61EBB">
      <w:pPr>
        <w:jc w:val="both"/>
        <w:rPr>
          <w:color w:val="000000"/>
          <w:sz w:val="28"/>
          <w:szCs w:val="28"/>
        </w:rPr>
      </w:pPr>
      <w:r>
        <w:rPr>
          <w:color w:val="000000"/>
          <w:sz w:val="28"/>
          <w:szCs w:val="28"/>
        </w:rPr>
        <w:tab/>
        <w:t xml:space="preserve">- прекратени наказателни производства – </w:t>
      </w:r>
      <w:r>
        <w:rPr>
          <w:b/>
          <w:color w:val="000000"/>
          <w:sz w:val="28"/>
          <w:szCs w:val="28"/>
        </w:rPr>
        <w:t>18</w:t>
      </w:r>
      <w:r>
        <w:rPr>
          <w:color w:val="000000"/>
          <w:sz w:val="28"/>
          <w:szCs w:val="28"/>
        </w:rPr>
        <w:t xml:space="preserve"> /при </w:t>
      </w:r>
      <w:r>
        <w:rPr>
          <w:b/>
          <w:color w:val="000000"/>
          <w:sz w:val="28"/>
          <w:szCs w:val="28"/>
        </w:rPr>
        <w:t xml:space="preserve">17 за 2022 г. </w:t>
      </w:r>
      <w:r>
        <w:rPr>
          <w:color w:val="000000"/>
          <w:sz w:val="28"/>
          <w:szCs w:val="28"/>
        </w:rPr>
        <w:t xml:space="preserve">и </w:t>
      </w:r>
      <w:r>
        <w:rPr>
          <w:b/>
          <w:color w:val="000000"/>
          <w:sz w:val="28"/>
          <w:szCs w:val="28"/>
        </w:rPr>
        <w:t>11 за 2021 г.</w:t>
      </w:r>
      <w:r>
        <w:rPr>
          <w:color w:val="000000"/>
          <w:sz w:val="28"/>
          <w:szCs w:val="28"/>
        </w:rPr>
        <w:t xml:space="preserve">/, от които </w:t>
      </w:r>
      <w:r>
        <w:rPr>
          <w:b/>
          <w:color w:val="000000"/>
          <w:sz w:val="28"/>
          <w:szCs w:val="28"/>
        </w:rPr>
        <w:t xml:space="preserve">5 </w:t>
      </w:r>
      <w:r>
        <w:rPr>
          <w:color w:val="000000"/>
          <w:sz w:val="28"/>
          <w:szCs w:val="28"/>
        </w:rPr>
        <w:t xml:space="preserve">по чл. 61 НК /при </w:t>
      </w:r>
      <w:r>
        <w:rPr>
          <w:b/>
          <w:color w:val="000000"/>
          <w:sz w:val="28"/>
          <w:szCs w:val="28"/>
        </w:rPr>
        <w:t>6 за 2022 г.</w:t>
      </w:r>
      <w:r>
        <w:rPr>
          <w:color w:val="000000"/>
          <w:sz w:val="28"/>
          <w:szCs w:val="28"/>
        </w:rPr>
        <w:t xml:space="preserve"> и </w:t>
      </w:r>
      <w:r>
        <w:rPr>
          <w:b/>
          <w:color w:val="000000"/>
          <w:sz w:val="28"/>
          <w:szCs w:val="28"/>
        </w:rPr>
        <w:t>4 за 2021 г.</w:t>
      </w:r>
      <w:r>
        <w:rPr>
          <w:color w:val="000000"/>
          <w:sz w:val="28"/>
          <w:szCs w:val="28"/>
        </w:rPr>
        <w:t>/;</w:t>
      </w:r>
    </w:p>
    <w:p w:rsidR="00E61EBB" w:rsidRDefault="00E61EBB" w:rsidP="00E61EBB">
      <w:pPr>
        <w:jc w:val="both"/>
        <w:rPr>
          <w:color w:val="000000"/>
          <w:sz w:val="28"/>
          <w:szCs w:val="28"/>
        </w:rPr>
      </w:pPr>
      <w:r>
        <w:rPr>
          <w:color w:val="000000"/>
          <w:sz w:val="28"/>
          <w:szCs w:val="28"/>
        </w:rPr>
        <w:tab/>
        <w:t xml:space="preserve">- внесени в съда наказателни производства – </w:t>
      </w:r>
      <w:r>
        <w:rPr>
          <w:b/>
          <w:color w:val="000000"/>
          <w:sz w:val="28"/>
          <w:szCs w:val="28"/>
        </w:rPr>
        <w:t>43</w:t>
      </w:r>
      <w:r>
        <w:rPr>
          <w:color w:val="000000"/>
          <w:sz w:val="28"/>
          <w:szCs w:val="28"/>
        </w:rPr>
        <w:t xml:space="preserve"> /при </w:t>
      </w:r>
      <w:r>
        <w:rPr>
          <w:b/>
          <w:color w:val="000000"/>
          <w:sz w:val="28"/>
          <w:szCs w:val="28"/>
        </w:rPr>
        <w:t>37 за 2022 г.</w:t>
      </w:r>
      <w:r>
        <w:rPr>
          <w:color w:val="000000"/>
          <w:sz w:val="28"/>
          <w:szCs w:val="28"/>
        </w:rPr>
        <w:t xml:space="preserve"> и </w:t>
      </w:r>
      <w:r>
        <w:rPr>
          <w:b/>
          <w:color w:val="000000"/>
          <w:sz w:val="28"/>
          <w:szCs w:val="28"/>
        </w:rPr>
        <w:t>36 за 2021 г.</w:t>
      </w:r>
      <w:r>
        <w:rPr>
          <w:color w:val="000000"/>
          <w:sz w:val="28"/>
          <w:szCs w:val="28"/>
        </w:rPr>
        <w:t xml:space="preserve"> / по отношение на </w:t>
      </w:r>
      <w:r>
        <w:rPr>
          <w:b/>
          <w:color w:val="000000"/>
          <w:sz w:val="28"/>
          <w:szCs w:val="28"/>
        </w:rPr>
        <w:t>43</w:t>
      </w:r>
      <w:r>
        <w:rPr>
          <w:color w:val="000000"/>
          <w:sz w:val="28"/>
          <w:szCs w:val="28"/>
        </w:rPr>
        <w:t xml:space="preserve"> лица.</w:t>
      </w:r>
    </w:p>
    <w:p w:rsidR="00E61EBB" w:rsidRDefault="00E61EBB" w:rsidP="00E61EBB">
      <w:pPr>
        <w:ind w:firstLine="720"/>
        <w:jc w:val="both"/>
        <w:rPr>
          <w:sz w:val="28"/>
          <w:szCs w:val="28"/>
        </w:rPr>
      </w:pPr>
      <w:r>
        <w:rPr>
          <w:sz w:val="28"/>
          <w:szCs w:val="28"/>
        </w:rPr>
        <w:t xml:space="preserve">Видно е, че броят на решените през периода досъдебни производства срещу непълнолетни е по-голям от този през предходните две години, което се дължи на по-големия брой наблюдавани производства. </w:t>
      </w:r>
    </w:p>
    <w:p w:rsidR="00E61EBB" w:rsidRDefault="00E61EBB" w:rsidP="00E61EBB">
      <w:pPr>
        <w:ind w:firstLine="720"/>
        <w:jc w:val="both"/>
        <w:rPr>
          <w:sz w:val="28"/>
          <w:szCs w:val="28"/>
        </w:rPr>
      </w:pPr>
      <w:r>
        <w:rPr>
          <w:sz w:val="28"/>
          <w:szCs w:val="28"/>
        </w:rPr>
        <w:t xml:space="preserve">През 2023 г. делът на внесените в съда наказателни производства срещу непълнолетни спрямо решените е </w:t>
      </w:r>
      <w:r>
        <w:rPr>
          <w:b/>
          <w:sz w:val="28"/>
          <w:szCs w:val="28"/>
        </w:rPr>
        <w:t>67%</w:t>
      </w:r>
      <w:r>
        <w:rPr>
          <w:sz w:val="28"/>
          <w:szCs w:val="28"/>
        </w:rPr>
        <w:t xml:space="preserve">, при </w:t>
      </w:r>
      <w:r>
        <w:rPr>
          <w:b/>
          <w:sz w:val="28"/>
          <w:szCs w:val="28"/>
        </w:rPr>
        <w:t>69% за 2022 г. и</w:t>
      </w:r>
      <w:r>
        <w:rPr>
          <w:sz w:val="28"/>
          <w:szCs w:val="28"/>
        </w:rPr>
        <w:t xml:space="preserve"> </w:t>
      </w:r>
      <w:r>
        <w:rPr>
          <w:b/>
          <w:sz w:val="28"/>
          <w:szCs w:val="28"/>
        </w:rPr>
        <w:t xml:space="preserve">76% за 2021 г. </w:t>
      </w:r>
      <w:r>
        <w:rPr>
          <w:sz w:val="28"/>
          <w:szCs w:val="28"/>
        </w:rPr>
        <w:t>При съпоставка с предходните две години е видно, че е налице леко намаляване на съотношението на внесените в съда дела спрямо решените.</w:t>
      </w:r>
    </w:p>
    <w:p w:rsidR="00E61EBB" w:rsidRDefault="00E61EBB" w:rsidP="00E61EBB">
      <w:pPr>
        <w:ind w:firstLine="720"/>
        <w:jc w:val="both"/>
        <w:rPr>
          <w:color w:val="000000"/>
          <w:sz w:val="28"/>
          <w:szCs w:val="28"/>
        </w:rPr>
      </w:pPr>
      <w:r>
        <w:rPr>
          <w:color w:val="000000"/>
          <w:sz w:val="28"/>
          <w:szCs w:val="28"/>
        </w:rPr>
        <w:lastRenderedPageBreak/>
        <w:t xml:space="preserve">През периода има 3 върнати от съда дела срещу непълнолетни лица. За съпоставка през предходните две години няма върнати такива дела. </w:t>
      </w:r>
    </w:p>
    <w:p w:rsidR="00E61EBB" w:rsidRDefault="00E61EBB" w:rsidP="00E61EBB">
      <w:pPr>
        <w:ind w:firstLine="720"/>
        <w:jc w:val="both"/>
        <w:rPr>
          <w:b/>
          <w:sz w:val="28"/>
          <w:szCs w:val="28"/>
        </w:rPr>
      </w:pPr>
      <w:r>
        <w:rPr>
          <w:sz w:val="28"/>
          <w:szCs w:val="28"/>
        </w:rPr>
        <w:t xml:space="preserve">Броят на осъдените с влезли в сила присъди непълнолетни лица през отчетния период е </w:t>
      </w:r>
      <w:r>
        <w:rPr>
          <w:b/>
          <w:sz w:val="28"/>
          <w:szCs w:val="28"/>
        </w:rPr>
        <w:t>41</w:t>
      </w:r>
      <w:r>
        <w:rPr>
          <w:sz w:val="28"/>
          <w:szCs w:val="28"/>
        </w:rPr>
        <w:t xml:space="preserve">, спрямо </w:t>
      </w:r>
      <w:r>
        <w:rPr>
          <w:b/>
          <w:sz w:val="28"/>
          <w:szCs w:val="28"/>
        </w:rPr>
        <w:t xml:space="preserve">41 за 2022 г. </w:t>
      </w:r>
      <w:r>
        <w:rPr>
          <w:sz w:val="28"/>
          <w:szCs w:val="28"/>
        </w:rPr>
        <w:t xml:space="preserve">и </w:t>
      </w:r>
      <w:r>
        <w:rPr>
          <w:b/>
          <w:sz w:val="28"/>
          <w:szCs w:val="28"/>
        </w:rPr>
        <w:t xml:space="preserve">37 за 2021 г. </w:t>
      </w:r>
      <w:r>
        <w:rPr>
          <w:sz w:val="28"/>
          <w:szCs w:val="28"/>
        </w:rPr>
        <w:t>Налице е запазване спрямо предходната година и леко завишаване спрямо 2021 г.</w:t>
      </w:r>
      <w:r>
        <w:rPr>
          <w:b/>
          <w:sz w:val="28"/>
          <w:szCs w:val="28"/>
        </w:rPr>
        <w:t xml:space="preserve"> </w:t>
      </w:r>
    </w:p>
    <w:p w:rsidR="00E61EBB" w:rsidRDefault="00E61EBB" w:rsidP="00E61EBB">
      <w:pPr>
        <w:ind w:firstLine="720"/>
        <w:jc w:val="both"/>
        <w:rPr>
          <w:color w:val="000000"/>
          <w:sz w:val="28"/>
          <w:szCs w:val="28"/>
        </w:rPr>
      </w:pPr>
      <w:r>
        <w:rPr>
          <w:sz w:val="28"/>
          <w:szCs w:val="28"/>
        </w:rPr>
        <w:t xml:space="preserve">През периода оправданите непълнолетни лица са </w:t>
      </w:r>
      <w:r>
        <w:rPr>
          <w:b/>
          <w:sz w:val="28"/>
          <w:szCs w:val="28"/>
        </w:rPr>
        <w:t>2</w:t>
      </w:r>
      <w:r>
        <w:rPr>
          <w:sz w:val="28"/>
          <w:szCs w:val="28"/>
        </w:rPr>
        <w:t xml:space="preserve">, при оправдани за 2022 г. </w:t>
      </w:r>
      <w:r>
        <w:rPr>
          <w:b/>
          <w:sz w:val="28"/>
          <w:szCs w:val="28"/>
        </w:rPr>
        <w:t>3</w:t>
      </w:r>
      <w:r>
        <w:rPr>
          <w:sz w:val="28"/>
          <w:szCs w:val="28"/>
        </w:rPr>
        <w:t xml:space="preserve"> лица, а за 2021 г. – </w:t>
      </w:r>
      <w:r>
        <w:rPr>
          <w:b/>
          <w:sz w:val="28"/>
          <w:szCs w:val="28"/>
        </w:rPr>
        <w:t>4</w:t>
      </w:r>
      <w:r>
        <w:rPr>
          <w:sz w:val="28"/>
          <w:szCs w:val="28"/>
        </w:rPr>
        <w:t>.</w:t>
      </w:r>
    </w:p>
    <w:p w:rsidR="00E61EBB" w:rsidRDefault="00E61EBB" w:rsidP="00E61EBB">
      <w:pPr>
        <w:jc w:val="both"/>
        <w:rPr>
          <w:sz w:val="28"/>
          <w:szCs w:val="28"/>
        </w:rPr>
      </w:pPr>
      <w:r>
        <w:rPr>
          <w:sz w:val="28"/>
          <w:szCs w:val="28"/>
        </w:rPr>
        <w:tab/>
        <w:t xml:space="preserve">През отчетната година се наблюдава запазване на тенденцията най-често налаганите наказания спрямо непълнолетни да бъдат „Обществено порицание” и „Пробация” за лица над 16 години. Както и през предходните години тези наказания са следвани по честота на налагане от наказанието „Лишаване от свобода” с приложение на чл. 69, във </w:t>
      </w:r>
      <w:proofErr w:type="spellStart"/>
      <w:r>
        <w:rPr>
          <w:sz w:val="28"/>
          <w:szCs w:val="28"/>
        </w:rPr>
        <w:t>вр</w:t>
      </w:r>
      <w:proofErr w:type="spellEnd"/>
      <w:r>
        <w:rPr>
          <w:sz w:val="28"/>
          <w:szCs w:val="28"/>
        </w:rPr>
        <w:t xml:space="preserve">.чл. 66 НК. Налагането на наказание „Лишаване от свобода“ с ефективно изтърпяване бележи запазване спрямо предходната и леко завишаване спрямо 2021 г. </w:t>
      </w:r>
    </w:p>
    <w:p w:rsidR="00E61EBB" w:rsidRDefault="00E61EBB" w:rsidP="00E61EBB">
      <w:pPr>
        <w:ind w:firstLine="720"/>
        <w:jc w:val="both"/>
        <w:rPr>
          <w:sz w:val="28"/>
          <w:szCs w:val="28"/>
        </w:rPr>
      </w:pPr>
      <w:r>
        <w:rPr>
          <w:sz w:val="28"/>
          <w:szCs w:val="28"/>
        </w:rPr>
        <w:t xml:space="preserve">На база изнесените по-горе данни може да бъде направен извод за това, че по досъдебните производства, образувани за престъпления, извършени от непълнолетни лица прокурорите от региона на ОП – Варна са работили отговорно, задълбочено и качествено. Наред с това, през годината е продължила дейността за подобряване взаимодействието с други органи в борбата с детската престъпност. </w:t>
      </w:r>
    </w:p>
    <w:p w:rsidR="00E61EBB" w:rsidRDefault="00E61EBB" w:rsidP="006E7434">
      <w:pPr>
        <w:pStyle w:val="13"/>
        <w:spacing w:after="0" w:line="240" w:lineRule="auto"/>
        <w:ind w:firstLine="709"/>
        <w:contextualSpacing/>
        <w:jc w:val="both"/>
        <w:rPr>
          <w:rStyle w:val="afb"/>
          <w:b w:val="0"/>
          <w:i w:val="0"/>
          <w:color w:val="5F497A" w:themeColor="accent4" w:themeShade="BF"/>
          <w:sz w:val="28"/>
          <w:szCs w:val="28"/>
        </w:rPr>
      </w:pPr>
    </w:p>
    <w:p w:rsidR="003C7B49" w:rsidRDefault="003C7B49" w:rsidP="006E7434">
      <w:pPr>
        <w:pStyle w:val="13"/>
        <w:spacing w:after="0" w:line="240" w:lineRule="auto"/>
        <w:ind w:firstLine="709"/>
        <w:contextualSpacing/>
        <w:jc w:val="both"/>
        <w:rPr>
          <w:rStyle w:val="afb"/>
          <w:b w:val="0"/>
          <w:i w:val="0"/>
          <w:color w:val="5F497A" w:themeColor="accent4" w:themeShade="BF"/>
          <w:sz w:val="28"/>
          <w:szCs w:val="28"/>
        </w:rPr>
      </w:pPr>
    </w:p>
    <w:p w:rsidR="003C7B49" w:rsidRDefault="003C7B49" w:rsidP="006E7434">
      <w:pPr>
        <w:pStyle w:val="13"/>
        <w:spacing w:after="0" w:line="240" w:lineRule="auto"/>
        <w:ind w:firstLine="709"/>
        <w:contextualSpacing/>
        <w:jc w:val="both"/>
        <w:rPr>
          <w:rStyle w:val="afb"/>
          <w:b w:val="0"/>
          <w:i w:val="0"/>
          <w:color w:val="5F497A" w:themeColor="accent4" w:themeShade="BF"/>
          <w:sz w:val="28"/>
          <w:szCs w:val="28"/>
        </w:rPr>
      </w:pPr>
    </w:p>
    <w:p w:rsidR="003C7B49" w:rsidRDefault="003C7B49" w:rsidP="006E7434">
      <w:pPr>
        <w:pStyle w:val="13"/>
        <w:spacing w:after="0" w:line="240" w:lineRule="auto"/>
        <w:ind w:firstLine="709"/>
        <w:contextualSpacing/>
        <w:jc w:val="both"/>
        <w:rPr>
          <w:rStyle w:val="afb"/>
          <w:b w:val="0"/>
          <w:i w:val="0"/>
          <w:color w:val="5F497A" w:themeColor="accent4" w:themeShade="BF"/>
          <w:sz w:val="28"/>
          <w:szCs w:val="28"/>
        </w:rPr>
      </w:pPr>
    </w:p>
    <w:p w:rsidR="006E7434" w:rsidRDefault="006E7434" w:rsidP="006E7434">
      <w:pPr>
        <w:pStyle w:val="13"/>
        <w:spacing w:after="0" w:line="240" w:lineRule="auto"/>
        <w:ind w:firstLine="709"/>
        <w:contextualSpacing/>
        <w:jc w:val="both"/>
        <w:rPr>
          <w:rStyle w:val="afb"/>
          <w:b w:val="0"/>
          <w:i w:val="0"/>
          <w:color w:val="5F497A" w:themeColor="accent4" w:themeShade="BF"/>
          <w:sz w:val="28"/>
          <w:szCs w:val="28"/>
        </w:rPr>
      </w:pPr>
    </w:p>
    <w:p w:rsidR="003C7B49" w:rsidRDefault="003C7B49" w:rsidP="006E7434">
      <w:pPr>
        <w:pStyle w:val="13"/>
        <w:spacing w:after="0" w:line="240" w:lineRule="auto"/>
        <w:ind w:firstLine="709"/>
        <w:contextualSpacing/>
        <w:jc w:val="both"/>
        <w:rPr>
          <w:rStyle w:val="afb"/>
          <w:b w:val="0"/>
          <w:i w:val="0"/>
          <w:color w:val="5F497A" w:themeColor="accent4" w:themeShade="BF"/>
          <w:sz w:val="28"/>
          <w:szCs w:val="28"/>
        </w:rPr>
      </w:pPr>
    </w:p>
    <w:p w:rsidR="003C7B49" w:rsidRDefault="003C7B49" w:rsidP="006E7434">
      <w:pPr>
        <w:pStyle w:val="13"/>
        <w:spacing w:after="0" w:line="240" w:lineRule="auto"/>
        <w:ind w:firstLine="709"/>
        <w:contextualSpacing/>
        <w:jc w:val="both"/>
        <w:rPr>
          <w:rStyle w:val="afb"/>
          <w:b w:val="0"/>
          <w:i w:val="0"/>
          <w:color w:val="5F497A" w:themeColor="accent4" w:themeShade="BF"/>
          <w:sz w:val="28"/>
          <w:szCs w:val="28"/>
        </w:rPr>
      </w:pPr>
    </w:p>
    <w:p w:rsidR="00E61EBB" w:rsidRDefault="00E61EBB" w:rsidP="006E7434">
      <w:pPr>
        <w:pStyle w:val="13"/>
        <w:spacing w:after="0" w:line="240" w:lineRule="auto"/>
        <w:ind w:firstLine="709"/>
        <w:contextualSpacing/>
        <w:jc w:val="both"/>
        <w:rPr>
          <w:rStyle w:val="afb"/>
          <w:b w:val="0"/>
          <w:i w:val="0"/>
          <w:color w:val="5F497A" w:themeColor="accent4" w:themeShade="BF"/>
          <w:sz w:val="28"/>
          <w:szCs w:val="28"/>
        </w:rPr>
      </w:pPr>
    </w:p>
    <w:p w:rsidR="00E61EBB" w:rsidRDefault="00E61EBB" w:rsidP="006E7434">
      <w:pPr>
        <w:pStyle w:val="13"/>
        <w:spacing w:after="0" w:line="240" w:lineRule="auto"/>
        <w:ind w:firstLine="709"/>
        <w:contextualSpacing/>
        <w:jc w:val="both"/>
        <w:rPr>
          <w:rStyle w:val="afb"/>
          <w:b w:val="0"/>
          <w:i w:val="0"/>
          <w:color w:val="5F497A" w:themeColor="accent4" w:themeShade="BF"/>
          <w:sz w:val="28"/>
          <w:szCs w:val="28"/>
        </w:rPr>
      </w:pPr>
    </w:p>
    <w:p w:rsidR="00E61EBB" w:rsidRDefault="00E61EBB" w:rsidP="006E7434">
      <w:pPr>
        <w:pStyle w:val="13"/>
        <w:spacing w:after="0" w:line="240" w:lineRule="auto"/>
        <w:ind w:firstLine="709"/>
        <w:contextualSpacing/>
        <w:jc w:val="both"/>
        <w:rPr>
          <w:rStyle w:val="afb"/>
          <w:b w:val="0"/>
          <w:i w:val="0"/>
          <w:color w:val="5F497A" w:themeColor="accent4" w:themeShade="BF"/>
          <w:sz w:val="28"/>
          <w:szCs w:val="28"/>
        </w:rPr>
      </w:pPr>
    </w:p>
    <w:p w:rsidR="00E61EBB" w:rsidRDefault="00E61EBB" w:rsidP="006E7434">
      <w:pPr>
        <w:pStyle w:val="13"/>
        <w:spacing w:after="0" w:line="240" w:lineRule="auto"/>
        <w:ind w:firstLine="709"/>
        <w:contextualSpacing/>
        <w:jc w:val="both"/>
        <w:rPr>
          <w:rStyle w:val="afb"/>
          <w:b w:val="0"/>
          <w:i w:val="0"/>
          <w:color w:val="5F497A" w:themeColor="accent4" w:themeShade="BF"/>
          <w:sz w:val="28"/>
          <w:szCs w:val="28"/>
        </w:rPr>
      </w:pPr>
    </w:p>
    <w:p w:rsidR="00E61EBB" w:rsidRDefault="00E61EBB" w:rsidP="006E7434">
      <w:pPr>
        <w:pStyle w:val="13"/>
        <w:spacing w:after="0" w:line="240" w:lineRule="auto"/>
        <w:ind w:firstLine="709"/>
        <w:contextualSpacing/>
        <w:jc w:val="both"/>
        <w:rPr>
          <w:rStyle w:val="afb"/>
          <w:b w:val="0"/>
          <w:i w:val="0"/>
          <w:color w:val="5F497A" w:themeColor="accent4" w:themeShade="BF"/>
          <w:sz w:val="28"/>
          <w:szCs w:val="28"/>
        </w:rPr>
      </w:pPr>
    </w:p>
    <w:p w:rsidR="00E61EBB" w:rsidRDefault="00E61EBB" w:rsidP="006E7434">
      <w:pPr>
        <w:pStyle w:val="13"/>
        <w:spacing w:after="0" w:line="240" w:lineRule="auto"/>
        <w:ind w:firstLine="709"/>
        <w:contextualSpacing/>
        <w:jc w:val="both"/>
        <w:rPr>
          <w:rStyle w:val="afb"/>
          <w:b w:val="0"/>
          <w:i w:val="0"/>
          <w:color w:val="5F497A" w:themeColor="accent4" w:themeShade="BF"/>
          <w:sz w:val="28"/>
          <w:szCs w:val="28"/>
        </w:rPr>
      </w:pPr>
    </w:p>
    <w:p w:rsidR="00E61EBB" w:rsidRDefault="00E61EBB" w:rsidP="006E7434">
      <w:pPr>
        <w:pStyle w:val="13"/>
        <w:spacing w:after="0" w:line="240" w:lineRule="auto"/>
        <w:ind w:firstLine="709"/>
        <w:contextualSpacing/>
        <w:jc w:val="both"/>
        <w:rPr>
          <w:rStyle w:val="afb"/>
          <w:b w:val="0"/>
          <w:i w:val="0"/>
          <w:color w:val="5F497A" w:themeColor="accent4" w:themeShade="BF"/>
          <w:sz w:val="28"/>
          <w:szCs w:val="28"/>
        </w:rPr>
      </w:pPr>
    </w:p>
    <w:p w:rsidR="00E61EBB" w:rsidRDefault="00E61EBB" w:rsidP="006E7434">
      <w:pPr>
        <w:pStyle w:val="13"/>
        <w:spacing w:after="0" w:line="240" w:lineRule="auto"/>
        <w:ind w:firstLine="709"/>
        <w:contextualSpacing/>
        <w:jc w:val="both"/>
        <w:rPr>
          <w:rStyle w:val="afb"/>
          <w:b w:val="0"/>
          <w:i w:val="0"/>
          <w:color w:val="5F497A" w:themeColor="accent4" w:themeShade="BF"/>
          <w:sz w:val="28"/>
          <w:szCs w:val="28"/>
        </w:rPr>
      </w:pPr>
    </w:p>
    <w:p w:rsidR="00E61EBB" w:rsidRDefault="00E61EBB" w:rsidP="006E7434">
      <w:pPr>
        <w:pStyle w:val="13"/>
        <w:spacing w:after="0" w:line="240" w:lineRule="auto"/>
        <w:ind w:firstLine="709"/>
        <w:contextualSpacing/>
        <w:jc w:val="both"/>
        <w:rPr>
          <w:rStyle w:val="afb"/>
          <w:b w:val="0"/>
          <w:i w:val="0"/>
          <w:color w:val="5F497A" w:themeColor="accent4" w:themeShade="BF"/>
          <w:sz w:val="28"/>
          <w:szCs w:val="28"/>
        </w:rPr>
      </w:pPr>
    </w:p>
    <w:p w:rsidR="003C7B49" w:rsidRDefault="003C7B49" w:rsidP="006E7434">
      <w:pPr>
        <w:pStyle w:val="13"/>
        <w:spacing w:after="0" w:line="240" w:lineRule="auto"/>
        <w:ind w:firstLine="709"/>
        <w:contextualSpacing/>
        <w:jc w:val="both"/>
        <w:rPr>
          <w:rStyle w:val="afb"/>
          <w:b w:val="0"/>
          <w:i w:val="0"/>
          <w:color w:val="5F497A" w:themeColor="accent4" w:themeShade="BF"/>
          <w:sz w:val="28"/>
          <w:szCs w:val="28"/>
        </w:rPr>
      </w:pPr>
    </w:p>
    <w:p w:rsidR="003C7B49" w:rsidRDefault="003C7B49" w:rsidP="006E7434">
      <w:pPr>
        <w:pStyle w:val="13"/>
        <w:spacing w:after="0" w:line="240" w:lineRule="auto"/>
        <w:ind w:firstLine="709"/>
        <w:contextualSpacing/>
        <w:jc w:val="both"/>
        <w:rPr>
          <w:rStyle w:val="afb"/>
          <w:b w:val="0"/>
          <w:i w:val="0"/>
          <w:color w:val="5F497A" w:themeColor="accent4" w:themeShade="BF"/>
          <w:sz w:val="28"/>
          <w:szCs w:val="28"/>
        </w:rPr>
      </w:pPr>
    </w:p>
    <w:p w:rsidR="003C7B49" w:rsidRDefault="003C7B49" w:rsidP="006E7434">
      <w:pPr>
        <w:pStyle w:val="13"/>
        <w:spacing w:after="0" w:line="240" w:lineRule="auto"/>
        <w:ind w:firstLine="709"/>
        <w:contextualSpacing/>
        <w:jc w:val="both"/>
        <w:rPr>
          <w:rStyle w:val="afb"/>
          <w:b w:val="0"/>
          <w:i w:val="0"/>
          <w:color w:val="5F497A" w:themeColor="accent4" w:themeShade="BF"/>
          <w:sz w:val="28"/>
          <w:szCs w:val="28"/>
        </w:rPr>
      </w:pPr>
    </w:p>
    <w:p w:rsidR="003C7B49" w:rsidRDefault="003C7B49" w:rsidP="006E7434">
      <w:pPr>
        <w:pStyle w:val="13"/>
        <w:spacing w:after="0" w:line="240" w:lineRule="auto"/>
        <w:ind w:firstLine="709"/>
        <w:contextualSpacing/>
        <w:jc w:val="both"/>
        <w:rPr>
          <w:rStyle w:val="afb"/>
          <w:b w:val="0"/>
          <w:i w:val="0"/>
          <w:color w:val="5F497A" w:themeColor="accent4" w:themeShade="BF"/>
          <w:sz w:val="28"/>
          <w:szCs w:val="28"/>
        </w:rPr>
      </w:pPr>
    </w:p>
    <w:p w:rsidR="006E7434" w:rsidRDefault="006E7434" w:rsidP="006E7434">
      <w:pPr>
        <w:pStyle w:val="13"/>
        <w:spacing w:after="0" w:line="240" w:lineRule="auto"/>
        <w:ind w:firstLine="709"/>
        <w:contextualSpacing/>
        <w:jc w:val="both"/>
        <w:rPr>
          <w:rStyle w:val="afb"/>
          <w:b w:val="0"/>
          <w:i w:val="0"/>
          <w:color w:val="5F497A" w:themeColor="accent4" w:themeShade="BF"/>
          <w:sz w:val="28"/>
          <w:szCs w:val="28"/>
        </w:rPr>
      </w:pPr>
    </w:p>
    <w:p w:rsidR="006E7434" w:rsidRDefault="006E7434" w:rsidP="006E7434">
      <w:pPr>
        <w:pStyle w:val="13"/>
        <w:spacing w:after="0" w:line="240" w:lineRule="auto"/>
        <w:ind w:firstLine="709"/>
        <w:contextualSpacing/>
        <w:jc w:val="both"/>
        <w:rPr>
          <w:rStyle w:val="afb"/>
          <w:b w:val="0"/>
          <w:i w:val="0"/>
          <w:color w:val="5F497A" w:themeColor="accent4" w:themeShade="BF"/>
          <w:sz w:val="28"/>
          <w:szCs w:val="28"/>
        </w:rPr>
      </w:pPr>
    </w:p>
    <w:p w:rsidR="006E7434" w:rsidRDefault="006E7434" w:rsidP="006E7434">
      <w:pPr>
        <w:pStyle w:val="13"/>
        <w:spacing w:after="0" w:line="240" w:lineRule="auto"/>
        <w:ind w:firstLine="709"/>
        <w:contextualSpacing/>
        <w:jc w:val="both"/>
        <w:rPr>
          <w:rStyle w:val="afb"/>
          <w:b w:val="0"/>
          <w:i w:val="0"/>
          <w:color w:val="5F497A" w:themeColor="accent4" w:themeShade="BF"/>
          <w:sz w:val="28"/>
          <w:szCs w:val="28"/>
        </w:rPr>
      </w:pPr>
    </w:p>
    <w:p w:rsidR="006E7434" w:rsidRDefault="006E7434" w:rsidP="00E51B93">
      <w:pPr>
        <w:pStyle w:val="13"/>
        <w:spacing w:after="0" w:line="240" w:lineRule="auto"/>
        <w:ind w:left="1429" w:firstLine="0"/>
        <w:contextualSpacing/>
        <w:jc w:val="both"/>
        <w:rPr>
          <w:rStyle w:val="afb"/>
          <w:b w:val="0"/>
          <w:i w:val="0"/>
          <w:color w:val="5F497A" w:themeColor="accent4" w:themeShade="BF"/>
          <w:sz w:val="28"/>
          <w:szCs w:val="28"/>
        </w:rPr>
      </w:pPr>
    </w:p>
    <w:p w:rsidR="006E7434" w:rsidRDefault="006E7434" w:rsidP="00E51B93">
      <w:pPr>
        <w:pStyle w:val="13"/>
        <w:spacing w:after="0" w:line="240" w:lineRule="auto"/>
        <w:ind w:left="1429" w:firstLine="0"/>
        <w:contextualSpacing/>
        <w:jc w:val="both"/>
        <w:rPr>
          <w:rStyle w:val="afb"/>
          <w:b w:val="0"/>
          <w:i w:val="0"/>
          <w:color w:val="5F497A" w:themeColor="accent4" w:themeShade="BF"/>
          <w:sz w:val="28"/>
          <w:szCs w:val="28"/>
        </w:rPr>
      </w:pPr>
    </w:p>
    <w:p w:rsidR="00E51B93" w:rsidRPr="00E51B93" w:rsidRDefault="00E51B93" w:rsidP="000059A2">
      <w:pPr>
        <w:pStyle w:val="13"/>
        <w:numPr>
          <w:ilvl w:val="0"/>
          <w:numId w:val="7"/>
        </w:numPr>
        <w:tabs>
          <w:tab w:val="left" w:pos="989"/>
        </w:tabs>
        <w:spacing w:after="0" w:line="240" w:lineRule="auto"/>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lastRenderedPageBreak/>
        <w:t>МЕЖДУНАРОДНО-ПРАВНО СЪТРУДНИЧЕСТВО.</w:t>
      </w:r>
    </w:p>
    <w:p w:rsidR="00E51B93" w:rsidRDefault="00E51B93" w:rsidP="002F69F9">
      <w:pPr>
        <w:pStyle w:val="a3"/>
        <w:ind w:left="0" w:firstLine="709"/>
        <w:rPr>
          <w:rStyle w:val="afb"/>
          <w:b w:val="0"/>
          <w:i w:val="0"/>
          <w:color w:val="5F497A" w:themeColor="accent4" w:themeShade="BF"/>
          <w:sz w:val="28"/>
          <w:szCs w:val="28"/>
        </w:rPr>
      </w:pPr>
    </w:p>
    <w:p w:rsidR="002F69F9" w:rsidRDefault="002F69F9" w:rsidP="002F69F9">
      <w:pPr>
        <w:ind w:firstLine="709"/>
        <w:contextualSpacing/>
        <w:jc w:val="both"/>
        <w:rPr>
          <w:sz w:val="28"/>
          <w:szCs w:val="28"/>
          <w:lang w:val="ru-RU"/>
        </w:rPr>
      </w:pPr>
      <w:r>
        <w:rPr>
          <w:sz w:val="28"/>
          <w:szCs w:val="28"/>
        </w:rPr>
        <w:t xml:space="preserve">В прокуратурите от Варненския съдебен район няма формиран надзор по въпросите на международното сътрудничество, но е създадена организация за решаване на проблемите с международно-правен елемент. </w:t>
      </w:r>
      <w:r>
        <w:rPr>
          <w:sz w:val="28"/>
          <w:szCs w:val="28"/>
          <w:lang w:val="ru-RU"/>
        </w:rPr>
        <w:t xml:space="preserve">           </w:t>
      </w:r>
    </w:p>
    <w:p w:rsidR="002F69F9" w:rsidRDefault="002F69F9" w:rsidP="002F69F9">
      <w:pPr>
        <w:ind w:firstLine="709"/>
        <w:contextualSpacing/>
        <w:jc w:val="both"/>
        <w:rPr>
          <w:sz w:val="28"/>
          <w:szCs w:val="28"/>
        </w:rPr>
      </w:pPr>
      <w:r>
        <w:rPr>
          <w:sz w:val="28"/>
          <w:szCs w:val="28"/>
        </w:rPr>
        <w:t xml:space="preserve">Международно-правното сътрудничество се използва в работата на прокуратурите от съдебния район, като през отчетния период се прилага Закона за европейската заповед за разследване – по повод изпълнението на получени заповеди за разследване и издаването на такива от прокурорите във връзка с наблюдаваните от тях наказателни производства. Законът ограничи прилагането на  Европейската конвенция за взаимопомощ по </w:t>
      </w:r>
      <w:proofErr w:type="spellStart"/>
      <w:r>
        <w:rPr>
          <w:sz w:val="28"/>
          <w:szCs w:val="28"/>
        </w:rPr>
        <w:t>наказателноправни</w:t>
      </w:r>
      <w:proofErr w:type="spellEnd"/>
      <w:r>
        <w:rPr>
          <w:sz w:val="28"/>
          <w:szCs w:val="28"/>
        </w:rPr>
        <w:t xml:space="preserve"> въпроси и  т.нар. Конвенция 2000 – Конвенцията съставена от Съвета в съответствие с чл. 34 от договора за ЕС, за взаимопомощ по </w:t>
      </w:r>
      <w:proofErr w:type="spellStart"/>
      <w:r>
        <w:rPr>
          <w:sz w:val="28"/>
          <w:szCs w:val="28"/>
        </w:rPr>
        <w:t>наказателноправни</w:t>
      </w:r>
      <w:proofErr w:type="spellEnd"/>
      <w:r>
        <w:rPr>
          <w:sz w:val="28"/>
          <w:szCs w:val="28"/>
        </w:rPr>
        <w:t xml:space="preserve"> въпроси между държавите-членки на ЕС. Основно приложение при разследването на престъпления с международен елемент намира Директива 2014/41/ЕС на Европейския парламент и на Съвета от 3 април 2014 г. транспонирана в Закона за европейската заповед за разследване.</w:t>
      </w:r>
    </w:p>
    <w:p w:rsidR="002F69F9" w:rsidRDefault="002F69F9" w:rsidP="002F69F9">
      <w:pPr>
        <w:ind w:firstLine="709"/>
        <w:contextualSpacing/>
        <w:jc w:val="both"/>
        <w:rPr>
          <w:sz w:val="28"/>
          <w:szCs w:val="28"/>
        </w:rPr>
      </w:pPr>
      <w:r>
        <w:rPr>
          <w:sz w:val="28"/>
          <w:szCs w:val="28"/>
        </w:rPr>
        <w:t>През 2023 г. от ОП – Варна са били изготвени 10 молби за правна помощ и  21 европейски заповеди за разследване. През 2022 г. от ОП – Варна са били изготвени 5 молби за правна помощ и 45 европейски заповеди за разследване, а през 2021 г. - 6 молби за правна помощ и 39 европейски заповеди за разследване.</w:t>
      </w:r>
    </w:p>
    <w:p w:rsidR="002F69F9" w:rsidRDefault="002F69F9" w:rsidP="002F69F9">
      <w:pPr>
        <w:ind w:firstLine="709"/>
        <w:contextualSpacing/>
        <w:jc w:val="both"/>
        <w:rPr>
          <w:sz w:val="28"/>
          <w:szCs w:val="28"/>
        </w:rPr>
      </w:pPr>
      <w:r>
        <w:rPr>
          <w:sz w:val="28"/>
          <w:szCs w:val="28"/>
        </w:rPr>
        <w:t xml:space="preserve">През 2023 г. ОП – Варна е работила по изпълнението на 61 молби за правна помощ и на 87 ЕЗР. През 2022 г. ОП – Варна е изпълнила 46 МПП и 72 ЕЗР. През 2021 г. ОП – Варна е изпълнила 44 МПП и на 59 ЕЗР.  </w:t>
      </w:r>
    </w:p>
    <w:p w:rsidR="002F69F9" w:rsidRDefault="002F69F9" w:rsidP="002F69F9">
      <w:pPr>
        <w:ind w:firstLine="709"/>
        <w:contextualSpacing/>
        <w:jc w:val="both"/>
        <w:rPr>
          <w:sz w:val="28"/>
          <w:szCs w:val="28"/>
        </w:rPr>
      </w:pPr>
      <w:r>
        <w:rPr>
          <w:sz w:val="28"/>
          <w:szCs w:val="28"/>
        </w:rPr>
        <w:t xml:space="preserve">През 2023 г. за нуждите на наблюдаваните от РП – Варна досъдебни производства са изготвени 168 молби за правна помощ  и 92 ЕЗР. През 2022 г. от РП – Варна са били изготвени 95 молби за правна помощ и 72 ЕЗР, а през 2021 г. - 98 МПП и 76 ЕЗР.  </w:t>
      </w:r>
    </w:p>
    <w:p w:rsidR="002F69F9" w:rsidRDefault="002F69F9" w:rsidP="002F69F9">
      <w:pPr>
        <w:ind w:firstLine="709"/>
        <w:contextualSpacing/>
        <w:jc w:val="both"/>
        <w:rPr>
          <w:sz w:val="28"/>
          <w:szCs w:val="28"/>
        </w:rPr>
      </w:pPr>
      <w:r>
        <w:rPr>
          <w:sz w:val="28"/>
          <w:szCs w:val="28"/>
        </w:rPr>
        <w:t xml:space="preserve">През 2023 г. РП – Варна е работила по изпълнението на 3 молби за правна помощ. През 2022 г. РП – Варна е изпълнила 6 МПП, а през 2021 г. - 1. </w:t>
      </w:r>
    </w:p>
    <w:p w:rsidR="002F69F9" w:rsidRDefault="002F69F9" w:rsidP="002F69F9">
      <w:pPr>
        <w:ind w:firstLine="709"/>
        <w:contextualSpacing/>
        <w:jc w:val="both"/>
        <w:rPr>
          <w:sz w:val="28"/>
          <w:szCs w:val="28"/>
        </w:rPr>
      </w:pPr>
      <w:r>
        <w:rPr>
          <w:sz w:val="28"/>
          <w:szCs w:val="28"/>
        </w:rPr>
        <w:t xml:space="preserve">През 2023 г. ОП – Варна е издала 5 Европейски заповеди за арест. През 2022 г. е била издадена една Европейска заповед за арест. През 2021 г. тази прокуратура не е издавала ЕЗА. </w:t>
      </w:r>
    </w:p>
    <w:p w:rsidR="002F69F9" w:rsidRDefault="002F69F9" w:rsidP="002F69F9">
      <w:pPr>
        <w:ind w:firstLine="709"/>
        <w:contextualSpacing/>
        <w:jc w:val="both"/>
        <w:rPr>
          <w:sz w:val="28"/>
          <w:szCs w:val="28"/>
        </w:rPr>
      </w:pPr>
      <w:r>
        <w:rPr>
          <w:sz w:val="28"/>
          <w:szCs w:val="28"/>
        </w:rPr>
        <w:t>През отчетния период прокурорите от ОП – Варна са участвали в разглеждането на  18 получени ЕЗА. През 2022 г. тя е участвала в разглеждането на получени 17 Европейски заповеди. През 2021 г. ЕЗА, по чието изпълнение е участвала ОП – Варна  са били 19.</w:t>
      </w:r>
    </w:p>
    <w:p w:rsidR="002F69F9" w:rsidRDefault="002F69F9" w:rsidP="002F69F9">
      <w:pPr>
        <w:ind w:firstLine="709"/>
        <w:contextualSpacing/>
        <w:jc w:val="both"/>
        <w:rPr>
          <w:sz w:val="28"/>
          <w:szCs w:val="28"/>
        </w:rPr>
      </w:pPr>
      <w:r>
        <w:rPr>
          <w:sz w:val="28"/>
          <w:szCs w:val="28"/>
        </w:rPr>
        <w:t>През 2023 г. от РП – Варна са издадени 13 ЕЗА. Издадените през 2022 г. ЕЗА от РП – Варна са били 3, а през 2021 г. - 7 ЕЗА.</w:t>
      </w:r>
    </w:p>
    <w:p w:rsidR="002F69F9" w:rsidRDefault="002F69F9" w:rsidP="002F69F9">
      <w:pPr>
        <w:ind w:firstLine="709"/>
        <w:contextualSpacing/>
        <w:jc w:val="both"/>
        <w:rPr>
          <w:sz w:val="28"/>
          <w:szCs w:val="28"/>
        </w:rPr>
      </w:pPr>
      <w:r>
        <w:rPr>
          <w:sz w:val="28"/>
          <w:szCs w:val="28"/>
        </w:rPr>
        <w:t xml:space="preserve">През отчетния период прокурорите от ОП – варна са участвали в 15 производства по чл. 463 и </w:t>
      </w:r>
      <w:proofErr w:type="spellStart"/>
      <w:r>
        <w:rPr>
          <w:sz w:val="28"/>
          <w:szCs w:val="28"/>
        </w:rPr>
        <w:t>следв</w:t>
      </w:r>
      <w:proofErr w:type="spellEnd"/>
      <w:r>
        <w:rPr>
          <w:sz w:val="28"/>
          <w:szCs w:val="28"/>
        </w:rPr>
        <w:t xml:space="preserve">. от НПК. Уважени са били 10 от исканията за признаване на присъда. Две от тях са били отхвърлени. </w:t>
      </w:r>
      <w:proofErr w:type="spellStart"/>
      <w:r>
        <w:rPr>
          <w:sz w:val="28"/>
          <w:szCs w:val="28"/>
        </w:rPr>
        <w:t>Становищета</w:t>
      </w:r>
      <w:proofErr w:type="spellEnd"/>
      <w:r>
        <w:rPr>
          <w:sz w:val="28"/>
          <w:szCs w:val="28"/>
        </w:rPr>
        <w:t xml:space="preserve"> на прокурорите са съвпадали с взетите решения на съда, поради което и не са ги протестирали.</w:t>
      </w:r>
    </w:p>
    <w:p w:rsidR="002F69F9" w:rsidRDefault="002F69F9" w:rsidP="002F69F9">
      <w:pPr>
        <w:ind w:firstLine="709"/>
        <w:contextualSpacing/>
        <w:jc w:val="both"/>
        <w:rPr>
          <w:sz w:val="28"/>
          <w:szCs w:val="28"/>
          <w:lang w:val="ru-RU"/>
        </w:rPr>
      </w:pPr>
      <w:r>
        <w:rPr>
          <w:sz w:val="28"/>
          <w:szCs w:val="28"/>
        </w:rPr>
        <w:lastRenderedPageBreak/>
        <w:t xml:space="preserve">  Във връзка с международното правно сътрудничество през 2023 г. са били задържани 17 лица. През 2022 г. са били задържани 19 лица, а през </w:t>
      </w:r>
      <w:r>
        <w:rPr>
          <w:sz w:val="28"/>
          <w:szCs w:val="28"/>
          <w:lang w:val="ru-RU"/>
        </w:rPr>
        <w:t>2021 г. - 16 лица.</w:t>
      </w:r>
    </w:p>
    <w:p w:rsidR="002F69F9" w:rsidRDefault="002F69F9" w:rsidP="002F69F9">
      <w:pPr>
        <w:ind w:firstLine="709"/>
        <w:contextualSpacing/>
        <w:jc w:val="both"/>
        <w:rPr>
          <w:sz w:val="28"/>
          <w:szCs w:val="28"/>
        </w:rPr>
      </w:pPr>
      <w:r>
        <w:rPr>
          <w:sz w:val="28"/>
          <w:szCs w:val="28"/>
        </w:rPr>
        <w:t xml:space="preserve">През 2023 г. прокурорите от ОП – Варна са участвали в 3 производства по екстрадиция. През предходната 2022 г. </w:t>
      </w:r>
      <w:proofErr w:type="spellStart"/>
      <w:r>
        <w:rPr>
          <w:sz w:val="28"/>
          <w:szCs w:val="28"/>
        </w:rPr>
        <w:t>екстрадиционните</w:t>
      </w:r>
      <w:proofErr w:type="spellEnd"/>
      <w:r>
        <w:rPr>
          <w:sz w:val="28"/>
          <w:szCs w:val="28"/>
        </w:rPr>
        <w:t xml:space="preserve"> производства са били  4 – толкова, колкото и през 2021 г.</w:t>
      </w:r>
    </w:p>
    <w:p w:rsidR="002F69F9" w:rsidRDefault="002F69F9" w:rsidP="002F69F9">
      <w:pPr>
        <w:ind w:firstLine="709"/>
        <w:contextualSpacing/>
        <w:jc w:val="both"/>
        <w:rPr>
          <w:sz w:val="28"/>
          <w:szCs w:val="28"/>
        </w:rPr>
      </w:pPr>
      <w:r>
        <w:rPr>
          <w:sz w:val="28"/>
          <w:szCs w:val="28"/>
        </w:rPr>
        <w:t>Както предходните 2022 г, 2021 г. и 2020 г. от Районна и от Окръжна прокуратура – Варна не са изготвяли предложения за изготвяне на молби за екстрадиция.</w:t>
      </w:r>
    </w:p>
    <w:p w:rsidR="002F69F9" w:rsidRDefault="002F69F9" w:rsidP="002F69F9">
      <w:pPr>
        <w:ind w:firstLine="709"/>
        <w:contextualSpacing/>
        <w:jc w:val="both"/>
        <w:rPr>
          <w:sz w:val="28"/>
          <w:szCs w:val="28"/>
        </w:rPr>
      </w:pPr>
      <w:r>
        <w:rPr>
          <w:sz w:val="28"/>
          <w:szCs w:val="28"/>
        </w:rPr>
        <w:t xml:space="preserve">През 2023 г. Районна прокуратура – Варна е изготвила 3 предложения за трансфер на наказателни производства. Окръжна прокуратура – Варна не е изготвяла такива предложения. През предходните две – 2022 г. и 2021 г. Районна прокуратура – Варна и Окръжна прокуратура – Варна не са изготвяли предложения за трансфер на наказателни производства. </w:t>
      </w:r>
    </w:p>
    <w:p w:rsidR="002F69F9" w:rsidRDefault="002F69F9" w:rsidP="002F69F9">
      <w:pPr>
        <w:ind w:firstLine="709"/>
        <w:contextualSpacing/>
        <w:jc w:val="both"/>
        <w:rPr>
          <w:sz w:val="28"/>
          <w:szCs w:val="28"/>
        </w:rPr>
      </w:pPr>
      <w:r>
        <w:rPr>
          <w:sz w:val="28"/>
          <w:szCs w:val="28"/>
        </w:rPr>
        <w:t xml:space="preserve"> През отчетния период ОП – Варна се е произнесла по 2 предложения за трансфер на наказателни производства. През 2022 г. прокурорите от тази прокуратура са се поизнесли по 5 такива предложения. През 2021 г. ОП – Варна е получила и се е произнесла по 6 предложения за трансфер. </w:t>
      </w:r>
    </w:p>
    <w:p w:rsidR="002F69F9" w:rsidRDefault="002F69F9" w:rsidP="002F69F9">
      <w:pPr>
        <w:ind w:firstLine="709"/>
        <w:contextualSpacing/>
        <w:jc w:val="both"/>
        <w:rPr>
          <w:sz w:val="28"/>
          <w:szCs w:val="28"/>
        </w:rPr>
      </w:pPr>
      <w:r>
        <w:rPr>
          <w:sz w:val="28"/>
          <w:szCs w:val="28"/>
        </w:rPr>
        <w:t>През 2023 г. Районна прокуратура – Варна се е произнесла по чл. 478, ал. 2 от НПК относно трансфера на две наказателни производства. През 2022 г. РП – Варна се е произнесла по 5 предложения за трансфер на наказателни производства. През 2021 г. г. прокурорите от тази прокуратура са се произнесли по две предложения за трансфер.</w:t>
      </w:r>
    </w:p>
    <w:p w:rsidR="002F69F9" w:rsidRDefault="002F69F9" w:rsidP="002F69F9">
      <w:pPr>
        <w:ind w:firstLine="709"/>
        <w:contextualSpacing/>
        <w:jc w:val="both"/>
        <w:rPr>
          <w:sz w:val="28"/>
          <w:szCs w:val="28"/>
        </w:rPr>
      </w:pPr>
      <w:r>
        <w:rPr>
          <w:sz w:val="28"/>
          <w:szCs w:val="28"/>
        </w:rPr>
        <w:t>През отчетния период по две производства, наблюдавани от ОП – Варна е приложена процедурата по чл. 483 от НПК. По едно от тях е постигнато съгласие то да бъде прекратено в Р България и да продължи в другата страна. До края на отчетния период консултациите по второто не са били приключили. Консултации по чл. 483 от НПК са провеждани по едно наказателно производство, наблюдавано от РП – Варна, които до края на 2023 г. също не са били приключили. През 2022 г. процедурата по чл. 483 от НПК е приложена по едно досъдебно производство, наблюдавано от  РП – Варна. През 2021 г. ОП – Варна и РП – Варна не са имали казуси, налагащи прилагането на процедурата от Раздел V от Глава ХХХVІ от НПК.</w:t>
      </w:r>
    </w:p>
    <w:p w:rsidR="002F69F9" w:rsidRDefault="002F69F9" w:rsidP="002F69F9">
      <w:pPr>
        <w:ind w:firstLine="709"/>
        <w:contextualSpacing/>
        <w:jc w:val="both"/>
        <w:rPr>
          <w:sz w:val="28"/>
          <w:szCs w:val="28"/>
        </w:rPr>
      </w:pPr>
      <w:r>
        <w:rPr>
          <w:sz w:val="28"/>
          <w:szCs w:val="28"/>
        </w:rPr>
        <w:t xml:space="preserve"> Общият брой на заседанията през 2023 г., свързани с международното правно сътрудничество, в които прокурорите от ОП – Варна са участвали, е 185.  През 2022 г. те са били 116, а през 2021 г. - 125. </w:t>
      </w:r>
    </w:p>
    <w:p w:rsidR="002F69F9" w:rsidRDefault="002F69F9" w:rsidP="002F69F9">
      <w:pPr>
        <w:ind w:firstLine="709"/>
        <w:contextualSpacing/>
        <w:jc w:val="both"/>
        <w:rPr>
          <w:sz w:val="28"/>
          <w:szCs w:val="28"/>
        </w:rPr>
      </w:pPr>
      <w:r>
        <w:rPr>
          <w:sz w:val="28"/>
          <w:szCs w:val="28"/>
        </w:rPr>
        <w:t xml:space="preserve"> През 2023 г. в Окръжна прокуратура – Варна е имала общо 323 броя преписки с международен елемент. През 2022 г. преписките й с международен елемент са били 237, а през 2021 г. - 246.</w:t>
      </w:r>
    </w:p>
    <w:p w:rsidR="002F69F9" w:rsidRDefault="002F69F9" w:rsidP="002F69F9">
      <w:pPr>
        <w:ind w:firstLine="709"/>
        <w:contextualSpacing/>
        <w:jc w:val="both"/>
      </w:pPr>
      <w:r>
        <w:rPr>
          <w:sz w:val="28"/>
          <w:szCs w:val="28"/>
        </w:rPr>
        <w:t xml:space="preserve"> През 2023 г. преписките с международен елемент в РП – Варна са били 643. През 2022 г. преписките с международен елемент в РП – Варна са били 492, а през 2021 г. - 686.</w:t>
      </w:r>
    </w:p>
    <w:p w:rsidR="006E7434" w:rsidRDefault="006E7434" w:rsidP="002F69F9">
      <w:pPr>
        <w:pStyle w:val="a3"/>
        <w:ind w:left="0" w:firstLine="709"/>
        <w:rPr>
          <w:rStyle w:val="afb"/>
          <w:b w:val="0"/>
          <w:i w:val="0"/>
          <w:color w:val="5F497A" w:themeColor="accent4" w:themeShade="BF"/>
          <w:sz w:val="28"/>
          <w:szCs w:val="28"/>
        </w:rPr>
      </w:pPr>
    </w:p>
    <w:p w:rsidR="006E7434" w:rsidRDefault="006E7434" w:rsidP="002F69F9">
      <w:pPr>
        <w:pStyle w:val="a3"/>
        <w:ind w:left="0" w:firstLine="709"/>
        <w:rPr>
          <w:rStyle w:val="afb"/>
          <w:b w:val="0"/>
          <w:i w:val="0"/>
          <w:color w:val="5F497A" w:themeColor="accent4" w:themeShade="BF"/>
          <w:sz w:val="28"/>
          <w:szCs w:val="28"/>
        </w:rPr>
      </w:pPr>
    </w:p>
    <w:p w:rsidR="006E7434" w:rsidRDefault="006E7434" w:rsidP="002F69F9">
      <w:pPr>
        <w:pStyle w:val="a3"/>
        <w:ind w:left="0" w:firstLine="709"/>
        <w:rPr>
          <w:rStyle w:val="afb"/>
          <w:b w:val="0"/>
          <w:i w:val="0"/>
          <w:color w:val="5F497A" w:themeColor="accent4" w:themeShade="BF"/>
          <w:sz w:val="28"/>
          <w:szCs w:val="28"/>
        </w:rPr>
      </w:pPr>
    </w:p>
    <w:p w:rsidR="00E51B93" w:rsidRPr="007A7CE7" w:rsidRDefault="00E51B93" w:rsidP="000059A2">
      <w:pPr>
        <w:pStyle w:val="13"/>
        <w:numPr>
          <w:ilvl w:val="0"/>
          <w:numId w:val="7"/>
        </w:numPr>
        <w:tabs>
          <w:tab w:val="left" w:pos="907"/>
        </w:tabs>
        <w:spacing w:after="0" w:line="240" w:lineRule="auto"/>
        <w:ind w:left="0" w:firstLine="709"/>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lastRenderedPageBreak/>
        <w:t>АДМИНИСТРАТИВНА И КОНТРОЛНО-РЕВИЗИОННА ДЕЙНОСТ.</w:t>
      </w:r>
    </w:p>
    <w:p w:rsidR="007A7CE7" w:rsidRDefault="007A7CE7" w:rsidP="000059A2">
      <w:pPr>
        <w:numPr>
          <w:ilvl w:val="0"/>
          <w:numId w:val="20"/>
        </w:numPr>
        <w:spacing w:after="200"/>
        <w:contextualSpacing/>
        <w:jc w:val="both"/>
        <w:rPr>
          <w:b/>
          <w:sz w:val="28"/>
          <w:szCs w:val="28"/>
        </w:rPr>
      </w:pPr>
      <w:r>
        <w:rPr>
          <w:b/>
          <w:sz w:val="28"/>
          <w:szCs w:val="28"/>
        </w:rPr>
        <w:t>Щатна осигуреност</w:t>
      </w:r>
    </w:p>
    <w:p w:rsidR="007A7CE7" w:rsidRDefault="007A7CE7" w:rsidP="007A7CE7">
      <w:pPr>
        <w:ind w:firstLine="708"/>
        <w:jc w:val="both"/>
        <w:rPr>
          <w:sz w:val="28"/>
          <w:szCs w:val="28"/>
        </w:rPr>
      </w:pPr>
      <w:r>
        <w:rPr>
          <w:sz w:val="28"/>
          <w:szCs w:val="28"/>
        </w:rPr>
        <w:t>Към 01.</w:t>
      </w:r>
      <w:proofErr w:type="spellStart"/>
      <w:r>
        <w:rPr>
          <w:sz w:val="28"/>
          <w:szCs w:val="28"/>
        </w:rPr>
        <w:t>01</w:t>
      </w:r>
      <w:proofErr w:type="spellEnd"/>
      <w:r>
        <w:rPr>
          <w:sz w:val="28"/>
          <w:szCs w:val="28"/>
        </w:rPr>
        <w:t>.202</w:t>
      </w:r>
      <w:r>
        <w:rPr>
          <w:sz w:val="28"/>
          <w:szCs w:val="28"/>
          <w:lang w:val="en-US"/>
        </w:rPr>
        <w:t>3</w:t>
      </w:r>
      <w:r>
        <w:rPr>
          <w:sz w:val="28"/>
          <w:szCs w:val="28"/>
        </w:rPr>
        <w:t xml:space="preserve"> г. утвърденият щат на Окръжна прокуратура за прокурорите е 29 щатни длъжности, разпределени по вид длъжности, както следва: административен ръководител – окръжен прокурор -1, заместник на административния ръководител – заместник-окръжен прокурор – 3, прокурори – 25. Свободните бройки са 2 щ.бр. за длъжността „прокурор“. Щатните длъжности за следователи са 26, както следва: завеждащ Окръжен следствен отдел в ОП-Варна -1, следователи – 22, младши следователи – 3. Свободните длъжности са: младши следовател  - 1.</w:t>
      </w:r>
    </w:p>
    <w:p w:rsidR="007A7CE7" w:rsidRDefault="007A7CE7" w:rsidP="007A7CE7">
      <w:pPr>
        <w:ind w:firstLine="708"/>
        <w:jc w:val="both"/>
        <w:rPr>
          <w:sz w:val="28"/>
          <w:szCs w:val="28"/>
        </w:rPr>
      </w:pPr>
      <w:r>
        <w:rPr>
          <w:sz w:val="28"/>
          <w:szCs w:val="28"/>
        </w:rPr>
        <w:t>С решение по протокол № 24/28.06.2023 г. на ПК на ВСС е назначен магистрат на длъжност „младши следовател“, считано от 03.07.2023 г.</w:t>
      </w:r>
    </w:p>
    <w:p w:rsidR="007A7CE7" w:rsidRDefault="007A7CE7" w:rsidP="007A7CE7">
      <w:pPr>
        <w:ind w:firstLine="708"/>
        <w:jc w:val="both"/>
        <w:rPr>
          <w:sz w:val="28"/>
          <w:szCs w:val="28"/>
        </w:rPr>
      </w:pPr>
      <w:r>
        <w:rPr>
          <w:sz w:val="28"/>
          <w:szCs w:val="28"/>
        </w:rPr>
        <w:t>С решение по протокол № 44/29.11.2023 г. на ПК на ВСС младши следовател е преназначен на длъжност „следовател“ в ОСлО-ОП-Пловдив, считано от 29.11.2023 г.</w:t>
      </w:r>
    </w:p>
    <w:p w:rsidR="007A7CE7" w:rsidRDefault="007A7CE7" w:rsidP="007A7CE7">
      <w:pPr>
        <w:ind w:firstLine="426"/>
        <w:jc w:val="both"/>
        <w:rPr>
          <w:sz w:val="28"/>
          <w:szCs w:val="28"/>
        </w:rPr>
      </w:pPr>
      <w:r>
        <w:rPr>
          <w:sz w:val="28"/>
          <w:szCs w:val="28"/>
        </w:rPr>
        <w:tab/>
      </w:r>
      <w:bookmarkStart w:id="56" w:name="OLE_LINK17"/>
      <w:r>
        <w:rPr>
          <w:sz w:val="28"/>
          <w:szCs w:val="28"/>
        </w:rPr>
        <w:t>Със заповед  № РД-07-963/16.10.2020 г. на главния прокурор на РБ, прокурор от ОП – Варна е командирован в АП – Варна, считано от 19.10.2020 г. на свободна щатна бройка, до заемането й чрез конкурс по ЗСВ.</w:t>
      </w:r>
    </w:p>
    <w:bookmarkEnd w:id="56"/>
    <w:p w:rsidR="007A7CE7" w:rsidRDefault="007A7CE7" w:rsidP="007A7CE7">
      <w:pPr>
        <w:ind w:firstLine="426"/>
        <w:jc w:val="both"/>
        <w:rPr>
          <w:sz w:val="28"/>
          <w:szCs w:val="28"/>
        </w:rPr>
      </w:pPr>
      <w:r>
        <w:rPr>
          <w:sz w:val="28"/>
          <w:szCs w:val="28"/>
        </w:rPr>
        <w:tab/>
        <w:t>Считано от 03.10.2022 г., със заповед № РД-07-1171/28.09.2022 г. на заместника на главния прокурор при ВКП, е командирован прокурор от ОП – Варна в АП – Варна, на свободна длъжност, до заемането й чрез конкурс.</w:t>
      </w:r>
    </w:p>
    <w:p w:rsidR="007A7CE7" w:rsidRDefault="007A7CE7" w:rsidP="007A7CE7">
      <w:pPr>
        <w:ind w:firstLine="426"/>
        <w:jc w:val="both"/>
        <w:rPr>
          <w:sz w:val="28"/>
          <w:szCs w:val="28"/>
        </w:rPr>
      </w:pPr>
      <w:r>
        <w:rPr>
          <w:sz w:val="28"/>
          <w:szCs w:val="28"/>
        </w:rPr>
        <w:tab/>
        <w:t>С решение по протокол № 15/20.04.2022 г. на ПК на ВСС прокурор от Окръжна прокуратура – Варна е командирован  в гр. Брюксел, Белгия като национален експерт в Европейската служба за борба с измамите (</w:t>
      </w:r>
      <w:r>
        <w:rPr>
          <w:sz w:val="28"/>
          <w:szCs w:val="28"/>
          <w:lang w:val="en-US"/>
        </w:rPr>
        <w:t>OLAF)</w:t>
      </w:r>
      <w:r>
        <w:rPr>
          <w:sz w:val="28"/>
          <w:szCs w:val="28"/>
        </w:rPr>
        <w:t>, считано от 01.05.2022 г. до 30.04.2024 г.</w:t>
      </w:r>
    </w:p>
    <w:p w:rsidR="007A7CE7" w:rsidRDefault="007A7CE7" w:rsidP="007A7CE7">
      <w:pPr>
        <w:ind w:firstLine="709"/>
        <w:jc w:val="both"/>
        <w:rPr>
          <w:sz w:val="28"/>
          <w:szCs w:val="28"/>
        </w:rPr>
      </w:pPr>
      <w:r>
        <w:rPr>
          <w:sz w:val="28"/>
          <w:szCs w:val="28"/>
        </w:rPr>
        <w:t>През 2023 г. продължи командироването, съгласно заповед № РД-07-402/27.05.2020 г. на главния прокурор на РБ, на прокурор от РП – Варна в ОП – Варна на свободна щатна бройка; със заповед № 328/10.11.2021 г. е командирован прокурор от РП – Варна, до отпадане на основанието за командироване, а считано от 17.10.2022 г. същият е командирован на свободна щатна длъжност със заповед № РД-07-1284/11.10.2022 г.</w:t>
      </w:r>
    </w:p>
    <w:p w:rsidR="007A7CE7" w:rsidRDefault="007A7CE7" w:rsidP="000059A2">
      <w:pPr>
        <w:numPr>
          <w:ilvl w:val="0"/>
          <w:numId w:val="21"/>
        </w:numPr>
        <w:spacing w:after="200"/>
        <w:ind w:left="0" w:firstLine="709"/>
        <w:contextualSpacing/>
        <w:jc w:val="both"/>
        <w:rPr>
          <w:sz w:val="28"/>
          <w:szCs w:val="28"/>
        </w:rPr>
      </w:pPr>
      <w:r>
        <w:rPr>
          <w:sz w:val="28"/>
          <w:szCs w:val="28"/>
        </w:rPr>
        <w:t>Със заповед № 412/13.10.2022 г. на административния ръководител – апелативен прокурор на АП – Варна продължи командироването на прокурор от ОП – Разград до 01.11.2023 г.</w:t>
      </w:r>
    </w:p>
    <w:p w:rsidR="007A7CE7" w:rsidRDefault="007A7CE7" w:rsidP="007A7CE7">
      <w:pPr>
        <w:ind w:firstLine="709"/>
        <w:jc w:val="both"/>
        <w:rPr>
          <w:sz w:val="28"/>
          <w:szCs w:val="28"/>
        </w:rPr>
      </w:pPr>
      <w:r>
        <w:rPr>
          <w:sz w:val="28"/>
          <w:szCs w:val="28"/>
        </w:rPr>
        <w:t xml:space="preserve">Към 31.12.2023 г. щатът на Окръжна прокуратура за прокурорите и следователите е без промяна. </w:t>
      </w:r>
    </w:p>
    <w:p w:rsidR="007A7CE7" w:rsidRDefault="007A7CE7" w:rsidP="007A7CE7">
      <w:pPr>
        <w:ind w:firstLine="709"/>
        <w:jc w:val="both"/>
        <w:rPr>
          <w:sz w:val="28"/>
          <w:szCs w:val="28"/>
        </w:rPr>
      </w:pPr>
      <w:r>
        <w:rPr>
          <w:sz w:val="28"/>
          <w:szCs w:val="28"/>
        </w:rPr>
        <w:t>През 2023 г. е атестиран следовател и съгласно протокол № 41/08.11.2023 г. на ПК на ВСС е придобил статут на несменяемост.</w:t>
      </w:r>
    </w:p>
    <w:p w:rsidR="007A7CE7" w:rsidRDefault="007A7CE7" w:rsidP="007A7CE7">
      <w:pPr>
        <w:ind w:firstLine="709"/>
        <w:jc w:val="both"/>
        <w:rPr>
          <w:sz w:val="28"/>
          <w:szCs w:val="28"/>
        </w:rPr>
      </w:pPr>
      <w:r>
        <w:rPr>
          <w:sz w:val="28"/>
          <w:szCs w:val="28"/>
        </w:rPr>
        <w:t>Съгласно протокол 40/01.11.2023 г. на ПК на ВСС прокурор е повишен в ранг „прокурор във ВКП и ВАП“.</w:t>
      </w:r>
    </w:p>
    <w:p w:rsidR="007A7CE7" w:rsidRDefault="007A7CE7" w:rsidP="007A7CE7">
      <w:pPr>
        <w:ind w:firstLine="709"/>
        <w:jc w:val="both"/>
        <w:rPr>
          <w:bCs/>
          <w:sz w:val="28"/>
          <w:szCs w:val="28"/>
        </w:rPr>
      </w:pPr>
      <w:r>
        <w:rPr>
          <w:bCs/>
          <w:sz w:val="28"/>
          <w:szCs w:val="28"/>
        </w:rPr>
        <w:t>Към 01.</w:t>
      </w:r>
      <w:proofErr w:type="spellStart"/>
      <w:r>
        <w:rPr>
          <w:bCs/>
          <w:sz w:val="28"/>
          <w:szCs w:val="28"/>
        </w:rPr>
        <w:t>01</w:t>
      </w:r>
      <w:proofErr w:type="spellEnd"/>
      <w:r>
        <w:rPr>
          <w:bCs/>
          <w:sz w:val="28"/>
          <w:szCs w:val="28"/>
        </w:rPr>
        <w:t xml:space="preserve">.2023 г. администрацията в ОП – Варна е структурирана в Обща и Специализирана с 62 щ.бр. Общата администрация се състои от Звено „Финансово-стопанска и административна дейност“(ръководител сектор „ФСАД“, главен счетоводител, главен специалист-счетоводител – 2 щ.бр., главен </w:t>
      </w:r>
      <w:r>
        <w:rPr>
          <w:bCs/>
          <w:sz w:val="28"/>
          <w:szCs w:val="28"/>
        </w:rPr>
        <w:lastRenderedPageBreak/>
        <w:t xml:space="preserve">специалист-човешки ресурси, експерт, обществени поръчки, главен специалист по стопанисване и управление на съдебното имущество, той и домакин; Звено „Информационно и техническо обслужване“ (системен администратор – 3 щ.бр., </w:t>
      </w:r>
      <w:proofErr w:type="spellStart"/>
      <w:r>
        <w:rPr>
          <w:bCs/>
          <w:sz w:val="28"/>
          <w:szCs w:val="28"/>
        </w:rPr>
        <w:t>шофьор-призовкар</w:t>
      </w:r>
      <w:proofErr w:type="spellEnd"/>
      <w:r>
        <w:rPr>
          <w:bCs/>
          <w:sz w:val="28"/>
          <w:szCs w:val="28"/>
        </w:rPr>
        <w:t xml:space="preserve"> – 4 щ.бр., работник поддръжка сграда-огняр, чистач – 3 щ.бр., пазач-невъоръжена охрана, а специализираната в Служба „Регистратура и деловодство“ – завеждащ служба, съдебен секретар 8 щ.бр., съдебен деловодител 12 щ.бр. и </w:t>
      </w:r>
      <w:proofErr w:type="spellStart"/>
      <w:r>
        <w:rPr>
          <w:bCs/>
          <w:sz w:val="28"/>
          <w:szCs w:val="28"/>
        </w:rPr>
        <w:t>призовкар</w:t>
      </w:r>
      <w:proofErr w:type="spellEnd"/>
      <w:r>
        <w:rPr>
          <w:bCs/>
          <w:sz w:val="28"/>
          <w:szCs w:val="28"/>
        </w:rPr>
        <w:t xml:space="preserve">; Служба „Архив“ – завеждащ служба; Служба „Деловодство“ – завеждащ служба, съдебен секретар 3 щ.бр., съдебен деловодител 9 щ.бр., </w:t>
      </w:r>
      <w:proofErr w:type="spellStart"/>
      <w:r>
        <w:rPr>
          <w:bCs/>
          <w:sz w:val="28"/>
          <w:szCs w:val="28"/>
        </w:rPr>
        <w:t>призовкар</w:t>
      </w:r>
      <w:proofErr w:type="spellEnd"/>
      <w:r>
        <w:rPr>
          <w:bCs/>
          <w:sz w:val="28"/>
          <w:szCs w:val="28"/>
        </w:rPr>
        <w:t xml:space="preserve"> – 1 щ.бр. и прокурорски помощник – 4 щ.бр. Ръководните длъжности в администрацията на ОП – Варна са: съдебен администратор, административен секретар, главен счетоводител и ръководител сектор „ФСАД“.</w:t>
      </w:r>
    </w:p>
    <w:p w:rsidR="007A7CE7" w:rsidRDefault="007A7CE7" w:rsidP="007A7CE7">
      <w:pPr>
        <w:ind w:firstLine="709"/>
        <w:jc w:val="both"/>
        <w:rPr>
          <w:bCs/>
          <w:sz w:val="28"/>
          <w:szCs w:val="28"/>
        </w:rPr>
      </w:pPr>
      <w:r>
        <w:rPr>
          <w:bCs/>
          <w:sz w:val="28"/>
          <w:szCs w:val="28"/>
        </w:rPr>
        <w:t>Към 31.12.2023 г. длъжностното разписание на съдебните служители от Окръжна прокуратура – Варна е 63 щ.бр., поради увеличение на щатната численост с 1 щ.бр.“съдебен статистик“ (пр.№ 41/08.11.2023 г. на ПК на ВСС), съгласно заповед № РД-08-1438/20.09.2023 г. на и.ф. главен прокурор са трансформирани 8 щ.бр. „съдебен секретар“ в служба „Регистратура и деловодство“ в 8 щ.бр. „съдебен деловодител“, считано от 01.10.2023 г. Със същата  заповед са трансформирани 3 щ.бр. „съдебен секретар“ в служба „Деловодство“ в 3 щ.бр. „съдебен деловодител“, считано от 01.10.2023 г.</w:t>
      </w:r>
    </w:p>
    <w:p w:rsidR="007A7CE7" w:rsidRDefault="007A7CE7" w:rsidP="007A7CE7">
      <w:pPr>
        <w:ind w:firstLine="709"/>
        <w:jc w:val="both"/>
        <w:rPr>
          <w:bCs/>
          <w:sz w:val="28"/>
          <w:szCs w:val="28"/>
        </w:rPr>
      </w:pPr>
      <w:r>
        <w:rPr>
          <w:bCs/>
          <w:sz w:val="28"/>
          <w:szCs w:val="28"/>
        </w:rPr>
        <w:t xml:space="preserve">Към 31.12.2023 г. са били заети всички щатни бройки за съдебни служители в Окръжна прокуратура – Варна. </w:t>
      </w:r>
    </w:p>
    <w:p w:rsidR="007A7CE7" w:rsidRDefault="007A7CE7" w:rsidP="007A7CE7">
      <w:pPr>
        <w:ind w:firstLine="709"/>
        <w:jc w:val="both"/>
        <w:rPr>
          <w:bCs/>
          <w:sz w:val="28"/>
          <w:szCs w:val="28"/>
        </w:rPr>
      </w:pPr>
      <w:r>
        <w:rPr>
          <w:bCs/>
          <w:sz w:val="28"/>
          <w:szCs w:val="28"/>
        </w:rPr>
        <w:t>В ОП – Варна през периода 01.</w:t>
      </w:r>
      <w:proofErr w:type="spellStart"/>
      <w:r>
        <w:rPr>
          <w:bCs/>
          <w:sz w:val="28"/>
          <w:szCs w:val="28"/>
        </w:rPr>
        <w:t>01</w:t>
      </w:r>
      <w:proofErr w:type="spellEnd"/>
      <w:r>
        <w:rPr>
          <w:bCs/>
          <w:sz w:val="28"/>
          <w:szCs w:val="28"/>
        </w:rPr>
        <w:t>.2023 г. – 31.12.2023 г. е проведен един конкурс за назначаване на съдебни служители по реда на чл. 67, ал.1, т.1 от КТ и 1 щ.бр. по чл.68, ал.1, т.3 от КТ. Проведена е и 1 процедура за подбор на 1 щ.бр. „Работник поддръжка сгради – огняр. Същите са приключили и са назначени  съдебни служители.</w:t>
      </w:r>
    </w:p>
    <w:p w:rsidR="007A7CE7" w:rsidRDefault="007A7CE7" w:rsidP="007A7CE7">
      <w:pPr>
        <w:ind w:firstLine="709"/>
        <w:jc w:val="both"/>
        <w:rPr>
          <w:bCs/>
          <w:sz w:val="28"/>
          <w:szCs w:val="28"/>
        </w:rPr>
      </w:pPr>
      <w:r>
        <w:rPr>
          <w:bCs/>
          <w:sz w:val="28"/>
          <w:szCs w:val="28"/>
        </w:rPr>
        <w:t xml:space="preserve">През 2023 г. на основание чл. 67, ал.1, т.1 от КТ, </w:t>
      </w:r>
      <w:proofErr w:type="spellStart"/>
      <w:r>
        <w:rPr>
          <w:bCs/>
          <w:sz w:val="28"/>
          <w:szCs w:val="28"/>
        </w:rPr>
        <w:t>вр</w:t>
      </w:r>
      <w:proofErr w:type="spellEnd"/>
      <w:r>
        <w:rPr>
          <w:bCs/>
          <w:sz w:val="28"/>
          <w:szCs w:val="28"/>
        </w:rPr>
        <w:t>. с чл. 343, ал.2 от ЗСВ са назначени двама служителя от Районна прокуратура – Варна.</w:t>
      </w:r>
    </w:p>
    <w:p w:rsidR="007A7CE7" w:rsidRDefault="007A7CE7" w:rsidP="007A7CE7">
      <w:pPr>
        <w:ind w:firstLine="709"/>
        <w:jc w:val="both"/>
        <w:rPr>
          <w:bCs/>
          <w:sz w:val="28"/>
          <w:szCs w:val="28"/>
        </w:rPr>
      </w:pPr>
      <w:r>
        <w:rPr>
          <w:bCs/>
          <w:sz w:val="28"/>
          <w:szCs w:val="28"/>
        </w:rPr>
        <w:t>През 2023 г. бяха прекратени трудовите договори на двама служители, съответно  на основание чл. 328, т.10 от КТ и на основание чл. 325, ал.1, т.5 от КТ.</w:t>
      </w:r>
    </w:p>
    <w:p w:rsidR="007A7CE7" w:rsidRDefault="007A7CE7" w:rsidP="007A7CE7">
      <w:pPr>
        <w:ind w:firstLine="709"/>
        <w:jc w:val="both"/>
        <w:rPr>
          <w:bCs/>
          <w:sz w:val="28"/>
          <w:szCs w:val="28"/>
        </w:rPr>
      </w:pPr>
      <w:r>
        <w:rPr>
          <w:bCs/>
          <w:sz w:val="28"/>
          <w:szCs w:val="28"/>
        </w:rPr>
        <w:t>През месец декември 2023 г. се извърши ежегодното атестиране на всички съдебни служители, съгласно Правилника за администрацията на Прокуратурата на РБ и Методика за оценка при атестиране на съдебните служители в ПРБ, за периода от 01.12.2022 г. - 30.11.2023 г., в резултат на което бяха повишени в ранг единадесет служителя и на трима служители беше определен максималния размер на трудовото възнаграждение, считано от 01.</w:t>
      </w:r>
      <w:proofErr w:type="spellStart"/>
      <w:r>
        <w:rPr>
          <w:bCs/>
          <w:sz w:val="28"/>
          <w:szCs w:val="28"/>
        </w:rPr>
        <w:t>01</w:t>
      </w:r>
      <w:proofErr w:type="spellEnd"/>
      <w:r>
        <w:rPr>
          <w:bCs/>
          <w:sz w:val="28"/>
          <w:szCs w:val="28"/>
        </w:rPr>
        <w:t>.2024 г.</w:t>
      </w:r>
    </w:p>
    <w:p w:rsidR="007A7CE7" w:rsidRDefault="007A7CE7" w:rsidP="007A7CE7">
      <w:pPr>
        <w:ind w:firstLine="709"/>
        <w:jc w:val="both"/>
        <w:rPr>
          <w:bCs/>
          <w:sz w:val="28"/>
          <w:szCs w:val="28"/>
        </w:rPr>
      </w:pPr>
      <w:r>
        <w:rPr>
          <w:bCs/>
          <w:sz w:val="28"/>
          <w:szCs w:val="28"/>
        </w:rPr>
        <w:t xml:space="preserve">Със заповед № 168/20.02.2023 г., изм. и доп. със заповед № 1424/09.11.2023 г. на административния ръководител-окръжен прокурор на ОП-Варна по отношение на специализираната администрация е създадена организация за осъществяване на деловодната дейност, определени са функционалните направления и процесните дейности на съдебните служители, с цел </w:t>
      </w:r>
      <w:r>
        <w:rPr>
          <w:rFonts w:eastAsia="Calibri"/>
          <w:sz w:val="28"/>
          <w:szCs w:val="28"/>
          <w:lang w:eastAsia="en-US"/>
        </w:rPr>
        <w:t xml:space="preserve">оптимизиране организацията на деловодната дейност, подобряване и повишаване на функционалността, използването на УИС и балансиране </w:t>
      </w:r>
      <w:r>
        <w:rPr>
          <w:rFonts w:eastAsia="Calibri"/>
          <w:sz w:val="28"/>
          <w:szCs w:val="28"/>
          <w:lang w:eastAsia="en-US"/>
        </w:rPr>
        <w:lastRenderedPageBreak/>
        <w:t>натовареността на съдебните служители от служба „Регистратура и деловодство“, служба „Архив“ и служба „Деловодство“.</w:t>
      </w:r>
    </w:p>
    <w:p w:rsidR="007A7CE7" w:rsidRDefault="007A7CE7" w:rsidP="007A7CE7">
      <w:pPr>
        <w:ind w:firstLine="709"/>
        <w:jc w:val="both"/>
        <w:rPr>
          <w:bCs/>
          <w:sz w:val="28"/>
          <w:szCs w:val="28"/>
        </w:rPr>
      </w:pPr>
      <w:r>
        <w:rPr>
          <w:bCs/>
          <w:sz w:val="28"/>
          <w:szCs w:val="28"/>
        </w:rPr>
        <w:t>Така съотношението магистрати/служители през 2023 г. е 1,15. Това съотношение не е достатъчно, за да се осъществява напълно нормалната прокурорска и административна дейност. Служителите от ОП – Варна качествено и в срок са изпълнявали служебните си задължения, въпреки високата им натовареност. Същите са полагали 24-часови дежурства заедно с прокурорите и следователите, както в работните, така и в празничните и почивни дни.</w:t>
      </w:r>
    </w:p>
    <w:p w:rsidR="007A7CE7" w:rsidRDefault="007A7CE7" w:rsidP="007A7CE7">
      <w:pPr>
        <w:shd w:val="clear" w:color="auto" w:fill="DBE5F1" w:themeFill="accent1" w:themeFillTint="33"/>
        <w:ind w:firstLine="709"/>
        <w:jc w:val="both"/>
        <w:rPr>
          <w:b/>
          <w:sz w:val="28"/>
          <w:szCs w:val="28"/>
        </w:rPr>
      </w:pPr>
      <w:r>
        <w:rPr>
          <w:rFonts w:eastAsia="Calibri"/>
          <w:b/>
          <w:bCs/>
          <w:caps/>
          <w:sz w:val="28"/>
          <w:szCs w:val="28"/>
        </w:rPr>
        <w:t>РАЙОННА ПРОКУРАТУРА - ВАРНА</w:t>
      </w:r>
    </w:p>
    <w:p w:rsidR="007A7CE7" w:rsidRDefault="007A7CE7" w:rsidP="007A7CE7">
      <w:pPr>
        <w:spacing w:before="120"/>
        <w:ind w:firstLine="709"/>
        <w:contextualSpacing/>
        <w:jc w:val="both"/>
        <w:rPr>
          <w:sz w:val="28"/>
          <w:szCs w:val="28"/>
        </w:rPr>
      </w:pPr>
      <w:r>
        <w:rPr>
          <w:sz w:val="28"/>
          <w:szCs w:val="28"/>
        </w:rPr>
        <w:t>Динамиката в кадровото обезпечаване на прокурорския щат през 2023 г. се обуславя от няколко фактора, наложили се в годините като константни: продължително командироване на прокурори в други прокуратури и отсъствия на магистрати, поради временна неработоспособност.</w:t>
      </w:r>
    </w:p>
    <w:p w:rsidR="007A7CE7" w:rsidRDefault="007A7CE7" w:rsidP="007A7CE7">
      <w:pPr>
        <w:ind w:firstLine="709"/>
        <w:jc w:val="both"/>
        <w:rPr>
          <w:sz w:val="28"/>
          <w:szCs w:val="28"/>
        </w:rPr>
      </w:pPr>
      <w:r>
        <w:rPr>
          <w:bCs/>
          <w:sz w:val="28"/>
          <w:szCs w:val="28"/>
        </w:rPr>
        <w:t>Съ</w:t>
      </w:r>
      <w:r>
        <w:rPr>
          <w:sz w:val="28"/>
          <w:szCs w:val="28"/>
        </w:rPr>
        <w:t xml:space="preserve">гласно утвърденото щатно разписание на РП - Варна, считано от </w:t>
      </w:r>
      <w:r>
        <w:rPr>
          <w:b/>
          <w:sz w:val="28"/>
          <w:szCs w:val="28"/>
        </w:rPr>
        <w:t>01.</w:t>
      </w:r>
      <w:proofErr w:type="spellStart"/>
      <w:r>
        <w:rPr>
          <w:b/>
          <w:sz w:val="28"/>
          <w:szCs w:val="28"/>
        </w:rPr>
        <w:t>01</w:t>
      </w:r>
      <w:proofErr w:type="spellEnd"/>
      <w:r>
        <w:rPr>
          <w:b/>
          <w:sz w:val="28"/>
          <w:szCs w:val="28"/>
        </w:rPr>
        <w:t>.2023 г.</w:t>
      </w:r>
      <w:r>
        <w:rPr>
          <w:sz w:val="28"/>
          <w:szCs w:val="28"/>
        </w:rPr>
        <w:t xml:space="preserve"> щатната численост за прокурори е 61 щ. бр., които се разпределят, както следва: 1 Административен ръководител - районен прокурор, 3 щ. бр. за заместник на административния ръководител - заместник районен  прокурор, 50 щ. бр. за прокурори и 7 щ. бр. за младши прокурори.</w:t>
      </w:r>
    </w:p>
    <w:p w:rsidR="007A7CE7" w:rsidRDefault="007A7CE7" w:rsidP="007A7CE7">
      <w:pPr>
        <w:ind w:firstLine="709"/>
        <w:jc w:val="both"/>
        <w:rPr>
          <w:sz w:val="28"/>
          <w:szCs w:val="28"/>
        </w:rPr>
      </w:pPr>
      <w:r>
        <w:rPr>
          <w:sz w:val="28"/>
          <w:szCs w:val="28"/>
        </w:rPr>
        <w:t>В началото на отчетния период заетите по щат длъжности за магистрати са 58 бр., а свободните длъжности - 3 щ. бр. за „младши прокурор”.</w:t>
      </w:r>
    </w:p>
    <w:p w:rsidR="007A7CE7" w:rsidRDefault="007A7CE7" w:rsidP="007A7CE7">
      <w:pPr>
        <w:ind w:firstLine="709"/>
        <w:jc w:val="both"/>
        <w:rPr>
          <w:sz w:val="28"/>
          <w:szCs w:val="28"/>
        </w:rPr>
      </w:pPr>
      <w:r>
        <w:rPr>
          <w:sz w:val="28"/>
          <w:szCs w:val="28"/>
        </w:rPr>
        <w:t xml:space="preserve">През 2023 г. в РП - Варна настъпиха следните кадрови промени:   </w:t>
      </w:r>
    </w:p>
    <w:p w:rsidR="007A7CE7" w:rsidRDefault="007A7CE7" w:rsidP="007A7CE7">
      <w:pPr>
        <w:ind w:firstLine="709"/>
        <w:jc w:val="both"/>
        <w:rPr>
          <w:sz w:val="28"/>
          <w:szCs w:val="28"/>
        </w:rPr>
      </w:pPr>
      <w:r>
        <w:rPr>
          <w:sz w:val="28"/>
          <w:szCs w:val="28"/>
        </w:rPr>
        <w:t xml:space="preserve">С решение по протокол № 24/28.06.2023 г. на Прокурорската колегия на ВСС, след успешно приключване на задължителното обучение в НИП – София, считано от 03.07.2023 г. в РП–Варна са назначени трима младши прокурори. </w:t>
      </w:r>
    </w:p>
    <w:p w:rsidR="007A7CE7" w:rsidRDefault="007A7CE7" w:rsidP="007A7CE7">
      <w:pPr>
        <w:ind w:firstLine="709"/>
        <w:jc w:val="both"/>
        <w:rPr>
          <w:sz w:val="28"/>
          <w:szCs w:val="28"/>
        </w:rPr>
      </w:pPr>
      <w:r>
        <w:rPr>
          <w:sz w:val="28"/>
          <w:szCs w:val="28"/>
        </w:rPr>
        <w:t xml:space="preserve">След изтичане срока по чл. 240 от ЗСВ, съгласно решение по </w:t>
      </w:r>
      <w:r>
        <w:rPr>
          <w:bCs/>
          <w:sz w:val="28"/>
          <w:szCs w:val="28"/>
        </w:rPr>
        <w:t xml:space="preserve">протокол № 27/19.07.2023 г. </w:t>
      </w:r>
      <w:r>
        <w:rPr>
          <w:sz w:val="28"/>
          <w:szCs w:val="28"/>
        </w:rPr>
        <w:t>на Прокурорската колегия  на ВСС, считано от 30.08.2023 г. един младши прокурор от РП - Варна е назначен на длъжност „прокурор“в РП - Перник.</w:t>
      </w:r>
      <w:r>
        <w:rPr>
          <w:sz w:val="28"/>
          <w:szCs w:val="28"/>
          <w:lang w:val="en-US"/>
        </w:rPr>
        <w:t xml:space="preserve"> </w:t>
      </w:r>
    </w:p>
    <w:p w:rsidR="007A7CE7" w:rsidRDefault="007A7CE7" w:rsidP="007A7CE7">
      <w:pPr>
        <w:ind w:firstLine="709"/>
        <w:jc w:val="both"/>
        <w:rPr>
          <w:sz w:val="28"/>
          <w:szCs w:val="28"/>
          <w:lang w:val="en-US"/>
        </w:rPr>
      </w:pPr>
      <w:r>
        <w:rPr>
          <w:sz w:val="28"/>
          <w:szCs w:val="28"/>
        </w:rPr>
        <w:t xml:space="preserve">Към </w:t>
      </w:r>
      <w:r>
        <w:rPr>
          <w:b/>
          <w:sz w:val="28"/>
          <w:szCs w:val="28"/>
        </w:rPr>
        <w:t>31.12.2023 г.</w:t>
      </w:r>
      <w:r>
        <w:rPr>
          <w:sz w:val="28"/>
          <w:szCs w:val="28"/>
        </w:rPr>
        <w:t xml:space="preserve"> щатната численост за прокурори в РП - Варна</w:t>
      </w:r>
      <w:r>
        <w:rPr>
          <w:sz w:val="28"/>
          <w:szCs w:val="28"/>
          <w:lang w:val="en-US"/>
        </w:rPr>
        <w:t xml:space="preserve"> e</w:t>
      </w:r>
      <w:r>
        <w:rPr>
          <w:sz w:val="28"/>
          <w:szCs w:val="28"/>
        </w:rPr>
        <w:t>:</w:t>
      </w:r>
    </w:p>
    <w:p w:rsidR="007A7CE7" w:rsidRDefault="007A7CE7" w:rsidP="007A7CE7">
      <w:pPr>
        <w:ind w:firstLine="709"/>
        <w:jc w:val="both"/>
        <w:rPr>
          <w:sz w:val="28"/>
          <w:szCs w:val="28"/>
        </w:rPr>
      </w:pPr>
    </w:p>
    <w:tbl>
      <w:tblPr>
        <w:tblpPr w:leftFromText="141" w:rightFromText="141" w:topFromText="240" w:bottomFromText="60" w:vertAnchor="text" w:horzAnchor="margin" w:tblpXSpec="center" w:tblpY="128"/>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0"/>
        <w:gridCol w:w="6547"/>
        <w:gridCol w:w="2273"/>
      </w:tblGrid>
      <w:tr w:rsidR="007A7CE7" w:rsidTr="007A7CE7">
        <w:trPr>
          <w:trHeight w:val="292"/>
        </w:trPr>
        <w:tc>
          <w:tcPr>
            <w:tcW w:w="132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line="276" w:lineRule="auto"/>
              <w:jc w:val="center"/>
              <w:rPr>
                <w:b/>
                <w:sz w:val="28"/>
                <w:szCs w:val="28"/>
                <w:lang w:eastAsia="en-US"/>
              </w:rPr>
            </w:pPr>
            <w:r>
              <w:rPr>
                <w:b/>
                <w:sz w:val="28"/>
                <w:szCs w:val="28"/>
                <w:lang w:eastAsia="en-US"/>
              </w:rPr>
              <w:t>№ по ред</w:t>
            </w:r>
          </w:p>
        </w:tc>
        <w:tc>
          <w:tcPr>
            <w:tcW w:w="654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line="276" w:lineRule="auto"/>
              <w:jc w:val="center"/>
              <w:rPr>
                <w:b/>
                <w:sz w:val="28"/>
                <w:szCs w:val="28"/>
                <w:lang w:eastAsia="en-US"/>
              </w:rPr>
            </w:pPr>
            <w:r>
              <w:rPr>
                <w:b/>
                <w:sz w:val="28"/>
                <w:szCs w:val="28"/>
                <w:lang w:eastAsia="en-US"/>
              </w:rPr>
              <w:t>Длъжностни наименования</w:t>
            </w:r>
          </w:p>
        </w:tc>
        <w:tc>
          <w:tcPr>
            <w:tcW w:w="227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line="276" w:lineRule="auto"/>
              <w:jc w:val="center"/>
              <w:rPr>
                <w:b/>
                <w:sz w:val="28"/>
                <w:szCs w:val="28"/>
                <w:lang w:eastAsia="en-US"/>
              </w:rPr>
            </w:pPr>
            <w:r>
              <w:rPr>
                <w:b/>
                <w:sz w:val="28"/>
                <w:szCs w:val="28"/>
                <w:lang w:eastAsia="en-US"/>
              </w:rPr>
              <w:t>Численост /брой/</w:t>
            </w:r>
          </w:p>
        </w:tc>
      </w:tr>
      <w:tr w:rsidR="007A7CE7" w:rsidTr="007A7CE7">
        <w:trPr>
          <w:trHeight w:val="207"/>
        </w:trPr>
        <w:tc>
          <w:tcPr>
            <w:tcW w:w="1320"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sz w:val="28"/>
                <w:szCs w:val="28"/>
                <w:lang w:eastAsia="en-US"/>
              </w:rPr>
            </w:pPr>
            <w:r>
              <w:rPr>
                <w:sz w:val="28"/>
                <w:szCs w:val="28"/>
                <w:lang w:eastAsia="en-US"/>
              </w:rPr>
              <w:t>1.</w:t>
            </w:r>
          </w:p>
        </w:tc>
        <w:tc>
          <w:tcPr>
            <w:tcW w:w="6547"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rPr>
                <w:sz w:val="28"/>
                <w:szCs w:val="28"/>
                <w:lang w:eastAsia="en-US"/>
              </w:rPr>
            </w:pPr>
            <w:r>
              <w:rPr>
                <w:sz w:val="28"/>
                <w:szCs w:val="28"/>
                <w:lang w:eastAsia="en-US"/>
              </w:rPr>
              <w:t>Административен ръководител - районен прокурор</w:t>
            </w:r>
          </w:p>
        </w:tc>
        <w:tc>
          <w:tcPr>
            <w:tcW w:w="227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sz w:val="28"/>
                <w:szCs w:val="28"/>
                <w:lang w:eastAsia="en-US"/>
              </w:rPr>
            </w:pPr>
            <w:r>
              <w:rPr>
                <w:sz w:val="28"/>
                <w:szCs w:val="28"/>
                <w:lang w:eastAsia="en-US"/>
              </w:rPr>
              <w:t>1</w:t>
            </w:r>
          </w:p>
        </w:tc>
      </w:tr>
      <w:tr w:rsidR="007A7CE7" w:rsidTr="007A7CE7">
        <w:trPr>
          <w:trHeight w:val="207"/>
        </w:trPr>
        <w:tc>
          <w:tcPr>
            <w:tcW w:w="1320"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sz w:val="28"/>
                <w:szCs w:val="28"/>
                <w:lang w:eastAsia="en-US"/>
              </w:rPr>
            </w:pPr>
            <w:r>
              <w:rPr>
                <w:sz w:val="28"/>
                <w:szCs w:val="28"/>
                <w:lang w:eastAsia="en-US"/>
              </w:rPr>
              <w:t>2.</w:t>
            </w:r>
          </w:p>
        </w:tc>
        <w:tc>
          <w:tcPr>
            <w:tcW w:w="6547"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rPr>
                <w:sz w:val="28"/>
                <w:szCs w:val="28"/>
                <w:lang w:eastAsia="en-US"/>
              </w:rPr>
            </w:pPr>
            <w:r>
              <w:rPr>
                <w:sz w:val="28"/>
                <w:szCs w:val="28"/>
                <w:lang w:eastAsia="en-US"/>
              </w:rPr>
              <w:t>Заместник на административния ръководител-заместник районен прокурор</w:t>
            </w:r>
          </w:p>
        </w:tc>
        <w:tc>
          <w:tcPr>
            <w:tcW w:w="227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sz w:val="28"/>
                <w:szCs w:val="28"/>
                <w:lang w:eastAsia="en-US"/>
              </w:rPr>
            </w:pPr>
            <w:r>
              <w:rPr>
                <w:sz w:val="28"/>
                <w:szCs w:val="28"/>
                <w:lang w:eastAsia="en-US"/>
              </w:rPr>
              <w:t>3</w:t>
            </w:r>
          </w:p>
        </w:tc>
      </w:tr>
      <w:tr w:rsidR="007A7CE7" w:rsidTr="007A7CE7">
        <w:trPr>
          <w:trHeight w:val="207"/>
        </w:trPr>
        <w:tc>
          <w:tcPr>
            <w:tcW w:w="1320"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sz w:val="28"/>
                <w:szCs w:val="28"/>
                <w:lang w:eastAsia="en-US"/>
              </w:rPr>
            </w:pPr>
            <w:r>
              <w:rPr>
                <w:sz w:val="28"/>
                <w:szCs w:val="28"/>
                <w:lang w:eastAsia="en-US"/>
              </w:rPr>
              <w:t>3.</w:t>
            </w:r>
          </w:p>
        </w:tc>
        <w:tc>
          <w:tcPr>
            <w:tcW w:w="6547"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rPr>
                <w:sz w:val="28"/>
                <w:szCs w:val="28"/>
                <w:lang w:eastAsia="en-US"/>
              </w:rPr>
            </w:pPr>
            <w:r>
              <w:rPr>
                <w:sz w:val="28"/>
                <w:szCs w:val="28"/>
                <w:lang w:eastAsia="en-US"/>
              </w:rPr>
              <w:t>Прокурори</w:t>
            </w:r>
          </w:p>
        </w:tc>
        <w:tc>
          <w:tcPr>
            <w:tcW w:w="227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sz w:val="28"/>
                <w:szCs w:val="28"/>
                <w:lang w:eastAsia="en-US"/>
              </w:rPr>
            </w:pPr>
            <w:r>
              <w:rPr>
                <w:sz w:val="28"/>
                <w:szCs w:val="28"/>
                <w:lang w:eastAsia="en-US"/>
              </w:rPr>
              <w:t>50</w:t>
            </w:r>
          </w:p>
        </w:tc>
      </w:tr>
      <w:tr w:rsidR="007A7CE7" w:rsidTr="007A7CE7">
        <w:trPr>
          <w:trHeight w:val="207"/>
        </w:trPr>
        <w:tc>
          <w:tcPr>
            <w:tcW w:w="1320"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sz w:val="28"/>
                <w:szCs w:val="28"/>
                <w:lang w:eastAsia="en-US"/>
              </w:rPr>
            </w:pPr>
            <w:r>
              <w:rPr>
                <w:sz w:val="28"/>
                <w:szCs w:val="28"/>
                <w:lang w:eastAsia="en-US"/>
              </w:rPr>
              <w:t>4.</w:t>
            </w:r>
          </w:p>
        </w:tc>
        <w:tc>
          <w:tcPr>
            <w:tcW w:w="6547"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rPr>
                <w:sz w:val="28"/>
                <w:szCs w:val="28"/>
                <w:lang w:eastAsia="en-US"/>
              </w:rPr>
            </w:pPr>
            <w:r>
              <w:rPr>
                <w:sz w:val="28"/>
                <w:szCs w:val="28"/>
                <w:lang w:eastAsia="en-US"/>
              </w:rPr>
              <w:t>Младши прокурори</w:t>
            </w:r>
          </w:p>
        </w:tc>
        <w:tc>
          <w:tcPr>
            <w:tcW w:w="227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sz w:val="28"/>
                <w:szCs w:val="28"/>
                <w:lang w:eastAsia="en-US"/>
              </w:rPr>
            </w:pPr>
            <w:r>
              <w:rPr>
                <w:sz w:val="28"/>
                <w:szCs w:val="28"/>
                <w:lang w:eastAsia="en-US"/>
              </w:rPr>
              <w:t>7</w:t>
            </w:r>
          </w:p>
        </w:tc>
      </w:tr>
      <w:tr w:rsidR="007A7CE7" w:rsidTr="007A7CE7">
        <w:trPr>
          <w:trHeight w:val="106"/>
        </w:trPr>
        <w:tc>
          <w:tcPr>
            <w:tcW w:w="1320" w:type="dxa"/>
            <w:tcBorders>
              <w:top w:val="single" w:sz="4" w:space="0" w:color="auto"/>
              <w:left w:val="single" w:sz="4" w:space="0" w:color="auto"/>
              <w:bottom w:val="single" w:sz="4" w:space="0" w:color="auto"/>
              <w:right w:val="single" w:sz="4" w:space="0" w:color="auto"/>
            </w:tcBorders>
            <w:vAlign w:val="center"/>
          </w:tcPr>
          <w:p w:rsidR="007A7CE7" w:rsidRDefault="007A7CE7">
            <w:pPr>
              <w:spacing w:line="276" w:lineRule="auto"/>
              <w:jc w:val="both"/>
              <w:rPr>
                <w:sz w:val="28"/>
                <w:szCs w:val="28"/>
                <w:lang w:eastAsia="en-US"/>
              </w:rPr>
            </w:pPr>
          </w:p>
        </w:tc>
        <w:tc>
          <w:tcPr>
            <w:tcW w:w="6547"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rPr>
                <w:b/>
                <w:sz w:val="28"/>
                <w:szCs w:val="28"/>
                <w:lang w:eastAsia="en-US"/>
              </w:rPr>
            </w:pPr>
            <w:r>
              <w:rPr>
                <w:b/>
                <w:sz w:val="28"/>
                <w:szCs w:val="28"/>
                <w:lang w:eastAsia="en-US"/>
              </w:rPr>
              <w:t>Общо:</w:t>
            </w:r>
          </w:p>
        </w:tc>
        <w:tc>
          <w:tcPr>
            <w:tcW w:w="227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b/>
                <w:sz w:val="28"/>
                <w:szCs w:val="28"/>
                <w:lang w:eastAsia="en-US"/>
              </w:rPr>
            </w:pPr>
            <w:r>
              <w:rPr>
                <w:b/>
                <w:sz w:val="28"/>
                <w:szCs w:val="28"/>
                <w:lang w:eastAsia="en-US"/>
              </w:rPr>
              <w:t>61</w:t>
            </w:r>
          </w:p>
        </w:tc>
      </w:tr>
    </w:tbl>
    <w:p w:rsidR="007A7CE7" w:rsidRDefault="007A7CE7" w:rsidP="007A7CE7">
      <w:pPr>
        <w:spacing w:before="120"/>
        <w:ind w:firstLine="709"/>
        <w:contextualSpacing/>
        <w:jc w:val="both"/>
        <w:rPr>
          <w:sz w:val="28"/>
          <w:szCs w:val="28"/>
        </w:rPr>
      </w:pPr>
      <w:r>
        <w:rPr>
          <w:sz w:val="28"/>
          <w:szCs w:val="28"/>
        </w:rPr>
        <w:t>Магистрати:</w:t>
      </w:r>
    </w:p>
    <w:p w:rsidR="007A7CE7" w:rsidRDefault="007A7CE7" w:rsidP="000059A2">
      <w:pPr>
        <w:numPr>
          <w:ilvl w:val="0"/>
          <w:numId w:val="22"/>
        </w:numPr>
        <w:spacing w:before="240" w:after="200"/>
        <w:ind w:left="0" w:firstLine="709"/>
        <w:contextualSpacing/>
        <w:jc w:val="both"/>
        <w:rPr>
          <w:sz w:val="28"/>
          <w:szCs w:val="28"/>
        </w:rPr>
      </w:pPr>
      <w:r>
        <w:rPr>
          <w:sz w:val="28"/>
          <w:szCs w:val="28"/>
        </w:rPr>
        <w:t>общ брой по щат - 61 прокурори;</w:t>
      </w:r>
    </w:p>
    <w:p w:rsidR="007A7CE7" w:rsidRDefault="007A7CE7" w:rsidP="000059A2">
      <w:pPr>
        <w:numPr>
          <w:ilvl w:val="0"/>
          <w:numId w:val="22"/>
        </w:numPr>
        <w:spacing w:before="240" w:after="200"/>
        <w:ind w:left="0" w:firstLine="709"/>
        <w:contextualSpacing/>
        <w:jc w:val="both"/>
        <w:rPr>
          <w:sz w:val="28"/>
          <w:szCs w:val="28"/>
        </w:rPr>
      </w:pPr>
      <w:r>
        <w:rPr>
          <w:sz w:val="28"/>
          <w:szCs w:val="28"/>
        </w:rPr>
        <w:t>заети по щат – 60 щатни бр.;</w:t>
      </w:r>
    </w:p>
    <w:p w:rsidR="007A7CE7" w:rsidRDefault="007A7CE7" w:rsidP="000059A2">
      <w:pPr>
        <w:numPr>
          <w:ilvl w:val="0"/>
          <w:numId w:val="22"/>
        </w:numPr>
        <w:spacing w:before="240" w:after="200"/>
        <w:ind w:left="0" w:firstLine="709"/>
        <w:contextualSpacing/>
        <w:jc w:val="both"/>
        <w:rPr>
          <w:sz w:val="28"/>
          <w:szCs w:val="28"/>
        </w:rPr>
      </w:pPr>
      <w:r>
        <w:rPr>
          <w:sz w:val="28"/>
          <w:szCs w:val="28"/>
        </w:rPr>
        <w:lastRenderedPageBreak/>
        <w:t>свободни - 1 щатна бр. за „младши прокурор”.</w:t>
      </w:r>
    </w:p>
    <w:p w:rsidR="007A7CE7" w:rsidRDefault="007A7CE7" w:rsidP="007A7CE7">
      <w:pPr>
        <w:spacing w:before="120"/>
        <w:ind w:firstLine="709"/>
        <w:contextualSpacing/>
        <w:jc w:val="both"/>
        <w:rPr>
          <w:sz w:val="28"/>
          <w:szCs w:val="28"/>
        </w:rPr>
      </w:pPr>
      <w:r>
        <w:rPr>
          <w:sz w:val="28"/>
          <w:szCs w:val="28"/>
        </w:rPr>
        <w:t>През отчетния период продължителен отпуск по болест и отпуск са ползвали 3-ма прокурори.</w:t>
      </w:r>
    </w:p>
    <w:p w:rsidR="007A7CE7" w:rsidRDefault="007A7CE7" w:rsidP="007A7CE7">
      <w:pPr>
        <w:spacing w:before="120"/>
        <w:ind w:firstLine="709"/>
        <w:contextualSpacing/>
        <w:jc w:val="both"/>
        <w:rPr>
          <w:b/>
          <w:i/>
          <w:sz w:val="28"/>
          <w:szCs w:val="28"/>
        </w:rPr>
      </w:pPr>
      <w:r>
        <w:rPr>
          <w:b/>
          <w:i/>
          <w:sz w:val="28"/>
          <w:szCs w:val="28"/>
        </w:rPr>
        <w:t xml:space="preserve">Командировани от РП-Варна в други прокуратури през 2023 година: </w:t>
      </w:r>
    </w:p>
    <w:p w:rsidR="007A7CE7" w:rsidRDefault="007A7CE7" w:rsidP="007A7CE7">
      <w:pPr>
        <w:ind w:firstLine="709"/>
        <w:jc w:val="both"/>
        <w:rPr>
          <w:sz w:val="28"/>
          <w:szCs w:val="28"/>
          <w:lang w:eastAsia="en-US"/>
        </w:rPr>
      </w:pPr>
      <w:r>
        <w:rPr>
          <w:sz w:val="28"/>
          <w:szCs w:val="28"/>
        </w:rPr>
        <w:t>Прокурор</w:t>
      </w:r>
      <w:r>
        <w:rPr>
          <w:sz w:val="28"/>
          <w:szCs w:val="28"/>
          <w:lang w:eastAsia="en-US"/>
        </w:rPr>
        <w:t xml:space="preserve"> е </w:t>
      </w:r>
      <w:r>
        <w:rPr>
          <w:sz w:val="28"/>
          <w:szCs w:val="28"/>
        </w:rPr>
        <w:t>командирован в ОП - Варна, считано от 25.11.2019 г.</w:t>
      </w:r>
      <w:r>
        <w:rPr>
          <w:sz w:val="28"/>
          <w:szCs w:val="28"/>
          <w:lang w:eastAsia="en-US"/>
        </w:rPr>
        <w:t xml:space="preserve"> </w:t>
      </w:r>
    </w:p>
    <w:p w:rsidR="007A7CE7" w:rsidRDefault="007A7CE7" w:rsidP="007A7CE7">
      <w:pPr>
        <w:ind w:firstLine="709"/>
        <w:jc w:val="both"/>
        <w:rPr>
          <w:sz w:val="28"/>
          <w:szCs w:val="28"/>
          <w:lang w:eastAsia="en-US"/>
        </w:rPr>
      </w:pPr>
      <w:r>
        <w:rPr>
          <w:sz w:val="28"/>
          <w:szCs w:val="28"/>
          <w:lang w:eastAsia="en-US"/>
        </w:rPr>
        <w:t>Прокурор е командирован в РП - Пазарджик, считано от 19.10.2020 г., а впоследствие от 15.08.2022 г. е командирован в РП - Пловдив на свободна щатна длъжност до заемането й чрез конкурс.</w:t>
      </w:r>
    </w:p>
    <w:p w:rsidR="007A7CE7" w:rsidRDefault="007A7CE7" w:rsidP="007A7CE7">
      <w:pPr>
        <w:ind w:firstLine="709"/>
        <w:jc w:val="both"/>
        <w:rPr>
          <w:b/>
          <w:sz w:val="28"/>
          <w:szCs w:val="28"/>
          <w:lang w:eastAsia="en-US"/>
        </w:rPr>
      </w:pPr>
      <w:r>
        <w:rPr>
          <w:sz w:val="28"/>
          <w:szCs w:val="28"/>
          <w:lang w:eastAsia="en-US"/>
        </w:rPr>
        <w:t>Прокурор е командирован в РП - Пловдив, считано от 01.12.2020 г. От 01.12.2021 г. е командирован в РП - Пазарджик, а впоследствие от 01.07.2022 г. е командирован отново в РП - Пловдив на свободна щатна длъжност до заемането й чрез конкурс.</w:t>
      </w:r>
    </w:p>
    <w:p w:rsidR="007A7CE7" w:rsidRDefault="007A7CE7" w:rsidP="007A7CE7">
      <w:pPr>
        <w:ind w:firstLine="709"/>
        <w:jc w:val="both"/>
        <w:rPr>
          <w:sz w:val="28"/>
          <w:szCs w:val="28"/>
          <w:lang w:eastAsia="en-US"/>
        </w:rPr>
      </w:pPr>
      <w:r>
        <w:rPr>
          <w:sz w:val="28"/>
          <w:szCs w:val="28"/>
          <w:lang w:eastAsia="en-US"/>
        </w:rPr>
        <w:t>Прокурор е командирован в ОП - Варна, считано от 01.12.2021 г., а впоследствие от 17.10.2022 г. е командирован в ОП - Варна на свободна щатна длъжност до заемането й чрез конкурс.</w:t>
      </w:r>
    </w:p>
    <w:p w:rsidR="007A7CE7" w:rsidRDefault="007A7CE7" w:rsidP="007A7CE7">
      <w:pPr>
        <w:ind w:firstLine="709"/>
        <w:jc w:val="both"/>
        <w:rPr>
          <w:sz w:val="28"/>
          <w:szCs w:val="28"/>
          <w:lang w:eastAsia="en-US"/>
        </w:rPr>
      </w:pPr>
      <w:r>
        <w:rPr>
          <w:sz w:val="28"/>
          <w:szCs w:val="28"/>
          <w:lang w:eastAsia="en-US"/>
        </w:rPr>
        <w:t>Младши прокурор е командирована в РП - Перник, считано от 03.10.2022 г. до назначаването му на длъжност „прокурор“ в РП - Перник, считано от 30.08.2023 г.</w:t>
      </w:r>
    </w:p>
    <w:p w:rsidR="007A7CE7" w:rsidRDefault="007A7CE7" w:rsidP="007A7CE7">
      <w:pPr>
        <w:spacing w:before="120"/>
        <w:ind w:firstLine="709"/>
        <w:contextualSpacing/>
        <w:jc w:val="both"/>
        <w:rPr>
          <w:b/>
          <w:i/>
          <w:sz w:val="28"/>
          <w:szCs w:val="28"/>
        </w:rPr>
      </w:pPr>
      <w:r>
        <w:rPr>
          <w:b/>
          <w:i/>
          <w:sz w:val="28"/>
          <w:szCs w:val="28"/>
        </w:rPr>
        <w:t xml:space="preserve">Командировани от други прокуратури в РП - Варна през 2023 година: </w:t>
      </w:r>
    </w:p>
    <w:p w:rsidR="007A7CE7" w:rsidRDefault="007A7CE7" w:rsidP="007A7CE7">
      <w:pPr>
        <w:ind w:firstLine="709"/>
        <w:jc w:val="both"/>
        <w:rPr>
          <w:sz w:val="28"/>
          <w:szCs w:val="28"/>
        </w:rPr>
      </w:pPr>
      <w:r>
        <w:rPr>
          <w:sz w:val="28"/>
          <w:szCs w:val="28"/>
        </w:rPr>
        <w:t>През 2023 г. не са били командировани прокурори от други прокуратури в РП - Варна.</w:t>
      </w:r>
    </w:p>
    <w:p w:rsidR="007A7CE7" w:rsidRDefault="007A7CE7" w:rsidP="007A7CE7">
      <w:pPr>
        <w:spacing w:before="240"/>
        <w:ind w:firstLine="709"/>
        <w:contextualSpacing/>
        <w:jc w:val="both"/>
        <w:rPr>
          <w:b/>
          <w:i/>
          <w:sz w:val="28"/>
          <w:szCs w:val="28"/>
        </w:rPr>
      </w:pPr>
      <w:r>
        <w:rPr>
          <w:b/>
          <w:i/>
          <w:sz w:val="28"/>
          <w:szCs w:val="28"/>
        </w:rPr>
        <w:t>Повишени на място в по-горен ранг:</w:t>
      </w:r>
    </w:p>
    <w:p w:rsidR="007A7CE7" w:rsidRDefault="007A7CE7" w:rsidP="007A7CE7">
      <w:pPr>
        <w:tabs>
          <w:tab w:val="left" w:pos="0"/>
        </w:tabs>
        <w:ind w:firstLine="709"/>
        <w:jc w:val="both"/>
        <w:rPr>
          <w:sz w:val="28"/>
          <w:szCs w:val="28"/>
        </w:rPr>
      </w:pPr>
      <w:r>
        <w:rPr>
          <w:sz w:val="28"/>
          <w:szCs w:val="28"/>
        </w:rPr>
        <w:t>През 2023 г. по предложение на А</w:t>
      </w:r>
      <w:r>
        <w:rPr>
          <w:rFonts w:eastAsia="Calibri"/>
          <w:sz w:val="28"/>
          <w:szCs w:val="28"/>
          <w:lang w:eastAsia="en-US"/>
        </w:rPr>
        <w:t>дминистративния ръководител, след</w:t>
      </w:r>
      <w:r>
        <w:rPr>
          <w:sz w:val="28"/>
          <w:szCs w:val="28"/>
        </w:rPr>
        <w:t xml:space="preserve"> решение на Прокурорската колегия на ВСС са повишени на място в по - горен ранг: „прокурор в ОП“ - 2-ма прокурори, „прокурор в АП“ - 1 прокурор и “прокурор във ВКП и ВАП“ - 3-ма прокурори.</w:t>
      </w:r>
    </w:p>
    <w:p w:rsidR="007A7CE7" w:rsidRDefault="007A7CE7" w:rsidP="007A7CE7">
      <w:pPr>
        <w:ind w:firstLine="709"/>
        <w:jc w:val="both"/>
        <w:rPr>
          <w:sz w:val="28"/>
          <w:szCs w:val="28"/>
        </w:rPr>
      </w:pPr>
      <w:r>
        <w:rPr>
          <w:sz w:val="28"/>
          <w:szCs w:val="28"/>
        </w:rPr>
        <w:t>РП - Варна инициира през 2023 г. откриването на 6 процедури за атестиране на магистрати, съгласно Наредба № 3/23.02.2018 г. Към края на годината са приключени 3 процедури, стартирали през 2022 г.</w:t>
      </w:r>
    </w:p>
    <w:p w:rsidR="007A7CE7" w:rsidRDefault="007A7CE7" w:rsidP="007A7CE7">
      <w:pPr>
        <w:ind w:firstLine="709"/>
        <w:jc w:val="both"/>
        <w:rPr>
          <w:sz w:val="28"/>
          <w:szCs w:val="28"/>
        </w:rPr>
      </w:pPr>
      <w:r>
        <w:rPr>
          <w:sz w:val="28"/>
          <w:szCs w:val="28"/>
        </w:rPr>
        <w:t xml:space="preserve">В обобщение на горното, през отчетната 2023 година в РП - Варна реално са работили </w:t>
      </w:r>
      <w:r>
        <w:rPr>
          <w:b/>
          <w:sz w:val="28"/>
          <w:szCs w:val="28"/>
        </w:rPr>
        <w:t xml:space="preserve">53 </w:t>
      </w:r>
      <w:r>
        <w:rPr>
          <w:sz w:val="28"/>
          <w:szCs w:val="28"/>
        </w:rPr>
        <w:t xml:space="preserve">прокурори при щатна численост от </w:t>
      </w:r>
      <w:r>
        <w:rPr>
          <w:b/>
          <w:sz w:val="28"/>
          <w:szCs w:val="28"/>
        </w:rPr>
        <w:t>61</w:t>
      </w:r>
      <w:r>
        <w:rPr>
          <w:sz w:val="28"/>
          <w:szCs w:val="28"/>
        </w:rPr>
        <w:t xml:space="preserve"> прокурори.   </w:t>
      </w:r>
    </w:p>
    <w:p w:rsidR="007A7CE7" w:rsidRDefault="007A7CE7" w:rsidP="007A7CE7">
      <w:pPr>
        <w:ind w:firstLine="709"/>
        <w:jc w:val="both"/>
        <w:rPr>
          <w:sz w:val="28"/>
          <w:szCs w:val="28"/>
          <w:lang w:eastAsia="en-US"/>
        </w:rPr>
      </w:pPr>
      <w:r>
        <w:rPr>
          <w:sz w:val="28"/>
          <w:szCs w:val="28"/>
          <w:lang w:eastAsia="en-US"/>
        </w:rPr>
        <w:t xml:space="preserve">През 2023 г. разпределението на преписки и дела в РП - Варна се извършва с модула за случайно разпределение в УИС-3, съгласно Правила за приложението на разпределението на преписките и досъдебните производства на принципа на случайния подбор в ПРБ, утвърдени със заповед № РД-02-23/13.09.2021 г., изм. и доп. със заповед № РД-02-13/27.07.2022 г. на Главния прокурор на РБ. </w:t>
      </w:r>
    </w:p>
    <w:p w:rsidR="007A7CE7" w:rsidRDefault="007A7CE7" w:rsidP="007A7CE7">
      <w:pPr>
        <w:ind w:firstLine="709"/>
        <w:jc w:val="both"/>
        <w:rPr>
          <w:sz w:val="28"/>
          <w:szCs w:val="28"/>
        </w:rPr>
      </w:pPr>
      <w:r>
        <w:rPr>
          <w:sz w:val="28"/>
          <w:szCs w:val="28"/>
        </w:rPr>
        <w:t>При организиране на част от специфичната прокурорска дейност през годината продължи да се използва установената практика за включване на прокурорите в надзори. С заповеди на Административния ръководител  през отчетната 2023 г. е актуализиран прокурорският състав по структурираните в РП - Варна надзори: „</w:t>
      </w:r>
      <w:r>
        <w:rPr>
          <w:sz w:val="28"/>
          <w:szCs w:val="28"/>
          <w:lang w:eastAsia="en-US"/>
        </w:rPr>
        <w:t>Надзор на досъдебното производство“, „Специализиран надзор“, „Наказателно–съдебен”, „Гражданско–съдебен”, „Изпълнение на наказанията”, „Непълнолетни”, „Надзор за законност” и</w:t>
      </w:r>
      <w:r>
        <w:rPr>
          <w:sz w:val="28"/>
          <w:szCs w:val="28"/>
        </w:rPr>
        <w:t xml:space="preserve"> надзор „Международен“</w:t>
      </w:r>
      <w:r>
        <w:rPr>
          <w:sz w:val="28"/>
          <w:szCs w:val="28"/>
          <w:lang w:eastAsia="en-US"/>
        </w:rPr>
        <w:t>.</w:t>
      </w:r>
      <w:r>
        <w:rPr>
          <w:sz w:val="28"/>
          <w:szCs w:val="28"/>
        </w:rPr>
        <w:t xml:space="preserve"> </w:t>
      </w:r>
    </w:p>
    <w:p w:rsidR="007A7CE7" w:rsidRDefault="007A7CE7" w:rsidP="007A7CE7">
      <w:pPr>
        <w:ind w:firstLine="709"/>
        <w:jc w:val="both"/>
        <w:rPr>
          <w:rFonts w:eastAsia="Calibri"/>
          <w:sz w:val="28"/>
          <w:szCs w:val="28"/>
          <w:lang w:eastAsia="en-US"/>
        </w:rPr>
      </w:pPr>
      <w:r>
        <w:rPr>
          <w:rFonts w:eastAsia="Calibri"/>
          <w:sz w:val="28"/>
          <w:szCs w:val="28"/>
          <w:lang w:eastAsia="en-US"/>
        </w:rPr>
        <w:lastRenderedPageBreak/>
        <w:t xml:space="preserve">Структурата на администрацията на РП - Варна се определя по предложение на Административния ръководител, въз основа на утвърдена щатна численост от Главния прокурор на РБ. </w:t>
      </w:r>
    </w:p>
    <w:p w:rsidR="007A7CE7" w:rsidRDefault="007A7CE7" w:rsidP="007A7CE7">
      <w:pPr>
        <w:ind w:firstLine="709"/>
        <w:jc w:val="both"/>
        <w:rPr>
          <w:sz w:val="28"/>
          <w:szCs w:val="28"/>
        </w:rPr>
      </w:pPr>
      <w:r>
        <w:rPr>
          <w:sz w:val="28"/>
          <w:szCs w:val="28"/>
        </w:rPr>
        <w:t xml:space="preserve">Към </w:t>
      </w:r>
      <w:r>
        <w:rPr>
          <w:b/>
          <w:sz w:val="28"/>
          <w:szCs w:val="28"/>
        </w:rPr>
        <w:t>01.</w:t>
      </w:r>
      <w:proofErr w:type="spellStart"/>
      <w:r>
        <w:rPr>
          <w:b/>
          <w:sz w:val="28"/>
          <w:szCs w:val="28"/>
        </w:rPr>
        <w:t>01</w:t>
      </w:r>
      <w:proofErr w:type="spellEnd"/>
      <w:r>
        <w:rPr>
          <w:b/>
          <w:sz w:val="28"/>
          <w:szCs w:val="28"/>
        </w:rPr>
        <w:t>.2023 г.</w:t>
      </w:r>
      <w:r>
        <w:rPr>
          <w:sz w:val="28"/>
          <w:szCs w:val="28"/>
        </w:rPr>
        <w:t xml:space="preserve"> щатната численост на съдебната администрация при РП - Варна е както следва:</w:t>
      </w:r>
    </w:p>
    <w:p w:rsidR="007A7CE7" w:rsidRDefault="007A7CE7" w:rsidP="000059A2">
      <w:pPr>
        <w:numPr>
          <w:ilvl w:val="0"/>
          <w:numId w:val="22"/>
        </w:numPr>
        <w:tabs>
          <w:tab w:val="clear" w:pos="1777"/>
        </w:tabs>
        <w:spacing w:before="240" w:after="200"/>
        <w:ind w:left="0" w:firstLine="709"/>
        <w:contextualSpacing/>
        <w:jc w:val="both"/>
        <w:rPr>
          <w:sz w:val="28"/>
          <w:szCs w:val="28"/>
        </w:rPr>
      </w:pPr>
      <w:r>
        <w:rPr>
          <w:sz w:val="28"/>
          <w:szCs w:val="28"/>
        </w:rPr>
        <w:t>общ брой -  81,5 съдебни служители;</w:t>
      </w:r>
    </w:p>
    <w:p w:rsidR="007A7CE7" w:rsidRDefault="007A7CE7" w:rsidP="000059A2">
      <w:pPr>
        <w:numPr>
          <w:ilvl w:val="0"/>
          <w:numId w:val="22"/>
        </w:numPr>
        <w:tabs>
          <w:tab w:val="clear" w:pos="1777"/>
        </w:tabs>
        <w:spacing w:before="240" w:after="200"/>
        <w:ind w:left="0" w:firstLine="709"/>
        <w:contextualSpacing/>
        <w:jc w:val="both"/>
        <w:rPr>
          <w:sz w:val="28"/>
          <w:szCs w:val="28"/>
        </w:rPr>
      </w:pPr>
      <w:r>
        <w:rPr>
          <w:sz w:val="28"/>
          <w:szCs w:val="28"/>
        </w:rPr>
        <w:t>заети по щат - 81,5 щатни бройки.</w:t>
      </w:r>
    </w:p>
    <w:p w:rsidR="007A7CE7" w:rsidRDefault="007A7CE7" w:rsidP="007A7CE7">
      <w:pPr>
        <w:ind w:firstLine="709"/>
        <w:jc w:val="both"/>
        <w:rPr>
          <w:sz w:val="28"/>
          <w:szCs w:val="28"/>
          <w:shd w:val="clear" w:color="auto" w:fill="FFFFFF"/>
        </w:rPr>
      </w:pPr>
      <w:r>
        <w:rPr>
          <w:sz w:val="28"/>
          <w:szCs w:val="28"/>
          <w:shd w:val="clear" w:color="auto" w:fill="FFFFFF"/>
        </w:rPr>
        <w:t xml:space="preserve">През 2023 г. в администрацията на РП - Варна в резултата на преместване на съдебни служители в друг орган на съдебната власт е проведен един конкурс са заемане на следните длъжности : 2-ма съдебни деловодители и 1 съдебен  секретар. </w:t>
      </w:r>
    </w:p>
    <w:p w:rsidR="007A7CE7" w:rsidRDefault="007A7CE7" w:rsidP="007A7CE7">
      <w:pPr>
        <w:ind w:firstLine="709"/>
        <w:jc w:val="both"/>
        <w:rPr>
          <w:sz w:val="28"/>
          <w:szCs w:val="28"/>
          <w:shd w:val="clear" w:color="auto" w:fill="FFFFFF"/>
        </w:rPr>
      </w:pPr>
      <w:r>
        <w:rPr>
          <w:sz w:val="28"/>
          <w:szCs w:val="28"/>
          <w:shd w:val="clear" w:color="auto" w:fill="FFFFFF"/>
        </w:rPr>
        <w:t xml:space="preserve">В резултат на проведен през 2022 г. конкурс, от 03.01.2023 година в РП-Варна е сключен трудов договор за заемане на длъжността съдебен администратор. </w:t>
      </w:r>
    </w:p>
    <w:p w:rsidR="007A7CE7" w:rsidRDefault="007A7CE7" w:rsidP="007A7CE7">
      <w:pPr>
        <w:spacing w:before="120"/>
        <w:ind w:firstLine="709"/>
        <w:contextualSpacing/>
        <w:jc w:val="both"/>
        <w:rPr>
          <w:sz w:val="28"/>
          <w:szCs w:val="28"/>
        </w:rPr>
      </w:pPr>
      <w:r>
        <w:rPr>
          <w:sz w:val="28"/>
          <w:szCs w:val="28"/>
        </w:rPr>
        <w:t xml:space="preserve">Щатната численост на съдебната администрация при РП - Варна към края на отчетния период  </w:t>
      </w:r>
      <w:r>
        <w:rPr>
          <w:b/>
          <w:sz w:val="28"/>
          <w:szCs w:val="28"/>
        </w:rPr>
        <w:t>31.12.2023 г.</w:t>
      </w:r>
      <w:r>
        <w:rPr>
          <w:sz w:val="28"/>
          <w:szCs w:val="28"/>
        </w:rPr>
        <w:t xml:space="preserve"> е както следва:</w:t>
      </w:r>
    </w:p>
    <w:p w:rsidR="007A7CE7" w:rsidRDefault="007A7CE7" w:rsidP="000059A2">
      <w:pPr>
        <w:numPr>
          <w:ilvl w:val="0"/>
          <w:numId w:val="22"/>
        </w:numPr>
        <w:tabs>
          <w:tab w:val="clear" w:pos="1777"/>
          <w:tab w:val="num" w:pos="0"/>
        </w:tabs>
        <w:spacing w:before="240" w:after="200"/>
        <w:ind w:left="0" w:firstLine="709"/>
        <w:contextualSpacing/>
        <w:jc w:val="both"/>
        <w:rPr>
          <w:sz w:val="28"/>
          <w:szCs w:val="28"/>
        </w:rPr>
      </w:pPr>
      <w:r>
        <w:rPr>
          <w:sz w:val="28"/>
          <w:szCs w:val="28"/>
        </w:rPr>
        <w:t>общ брой -  81,5 съдебни служители;</w:t>
      </w:r>
    </w:p>
    <w:p w:rsidR="007A7CE7" w:rsidRDefault="007A7CE7" w:rsidP="000059A2">
      <w:pPr>
        <w:numPr>
          <w:ilvl w:val="0"/>
          <w:numId w:val="22"/>
        </w:numPr>
        <w:tabs>
          <w:tab w:val="clear" w:pos="1777"/>
          <w:tab w:val="num" w:pos="0"/>
        </w:tabs>
        <w:spacing w:before="240" w:after="200"/>
        <w:ind w:left="0" w:firstLine="709"/>
        <w:contextualSpacing/>
        <w:jc w:val="both"/>
        <w:rPr>
          <w:sz w:val="28"/>
          <w:szCs w:val="28"/>
        </w:rPr>
      </w:pPr>
      <w:r>
        <w:rPr>
          <w:sz w:val="28"/>
          <w:szCs w:val="28"/>
        </w:rPr>
        <w:t>заети по щат - 81 щатни бройки.</w:t>
      </w:r>
    </w:p>
    <w:p w:rsidR="007A7CE7" w:rsidRDefault="007A7CE7" w:rsidP="007A7CE7">
      <w:pPr>
        <w:ind w:firstLine="709"/>
        <w:jc w:val="both"/>
        <w:rPr>
          <w:sz w:val="28"/>
          <w:szCs w:val="28"/>
          <w:lang w:eastAsia="en-US"/>
        </w:rPr>
      </w:pPr>
      <w:r>
        <w:rPr>
          <w:sz w:val="28"/>
          <w:szCs w:val="28"/>
          <w:lang w:eastAsia="en-US"/>
        </w:rPr>
        <w:t>Организацията и дейността на администрацията на РП - Варна е съобразена със Закона за съдебната власт, Правилника за администрацията на прокуратурата на Република България,</w:t>
      </w:r>
      <w:r>
        <w:rPr>
          <w:color w:val="00B0F0"/>
          <w:sz w:val="28"/>
          <w:szCs w:val="28"/>
          <w:lang w:eastAsia="en-US"/>
        </w:rPr>
        <w:t xml:space="preserve"> </w:t>
      </w:r>
      <w:r>
        <w:rPr>
          <w:sz w:val="28"/>
          <w:szCs w:val="28"/>
          <w:lang w:eastAsia="en-US"/>
        </w:rPr>
        <w:t xml:space="preserve">Инструкция за деловодната дейност и документооборота в ПРБ, Правила за електронен </w:t>
      </w:r>
      <w:proofErr w:type="spellStart"/>
      <w:r>
        <w:rPr>
          <w:sz w:val="28"/>
          <w:szCs w:val="28"/>
          <w:lang w:eastAsia="en-US"/>
        </w:rPr>
        <w:t>документооборот</w:t>
      </w:r>
      <w:proofErr w:type="spellEnd"/>
      <w:r>
        <w:rPr>
          <w:sz w:val="28"/>
          <w:szCs w:val="28"/>
          <w:lang w:eastAsia="en-US"/>
        </w:rPr>
        <w:t xml:space="preserve"> и предоставяне на електронни услуги от ПРБ и указания, заповеди и </w:t>
      </w:r>
      <w:proofErr w:type="spellStart"/>
      <w:r>
        <w:rPr>
          <w:sz w:val="28"/>
          <w:szCs w:val="28"/>
          <w:lang w:eastAsia="en-US"/>
        </w:rPr>
        <w:t>вътрешнонормативни</w:t>
      </w:r>
      <w:proofErr w:type="spellEnd"/>
      <w:r>
        <w:rPr>
          <w:sz w:val="28"/>
          <w:szCs w:val="28"/>
          <w:lang w:eastAsia="en-US"/>
        </w:rPr>
        <w:t xml:space="preserve"> документи на ПРБ.</w:t>
      </w:r>
    </w:p>
    <w:p w:rsidR="007A7CE7" w:rsidRDefault="007A7CE7" w:rsidP="007A7CE7">
      <w:pPr>
        <w:ind w:firstLine="709"/>
        <w:jc w:val="both"/>
        <w:rPr>
          <w:sz w:val="28"/>
          <w:szCs w:val="28"/>
        </w:rPr>
      </w:pPr>
      <w:r>
        <w:rPr>
          <w:sz w:val="28"/>
          <w:szCs w:val="28"/>
        </w:rPr>
        <w:t>Администрацията при РП - Варна е структурирана в обща (17,5 бр.) и специализирана (64 бр.).</w:t>
      </w:r>
    </w:p>
    <w:p w:rsidR="007A7CE7" w:rsidRDefault="007A7CE7" w:rsidP="007A7CE7">
      <w:pPr>
        <w:ind w:firstLine="709"/>
        <w:jc w:val="both"/>
        <w:rPr>
          <w:sz w:val="28"/>
          <w:szCs w:val="28"/>
          <w:lang w:eastAsia="en-US"/>
        </w:rPr>
      </w:pPr>
      <w:r>
        <w:rPr>
          <w:sz w:val="28"/>
          <w:szCs w:val="28"/>
          <w:lang w:eastAsia="en-US"/>
        </w:rPr>
        <w:t>Съгласно чл. 57а от Правилника за администрацията на ПРБ, считано от 01.</w:t>
      </w:r>
      <w:proofErr w:type="spellStart"/>
      <w:r>
        <w:rPr>
          <w:sz w:val="28"/>
          <w:szCs w:val="28"/>
          <w:lang w:eastAsia="en-US"/>
        </w:rPr>
        <w:t>01</w:t>
      </w:r>
      <w:proofErr w:type="spellEnd"/>
      <w:r>
        <w:rPr>
          <w:sz w:val="28"/>
          <w:szCs w:val="28"/>
          <w:lang w:eastAsia="en-US"/>
        </w:rPr>
        <w:t xml:space="preserve">.2020 г. общата администрация  на РП - Варна с ТО - Девня и ТО -Провадия, осъществява дейността си в следните направления: финансово-счетоводна дейност; човешки ресурси; информационно обслужване и техническо обслужване. </w:t>
      </w:r>
    </w:p>
    <w:p w:rsidR="007A7CE7" w:rsidRDefault="007A7CE7" w:rsidP="007A7CE7">
      <w:pPr>
        <w:ind w:firstLine="709"/>
        <w:jc w:val="both"/>
        <w:rPr>
          <w:bCs/>
          <w:sz w:val="28"/>
          <w:szCs w:val="28"/>
        </w:rPr>
      </w:pPr>
      <w:r>
        <w:rPr>
          <w:sz w:val="28"/>
          <w:szCs w:val="28"/>
          <w:lang w:eastAsia="en-US"/>
        </w:rPr>
        <w:t>Специализираната администрация на РП - Варна е структурирана в две служби:</w:t>
      </w:r>
      <w:r>
        <w:rPr>
          <w:bCs/>
          <w:sz w:val="28"/>
          <w:szCs w:val="28"/>
        </w:rPr>
        <w:t xml:space="preserve"> „Регистратура и деловодство” и „Архив”, които се ръководят от завеждащи служби. </w:t>
      </w:r>
    </w:p>
    <w:p w:rsidR="007A7CE7" w:rsidRDefault="007A7CE7" w:rsidP="007A7CE7">
      <w:pPr>
        <w:ind w:firstLine="709"/>
        <w:jc w:val="both"/>
        <w:rPr>
          <w:rFonts w:eastAsia="Calibri"/>
          <w:sz w:val="28"/>
          <w:szCs w:val="28"/>
          <w:lang w:val="en-US" w:eastAsia="en-US"/>
        </w:rPr>
      </w:pPr>
      <w:r>
        <w:rPr>
          <w:bCs/>
          <w:sz w:val="28"/>
          <w:szCs w:val="28"/>
        </w:rPr>
        <w:t>По отношение на специализираната администрация</w:t>
      </w:r>
      <w:r>
        <w:rPr>
          <w:rFonts w:eastAsia="Calibri"/>
          <w:sz w:val="28"/>
          <w:szCs w:val="28"/>
          <w:lang w:eastAsia="en-US"/>
        </w:rPr>
        <w:t xml:space="preserve"> през 2023 г. продължи оптимизирането в организацията на деловодната дейност, с оглед подобряване и повишаване на функционалността, използването на УИС и балансиране натовареността на съдебните служители от служба „Регистратура и деловодство“, служба „Архив“ и „Деловодство“ в ТО - Девня и ТО - Провадия, регламентирани със заповеди №№ РД-04-238/28.02.2023 г., РД-04-289/14.03.2023 г., РД-04-372/31.03.2023 г. и РД-04-811/05.07.2023 г. на РП - Варна. </w:t>
      </w:r>
    </w:p>
    <w:p w:rsidR="007A7CE7" w:rsidRDefault="007A7CE7" w:rsidP="007A7CE7">
      <w:pPr>
        <w:ind w:firstLine="709"/>
        <w:jc w:val="both"/>
        <w:rPr>
          <w:rFonts w:eastAsia="Calibri"/>
          <w:sz w:val="28"/>
          <w:szCs w:val="28"/>
          <w:lang w:val="en-US" w:eastAsia="en-US"/>
        </w:rPr>
      </w:pPr>
    </w:p>
    <w:p w:rsidR="007A7CE7" w:rsidRDefault="007A7CE7" w:rsidP="007A7CE7">
      <w:pPr>
        <w:shd w:val="clear" w:color="auto" w:fill="ACD2D5"/>
        <w:spacing w:before="120"/>
        <w:ind w:firstLine="709"/>
        <w:contextualSpacing/>
        <w:jc w:val="both"/>
        <w:rPr>
          <w:b/>
          <w:color w:val="000000"/>
          <w:sz w:val="28"/>
          <w:szCs w:val="28"/>
        </w:rPr>
      </w:pPr>
      <w:r>
        <w:rPr>
          <w:b/>
          <w:color w:val="000000"/>
          <w:sz w:val="28"/>
          <w:szCs w:val="28"/>
        </w:rPr>
        <w:t>Кадрово обезпечаване на разследващите органи</w:t>
      </w:r>
    </w:p>
    <w:p w:rsidR="007A7CE7" w:rsidRDefault="007A7CE7" w:rsidP="007A7CE7">
      <w:pPr>
        <w:widowControl w:val="0"/>
        <w:shd w:val="clear" w:color="auto" w:fill="FFFFFF"/>
        <w:autoSpaceDE w:val="0"/>
        <w:autoSpaceDN w:val="0"/>
        <w:adjustRightInd w:val="0"/>
        <w:ind w:firstLine="709"/>
        <w:jc w:val="both"/>
        <w:rPr>
          <w:rFonts w:eastAsia="Calibri"/>
          <w:sz w:val="28"/>
          <w:szCs w:val="28"/>
        </w:rPr>
      </w:pPr>
      <w:r>
        <w:rPr>
          <w:rFonts w:eastAsia="Calibri"/>
          <w:sz w:val="28"/>
          <w:szCs w:val="28"/>
          <w:lang w:eastAsia="en-US"/>
        </w:rPr>
        <w:t>Териториалната компетентност на РП - Варна с ТО - Девня и в ТО -</w:t>
      </w:r>
      <w:r>
        <w:rPr>
          <w:rFonts w:eastAsia="Calibri"/>
          <w:sz w:val="28"/>
          <w:szCs w:val="28"/>
          <w:lang w:eastAsia="en-US"/>
        </w:rPr>
        <w:lastRenderedPageBreak/>
        <w:t xml:space="preserve">Провадия съвпада със съдебния окръг Варна, който се обслужва от 8 Районни управления „Полиция“ при ОД на МВР - Варна, съответно – Първо РУ, Второ РУ, Трето РУ, Четвърто РУ,  Пето РУ, </w:t>
      </w:r>
      <w:proofErr w:type="spellStart"/>
      <w:r>
        <w:rPr>
          <w:rFonts w:eastAsia="Calibri"/>
          <w:sz w:val="28"/>
          <w:szCs w:val="28"/>
          <w:lang w:eastAsia="en-US"/>
        </w:rPr>
        <w:t>РУ</w:t>
      </w:r>
      <w:proofErr w:type="spellEnd"/>
      <w:r>
        <w:rPr>
          <w:rFonts w:eastAsia="Calibri"/>
          <w:sz w:val="28"/>
          <w:szCs w:val="28"/>
          <w:lang w:eastAsia="en-US"/>
        </w:rPr>
        <w:t xml:space="preserve"> Аксаково, РУ Девня и РУ Провадия, с включени към тях 8 Полицейски участъка:</w:t>
      </w:r>
      <w:r>
        <w:rPr>
          <w:rFonts w:eastAsia="Calibri"/>
          <w:sz w:val="28"/>
          <w:szCs w:val="28"/>
        </w:rPr>
        <w:t xml:space="preserve"> ГПУ- Варна; ГПУ „Летище“ – Варна и Териториален отдел „Северна морска“ при Агенция „Митници“.</w:t>
      </w:r>
    </w:p>
    <w:p w:rsidR="007A7CE7" w:rsidRDefault="007A7CE7" w:rsidP="007A7CE7">
      <w:pPr>
        <w:shd w:val="clear" w:color="auto" w:fill="FFFFFF"/>
        <w:spacing w:before="240"/>
        <w:ind w:firstLine="709"/>
        <w:contextualSpacing/>
        <w:jc w:val="both"/>
        <w:rPr>
          <w:rFonts w:ascii="Calibri" w:eastAsia="Calibri" w:hAnsi="Calibri"/>
          <w:sz w:val="22"/>
          <w:szCs w:val="22"/>
          <w:lang w:eastAsia="en-US"/>
        </w:rPr>
      </w:pPr>
      <w:r>
        <w:rPr>
          <w:rFonts w:eastAsia="Calibri"/>
          <w:sz w:val="28"/>
          <w:szCs w:val="28"/>
          <w:lang w:eastAsia="en-US"/>
        </w:rPr>
        <w:t>В края на 2023 г., по щатно разписание отдел „Досъдебно производство“ при ОД на МВР - Варна включва 128 разследващи полицаи, като реално заетите места са били 122, при реално зает щат от 126 разследващи през 2022 г. и 125 през 2021 г. През 2023 г. трайно са отсъствали 12 служители от работа /в отпуск по майчинство или по болест/, поради което е изчислена натовареността на 110 разследващи полицаи.</w:t>
      </w:r>
      <w:r>
        <w:rPr>
          <w:rFonts w:ascii="Calibri" w:eastAsia="Calibri" w:hAnsi="Calibri"/>
          <w:sz w:val="22"/>
          <w:szCs w:val="22"/>
          <w:lang w:eastAsia="en-US"/>
        </w:rPr>
        <w:t xml:space="preserve"> </w:t>
      </w:r>
    </w:p>
    <w:p w:rsidR="007A7CE7" w:rsidRDefault="007A7CE7" w:rsidP="007A7CE7">
      <w:pPr>
        <w:shd w:val="clear" w:color="auto" w:fill="FFFFFF"/>
        <w:spacing w:before="240"/>
        <w:ind w:firstLine="709"/>
        <w:contextualSpacing/>
        <w:jc w:val="both"/>
        <w:rPr>
          <w:rFonts w:eastAsia="Calibri"/>
          <w:sz w:val="28"/>
          <w:szCs w:val="28"/>
          <w:lang w:eastAsia="en-US"/>
        </w:rPr>
      </w:pPr>
      <w:r>
        <w:rPr>
          <w:rFonts w:eastAsia="Calibri"/>
          <w:sz w:val="28"/>
          <w:szCs w:val="28"/>
          <w:lang w:eastAsia="en-US"/>
        </w:rPr>
        <w:t>В края на 2022 г. по щатно разписание отдел „Досъдебно производство“ при ОД на МВР - Варна включва 128 разследващи полицаи. От реално заетите 126 бр. за разследващи полицаи, през 2022 г. трайно са отсъствали от работа 13 служители. Предвид това, натовареността се разпределя между 113 реално работили разследващи полицаи.</w:t>
      </w:r>
    </w:p>
    <w:p w:rsidR="007A7CE7" w:rsidRDefault="007A7CE7" w:rsidP="007A7CE7">
      <w:pPr>
        <w:shd w:val="clear" w:color="auto" w:fill="FFFFFF"/>
        <w:overflowPunct w:val="0"/>
        <w:autoSpaceDE w:val="0"/>
        <w:autoSpaceDN w:val="0"/>
        <w:adjustRightInd w:val="0"/>
        <w:ind w:firstLine="709"/>
        <w:jc w:val="both"/>
        <w:rPr>
          <w:sz w:val="28"/>
          <w:szCs w:val="28"/>
        </w:rPr>
      </w:pPr>
      <w:r>
        <w:rPr>
          <w:rFonts w:eastAsia="Calibri"/>
          <w:sz w:val="28"/>
          <w:szCs w:val="28"/>
          <w:lang w:eastAsia="en-US"/>
        </w:rPr>
        <w:t xml:space="preserve">През 2021 г. по </w:t>
      </w:r>
      <w:r>
        <w:rPr>
          <w:sz w:val="28"/>
          <w:szCs w:val="28"/>
        </w:rPr>
        <w:t>щатно разписание отдел „</w:t>
      </w:r>
      <w:r>
        <w:rPr>
          <w:rFonts w:eastAsia="Calibri"/>
          <w:sz w:val="28"/>
          <w:szCs w:val="28"/>
          <w:lang w:eastAsia="en-US"/>
        </w:rPr>
        <w:t>Досъдебно производство</w:t>
      </w:r>
      <w:r>
        <w:rPr>
          <w:sz w:val="28"/>
          <w:szCs w:val="28"/>
        </w:rPr>
        <w:t>“ при ОД на МВР-Варна включва 128 разследващи полицаи. От реално заетите 125 бр. за разследващи полицаи, през 2021 г. трайно са отсъствали от работа 9-ма служители. Предвид това, натовареността се разпределя между 116 реално работили разследващи полицаи.</w:t>
      </w:r>
    </w:p>
    <w:p w:rsidR="007A7CE7" w:rsidRDefault="007A7CE7" w:rsidP="007A7CE7">
      <w:pPr>
        <w:ind w:firstLine="709"/>
        <w:jc w:val="both"/>
        <w:rPr>
          <w:rFonts w:eastAsia="Calibri"/>
          <w:color w:val="000000"/>
          <w:sz w:val="28"/>
          <w:szCs w:val="28"/>
        </w:rPr>
      </w:pPr>
      <w:r>
        <w:rPr>
          <w:rFonts w:eastAsia="Calibri"/>
          <w:color w:val="000000"/>
          <w:sz w:val="28"/>
          <w:szCs w:val="28"/>
        </w:rPr>
        <w:t>Разследванията, възложени на ГПУ - Варна и ГПУ „Летище“ – Варна са осъществявани от двама разследващи полицаи. В Териториален отдел „Митническо разузнаване и разследване - Северна морска“ при Агенция „Митници“, тази дейност е осъществявана  реално от двама разследващи митнически инспектори.</w:t>
      </w:r>
    </w:p>
    <w:p w:rsidR="007A7CE7" w:rsidRDefault="007A7CE7" w:rsidP="007A7CE7">
      <w:pPr>
        <w:spacing w:before="120"/>
        <w:ind w:firstLine="709"/>
        <w:contextualSpacing/>
        <w:jc w:val="both"/>
        <w:rPr>
          <w:b/>
          <w:sz w:val="28"/>
          <w:szCs w:val="28"/>
        </w:rPr>
      </w:pPr>
      <w:r>
        <w:rPr>
          <w:b/>
          <w:sz w:val="28"/>
          <w:szCs w:val="28"/>
        </w:rPr>
        <w:t>Гореизложените данни, водят до следните изводи:</w:t>
      </w:r>
    </w:p>
    <w:p w:rsidR="007A7CE7" w:rsidRDefault="007A7CE7" w:rsidP="000059A2">
      <w:pPr>
        <w:numPr>
          <w:ilvl w:val="0"/>
          <w:numId w:val="23"/>
        </w:numPr>
        <w:spacing w:before="120" w:after="120"/>
        <w:ind w:left="0" w:firstLine="709"/>
        <w:contextualSpacing/>
        <w:jc w:val="both"/>
        <w:rPr>
          <w:sz w:val="28"/>
          <w:szCs w:val="28"/>
        </w:rPr>
      </w:pPr>
      <w:r>
        <w:rPr>
          <w:sz w:val="28"/>
          <w:szCs w:val="28"/>
        </w:rPr>
        <w:t xml:space="preserve">при кадровото обезпечаване на РП - Варна  в резултат на целенасочената политика на ръководството се наблюдава намаляване на наложената дълги години тенденция за запазване на незаетите места за прокурори. </w:t>
      </w:r>
      <w:r>
        <w:rPr>
          <w:rFonts w:eastAsia="Calibri"/>
          <w:sz w:val="28"/>
          <w:szCs w:val="28"/>
          <w:lang w:eastAsia="en-US"/>
        </w:rPr>
        <w:t xml:space="preserve">Към 31.12.2023 година от </w:t>
      </w:r>
      <w:r>
        <w:rPr>
          <w:sz w:val="28"/>
          <w:szCs w:val="28"/>
        </w:rPr>
        <w:t>общ брой по щат - 61 прокурори, заети по щат са 60 щатни бр.; свободна 1 щатна бр. за „младши прокурор”. Наблюдава се увеличение на реално работилите през 2023 г. прокурори, въпреки установената практика за постоянното командироване на магистрати продължителен период в други прокуратури и отсъствията на магистрати, поради временна неработоспособност, което се явява неблагоприятен фактор, влияещ непосредствено и перманентно върху работата на прокуратурата.</w:t>
      </w:r>
      <w:r>
        <w:rPr>
          <w:color w:val="FF0000"/>
          <w:sz w:val="28"/>
          <w:szCs w:val="28"/>
        </w:rPr>
        <w:t xml:space="preserve"> </w:t>
      </w:r>
      <w:r>
        <w:rPr>
          <w:sz w:val="28"/>
          <w:szCs w:val="28"/>
        </w:rPr>
        <w:t>През сравнявания период в РП - Варна  2023 г. реално са работили, както следва: 53 прокурори, при 47 прокурори през 2022 г. и съответно 49 прокурори за 2021 г.</w:t>
      </w:r>
    </w:p>
    <w:p w:rsidR="007A7CE7" w:rsidRDefault="007A7CE7" w:rsidP="000059A2">
      <w:pPr>
        <w:numPr>
          <w:ilvl w:val="0"/>
          <w:numId w:val="23"/>
        </w:numPr>
        <w:spacing w:before="120" w:after="120"/>
        <w:ind w:left="0" w:firstLine="709"/>
        <w:contextualSpacing/>
        <w:jc w:val="both"/>
        <w:rPr>
          <w:sz w:val="28"/>
          <w:szCs w:val="28"/>
        </w:rPr>
      </w:pPr>
      <w:r>
        <w:rPr>
          <w:sz w:val="28"/>
          <w:szCs w:val="28"/>
        </w:rPr>
        <w:t>щатът на прокуратурата е достатъчен за пълноценното осъществяване на законовите й правомощия;</w:t>
      </w:r>
    </w:p>
    <w:p w:rsidR="007A7CE7" w:rsidRDefault="007A7CE7" w:rsidP="000059A2">
      <w:pPr>
        <w:numPr>
          <w:ilvl w:val="0"/>
          <w:numId w:val="23"/>
        </w:numPr>
        <w:spacing w:before="120" w:after="120"/>
        <w:ind w:left="0" w:firstLine="709"/>
        <w:contextualSpacing/>
        <w:jc w:val="both"/>
        <w:rPr>
          <w:sz w:val="28"/>
          <w:szCs w:val="28"/>
        </w:rPr>
      </w:pPr>
      <w:r>
        <w:rPr>
          <w:sz w:val="28"/>
          <w:szCs w:val="28"/>
        </w:rPr>
        <w:t>създаден е механизъм за контрол на актуалното кадрово състояние на прокуратурата чрез ежемесечна проверка на действащ и незает щат;</w:t>
      </w:r>
    </w:p>
    <w:p w:rsidR="007A7CE7" w:rsidRDefault="007A7CE7" w:rsidP="000059A2">
      <w:pPr>
        <w:numPr>
          <w:ilvl w:val="0"/>
          <w:numId w:val="23"/>
        </w:numPr>
        <w:spacing w:before="120" w:after="120"/>
        <w:ind w:left="0" w:firstLine="709"/>
        <w:contextualSpacing/>
        <w:jc w:val="both"/>
        <w:rPr>
          <w:sz w:val="28"/>
          <w:szCs w:val="28"/>
        </w:rPr>
      </w:pPr>
      <w:r>
        <w:rPr>
          <w:sz w:val="28"/>
          <w:szCs w:val="28"/>
        </w:rPr>
        <w:t xml:space="preserve">кариерното развитие на прокурорите  - командироване на прокурори от РП - Варна във висшестоящата окръжна прокуратура -  за изпълнение на </w:t>
      </w:r>
      <w:r>
        <w:rPr>
          <w:sz w:val="28"/>
          <w:szCs w:val="28"/>
        </w:rPr>
        <w:lastRenderedPageBreak/>
        <w:t>функциите на „прокурор в ОП“,  иницииране на процедури за атестиране, както и  за повишаване в по - горен ранг на магистратите, са установени инструменти в административната практика;</w:t>
      </w:r>
    </w:p>
    <w:p w:rsidR="007A7CE7" w:rsidRDefault="007A7CE7" w:rsidP="000059A2">
      <w:pPr>
        <w:numPr>
          <w:ilvl w:val="0"/>
          <w:numId w:val="23"/>
        </w:numPr>
        <w:spacing w:before="120" w:after="200"/>
        <w:ind w:left="0" w:firstLine="709"/>
        <w:contextualSpacing/>
        <w:jc w:val="both"/>
        <w:rPr>
          <w:sz w:val="28"/>
          <w:szCs w:val="28"/>
        </w:rPr>
      </w:pPr>
      <w:r>
        <w:rPr>
          <w:sz w:val="28"/>
          <w:szCs w:val="28"/>
        </w:rPr>
        <w:t>кадровото обезпечаване при разследващите остава без промяна -   ОСлО при ОП - Варна е обезпечен кадрово, но щатът на разследващите полицаи в отдел „</w:t>
      </w:r>
      <w:r>
        <w:rPr>
          <w:rFonts w:eastAsia="Calibri"/>
          <w:sz w:val="28"/>
          <w:szCs w:val="28"/>
          <w:lang w:eastAsia="en-US"/>
        </w:rPr>
        <w:t>Досъдебно производство” при ОД на МВР - Варна е  недостатъчен;</w:t>
      </w:r>
    </w:p>
    <w:p w:rsidR="007A7CE7" w:rsidRDefault="007A7CE7" w:rsidP="000059A2">
      <w:pPr>
        <w:numPr>
          <w:ilvl w:val="0"/>
          <w:numId w:val="23"/>
        </w:numPr>
        <w:spacing w:before="120" w:after="200"/>
        <w:ind w:left="0" w:firstLine="709"/>
        <w:contextualSpacing/>
        <w:jc w:val="both"/>
        <w:rPr>
          <w:sz w:val="28"/>
          <w:szCs w:val="28"/>
        </w:rPr>
      </w:pPr>
      <w:r>
        <w:rPr>
          <w:sz w:val="28"/>
          <w:szCs w:val="28"/>
          <w:shd w:val="clear" w:color="auto" w:fill="FFFFFF"/>
          <w:lang w:eastAsia="en-US"/>
        </w:rPr>
        <w:t>щатът на съдебната администрация на РП - Варна е не</w:t>
      </w:r>
      <w:r>
        <w:rPr>
          <w:sz w:val="28"/>
          <w:szCs w:val="28"/>
        </w:rPr>
        <w:t xml:space="preserve">достатъчен за ефективно осъществяване на нарасналите й отговорности.  </w:t>
      </w:r>
    </w:p>
    <w:p w:rsidR="007A7CE7" w:rsidRDefault="007A7CE7" w:rsidP="00943C1B">
      <w:pPr>
        <w:ind w:firstLine="709"/>
        <w:jc w:val="both"/>
        <w:rPr>
          <w:b/>
          <w:sz w:val="28"/>
          <w:szCs w:val="28"/>
          <w:shd w:val="clear" w:color="auto" w:fill="FFFFFF"/>
          <w:lang w:eastAsia="en-US"/>
        </w:rPr>
      </w:pPr>
      <w:r>
        <w:rPr>
          <w:color w:val="FF0000"/>
          <w:sz w:val="28"/>
          <w:szCs w:val="28"/>
          <w:shd w:val="clear" w:color="auto" w:fill="FFFFFF"/>
          <w:lang w:eastAsia="en-US"/>
        </w:rPr>
        <w:t xml:space="preserve"> </w:t>
      </w:r>
      <w:r>
        <w:rPr>
          <w:b/>
          <w:sz w:val="28"/>
          <w:szCs w:val="28"/>
          <w:shd w:val="clear" w:color="auto" w:fill="FFFFFF"/>
          <w:lang w:eastAsia="en-US"/>
        </w:rPr>
        <w:t>Професионална квалификация и обучение</w:t>
      </w:r>
    </w:p>
    <w:p w:rsidR="007A7CE7" w:rsidRDefault="007A7CE7" w:rsidP="007A7CE7">
      <w:pPr>
        <w:ind w:firstLine="709"/>
        <w:jc w:val="both"/>
        <w:rPr>
          <w:sz w:val="28"/>
          <w:szCs w:val="28"/>
        </w:rPr>
      </w:pPr>
      <w:r>
        <w:rPr>
          <w:sz w:val="28"/>
          <w:szCs w:val="28"/>
        </w:rPr>
        <w:t>За изпълнение на един от основните приоритети в дейността на Прокуратурата за успешно противодействие на престъпността важна предпоставка е високата професионална квалификация на прокурорите и съдебната администрация.</w:t>
      </w:r>
    </w:p>
    <w:p w:rsidR="007A7CE7" w:rsidRDefault="007A7CE7" w:rsidP="007A7CE7">
      <w:pPr>
        <w:ind w:firstLine="709"/>
        <w:jc w:val="both"/>
        <w:rPr>
          <w:sz w:val="28"/>
          <w:szCs w:val="28"/>
        </w:rPr>
      </w:pPr>
      <w:r>
        <w:rPr>
          <w:sz w:val="28"/>
          <w:szCs w:val="28"/>
        </w:rPr>
        <w:t>За повишаване на квалификацията и професионалните умения в присъствени и дистанционни електронни обучения, са взели участие, в т.ч. и като лектори, общо 31 магистрата в 30 обучения. Един прокурор е взел участие в Европейска мрежа за съдебно обучение в гр. Верона, Италия по Програмата за международен обмен на магистрати. Следовател е участвал в проект „Информиране-разследване – защита: противодействие на насилието срещу жени“ в гр. Осло, Кралство Норвегия. Прокурор е взел участие в обучение, организирано от Европейската правна академия в гр. Дъблин, Ирландия и в семинар, организиран от Европейската мрежа за съдебно обучение /ЕМСО/ в гр. Париж, Република Франция. Служителите от ОП –Варна са взели участия в 10 обучения  - 41 служителя, като не може да не се отбележи, че по искане на Окръжна прокуратура- Варна са проведени от НИП и редица регионални обучения по теми, интересуващи магистратите от района на Окръжна прокуратура- Варна.</w:t>
      </w:r>
    </w:p>
    <w:p w:rsidR="007A7CE7" w:rsidRDefault="007A7CE7" w:rsidP="007A7CE7">
      <w:pPr>
        <w:pStyle w:val="a3"/>
        <w:ind w:left="0" w:firstLine="709"/>
        <w:jc w:val="both"/>
        <w:rPr>
          <w:b/>
          <w:i/>
          <w:sz w:val="28"/>
          <w:szCs w:val="28"/>
        </w:rPr>
      </w:pPr>
      <w:r>
        <w:rPr>
          <w:b/>
          <w:i/>
          <w:sz w:val="28"/>
          <w:szCs w:val="28"/>
        </w:rPr>
        <w:t>Темите на обученията са:</w:t>
      </w:r>
    </w:p>
    <w:p w:rsidR="007A7CE7" w:rsidRDefault="007A7CE7" w:rsidP="000059A2">
      <w:pPr>
        <w:numPr>
          <w:ilvl w:val="0"/>
          <w:numId w:val="24"/>
        </w:numPr>
        <w:spacing w:after="200"/>
        <w:ind w:left="0" w:firstLine="0"/>
        <w:contextualSpacing/>
        <w:jc w:val="both"/>
        <w:rPr>
          <w:sz w:val="28"/>
          <w:szCs w:val="28"/>
        </w:rPr>
      </w:pPr>
      <w:r>
        <w:rPr>
          <w:sz w:val="28"/>
          <w:szCs w:val="28"/>
        </w:rPr>
        <w:t xml:space="preserve">"Организирани престъпни дейности"  -  26 - 27 януари 2023 г. </w:t>
      </w:r>
    </w:p>
    <w:p w:rsidR="007A7CE7" w:rsidRDefault="007A7CE7" w:rsidP="000059A2">
      <w:pPr>
        <w:numPr>
          <w:ilvl w:val="0"/>
          <w:numId w:val="24"/>
        </w:numPr>
        <w:spacing w:after="200"/>
        <w:ind w:left="0" w:firstLine="0"/>
        <w:contextualSpacing/>
        <w:jc w:val="both"/>
        <w:rPr>
          <w:sz w:val="28"/>
          <w:szCs w:val="28"/>
        </w:rPr>
      </w:pPr>
      <w:r>
        <w:rPr>
          <w:sz w:val="28"/>
          <w:szCs w:val="28"/>
        </w:rPr>
        <w:t>обучение на говорителите на прокуратури  по апелативни райони - за района на АП – Варна - 01-02.06.2023 г. - УЦ "Изгрев", гр.Бяла</w:t>
      </w:r>
    </w:p>
    <w:p w:rsidR="007A7CE7" w:rsidRDefault="007A7CE7" w:rsidP="000059A2">
      <w:pPr>
        <w:numPr>
          <w:ilvl w:val="0"/>
          <w:numId w:val="24"/>
        </w:numPr>
        <w:spacing w:after="200"/>
        <w:ind w:left="0" w:firstLine="0"/>
        <w:contextualSpacing/>
        <w:jc w:val="both"/>
        <w:rPr>
          <w:sz w:val="28"/>
          <w:szCs w:val="28"/>
        </w:rPr>
      </w:pPr>
      <w:r>
        <w:rPr>
          <w:sz w:val="28"/>
          <w:szCs w:val="28"/>
        </w:rPr>
        <w:t xml:space="preserve"> „Финансово разследване на трафик на хора“  -  23-24.03.2023г. в гр. София;</w:t>
      </w:r>
    </w:p>
    <w:p w:rsidR="007A7CE7" w:rsidRDefault="007A7CE7" w:rsidP="000059A2">
      <w:pPr>
        <w:numPr>
          <w:ilvl w:val="0"/>
          <w:numId w:val="24"/>
        </w:numPr>
        <w:spacing w:after="200"/>
        <w:ind w:left="0" w:firstLine="0"/>
        <w:contextualSpacing/>
        <w:jc w:val="both"/>
        <w:rPr>
          <w:sz w:val="28"/>
          <w:szCs w:val="28"/>
        </w:rPr>
      </w:pPr>
      <w:r>
        <w:rPr>
          <w:sz w:val="28"/>
          <w:szCs w:val="28"/>
        </w:rPr>
        <w:t xml:space="preserve">виртуално обучение на тема "Пране на пари и разследвания на активи в офшорни зони", организирано от Департамент по правосъдие на САЩ -  22.02.2023г.;  </w:t>
      </w:r>
    </w:p>
    <w:p w:rsidR="007A7CE7" w:rsidRDefault="007A7CE7" w:rsidP="000059A2">
      <w:pPr>
        <w:numPr>
          <w:ilvl w:val="0"/>
          <w:numId w:val="24"/>
        </w:numPr>
        <w:spacing w:after="200"/>
        <w:ind w:left="0" w:firstLine="0"/>
        <w:contextualSpacing/>
        <w:jc w:val="both"/>
        <w:rPr>
          <w:sz w:val="28"/>
          <w:szCs w:val="28"/>
        </w:rPr>
      </w:pPr>
      <w:r>
        <w:rPr>
          <w:sz w:val="28"/>
          <w:szCs w:val="28"/>
        </w:rPr>
        <w:t>Европейска заповед за разследване, гр. София;</w:t>
      </w:r>
    </w:p>
    <w:p w:rsidR="007A7CE7" w:rsidRDefault="007A7CE7" w:rsidP="000059A2">
      <w:pPr>
        <w:numPr>
          <w:ilvl w:val="0"/>
          <w:numId w:val="24"/>
        </w:numPr>
        <w:spacing w:after="200"/>
        <w:ind w:left="0" w:firstLine="0"/>
        <w:contextualSpacing/>
        <w:jc w:val="both"/>
        <w:rPr>
          <w:sz w:val="28"/>
          <w:szCs w:val="28"/>
        </w:rPr>
      </w:pPr>
      <w:r>
        <w:rPr>
          <w:sz w:val="28"/>
          <w:szCs w:val="28"/>
        </w:rPr>
        <w:t>участие в дискусионен форум на тема "Тенденции в трафика и разпространението на наркотични вещества на Балканите“, проведен на 05.04.2023г. – Община Варна</w:t>
      </w:r>
    </w:p>
    <w:p w:rsidR="007A7CE7" w:rsidRDefault="007A7CE7" w:rsidP="000059A2">
      <w:pPr>
        <w:numPr>
          <w:ilvl w:val="0"/>
          <w:numId w:val="24"/>
        </w:numPr>
        <w:spacing w:after="200"/>
        <w:ind w:left="0" w:firstLine="0"/>
        <w:contextualSpacing/>
        <w:jc w:val="both"/>
        <w:rPr>
          <w:sz w:val="28"/>
          <w:szCs w:val="28"/>
        </w:rPr>
      </w:pPr>
      <w:r>
        <w:rPr>
          <w:sz w:val="28"/>
          <w:szCs w:val="28"/>
        </w:rPr>
        <w:t xml:space="preserve">семинар, посветен на теоретичните и практически аспекти относно </w:t>
      </w:r>
      <w:proofErr w:type="spellStart"/>
      <w:r>
        <w:rPr>
          <w:sz w:val="28"/>
          <w:szCs w:val="28"/>
        </w:rPr>
        <w:t>доказателствената</w:t>
      </w:r>
      <w:proofErr w:type="spellEnd"/>
      <w:r>
        <w:rPr>
          <w:sz w:val="28"/>
          <w:szCs w:val="28"/>
        </w:rPr>
        <w:t xml:space="preserve"> стойност на електронните доказателства, тяхната достоверност и допустимост пред Съда - 25.04.2023 г. в гр.Варна;</w:t>
      </w:r>
    </w:p>
    <w:p w:rsidR="007A7CE7" w:rsidRDefault="007A7CE7" w:rsidP="000059A2">
      <w:pPr>
        <w:numPr>
          <w:ilvl w:val="0"/>
          <w:numId w:val="24"/>
        </w:numPr>
        <w:spacing w:after="200"/>
        <w:ind w:left="0" w:firstLine="0"/>
        <w:contextualSpacing/>
        <w:jc w:val="both"/>
        <w:rPr>
          <w:sz w:val="28"/>
          <w:szCs w:val="28"/>
        </w:rPr>
      </w:pPr>
      <w:r>
        <w:rPr>
          <w:sz w:val="28"/>
          <w:szCs w:val="28"/>
        </w:rPr>
        <w:lastRenderedPageBreak/>
        <w:t xml:space="preserve"> „Пост-</w:t>
      </w:r>
      <w:r>
        <w:rPr>
          <w:sz w:val="28"/>
          <w:szCs w:val="28"/>
          <w:lang w:val="en-US"/>
        </w:rPr>
        <w:t xml:space="preserve">COVID </w:t>
      </w:r>
      <w:r>
        <w:rPr>
          <w:sz w:val="28"/>
          <w:szCs w:val="28"/>
        </w:rPr>
        <w:t>предизвикателствата в наказателното правосъдие“ организиран от Европейската правна академия – 18.04.2023 г. до 23.04.2023 г. в гр.Дъблин, Ирландия;</w:t>
      </w:r>
    </w:p>
    <w:p w:rsidR="007A7CE7" w:rsidRDefault="007A7CE7" w:rsidP="000059A2">
      <w:pPr>
        <w:numPr>
          <w:ilvl w:val="0"/>
          <w:numId w:val="24"/>
        </w:numPr>
        <w:spacing w:after="200"/>
        <w:ind w:left="0" w:firstLine="0"/>
        <w:contextualSpacing/>
        <w:jc w:val="both"/>
        <w:rPr>
          <w:sz w:val="28"/>
          <w:szCs w:val="28"/>
        </w:rPr>
      </w:pPr>
      <w:r>
        <w:rPr>
          <w:sz w:val="28"/>
          <w:szCs w:val="28"/>
        </w:rPr>
        <w:t xml:space="preserve">„Молби за международна правна помощ към САЩ“, 03.04.2023г. в гр. София. </w:t>
      </w:r>
    </w:p>
    <w:p w:rsidR="007A7CE7" w:rsidRDefault="007A7CE7" w:rsidP="000059A2">
      <w:pPr>
        <w:numPr>
          <w:ilvl w:val="0"/>
          <w:numId w:val="24"/>
        </w:numPr>
        <w:spacing w:after="200"/>
        <w:ind w:left="0" w:firstLine="0"/>
        <w:contextualSpacing/>
        <w:jc w:val="both"/>
        <w:rPr>
          <w:sz w:val="28"/>
          <w:szCs w:val="28"/>
        </w:rPr>
      </w:pPr>
      <w:r>
        <w:rPr>
          <w:sz w:val="28"/>
          <w:szCs w:val="28"/>
        </w:rPr>
        <w:t>Присъствено обучение организирано от НИП на тема "Организирана престъпна група - характеристика. Специфики при разследването и доказването на престъпните състави по чл.321 от НК. Актуални проблеми и предизвикателства в производствата с предмет ОПГ" - 11-12 май 2023 г.- в гр.София</w:t>
      </w:r>
    </w:p>
    <w:p w:rsidR="007A7CE7" w:rsidRDefault="007A7CE7" w:rsidP="000059A2">
      <w:pPr>
        <w:numPr>
          <w:ilvl w:val="0"/>
          <w:numId w:val="24"/>
        </w:numPr>
        <w:spacing w:after="200"/>
        <w:ind w:left="0" w:firstLine="0"/>
        <w:contextualSpacing/>
        <w:jc w:val="both"/>
        <w:rPr>
          <w:sz w:val="28"/>
          <w:szCs w:val="28"/>
        </w:rPr>
      </w:pPr>
      <w:r>
        <w:rPr>
          <w:sz w:val="28"/>
          <w:szCs w:val="28"/>
        </w:rPr>
        <w:t>„Организирани престъпни групи-2-част“ - 21 и 22 юни 2023 г.  – Варна</w:t>
      </w:r>
      <w:r w:rsidR="006218D1">
        <w:rPr>
          <w:sz w:val="28"/>
          <w:szCs w:val="28"/>
        </w:rPr>
        <w:t>,</w:t>
      </w:r>
      <w:r>
        <w:rPr>
          <w:sz w:val="28"/>
          <w:szCs w:val="28"/>
        </w:rPr>
        <w:t xml:space="preserve"> което е организирано като регионално обучение;</w:t>
      </w:r>
    </w:p>
    <w:p w:rsidR="007A7CE7" w:rsidRDefault="007A7CE7" w:rsidP="000059A2">
      <w:pPr>
        <w:numPr>
          <w:ilvl w:val="0"/>
          <w:numId w:val="24"/>
        </w:numPr>
        <w:spacing w:after="200"/>
        <w:ind w:left="0" w:firstLine="0"/>
        <w:contextualSpacing/>
        <w:jc w:val="both"/>
        <w:rPr>
          <w:sz w:val="28"/>
          <w:szCs w:val="28"/>
        </w:rPr>
      </w:pPr>
      <w:r>
        <w:rPr>
          <w:sz w:val="28"/>
          <w:szCs w:val="28"/>
        </w:rPr>
        <w:t>„Трафика на хора през призмата на Конвенцията на съвета на Европа за борба с трафика на хора“ – 23 юни 2023 г.-регионално обучение по инициатива на ОП - Варна;</w:t>
      </w:r>
    </w:p>
    <w:p w:rsidR="007A7CE7" w:rsidRDefault="007A7CE7" w:rsidP="000059A2">
      <w:pPr>
        <w:numPr>
          <w:ilvl w:val="0"/>
          <w:numId w:val="24"/>
        </w:numPr>
        <w:spacing w:after="200"/>
        <w:ind w:left="0" w:firstLine="0"/>
        <w:contextualSpacing/>
        <w:jc w:val="both"/>
        <w:rPr>
          <w:sz w:val="28"/>
          <w:szCs w:val="28"/>
        </w:rPr>
      </w:pPr>
      <w:r>
        <w:rPr>
          <w:sz w:val="28"/>
          <w:szCs w:val="28"/>
        </w:rPr>
        <w:t>Регионално обучение – „Специални разузнавателни средства. Приложно поле, сходство, разлики и съотношение на чл.31, ал.3 от ЗСРС и чл.175, ал.7 от НПК“ - 05-06.10.2023 г. – Варна;</w:t>
      </w:r>
    </w:p>
    <w:p w:rsidR="007A7CE7" w:rsidRDefault="007A7CE7" w:rsidP="000059A2">
      <w:pPr>
        <w:numPr>
          <w:ilvl w:val="0"/>
          <w:numId w:val="24"/>
        </w:numPr>
        <w:spacing w:after="200"/>
        <w:ind w:left="0" w:firstLine="0"/>
        <w:contextualSpacing/>
        <w:jc w:val="both"/>
        <w:rPr>
          <w:sz w:val="28"/>
          <w:szCs w:val="28"/>
        </w:rPr>
      </w:pPr>
      <w:r>
        <w:rPr>
          <w:sz w:val="28"/>
          <w:szCs w:val="28"/>
        </w:rPr>
        <w:t xml:space="preserve">31.10.2023 г. е проведено регионално обучение  /в дистанционен формат - </w:t>
      </w:r>
      <w:proofErr w:type="spellStart"/>
      <w:r>
        <w:rPr>
          <w:sz w:val="28"/>
          <w:szCs w:val="28"/>
        </w:rPr>
        <w:t>уебинар</w:t>
      </w:r>
      <w:proofErr w:type="spellEnd"/>
      <w:r>
        <w:rPr>
          <w:sz w:val="28"/>
          <w:szCs w:val="28"/>
        </w:rPr>
        <w:t xml:space="preserve">/ на тема "Компютърни престъпления. Обезпечаване, запазване и изискване на информация от доставчици на интернет услуги, социални мрежи и </w:t>
      </w:r>
      <w:proofErr w:type="spellStart"/>
      <w:r>
        <w:rPr>
          <w:sz w:val="28"/>
          <w:szCs w:val="28"/>
        </w:rPr>
        <w:t>приложениа</w:t>
      </w:r>
      <w:proofErr w:type="spellEnd"/>
      <w:r>
        <w:rPr>
          <w:sz w:val="28"/>
          <w:szCs w:val="28"/>
        </w:rPr>
        <w:t xml:space="preserve"> за комуникация“.</w:t>
      </w:r>
    </w:p>
    <w:p w:rsidR="007A7CE7" w:rsidRDefault="007A7CE7" w:rsidP="000059A2">
      <w:pPr>
        <w:numPr>
          <w:ilvl w:val="0"/>
          <w:numId w:val="24"/>
        </w:numPr>
        <w:spacing w:after="200"/>
        <w:ind w:left="0" w:firstLine="0"/>
        <w:contextualSpacing/>
        <w:jc w:val="both"/>
        <w:rPr>
          <w:sz w:val="28"/>
          <w:szCs w:val="28"/>
        </w:rPr>
      </w:pPr>
      <w:r>
        <w:rPr>
          <w:sz w:val="28"/>
          <w:szCs w:val="28"/>
        </w:rPr>
        <w:t>"Подкрепа на противодействието срещу измами и организирана престъпност" - 07-09.06.2023 г.  - гр.Сандански:</w:t>
      </w:r>
    </w:p>
    <w:p w:rsidR="007A7CE7" w:rsidRDefault="007A7CE7" w:rsidP="000059A2">
      <w:pPr>
        <w:numPr>
          <w:ilvl w:val="0"/>
          <w:numId w:val="24"/>
        </w:numPr>
        <w:spacing w:after="200"/>
        <w:ind w:left="0" w:firstLine="0"/>
        <w:contextualSpacing/>
        <w:jc w:val="both"/>
        <w:rPr>
          <w:sz w:val="28"/>
          <w:szCs w:val="28"/>
        </w:rPr>
      </w:pPr>
      <w:r>
        <w:rPr>
          <w:sz w:val="28"/>
          <w:szCs w:val="28"/>
        </w:rPr>
        <w:t>"Подобряване на взаимодействието между органите в борбата с трансграничната организирана престъпност, при използване на способа "Служител под прикритие", в периода 12-14 юни 2023г. в к.</w:t>
      </w:r>
      <w:proofErr w:type="spellStart"/>
      <w:r>
        <w:rPr>
          <w:sz w:val="28"/>
          <w:szCs w:val="28"/>
        </w:rPr>
        <w:t>к</w:t>
      </w:r>
      <w:proofErr w:type="spellEnd"/>
      <w:r>
        <w:rPr>
          <w:sz w:val="28"/>
          <w:szCs w:val="28"/>
        </w:rPr>
        <w:t>. Златни пясъци, също организирано по инициатива на ОП - Варна;</w:t>
      </w:r>
    </w:p>
    <w:p w:rsidR="007A7CE7" w:rsidRDefault="007A7CE7" w:rsidP="000059A2">
      <w:pPr>
        <w:numPr>
          <w:ilvl w:val="0"/>
          <w:numId w:val="24"/>
        </w:numPr>
        <w:spacing w:after="200"/>
        <w:ind w:left="0" w:firstLine="0"/>
        <w:contextualSpacing/>
        <w:jc w:val="both"/>
        <w:rPr>
          <w:sz w:val="28"/>
          <w:szCs w:val="28"/>
        </w:rPr>
      </w:pPr>
      <w:r>
        <w:rPr>
          <w:sz w:val="28"/>
          <w:szCs w:val="28"/>
        </w:rPr>
        <w:t>обучение на експерти за защита на жертви на домашно насилие и насилие, основано на пола в изпълнение на Дейност 3 от проект на ГД Национална полиция - МВР на тема "Подобряване ефективността на полицейската дейност в областта на домашното насилие и насилието, основано на пола", финансиран по програма "Вътрешни работи" на Норвежкия финансов механизъм 2014-2021, в периода 07-09.06.2023г.</w:t>
      </w:r>
      <w:r w:rsidR="006218D1">
        <w:rPr>
          <w:sz w:val="28"/>
          <w:szCs w:val="28"/>
        </w:rPr>
        <w:t>,</w:t>
      </w:r>
      <w:r>
        <w:rPr>
          <w:sz w:val="28"/>
          <w:szCs w:val="28"/>
        </w:rPr>
        <w:t xml:space="preserve"> с.Ягода, общ Мъглиж, </w:t>
      </w:r>
      <w:proofErr w:type="spellStart"/>
      <w:r>
        <w:rPr>
          <w:sz w:val="28"/>
          <w:szCs w:val="28"/>
        </w:rPr>
        <w:t>обл</w:t>
      </w:r>
      <w:proofErr w:type="spellEnd"/>
      <w:r>
        <w:rPr>
          <w:sz w:val="28"/>
          <w:szCs w:val="28"/>
        </w:rPr>
        <w:t>. Стара Загора;</w:t>
      </w:r>
    </w:p>
    <w:p w:rsidR="007A7CE7" w:rsidRDefault="007A7CE7" w:rsidP="000059A2">
      <w:pPr>
        <w:numPr>
          <w:ilvl w:val="0"/>
          <w:numId w:val="24"/>
        </w:numPr>
        <w:spacing w:after="200"/>
        <w:ind w:left="0" w:firstLine="0"/>
        <w:contextualSpacing/>
        <w:jc w:val="both"/>
        <w:rPr>
          <w:sz w:val="28"/>
          <w:szCs w:val="28"/>
        </w:rPr>
      </w:pPr>
      <w:r>
        <w:rPr>
          <w:sz w:val="28"/>
          <w:szCs w:val="28"/>
        </w:rPr>
        <w:t>Два тридневни семинара - от 25.09.2023-27.09.2023 и 27.09.2023-29.09.2023г. в к.</w:t>
      </w:r>
      <w:proofErr w:type="spellStart"/>
      <w:r>
        <w:rPr>
          <w:sz w:val="28"/>
          <w:szCs w:val="28"/>
        </w:rPr>
        <w:t>к</w:t>
      </w:r>
      <w:proofErr w:type="spellEnd"/>
      <w:r>
        <w:rPr>
          <w:sz w:val="28"/>
          <w:szCs w:val="28"/>
        </w:rPr>
        <w:t>. Златни пясъци, на теми свързани с разкриване на престъпления, попадащи в обхвата на Единния каталог на корупционните престъпления - Сегмент 1 "Същински корупционни престъпления" и Сегмент 2 "Престъпления на длъжностни лица с вероятен корупционен мотив;</w:t>
      </w:r>
    </w:p>
    <w:p w:rsidR="007A7CE7" w:rsidRDefault="007A7CE7" w:rsidP="000059A2">
      <w:pPr>
        <w:numPr>
          <w:ilvl w:val="0"/>
          <w:numId w:val="24"/>
        </w:numPr>
        <w:spacing w:after="200"/>
        <w:ind w:left="0" w:firstLine="0"/>
        <w:contextualSpacing/>
        <w:jc w:val="both"/>
        <w:rPr>
          <w:sz w:val="28"/>
          <w:szCs w:val="28"/>
        </w:rPr>
      </w:pPr>
      <w:r>
        <w:rPr>
          <w:sz w:val="28"/>
          <w:szCs w:val="28"/>
        </w:rPr>
        <w:t>„Подкрепа на противодействието срещу измами и организирана престъпност“ - 18-20.10.2023 г.</w:t>
      </w:r>
    </w:p>
    <w:p w:rsidR="007A7CE7" w:rsidRDefault="007A7CE7" w:rsidP="000059A2">
      <w:pPr>
        <w:numPr>
          <w:ilvl w:val="0"/>
          <w:numId w:val="24"/>
        </w:numPr>
        <w:spacing w:after="200"/>
        <w:ind w:left="0" w:firstLine="0"/>
        <w:contextualSpacing/>
        <w:jc w:val="both"/>
        <w:rPr>
          <w:sz w:val="28"/>
          <w:szCs w:val="28"/>
        </w:rPr>
      </w:pPr>
      <w:r>
        <w:rPr>
          <w:sz w:val="28"/>
          <w:szCs w:val="28"/>
        </w:rPr>
        <w:t>по проект Детска пътека - подготовка и въвеждане на специализирана услуга при случаи на деца свидетели или в риск от насилие, финансиран със средства на НФМ;</w:t>
      </w:r>
    </w:p>
    <w:p w:rsidR="007A7CE7" w:rsidRDefault="007A7CE7" w:rsidP="000059A2">
      <w:pPr>
        <w:numPr>
          <w:ilvl w:val="0"/>
          <w:numId w:val="24"/>
        </w:numPr>
        <w:spacing w:after="200"/>
        <w:ind w:left="0" w:firstLine="0"/>
        <w:contextualSpacing/>
        <w:jc w:val="both"/>
        <w:rPr>
          <w:sz w:val="28"/>
          <w:szCs w:val="28"/>
        </w:rPr>
      </w:pPr>
      <w:r>
        <w:rPr>
          <w:sz w:val="28"/>
          <w:szCs w:val="28"/>
        </w:rPr>
        <w:lastRenderedPageBreak/>
        <w:t xml:space="preserve"> "Повишаване на ефективността на административните и наказателните производства за нарушения и престъпления, засягащи средства, предоставени от ЕСИФ и ЕФСУ" - 02-04 октомври гр.В.Търново;</w:t>
      </w:r>
    </w:p>
    <w:p w:rsidR="007A7CE7" w:rsidRDefault="007A7CE7" w:rsidP="000059A2">
      <w:pPr>
        <w:numPr>
          <w:ilvl w:val="0"/>
          <w:numId w:val="24"/>
        </w:numPr>
        <w:spacing w:after="200"/>
        <w:ind w:left="0" w:firstLine="0"/>
        <w:contextualSpacing/>
        <w:jc w:val="both"/>
        <w:rPr>
          <w:sz w:val="28"/>
          <w:szCs w:val="28"/>
        </w:rPr>
      </w:pPr>
      <w:r>
        <w:rPr>
          <w:sz w:val="28"/>
          <w:szCs w:val="28"/>
        </w:rPr>
        <w:t xml:space="preserve">Еднодневно онлайн обучение на тема "Превенция на корупцията в съдебната система през призмата на правомощията на ИВСС по глава девета, раздел </w:t>
      </w:r>
      <w:proofErr w:type="spellStart"/>
      <w:r>
        <w:rPr>
          <w:sz w:val="28"/>
          <w:szCs w:val="28"/>
        </w:rPr>
        <w:t>Iб</w:t>
      </w:r>
      <w:proofErr w:type="spellEnd"/>
      <w:r>
        <w:rPr>
          <w:sz w:val="28"/>
          <w:szCs w:val="28"/>
        </w:rPr>
        <w:t xml:space="preserve"> от ЗСВ" - 28.09.2023 г.</w:t>
      </w:r>
    </w:p>
    <w:p w:rsidR="007A7CE7" w:rsidRDefault="007A7CE7" w:rsidP="000059A2">
      <w:pPr>
        <w:numPr>
          <w:ilvl w:val="0"/>
          <w:numId w:val="24"/>
        </w:numPr>
        <w:spacing w:after="200"/>
        <w:ind w:left="0" w:firstLine="0"/>
        <w:contextualSpacing/>
        <w:jc w:val="both"/>
        <w:rPr>
          <w:sz w:val="28"/>
          <w:szCs w:val="28"/>
        </w:rPr>
      </w:pPr>
      <w:r>
        <w:rPr>
          <w:sz w:val="28"/>
          <w:szCs w:val="28"/>
        </w:rPr>
        <w:t>От 20-27 октомври 2023 г., гр.Верона, Италия, участие в краткосрочен обмен, организиран от Европейска мрежа за съдебно обучение /ЕМСО/</w:t>
      </w:r>
    </w:p>
    <w:p w:rsidR="007A7CE7" w:rsidRDefault="007A7CE7" w:rsidP="000059A2">
      <w:pPr>
        <w:numPr>
          <w:ilvl w:val="0"/>
          <w:numId w:val="24"/>
        </w:numPr>
        <w:spacing w:after="200"/>
        <w:ind w:left="0" w:firstLine="0"/>
        <w:contextualSpacing/>
        <w:jc w:val="both"/>
        <w:rPr>
          <w:sz w:val="28"/>
          <w:szCs w:val="28"/>
        </w:rPr>
      </w:pPr>
      <w:r>
        <w:rPr>
          <w:sz w:val="28"/>
          <w:szCs w:val="28"/>
        </w:rPr>
        <w:t>„Процесуални гаранции в наказателните процедури в практиката на ЕС“, организиран от Европейската мрежа за съдебно обучение /ЕМСО/ - 28.10-01.11.2023 г. – Париж, Република Франция.</w:t>
      </w:r>
    </w:p>
    <w:p w:rsidR="007A7CE7" w:rsidRDefault="007A7CE7" w:rsidP="000059A2">
      <w:pPr>
        <w:numPr>
          <w:ilvl w:val="0"/>
          <w:numId w:val="24"/>
        </w:numPr>
        <w:spacing w:after="200"/>
        <w:ind w:left="0" w:firstLine="0"/>
        <w:contextualSpacing/>
        <w:jc w:val="both"/>
        <w:rPr>
          <w:sz w:val="28"/>
          <w:szCs w:val="28"/>
        </w:rPr>
      </w:pPr>
      <w:r>
        <w:rPr>
          <w:sz w:val="28"/>
          <w:szCs w:val="28"/>
        </w:rPr>
        <w:t>На 27 октомври 2023 г. видеоконференция на тема "Изкуствен интелект и основни права"..</w:t>
      </w:r>
    </w:p>
    <w:p w:rsidR="007A7CE7" w:rsidRDefault="007A7CE7" w:rsidP="000059A2">
      <w:pPr>
        <w:numPr>
          <w:ilvl w:val="0"/>
          <w:numId w:val="24"/>
        </w:numPr>
        <w:spacing w:after="200"/>
        <w:ind w:left="0" w:firstLine="0"/>
        <w:contextualSpacing/>
        <w:jc w:val="both"/>
        <w:rPr>
          <w:sz w:val="28"/>
          <w:szCs w:val="28"/>
        </w:rPr>
      </w:pPr>
      <w:r>
        <w:rPr>
          <w:sz w:val="28"/>
          <w:szCs w:val="28"/>
        </w:rPr>
        <w:t xml:space="preserve"> „Мандатът на младшия следовател - начало и професионално развитие“. 26-28.11.2023 г. - НИП</w:t>
      </w:r>
    </w:p>
    <w:p w:rsidR="007A7CE7" w:rsidRDefault="007A7CE7" w:rsidP="000059A2">
      <w:pPr>
        <w:numPr>
          <w:ilvl w:val="0"/>
          <w:numId w:val="24"/>
        </w:numPr>
        <w:spacing w:after="200"/>
        <w:ind w:left="0" w:firstLine="0"/>
        <w:contextualSpacing/>
        <w:jc w:val="both"/>
        <w:rPr>
          <w:sz w:val="28"/>
          <w:szCs w:val="28"/>
        </w:rPr>
      </w:pPr>
      <w:r>
        <w:rPr>
          <w:sz w:val="28"/>
          <w:szCs w:val="28"/>
        </w:rPr>
        <w:t xml:space="preserve">"Борба с корупцията, пране на пари и </w:t>
      </w:r>
      <w:proofErr w:type="spellStart"/>
      <w:r>
        <w:rPr>
          <w:sz w:val="28"/>
          <w:szCs w:val="28"/>
        </w:rPr>
        <w:t>антитероризъм</w:t>
      </w:r>
      <w:proofErr w:type="spellEnd"/>
      <w:r>
        <w:rPr>
          <w:sz w:val="28"/>
          <w:szCs w:val="28"/>
        </w:rPr>
        <w:t>"</w:t>
      </w:r>
      <w:r w:rsidR="006218D1">
        <w:rPr>
          <w:sz w:val="28"/>
          <w:szCs w:val="28"/>
        </w:rPr>
        <w:t>,</w:t>
      </w:r>
      <w:r>
        <w:rPr>
          <w:sz w:val="28"/>
          <w:szCs w:val="28"/>
        </w:rPr>
        <w:t xml:space="preserve">  27-29.11.2023 г. в УБ "</w:t>
      </w:r>
      <w:proofErr w:type="spellStart"/>
      <w:r>
        <w:rPr>
          <w:sz w:val="28"/>
          <w:szCs w:val="28"/>
        </w:rPr>
        <w:t>Цигов</w:t>
      </w:r>
      <w:proofErr w:type="spellEnd"/>
      <w:r>
        <w:rPr>
          <w:sz w:val="28"/>
          <w:szCs w:val="28"/>
        </w:rPr>
        <w:t xml:space="preserve"> чарк" </w:t>
      </w:r>
    </w:p>
    <w:p w:rsidR="007A7CE7" w:rsidRDefault="007A7CE7" w:rsidP="000059A2">
      <w:pPr>
        <w:numPr>
          <w:ilvl w:val="0"/>
          <w:numId w:val="24"/>
        </w:numPr>
        <w:spacing w:after="200"/>
        <w:ind w:left="0" w:firstLine="0"/>
        <w:contextualSpacing/>
        <w:jc w:val="both"/>
        <w:rPr>
          <w:sz w:val="28"/>
          <w:szCs w:val="28"/>
        </w:rPr>
      </w:pPr>
      <w:r>
        <w:rPr>
          <w:sz w:val="28"/>
          <w:szCs w:val="28"/>
        </w:rPr>
        <w:t>"Информиране-разследване-защита:противодействие на насилието срещу жени“ от 11 до 15 декември 2023 г. в гр. Осло, Кралство Норвегия</w:t>
      </w:r>
    </w:p>
    <w:p w:rsidR="007A7CE7" w:rsidRDefault="007A7CE7" w:rsidP="000059A2">
      <w:pPr>
        <w:numPr>
          <w:ilvl w:val="0"/>
          <w:numId w:val="24"/>
        </w:numPr>
        <w:spacing w:after="200"/>
        <w:ind w:left="0" w:firstLine="0"/>
        <w:contextualSpacing/>
        <w:jc w:val="both"/>
        <w:rPr>
          <w:sz w:val="28"/>
          <w:szCs w:val="28"/>
        </w:rPr>
      </w:pPr>
      <w:r>
        <w:rPr>
          <w:sz w:val="28"/>
          <w:szCs w:val="28"/>
        </w:rPr>
        <w:t>"Въвеждащо обучение за новоназначени съдебни служители", предназначено за служители със стаж до 1г. в съд. система.</w:t>
      </w:r>
    </w:p>
    <w:p w:rsidR="007A7CE7" w:rsidRDefault="007A7CE7" w:rsidP="000059A2">
      <w:pPr>
        <w:numPr>
          <w:ilvl w:val="0"/>
          <w:numId w:val="24"/>
        </w:numPr>
        <w:spacing w:after="200"/>
        <w:ind w:left="0" w:firstLine="0"/>
        <w:contextualSpacing/>
        <w:jc w:val="both"/>
        <w:rPr>
          <w:sz w:val="28"/>
          <w:szCs w:val="28"/>
        </w:rPr>
      </w:pPr>
      <w:r>
        <w:rPr>
          <w:sz w:val="28"/>
          <w:szCs w:val="28"/>
        </w:rPr>
        <w:t>"Въвеждане на услугата "Активна директория" в  мрежата на ПРБ. Информационна сигурност - постоянни заплахи 2023 г." - 15.02.2023 г. - 17.02.2023 г.</w:t>
      </w:r>
    </w:p>
    <w:p w:rsidR="007A7CE7" w:rsidRDefault="007A7CE7" w:rsidP="000059A2">
      <w:pPr>
        <w:numPr>
          <w:ilvl w:val="0"/>
          <w:numId w:val="24"/>
        </w:numPr>
        <w:spacing w:after="200"/>
        <w:ind w:left="0" w:firstLine="0"/>
        <w:contextualSpacing/>
        <w:jc w:val="both"/>
        <w:rPr>
          <w:sz w:val="28"/>
          <w:szCs w:val="28"/>
        </w:rPr>
      </w:pPr>
      <w:r>
        <w:rPr>
          <w:sz w:val="28"/>
          <w:szCs w:val="28"/>
        </w:rPr>
        <w:t xml:space="preserve">Обучение за съдебни служители от общата администрация -  </w:t>
      </w:r>
      <w:proofErr w:type="spellStart"/>
      <w:r>
        <w:rPr>
          <w:sz w:val="28"/>
          <w:szCs w:val="28"/>
        </w:rPr>
        <w:t>дистанциионна</w:t>
      </w:r>
      <w:proofErr w:type="spellEnd"/>
      <w:r>
        <w:rPr>
          <w:sz w:val="28"/>
          <w:szCs w:val="28"/>
        </w:rPr>
        <w:t xml:space="preserve"> онлайн форма в периода 14.03.-15.03.2023 г.;</w:t>
      </w:r>
    </w:p>
    <w:p w:rsidR="007A7CE7" w:rsidRDefault="007A7CE7" w:rsidP="000059A2">
      <w:pPr>
        <w:numPr>
          <w:ilvl w:val="0"/>
          <w:numId w:val="24"/>
        </w:numPr>
        <w:spacing w:after="200"/>
        <w:ind w:left="0" w:firstLine="0"/>
        <w:contextualSpacing/>
        <w:jc w:val="both"/>
        <w:rPr>
          <w:sz w:val="28"/>
          <w:szCs w:val="28"/>
        </w:rPr>
      </w:pPr>
      <w:r>
        <w:rPr>
          <w:sz w:val="28"/>
          <w:szCs w:val="28"/>
        </w:rPr>
        <w:t xml:space="preserve">„Обучение по програмно </w:t>
      </w:r>
      <w:proofErr w:type="spellStart"/>
      <w:r>
        <w:rPr>
          <w:sz w:val="28"/>
          <w:szCs w:val="28"/>
        </w:rPr>
        <w:t>бюджетиране</w:t>
      </w:r>
      <w:proofErr w:type="spellEnd"/>
      <w:r>
        <w:rPr>
          <w:sz w:val="28"/>
          <w:szCs w:val="28"/>
        </w:rPr>
        <w:t xml:space="preserve">“  - 26 – 27 април 2023, гр. Варна; </w:t>
      </w:r>
    </w:p>
    <w:p w:rsidR="007A7CE7" w:rsidRDefault="007A7CE7" w:rsidP="000059A2">
      <w:pPr>
        <w:numPr>
          <w:ilvl w:val="0"/>
          <w:numId w:val="24"/>
        </w:numPr>
        <w:spacing w:after="200"/>
        <w:ind w:left="0" w:firstLine="0"/>
        <w:contextualSpacing/>
        <w:jc w:val="both"/>
        <w:rPr>
          <w:sz w:val="28"/>
          <w:szCs w:val="28"/>
        </w:rPr>
      </w:pPr>
      <w:r>
        <w:rPr>
          <w:sz w:val="28"/>
          <w:szCs w:val="28"/>
        </w:rPr>
        <w:t>"Анализ на цялостния процес по възлагане и участие в обществени поръчки - правна уредба, връзка с ЦАИС ЕОП, решаване на казуси от практиката на за 28.03.2023г. и  29.03.2023г. в гр. София;</w:t>
      </w:r>
    </w:p>
    <w:p w:rsidR="007A7CE7" w:rsidRDefault="007A7CE7" w:rsidP="000059A2">
      <w:pPr>
        <w:numPr>
          <w:ilvl w:val="0"/>
          <w:numId w:val="24"/>
        </w:numPr>
        <w:spacing w:after="200"/>
        <w:ind w:left="0" w:firstLine="0"/>
        <w:contextualSpacing/>
        <w:jc w:val="both"/>
        <w:rPr>
          <w:sz w:val="28"/>
          <w:szCs w:val="28"/>
        </w:rPr>
      </w:pPr>
      <w:r>
        <w:rPr>
          <w:sz w:val="28"/>
          <w:szCs w:val="28"/>
        </w:rPr>
        <w:t>"Подобряване на работа с УИС-3 и справочен модул "</w:t>
      </w:r>
      <w:proofErr w:type="spellStart"/>
      <w:r>
        <w:rPr>
          <w:sz w:val="28"/>
          <w:szCs w:val="28"/>
        </w:rPr>
        <w:t>Orakle</w:t>
      </w:r>
      <w:proofErr w:type="spellEnd"/>
      <w:r>
        <w:rPr>
          <w:sz w:val="28"/>
          <w:szCs w:val="28"/>
        </w:rPr>
        <w:t xml:space="preserve"> BI" - 17-19.05.2023 г.</w:t>
      </w:r>
    </w:p>
    <w:p w:rsidR="007A7CE7" w:rsidRDefault="007A7CE7" w:rsidP="000059A2">
      <w:pPr>
        <w:numPr>
          <w:ilvl w:val="0"/>
          <w:numId w:val="24"/>
        </w:numPr>
        <w:spacing w:after="200"/>
        <w:ind w:left="0" w:firstLine="0"/>
        <w:contextualSpacing/>
        <w:jc w:val="both"/>
        <w:rPr>
          <w:sz w:val="28"/>
          <w:szCs w:val="28"/>
        </w:rPr>
      </w:pPr>
      <w:r>
        <w:rPr>
          <w:sz w:val="28"/>
          <w:szCs w:val="28"/>
        </w:rPr>
        <w:t>организирано обучение в дистанционна форма в периода 19-20.09.2023г. за съдебни служители ангажирани със статистическата отчетност на прокуратурите</w:t>
      </w:r>
    </w:p>
    <w:p w:rsidR="007A7CE7" w:rsidRDefault="007A7CE7" w:rsidP="000059A2">
      <w:pPr>
        <w:numPr>
          <w:ilvl w:val="0"/>
          <w:numId w:val="24"/>
        </w:numPr>
        <w:spacing w:after="200"/>
        <w:ind w:left="0" w:firstLine="0"/>
        <w:contextualSpacing/>
        <w:jc w:val="both"/>
        <w:rPr>
          <w:sz w:val="28"/>
          <w:szCs w:val="28"/>
        </w:rPr>
      </w:pPr>
      <w:r>
        <w:rPr>
          <w:sz w:val="28"/>
          <w:szCs w:val="28"/>
        </w:rPr>
        <w:t xml:space="preserve">обучение по отношение на имплементираните системи за DLP /Data </w:t>
      </w:r>
      <w:proofErr w:type="spellStart"/>
      <w:r>
        <w:rPr>
          <w:sz w:val="28"/>
          <w:szCs w:val="28"/>
        </w:rPr>
        <w:t>Lose</w:t>
      </w:r>
      <w:proofErr w:type="spellEnd"/>
      <w:r>
        <w:rPr>
          <w:sz w:val="28"/>
          <w:szCs w:val="28"/>
        </w:rPr>
        <w:t xml:space="preserve"> </w:t>
      </w:r>
      <w:proofErr w:type="spellStart"/>
      <w:r>
        <w:rPr>
          <w:sz w:val="28"/>
          <w:szCs w:val="28"/>
        </w:rPr>
        <w:t>Prevention</w:t>
      </w:r>
      <w:proofErr w:type="spellEnd"/>
      <w:r>
        <w:rPr>
          <w:sz w:val="28"/>
          <w:szCs w:val="28"/>
        </w:rPr>
        <w:t>,  гр.София в периода 18-19.10.2023 г.</w:t>
      </w:r>
    </w:p>
    <w:p w:rsidR="007A7CE7" w:rsidRDefault="007A7CE7" w:rsidP="000059A2">
      <w:pPr>
        <w:numPr>
          <w:ilvl w:val="0"/>
          <w:numId w:val="24"/>
        </w:numPr>
        <w:spacing w:after="200"/>
        <w:ind w:left="0" w:firstLine="0"/>
        <w:contextualSpacing/>
        <w:jc w:val="both"/>
        <w:rPr>
          <w:sz w:val="28"/>
          <w:szCs w:val="28"/>
        </w:rPr>
      </w:pPr>
      <w:r>
        <w:rPr>
          <w:sz w:val="28"/>
          <w:szCs w:val="28"/>
        </w:rPr>
        <w:t>"Анализ на проблеми при интегриране на информацията между ЦИССС и ядрото на ЕИСПП", 21-23.11.2023 г. – ПД“Изгрев“ – гр.Бяла</w:t>
      </w:r>
    </w:p>
    <w:p w:rsidR="007A7CE7" w:rsidRDefault="007A7CE7" w:rsidP="000059A2">
      <w:pPr>
        <w:numPr>
          <w:ilvl w:val="0"/>
          <w:numId w:val="24"/>
        </w:numPr>
        <w:spacing w:after="200"/>
        <w:ind w:left="0" w:firstLine="709"/>
        <w:contextualSpacing/>
        <w:jc w:val="both"/>
        <w:rPr>
          <w:sz w:val="28"/>
          <w:szCs w:val="28"/>
        </w:rPr>
      </w:pPr>
      <w:r>
        <w:rPr>
          <w:sz w:val="28"/>
          <w:szCs w:val="28"/>
        </w:rPr>
        <w:t>провеждане на еднодневно онлайн обучение за работа с разработения софтуерен продукт за електронно атестиране на съдебни служители - на 13.11.2023 г.</w:t>
      </w:r>
    </w:p>
    <w:p w:rsidR="007A7CE7" w:rsidRDefault="007A7CE7" w:rsidP="007A7CE7">
      <w:pPr>
        <w:ind w:firstLine="709"/>
        <w:jc w:val="both"/>
        <w:rPr>
          <w:color w:val="FF0000"/>
          <w:sz w:val="28"/>
          <w:szCs w:val="28"/>
          <w:lang w:val="en-US"/>
        </w:rPr>
      </w:pPr>
    </w:p>
    <w:p w:rsidR="007A7CE7" w:rsidRDefault="007A7CE7" w:rsidP="007A7CE7">
      <w:pPr>
        <w:ind w:firstLine="709"/>
        <w:jc w:val="both"/>
        <w:rPr>
          <w:color w:val="FF0000"/>
          <w:sz w:val="28"/>
          <w:szCs w:val="28"/>
          <w:lang w:val="en-US"/>
        </w:rPr>
      </w:pPr>
    </w:p>
    <w:p w:rsidR="007A7CE7" w:rsidRDefault="007A7CE7" w:rsidP="007A7CE7">
      <w:pPr>
        <w:ind w:firstLine="709"/>
        <w:jc w:val="both"/>
        <w:rPr>
          <w:color w:val="FF0000"/>
          <w:sz w:val="28"/>
          <w:szCs w:val="28"/>
          <w:lang w:val="en-US"/>
        </w:rPr>
      </w:pPr>
    </w:p>
    <w:p w:rsidR="007A7CE7" w:rsidRDefault="007A7CE7" w:rsidP="007A7CE7">
      <w:pPr>
        <w:ind w:firstLine="709"/>
        <w:jc w:val="both"/>
        <w:rPr>
          <w:b/>
          <w:sz w:val="28"/>
          <w:szCs w:val="28"/>
        </w:rPr>
      </w:pPr>
      <w:r>
        <w:rPr>
          <w:b/>
          <w:sz w:val="28"/>
          <w:szCs w:val="28"/>
        </w:rPr>
        <w:lastRenderedPageBreak/>
        <w:t>РАЙОННА ПРОКУРАТУРА – ВАРНА</w:t>
      </w:r>
    </w:p>
    <w:p w:rsidR="007A7CE7" w:rsidRDefault="007A7CE7" w:rsidP="007A7CE7">
      <w:pPr>
        <w:shd w:val="clear" w:color="auto" w:fill="FFFFFF"/>
        <w:ind w:firstLine="709"/>
        <w:jc w:val="both"/>
        <w:rPr>
          <w:sz w:val="28"/>
          <w:szCs w:val="28"/>
        </w:rPr>
      </w:pPr>
      <w:r>
        <w:rPr>
          <w:sz w:val="28"/>
          <w:szCs w:val="28"/>
        </w:rPr>
        <w:t>В различни форми на обучение, семинари и конференции за повишаване на квалификацията и професионалните умения, проведени през 202</w:t>
      </w:r>
      <w:r>
        <w:rPr>
          <w:sz w:val="28"/>
          <w:szCs w:val="28"/>
          <w:lang w:val="en-US"/>
        </w:rPr>
        <w:t>3</w:t>
      </w:r>
      <w:r>
        <w:rPr>
          <w:sz w:val="28"/>
          <w:szCs w:val="28"/>
        </w:rPr>
        <w:t xml:space="preserve"> г. от различни организатори – ПРБ, НИП, АПБ, Фондация „Право и интернет“ и др., в т.ч. и като лектори, участие са взели 94 магистрати.   </w:t>
      </w:r>
    </w:p>
    <w:p w:rsidR="007A7CE7" w:rsidRDefault="007A7CE7" w:rsidP="007A7CE7">
      <w:pPr>
        <w:ind w:firstLine="709"/>
        <w:jc w:val="both"/>
        <w:rPr>
          <w:sz w:val="28"/>
          <w:szCs w:val="28"/>
        </w:rPr>
      </w:pPr>
      <w:r>
        <w:rPr>
          <w:sz w:val="28"/>
          <w:szCs w:val="28"/>
        </w:rPr>
        <w:t>През 202</w:t>
      </w:r>
      <w:r>
        <w:rPr>
          <w:sz w:val="28"/>
          <w:szCs w:val="28"/>
          <w:lang w:val="en-US"/>
        </w:rPr>
        <w:t>3</w:t>
      </w:r>
      <w:r>
        <w:rPr>
          <w:sz w:val="28"/>
          <w:szCs w:val="28"/>
        </w:rPr>
        <w:t xml:space="preserve"> г. в обучение в чужбина, организирани от ЕМСО, Е</w:t>
      </w:r>
      <w:r>
        <w:rPr>
          <w:sz w:val="28"/>
          <w:szCs w:val="28"/>
          <w:lang w:val="en-US"/>
        </w:rPr>
        <w:t>RA</w:t>
      </w:r>
      <w:r>
        <w:rPr>
          <w:sz w:val="28"/>
          <w:szCs w:val="28"/>
        </w:rPr>
        <w:t xml:space="preserve"> и Съвет на Европа са участвали 6-ма прокурори от РП - Варна.</w:t>
      </w:r>
    </w:p>
    <w:p w:rsidR="007A7CE7" w:rsidRDefault="007A7CE7" w:rsidP="007A7CE7">
      <w:pPr>
        <w:ind w:firstLine="709"/>
        <w:jc w:val="both"/>
        <w:rPr>
          <w:b/>
          <w:i/>
          <w:sz w:val="28"/>
          <w:szCs w:val="28"/>
        </w:rPr>
      </w:pPr>
      <w:r>
        <w:rPr>
          <w:sz w:val="28"/>
          <w:szCs w:val="28"/>
        </w:rPr>
        <w:t xml:space="preserve">Тематиката на обученията и участниците са посочени в </w:t>
      </w:r>
      <w:r>
        <w:rPr>
          <w:b/>
          <w:i/>
          <w:sz w:val="28"/>
          <w:szCs w:val="28"/>
          <w:u w:val="single"/>
        </w:rPr>
        <w:t>Приложение №7</w:t>
      </w:r>
      <w:r>
        <w:rPr>
          <w:b/>
          <w:i/>
          <w:sz w:val="28"/>
          <w:szCs w:val="28"/>
        </w:rPr>
        <w:t xml:space="preserve">. </w:t>
      </w:r>
    </w:p>
    <w:p w:rsidR="007A7CE7" w:rsidRDefault="007A7CE7" w:rsidP="007A7CE7">
      <w:pPr>
        <w:shd w:val="clear" w:color="auto" w:fill="FFFFFF"/>
        <w:ind w:firstLine="709"/>
        <w:jc w:val="both"/>
        <w:rPr>
          <w:sz w:val="28"/>
          <w:szCs w:val="28"/>
        </w:rPr>
      </w:pPr>
      <w:r>
        <w:rPr>
          <w:sz w:val="28"/>
          <w:szCs w:val="28"/>
        </w:rPr>
        <w:t>През отчетния период в семинари, организирани присъствено от НИП – София и ВСС са взели участие 5-ма служители от общата и специализирана администрация. В електронни дистанционни обучения са взели участие 22 служители от общата и специализираната администрация на РП - Варна.</w:t>
      </w:r>
    </w:p>
    <w:p w:rsidR="007A7CE7" w:rsidRDefault="007A7CE7" w:rsidP="007A7CE7">
      <w:pPr>
        <w:shd w:val="clear" w:color="auto" w:fill="FFFFFF"/>
        <w:ind w:firstLine="709"/>
        <w:jc w:val="both"/>
        <w:rPr>
          <w:sz w:val="28"/>
          <w:szCs w:val="28"/>
        </w:rPr>
      </w:pPr>
    </w:p>
    <w:p w:rsidR="007A7CE7" w:rsidRDefault="007A7CE7" w:rsidP="000059A2">
      <w:pPr>
        <w:numPr>
          <w:ilvl w:val="0"/>
          <w:numId w:val="20"/>
        </w:numPr>
        <w:spacing w:after="200"/>
        <w:ind w:left="0" w:firstLine="709"/>
        <w:contextualSpacing/>
        <w:jc w:val="both"/>
        <w:rPr>
          <w:rFonts w:eastAsiaTheme="minorHAnsi"/>
          <w:b/>
          <w:sz w:val="28"/>
          <w:szCs w:val="28"/>
          <w:lang w:eastAsia="en-US"/>
        </w:rPr>
      </w:pPr>
      <w:r>
        <w:rPr>
          <w:rFonts w:eastAsiaTheme="minorHAnsi"/>
          <w:b/>
          <w:sz w:val="28"/>
          <w:szCs w:val="28"/>
          <w:lang w:eastAsia="en-US"/>
        </w:rPr>
        <w:t>Проверки и ревизии</w:t>
      </w:r>
    </w:p>
    <w:p w:rsidR="007A7CE7" w:rsidRDefault="007A7CE7" w:rsidP="007A7CE7">
      <w:pPr>
        <w:ind w:firstLine="709"/>
        <w:jc w:val="both"/>
        <w:rPr>
          <w:rFonts w:eastAsiaTheme="minorHAnsi"/>
          <w:sz w:val="28"/>
          <w:szCs w:val="28"/>
          <w:lang w:eastAsia="en-US"/>
        </w:rPr>
      </w:pPr>
      <w:r>
        <w:rPr>
          <w:rFonts w:eastAsiaTheme="minorHAnsi"/>
          <w:sz w:val="28"/>
          <w:szCs w:val="28"/>
          <w:lang w:eastAsia="en-US"/>
        </w:rPr>
        <w:t>През периода 23.10.2023 г. – 10.11.2023 г., в изпълнение на т.2 от раздел „Административно-организационна дейност“ от Плана за дейността на АП-Варна за 2023 г. и с оглед Указание за контролната дейност в ПРБ, утвърдено със заповед № 6113/29.12.2014 г. на главния прокурор се извърши комплексна ревизия на място, на работата, на Окръжна прокуратура – Варна и Окръжен следствен отдел в ОП – Варна за периода 01.</w:t>
      </w:r>
      <w:proofErr w:type="spellStart"/>
      <w:r>
        <w:rPr>
          <w:rFonts w:eastAsiaTheme="minorHAnsi"/>
          <w:sz w:val="28"/>
          <w:szCs w:val="28"/>
          <w:lang w:eastAsia="en-US"/>
        </w:rPr>
        <w:t>01</w:t>
      </w:r>
      <w:proofErr w:type="spellEnd"/>
      <w:r>
        <w:rPr>
          <w:rFonts w:eastAsiaTheme="minorHAnsi"/>
          <w:sz w:val="28"/>
          <w:szCs w:val="28"/>
          <w:lang w:eastAsia="en-US"/>
        </w:rPr>
        <w:t>.2021 г. – 30.06.2023 г. Изготвен е доклад за извършената проверка от Апелативна прокуратура – Варна, с който са запознати всички магистрати от ОП-Варна.</w:t>
      </w:r>
    </w:p>
    <w:p w:rsidR="007A7CE7" w:rsidRDefault="007A7CE7" w:rsidP="007A7CE7">
      <w:pPr>
        <w:ind w:firstLine="709"/>
        <w:jc w:val="both"/>
        <w:rPr>
          <w:rFonts w:eastAsiaTheme="minorHAnsi"/>
          <w:sz w:val="28"/>
          <w:szCs w:val="28"/>
          <w:lang w:eastAsia="en-US"/>
        </w:rPr>
      </w:pPr>
      <w:r>
        <w:rPr>
          <w:rFonts w:eastAsiaTheme="minorHAnsi"/>
          <w:sz w:val="28"/>
          <w:szCs w:val="28"/>
          <w:lang w:eastAsia="en-US"/>
        </w:rPr>
        <w:t>Извършена е тематична ревизия, през периода 05.06-09.06.2023 г.       на дейността на Окръжна прокуратура – Варна по неприключените и спрените досъдебни производства срещу обвиняеми с две и повече дела, в изпълнение на Плана за контролната дейност на Върховна касационна прокуратура и заповед № РД-04-150/17.05.2023 г. на главния прокурор на РБ.</w:t>
      </w:r>
    </w:p>
    <w:p w:rsidR="007A7CE7" w:rsidRDefault="007A7CE7" w:rsidP="007A7CE7">
      <w:pPr>
        <w:ind w:firstLine="709"/>
        <w:jc w:val="both"/>
        <w:rPr>
          <w:rFonts w:eastAsiaTheme="minorHAnsi"/>
          <w:sz w:val="28"/>
          <w:szCs w:val="28"/>
          <w:lang w:eastAsia="en-US"/>
        </w:rPr>
      </w:pPr>
      <w:r>
        <w:rPr>
          <w:rFonts w:eastAsiaTheme="minorHAnsi"/>
          <w:sz w:val="28"/>
          <w:szCs w:val="28"/>
          <w:lang w:eastAsia="en-US"/>
        </w:rPr>
        <w:t xml:space="preserve">През периода 20.10.2023 г. – 30.11.2023 г. се извърши комплексна ревизия на работата на Районна прокуратура, ТО – Девня и ТО – Провадия за периода от 01.10.2021 г. – 01.10.2023 г, която е завършена с обобщен доклад. </w:t>
      </w:r>
    </w:p>
    <w:p w:rsidR="007A7CE7" w:rsidRDefault="007A7CE7" w:rsidP="007A7CE7">
      <w:pPr>
        <w:ind w:firstLine="709"/>
        <w:jc w:val="both"/>
        <w:rPr>
          <w:rFonts w:eastAsiaTheme="minorHAnsi"/>
          <w:sz w:val="28"/>
          <w:szCs w:val="28"/>
          <w:lang w:eastAsia="en-US"/>
        </w:rPr>
      </w:pPr>
      <w:r>
        <w:rPr>
          <w:rFonts w:eastAsiaTheme="minorHAnsi"/>
          <w:sz w:val="28"/>
          <w:szCs w:val="28"/>
          <w:lang w:eastAsia="en-US"/>
        </w:rPr>
        <w:t>С оглед направените констатации, административният ръководител е определил като много добра работата на административния ръководител на РП-Варна  и като много добра работата на самата прокуратура, като има резерви в няколко направления, които следва да бъдат отчетени и да бъдат взети мерки за отстраняване на слабостите.</w:t>
      </w:r>
    </w:p>
    <w:p w:rsidR="007A7CE7" w:rsidRDefault="007A7CE7" w:rsidP="007A7CE7">
      <w:pPr>
        <w:ind w:firstLine="709"/>
        <w:jc w:val="both"/>
        <w:rPr>
          <w:rFonts w:eastAsiaTheme="minorHAnsi"/>
          <w:sz w:val="28"/>
          <w:szCs w:val="28"/>
          <w:lang w:val="en-US" w:eastAsia="en-US"/>
        </w:rPr>
      </w:pPr>
      <w:r>
        <w:rPr>
          <w:rFonts w:eastAsiaTheme="minorHAnsi"/>
          <w:sz w:val="28"/>
          <w:szCs w:val="28"/>
          <w:lang w:eastAsia="en-US"/>
        </w:rPr>
        <w:t>Основните препоръки са в насока на приключване по същество на делата, разследването на които е над 3 години, повишаване на качеството на работата на прокурорите, а основните препоръки по надзори са посочени в отделните раздели на доклада.</w:t>
      </w:r>
    </w:p>
    <w:p w:rsidR="007A7CE7" w:rsidRDefault="007A7CE7" w:rsidP="007A7CE7">
      <w:pPr>
        <w:ind w:firstLine="709"/>
        <w:jc w:val="both"/>
        <w:rPr>
          <w:rFonts w:eastAsiaTheme="minorHAnsi"/>
          <w:sz w:val="28"/>
          <w:szCs w:val="28"/>
          <w:lang w:val="en-US" w:eastAsia="en-US"/>
        </w:rPr>
      </w:pPr>
    </w:p>
    <w:p w:rsidR="007A7CE7" w:rsidRDefault="007A7CE7" w:rsidP="007A7CE7">
      <w:pPr>
        <w:ind w:firstLine="709"/>
        <w:jc w:val="both"/>
        <w:rPr>
          <w:rFonts w:eastAsiaTheme="minorHAnsi"/>
          <w:sz w:val="28"/>
          <w:szCs w:val="28"/>
          <w:lang w:val="en-US" w:eastAsia="en-US"/>
        </w:rPr>
      </w:pPr>
    </w:p>
    <w:p w:rsidR="007A7CE7" w:rsidRDefault="007A7CE7" w:rsidP="007A7CE7">
      <w:pPr>
        <w:ind w:firstLine="709"/>
        <w:jc w:val="both"/>
        <w:rPr>
          <w:rFonts w:eastAsiaTheme="minorHAnsi"/>
          <w:sz w:val="28"/>
          <w:szCs w:val="28"/>
          <w:lang w:val="en-US" w:eastAsia="en-US"/>
        </w:rPr>
      </w:pPr>
    </w:p>
    <w:p w:rsidR="007A7CE7" w:rsidRDefault="007A7CE7" w:rsidP="007A7CE7">
      <w:pPr>
        <w:ind w:firstLine="709"/>
        <w:jc w:val="both"/>
        <w:rPr>
          <w:rFonts w:eastAsiaTheme="minorHAnsi"/>
          <w:sz w:val="28"/>
          <w:szCs w:val="28"/>
          <w:lang w:val="en-US" w:eastAsia="en-US"/>
        </w:rPr>
      </w:pPr>
    </w:p>
    <w:p w:rsidR="007A7CE7" w:rsidRDefault="007A7CE7" w:rsidP="007A7CE7">
      <w:pPr>
        <w:ind w:firstLine="709"/>
        <w:jc w:val="both"/>
        <w:rPr>
          <w:rFonts w:eastAsiaTheme="minorHAnsi"/>
          <w:sz w:val="28"/>
          <w:szCs w:val="28"/>
          <w:lang w:val="en-US" w:eastAsia="en-US"/>
        </w:rPr>
      </w:pPr>
    </w:p>
    <w:p w:rsidR="007A7CE7" w:rsidRDefault="007A7CE7" w:rsidP="007A7CE7">
      <w:pPr>
        <w:ind w:firstLine="709"/>
        <w:jc w:val="both"/>
        <w:rPr>
          <w:rFonts w:eastAsiaTheme="minorHAnsi"/>
          <w:sz w:val="28"/>
          <w:szCs w:val="28"/>
          <w:lang w:eastAsia="en-US"/>
        </w:rPr>
      </w:pPr>
      <w:r>
        <w:rPr>
          <w:rFonts w:eastAsiaTheme="minorHAnsi"/>
          <w:sz w:val="28"/>
          <w:szCs w:val="28"/>
          <w:lang w:eastAsia="en-US"/>
        </w:rPr>
        <w:lastRenderedPageBreak/>
        <w:t>През 2023 г. Окръжна прокуратура – Варна е извършила следните проверки:</w:t>
      </w:r>
    </w:p>
    <w:tbl>
      <w:tblPr>
        <w:tblW w:w="9795" w:type="dxa"/>
        <w:tblLayout w:type="fixed"/>
        <w:tblCellMar>
          <w:left w:w="70" w:type="dxa"/>
          <w:right w:w="70" w:type="dxa"/>
        </w:tblCellMar>
        <w:tblLook w:val="04A0" w:firstRow="1" w:lastRow="0" w:firstColumn="1" w:lastColumn="0" w:noHBand="0" w:noVBand="1"/>
      </w:tblPr>
      <w:tblGrid>
        <w:gridCol w:w="724"/>
        <w:gridCol w:w="9071"/>
      </w:tblGrid>
      <w:tr w:rsidR="007A7CE7" w:rsidTr="007A7CE7">
        <w:trPr>
          <w:trHeight w:val="674"/>
        </w:trPr>
        <w:tc>
          <w:tcPr>
            <w:tcW w:w="724" w:type="dxa"/>
            <w:tcBorders>
              <w:top w:val="single" w:sz="4" w:space="0" w:color="auto"/>
              <w:left w:val="single" w:sz="4" w:space="0" w:color="auto"/>
              <w:bottom w:val="single" w:sz="4" w:space="0" w:color="auto"/>
              <w:right w:val="single" w:sz="4" w:space="0" w:color="auto"/>
            </w:tcBorders>
            <w:vAlign w:val="center"/>
            <w:hideMark/>
          </w:tcPr>
          <w:p w:rsidR="007A7CE7" w:rsidRDefault="007A7CE7" w:rsidP="00943C1B">
            <w:pPr>
              <w:contextualSpacing/>
              <w:jc w:val="center"/>
              <w:rPr>
                <w:b/>
                <w:bCs/>
                <w:sz w:val="28"/>
                <w:szCs w:val="28"/>
                <w:lang w:eastAsia="en-US"/>
              </w:rPr>
            </w:pPr>
            <w:r>
              <w:rPr>
                <w:b/>
                <w:bCs/>
                <w:sz w:val="28"/>
                <w:szCs w:val="28"/>
                <w:lang w:eastAsia="en-US"/>
              </w:rPr>
              <w:t>№ по ред</w:t>
            </w:r>
          </w:p>
        </w:tc>
        <w:tc>
          <w:tcPr>
            <w:tcW w:w="9072" w:type="dxa"/>
            <w:tcBorders>
              <w:top w:val="single" w:sz="4" w:space="0" w:color="auto"/>
              <w:left w:val="nil"/>
              <w:bottom w:val="single" w:sz="4" w:space="0" w:color="auto"/>
              <w:right w:val="single" w:sz="4" w:space="0" w:color="auto"/>
            </w:tcBorders>
            <w:vAlign w:val="center"/>
            <w:hideMark/>
          </w:tcPr>
          <w:p w:rsidR="007A7CE7" w:rsidRDefault="007A7CE7" w:rsidP="00943C1B">
            <w:pPr>
              <w:contextualSpacing/>
              <w:jc w:val="center"/>
              <w:rPr>
                <w:b/>
                <w:bCs/>
                <w:sz w:val="28"/>
                <w:szCs w:val="28"/>
                <w:lang w:eastAsia="en-US"/>
              </w:rPr>
            </w:pPr>
            <w:r>
              <w:rPr>
                <w:b/>
                <w:bCs/>
                <w:sz w:val="28"/>
                <w:szCs w:val="28"/>
                <w:lang w:eastAsia="en-US"/>
              </w:rPr>
              <w:t>Тема на проверката</w:t>
            </w:r>
          </w:p>
        </w:tc>
      </w:tr>
      <w:tr w:rsidR="007A7CE7" w:rsidTr="007A7CE7">
        <w:trPr>
          <w:trHeight w:val="885"/>
        </w:trPr>
        <w:tc>
          <w:tcPr>
            <w:tcW w:w="724" w:type="dxa"/>
            <w:tcBorders>
              <w:top w:val="single" w:sz="4" w:space="0" w:color="auto"/>
              <w:left w:val="single" w:sz="4" w:space="0" w:color="auto"/>
              <w:bottom w:val="single" w:sz="4" w:space="0" w:color="auto"/>
              <w:right w:val="single" w:sz="4" w:space="0" w:color="auto"/>
            </w:tcBorders>
            <w:vAlign w:val="center"/>
            <w:hideMark/>
          </w:tcPr>
          <w:p w:rsidR="007A7CE7" w:rsidRDefault="007A7CE7" w:rsidP="00943C1B">
            <w:pPr>
              <w:contextualSpacing/>
              <w:jc w:val="center"/>
              <w:rPr>
                <w:bCs/>
                <w:sz w:val="28"/>
                <w:szCs w:val="28"/>
                <w:lang w:eastAsia="en-US"/>
              </w:rPr>
            </w:pPr>
            <w:r>
              <w:rPr>
                <w:bCs/>
                <w:sz w:val="28"/>
                <w:szCs w:val="28"/>
                <w:lang w:eastAsia="en-US"/>
              </w:rPr>
              <w:t>1</w:t>
            </w:r>
          </w:p>
        </w:tc>
        <w:tc>
          <w:tcPr>
            <w:tcW w:w="9072" w:type="dxa"/>
            <w:tcBorders>
              <w:top w:val="single" w:sz="4" w:space="0" w:color="auto"/>
              <w:left w:val="nil"/>
              <w:bottom w:val="single" w:sz="4" w:space="0" w:color="auto"/>
              <w:right w:val="single" w:sz="4" w:space="0" w:color="auto"/>
            </w:tcBorders>
            <w:vAlign w:val="center"/>
            <w:hideMark/>
          </w:tcPr>
          <w:p w:rsidR="007A7CE7" w:rsidRDefault="007A7CE7" w:rsidP="00943C1B">
            <w:pPr>
              <w:contextualSpacing/>
              <w:jc w:val="both"/>
              <w:rPr>
                <w:bCs/>
                <w:sz w:val="28"/>
                <w:szCs w:val="28"/>
                <w:lang w:eastAsia="en-US"/>
              </w:rPr>
            </w:pPr>
            <w:r>
              <w:rPr>
                <w:bCs/>
                <w:sz w:val="28"/>
                <w:szCs w:val="28"/>
                <w:lang w:eastAsia="en-US"/>
              </w:rPr>
              <w:t>Тематична ревизия на висящи досъдебни производства, водени за престъпления по чл. 159а-159г от НК, както и спрените и прекратените през последното тримесечие на 2022 г. и през 2023 г. в района на Окръжна прокуратура – Варна. Причини за прекратяването, спирането и забавеното разследвани при висящите ДП. Изготвен е доклад, с който са били запознати всички прокурори от РП-Варна с ТО-Девня и ТО-Провадия. С оглед изпълнение на дадените в доклада препоръки е издадена заповед № 1601/13.12.2023 г. от административния ръководител – районен прокурор на РП – Варна.</w:t>
            </w:r>
          </w:p>
        </w:tc>
      </w:tr>
      <w:tr w:rsidR="007A7CE7" w:rsidTr="007A7CE7">
        <w:trPr>
          <w:trHeight w:val="885"/>
        </w:trPr>
        <w:tc>
          <w:tcPr>
            <w:tcW w:w="724" w:type="dxa"/>
            <w:tcBorders>
              <w:top w:val="single" w:sz="4" w:space="0" w:color="auto"/>
              <w:left w:val="single" w:sz="4" w:space="0" w:color="auto"/>
              <w:bottom w:val="single" w:sz="4" w:space="0" w:color="auto"/>
              <w:right w:val="single" w:sz="4" w:space="0" w:color="auto"/>
            </w:tcBorders>
            <w:vAlign w:val="center"/>
            <w:hideMark/>
          </w:tcPr>
          <w:p w:rsidR="007A7CE7" w:rsidRDefault="007A7CE7" w:rsidP="00943C1B">
            <w:pPr>
              <w:contextualSpacing/>
              <w:jc w:val="center"/>
              <w:rPr>
                <w:bCs/>
                <w:sz w:val="28"/>
                <w:szCs w:val="28"/>
                <w:lang w:eastAsia="en-US"/>
              </w:rPr>
            </w:pPr>
            <w:r>
              <w:rPr>
                <w:bCs/>
                <w:sz w:val="28"/>
                <w:szCs w:val="28"/>
                <w:lang w:eastAsia="en-US"/>
              </w:rPr>
              <w:t>2</w:t>
            </w:r>
          </w:p>
        </w:tc>
        <w:tc>
          <w:tcPr>
            <w:tcW w:w="9072" w:type="dxa"/>
            <w:tcBorders>
              <w:top w:val="single" w:sz="4" w:space="0" w:color="auto"/>
              <w:left w:val="nil"/>
              <w:bottom w:val="single" w:sz="4" w:space="0" w:color="auto"/>
              <w:right w:val="single" w:sz="4" w:space="0" w:color="auto"/>
            </w:tcBorders>
            <w:vAlign w:val="center"/>
            <w:hideMark/>
          </w:tcPr>
          <w:p w:rsidR="007A7CE7" w:rsidRDefault="007A7CE7" w:rsidP="00943C1B">
            <w:pPr>
              <w:contextualSpacing/>
              <w:jc w:val="both"/>
              <w:rPr>
                <w:bCs/>
                <w:sz w:val="28"/>
                <w:szCs w:val="28"/>
                <w:lang w:eastAsia="en-US"/>
              </w:rPr>
            </w:pPr>
            <w:r>
              <w:rPr>
                <w:bCs/>
                <w:sz w:val="28"/>
                <w:szCs w:val="28"/>
                <w:lang w:eastAsia="en-US"/>
              </w:rPr>
              <w:t>В изпълнение на заповед № РД-04-234 от 13.07.2023 г. на и.ф. главен прокурор на РБ, от страна на прокурорите от Окръжна прокуратура – Варна е извършена проверка на досъдебните производства, наблюдавани от РП – Варна, образувани преди повече от пет години, неприключените и нерешените ДП, образувани преди повече от три години ако е налице привличане на обвиняем и спрените, по които има привлечен обвиняем. Изготвен е доклад, за направените констатации, от административния ръководител – окръжен прокурор, в който са описани причините, поради които е допуснат този срок на разследване.</w:t>
            </w:r>
          </w:p>
        </w:tc>
      </w:tr>
      <w:tr w:rsidR="007A7CE7" w:rsidTr="007A7CE7">
        <w:trPr>
          <w:trHeight w:val="885"/>
        </w:trPr>
        <w:tc>
          <w:tcPr>
            <w:tcW w:w="724" w:type="dxa"/>
            <w:tcBorders>
              <w:top w:val="single" w:sz="4" w:space="0" w:color="auto"/>
              <w:left w:val="single" w:sz="4" w:space="0" w:color="auto"/>
              <w:bottom w:val="single" w:sz="4" w:space="0" w:color="auto"/>
              <w:right w:val="single" w:sz="4" w:space="0" w:color="auto"/>
            </w:tcBorders>
            <w:vAlign w:val="center"/>
            <w:hideMark/>
          </w:tcPr>
          <w:p w:rsidR="007A7CE7" w:rsidRDefault="007A7CE7" w:rsidP="00943C1B">
            <w:pPr>
              <w:contextualSpacing/>
              <w:jc w:val="center"/>
              <w:rPr>
                <w:bCs/>
                <w:sz w:val="28"/>
                <w:szCs w:val="28"/>
                <w:lang w:eastAsia="en-US"/>
              </w:rPr>
            </w:pPr>
            <w:r>
              <w:rPr>
                <w:bCs/>
                <w:sz w:val="28"/>
                <w:szCs w:val="28"/>
                <w:lang w:eastAsia="en-US"/>
              </w:rPr>
              <w:t>3</w:t>
            </w:r>
          </w:p>
        </w:tc>
        <w:tc>
          <w:tcPr>
            <w:tcW w:w="9072" w:type="dxa"/>
            <w:tcBorders>
              <w:top w:val="single" w:sz="4" w:space="0" w:color="auto"/>
              <w:left w:val="nil"/>
              <w:bottom w:val="single" w:sz="4" w:space="0" w:color="auto"/>
              <w:right w:val="single" w:sz="4" w:space="0" w:color="auto"/>
            </w:tcBorders>
            <w:vAlign w:val="center"/>
            <w:hideMark/>
          </w:tcPr>
          <w:p w:rsidR="007A7CE7" w:rsidRDefault="007A7CE7" w:rsidP="00943C1B">
            <w:pPr>
              <w:contextualSpacing/>
              <w:jc w:val="both"/>
              <w:rPr>
                <w:bCs/>
                <w:sz w:val="28"/>
                <w:szCs w:val="28"/>
                <w:lang w:val="en-US" w:eastAsia="en-US"/>
              </w:rPr>
            </w:pPr>
            <w:r>
              <w:rPr>
                <w:bCs/>
                <w:sz w:val="28"/>
                <w:szCs w:val="28"/>
                <w:lang w:eastAsia="en-US"/>
              </w:rPr>
              <w:t xml:space="preserve">Тематична ревизия на спрените от Районна прокуратура – Варна досъдебни производства на основание чл. 244, ал.1, т.1, </w:t>
            </w:r>
            <w:proofErr w:type="spellStart"/>
            <w:r>
              <w:rPr>
                <w:bCs/>
                <w:sz w:val="28"/>
                <w:szCs w:val="28"/>
                <w:lang w:eastAsia="en-US"/>
              </w:rPr>
              <w:t>вр</w:t>
            </w:r>
            <w:proofErr w:type="spellEnd"/>
            <w:r>
              <w:rPr>
                <w:bCs/>
                <w:sz w:val="28"/>
                <w:szCs w:val="28"/>
                <w:lang w:eastAsia="en-US"/>
              </w:rPr>
              <w:t>. чл. 25, ал.2 от НПК. Изготвен е доклад, с който са били запознати всички прокурори от РП – Варна и са предприети мерки от административния ръководител – районен прокурор  относно дадените указания и констатации.</w:t>
            </w:r>
          </w:p>
        </w:tc>
      </w:tr>
      <w:tr w:rsidR="007A7CE7" w:rsidTr="007A7CE7">
        <w:trPr>
          <w:trHeight w:val="885"/>
        </w:trPr>
        <w:tc>
          <w:tcPr>
            <w:tcW w:w="724" w:type="dxa"/>
            <w:tcBorders>
              <w:top w:val="single" w:sz="4" w:space="0" w:color="auto"/>
              <w:left w:val="single" w:sz="4" w:space="0" w:color="auto"/>
              <w:bottom w:val="single" w:sz="4" w:space="0" w:color="auto"/>
              <w:right w:val="single" w:sz="4" w:space="0" w:color="auto"/>
            </w:tcBorders>
            <w:vAlign w:val="center"/>
            <w:hideMark/>
          </w:tcPr>
          <w:p w:rsidR="007A7CE7" w:rsidRDefault="007A7CE7" w:rsidP="00943C1B">
            <w:pPr>
              <w:contextualSpacing/>
              <w:jc w:val="center"/>
              <w:rPr>
                <w:bCs/>
                <w:sz w:val="28"/>
                <w:szCs w:val="28"/>
                <w:lang w:eastAsia="en-US"/>
              </w:rPr>
            </w:pPr>
            <w:r>
              <w:rPr>
                <w:bCs/>
                <w:sz w:val="28"/>
                <w:szCs w:val="28"/>
                <w:lang w:eastAsia="en-US"/>
              </w:rPr>
              <w:t>4</w:t>
            </w:r>
          </w:p>
        </w:tc>
        <w:tc>
          <w:tcPr>
            <w:tcW w:w="9072" w:type="dxa"/>
            <w:tcBorders>
              <w:top w:val="single" w:sz="4" w:space="0" w:color="auto"/>
              <w:left w:val="nil"/>
              <w:bottom w:val="single" w:sz="4" w:space="0" w:color="auto"/>
              <w:right w:val="single" w:sz="4" w:space="0" w:color="auto"/>
            </w:tcBorders>
            <w:vAlign w:val="center"/>
            <w:hideMark/>
          </w:tcPr>
          <w:p w:rsidR="007A7CE7" w:rsidRDefault="007A7CE7" w:rsidP="00943C1B">
            <w:pPr>
              <w:contextualSpacing/>
              <w:jc w:val="both"/>
              <w:rPr>
                <w:bCs/>
                <w:sz w:val="28"/>
                <w:szCs w:val="28"/>
                <w:lang w:eastAsia="en-US"/>
              </w:rPr>
            </w:pPr>
            <w:r>
              <w:rPr>
                <w:bCs/>
                <w:sz w:val="28"/>
                <w:szCs w:val="28"/>
                <w:lang w:eastAsia="en-US"/>
              </w:rPr>
              <w:t>Тематична проверка на Районна прокуратура – Варна по отношение спазване разпоредбите на НПК и Указанията на главния прокурор, относно съхранението и разпореждането с веществени доказателства, както и такива с МПС, иззети като веществени доказателства, чието съхранение продължава и след приключване на наказателното производство. Проверката е приключила с доклад от комисията, извършила проверката. Направен е извод, че РП – Варна, включително в прилежащите ТО-Девня и ТО-Провадия е създадена много добра организация, свързана с описването, съхраняването, отчета и разпореждането на веществените доказателства и МПС, иззети като веществени доказателства. Спазват се изискванията на Правилника за администрацията на Прокуратурата на Република България, на издадените от административния ръководител – районен прокурор заповеди, касаещи веществените доказателства, както и разпоредбите на НПК в тази насока.</w:t>
            </w:r>
          </w:p>
        </w:tc>
      </w:tr>
      <w:tr w:rsidR="007A7CE7" w:rsidTr="007A7CE7">
        <w:trPr>
          <w:trHeight w:val="885"/>
        </w:trPr>
        <w:tc>
          <w:tcPr>
            <w:tcW w:w="724" w:type="dxa"/>
            <w:tcBorders>
              <w:top w:val="single" w:sz="4" w:space="0" w:color="auto"/>
              <w:left w:val="single" w:sz="4" w:space="0" w:color="auto"/>
              <w:bottom w:val="single" w:sz="4" w:space="0" w:color="auto"/>
              <w:right w:val="single" w:sz="4" w:space="0" w:color="auto"/>
            </w:tcBorders>
            <w:vAlign w:val="center"/>
            <w:hideMark/>
          </w:tcPr>
          <w:p w:rsidR="007A7CE7" w:rsidRDefault="007A7CE7" w:rsidP="00943C1B">
            <w:pPr>
              <w:contextualSpacing/>
              <w:jc w:val="center"/>
              <w:rPr>
                <w:bCs/>
                <w:sz w:val="28"/>
                <w:szCs w:val="28"/>
                <w:lang w:eastAsia="en-US"/>
              </w:rPr>
            </w:pPr>
            <w:r>
              <w:rPr>
                <w:bCs/>
                <w:sz w:val="28"/>
                <w:szCs w:val="28"/>
                <w:lang w:eastAsia="en-US"/>
              </w:rPr>
              <w:lastRenderedPageBreak/>
              <w:t>5</w:t>
            </w:r>
          </w:p>
        </w:tc>
        <w:tc>
          <w:tcPr>
            <w:tcW w:w="9072" w:type="dxa"/>
            <w:tcBorders>
              <w:top w:val="single" w:sz="4" w:space="0" w:color="auto"/>
              <w:left w:val="nil"/>
              <w:bottom w:val="single" w:sz="4" w:space="0" w:color="auto"/>
              <w:right w:val="single" w:sz="4" w:space="0" w:color="auto"/>
            </w:tcBorders>
            <w:vAlign w:val="center"/>
            <w:hideMark/>
          </w:tcPr>
          <w:p w:rsidR="007A7CE7" w:rsidRDefault="007A7CE7" w:rsidP="00943C1B">
            <w:pPr>
              <w:spacing w:before="240"/>
              <w:contextualSpacing/>
              <w:jc w:val="both"/>
              <w:rPr>
                <w:bCs/>
                <w:sz w:val="28"/>
                <w:szCs w:val="28"/>
                <w:lang w:eastAsia="en-US"/>
              </w:rPr>
            </w:pPr>
            <w:r>
              <w:rPr>
                <w:sz w:val="28"/>
                <w:szCs w:val="28"/>
                <w:lang w:eastAsia="en-US"/>
              </w:rPr>
              <w:t>Проверка за спазване на принципа на случайното разпределение в РП – Варна с ТО - Девня и ТО - Провадия за периода от 01.</w:t>
            </w:r>
            <w:proofErr w:type="spellStart"/>
            <w:r>
              <w:rPr>
                <w:sz w:val="28"/>
                <w:szCs w:val="28"/>
                <w:lang w:eastAsia="en-US"/>
              </w:rPr>
              <w:t>01</w:t>
            </w:r>
            <w:proofErr w:type="spellEnd"/>
            <w:r>
              <w:rPr>
                <w:sz w:val="28"/>
                <w:szCs w:val="28"/>
                <w:lang w:eastAsia="en-US"/>
              </w:rPr>
              <w:t>.2022 г. до 31.12.2022 г., назначена със заповед № 513/ 04.05.2023 г. на ОП - Варна. Общият извод след проверката е за стриктно спазване на писмени правила, създадени с надлежни заповеди на административния ръководител, както и липса на констатирани нарушения;</w:t>
            </w:r>
          </w:p>
        </w:tc>
      </w:tr>
      <w:tr w:rsidR="007A7CE7" w:rsidTr="007A7CE7">
        <w:trPr>
          <w:trHeight w:val="885"/>
        </w:trPr>
        <w:tc>
          <w:tcPr>
            <w:tcW w:w="724" w:type="dxa"/>
            <w:tcBorders>
              <w:top w:val="single" w:sz="4" w:space="0" w:color="auto"/>
              <w:left w:val="single" w:sz="4" w:space="0" w:color="auto"/>
              <w:bottom w:val="single" w:sz="4" w:space="0" w:color="auto"/>
              <w:right w:val="single" w:sz="4" w:space="0" w:color="auto"/>
            </w:tcBorders>
            <w:vAlign w:val="center"/>
            <w:hideMark/>
          </w:tcPr>
          <w:p w:rsidR="007A7CE7" w:rsidRDefault="007A7CE7" w:rsidP="00943C1B">
            <w:pPr>
              <w:contextualSpacing/>
              <w:jc w:val="center"/>
              <w:rPr>
                <w:bCs/>
                <w:sz w:val="28"/>
                <w:szCs w:val="28"/>
                <w:lang w:eastAsia="en-US"/>
              </w:rPr>
            </w:pPr>
            <w:r>
              <w:rPr>
                <w:bCs/>
                <w:sz w:val="28"/>
                <w:szCs w:val="28"/>
                <w:lang w:eastAsia="en-US"/>
              </w:rPr>
              <w:t>6</w:t>
            </w:r>
          </w:p>
        </w:tc>
        <w:tc>
          <w:tcPr>
            <w:tcW w:w="9072" w:type="dxa"/>
            <w:tcBorders>
              <w:top w:val="single" w:sz="4" w:space="0" w:color="auto"/>
              <w:left w:val="nil"/>
              <w:bottom w:val="single" w:sz="4" w:space="0" w:color="auto"/>
              <w:right w:val="single" w:sz="4" w:space="0" w:color="auto"/>
            </w:tcBorders>
            <w:vAlign w:val="center"/>
            <w:hideMark/>
          </w:tcPr>
          <w:p w:rsidR="007A7CE7" w:rsidRDefault="007A7CE7" w:rsidP="00943C1B">
            <w:pPr>
              <w:contextualSpacing/>
              <w:jc w:val="both"/>
              <w:rPr>
                <w:bCs/>
                <w:sz w:val="28"/>
                <w:szCs w:val="28"/>
                <w:lang w:eastAsia="en-US"/>
              </w:rPr>
            </w:pPr>
            <w:r>
              <w:rPr>
                <w:rFonts w:cstheme="minorBidi"/>
                <w:sz w:val="28"/>
                <w:szCs w:val="28"/>
                <w:lang w:eastAsia="en-US"/>
              </w:rPr>
              <w:t xml:space="preserve">Тематична ревизия на спрени от РП - Варна досъдебни производства на основание чл.244 ал.1 т.1, </w:t>
            </w:r>
            <w:proofErr w:type="spellStart"/>
            <w:r>
              <w:rPr>
                <w:rFonts w:cstheme="minorBidi"/>
                <w:sz w:val="28"/>
                <w:szCs w:val="28"/>
                <w:lang w:eastAsia="en-US"/>
              </w:rPr>
              <w:t>вр</w:t>
            </w:r>
            <w:proofErr w:type="spellEnd"/>
            <w:r>
              <w:rPr>
                <w:rFonts w:cstheme="minorBidi"/>
                <w:sz w:val="28"/>
                <w:szCs w:val="28"/>
                <w:lang w:eastAsia="en-US"/>
              </w:rPr>
              <w:t>. чл.25 ал.2 от НПК, назначена със заповед № 493/02.05.2023 г. на ОП - Варна. Със заповед № РД-04-673/05.06.2023 г. на Административния ръководител са въведени организационни мерки по изпълнение на констатациите от проверката, както и са назначени две проверки на дейността на прокурори от РП - Варна, с оглед извършени нарушение в работата им. И двете проверките са приключили без образуване на дисциплинарни производства. По едната на наблюдаващия прокурор е  обърнато внимание по реда на чл. 327 от ЗСВ;</w:t>
            </w:r>
          </w:p>
        </w:tc>
      </w:tr>
      <w:tr w:rsidR="007A7CE7" w:rsidTr="007A7CE7">
        <w:trPr>
          <w:trHeight w:val="885"/>
        </w:trPr>
        <w:tc>
          <w:tcPr>
            <w:tcW w:w="724" w:type="dxa"/>
            <w:tcBorders>
              <w:top w:val="single" w:sz="4" w:space="0" w:color="auto"/>
              <w:left w:val="single" w:sz="4" w:space="0" w:color="auto"/>
              <w:bottom w:val="single" w:sz="4" w:space="0" w:color="auto"/>
              <w:right w:val="single" w:sz="4" w:space="0" w:color="auto"/>
            </w:tcBorders>
            <w:vAlign w:val="center"/>
            <w:hideMark/>
          </w:tcPr>
          <w:p w:rsidR="007A7CE7" w:rsidRDefault="007A7CE7" w:rsidP="00943C1B">
            <w:pPr>
              <w:contextualSpacing/>
              <w:jc w:val="center"/>
              <w:rPr>
                <w:bCs/>
                <w:sz w:val="28"/>
                <w:szCs w:val="28"/>
                <w:lang w:eastAsia="en-US"/>
              </w:rPr>
            </w:pPr>
            <w:r>
              <w:rPr>
                <w:bCs/>
                <w:sz w:val="28"/>
                <w:szCs w:val="28"/>
                <w:lang w:eastAsia="en-US"/>
              </w:rPr>
              <w:t>7</w:t>
            </w:r>
          </w:p>
        </w:tc>
        <w:tc>
          <w:tcPr>
            <w:tcW w:w="9072" w:type="dxa"/>
            <w:tcBorders>
              <w:top w:val="single" w:sz="4" w:space="0" w:color="auto"/>
              <w:left w:val="nil"/>
              <w:bottom w:val="single" w:sz="4" w:space="0" w:color="auto"/>
              <w:right w:val="single" w:sz="4" w:space="0" w:color="auto"/>
            </w:tcBorders>
            <w:vAlign w:val="center"/>
            <w:hideMark/>
          </w:tcPr>
          <w:p w:rsidR="007A7CE7" w:rsidRDefault="007A7CE7" w:rsidP="00943C1B">
            <w:pPr>
              <w:contextualSpacing/>
              <w:jc w:val="both"/>
              <w:rPr>
                <w:bCs/>
                <w:sz w:val="28"/>
                <w:szCs w:val="28"/>
                <w:lang w:eastAsia="en-US"/>
              </w:rPr>
            </w:pPr>
            <w:r>
              <w:rPr>
                <w:rFonts w:cstheme="minorBidi"/>
                <w:sz w:val="28"/>
                <w:szCs w:val="28"/>
                <w:lang w:eastAsia="en-US"/>
              </w:rPr>
              <w:t>Тематична проверка на неприключени и спрени досъдебни производства с предмет престъпления образувани за периода от 01.</w:t>
            </w:r>
            <w:proofErr w:type="spellStart"/>
            <w:r>
              <w:rPr>
                <w:rFonts w:cstheme="minorBidi"/>
                <w:sz w:val="28"/>
                <w:szCs w:val="28"/>
                <w:lang w:eastAsia="en-US"/>
              </w:rPr>
              <w:t>01</w:t>
            </w:r>
            <w:proofErr w:type="spellEnd"/>
            <w:r>
              <w:rPr>
                <w:rFonts w:cstheme="minorBidi"/>
                <w:sz w:val="28"/>
                <w:szCs w:val="28"/>
                <w:lang w:eastAsia="en-US"/>
              </w:rPr>
              <w:t>.2020 г. до 10.09.2023 г. за престъпления по чл.343 ал.3 б.“А“ от НК, назначена със заповед № 1199/14.09.2023 г. на ОП - Варна. Към края на отчетния период резултат от проверката не е постъпвал в РП - Варна</w:t>
            </w:r>
          </w:p>
        </w:tc>
      </w:tr>
      <w:tr w:rsidR="007A7CE7" w:rsidTr="007A7CE7">
        <w:trPr>
          <w:trHeight w:val="885"/>
        </w:trPr>
        <w:tc>
          <w:tcPr>
            <w:tcW w:w="724" w:type="dxa"/>
            <w:tcBorders>
              <w:top w:val="single" w:sz="4" w:space="0" w:color="auto"/>
              <w:left w:val="single" w:sz="4" w:space="0" w:color="auto"/>
              <w:bottom w:val="single" w:sz="4" w:space="0" w:color="auto"/>
              <w:right w:val="single" w:sz="4" w:space="0" w:color="auto"/>
            </w:tcBorders>
            <w:vAlign w:val="center"/>
            <w:hideMark/>
          </w:tcPr>
          <w:p w:rsidR="007A7CE7" w:rsidRDefault="007A7CE7" w:rsidP="00943C1B">
            <w:pPr>
              <w:contextualSpacing/>
              <w:jc w:val="center"/>
              <w:rPr>
                <w:bCs/>
                <w:sz w:val="28"/>
                <w:szCs w:val="28"/>
                <w:lang w:eastAsia="en-US"/>
              </w:rPr>
            </w:pPr>
            <w:r>
              <w:rPr>
                <w:bCs/>
                <w:sz w:val="28"/>
                <w:szCs w:val="28"/>
                <w:lang w:eastAsia="en-US"/>
              </w:rPr>
              <w:t>8</w:t>
            </w:r>
          </w:p>
        </w:tc>
        <w:tc>
          <w:tcPr>
            <w:tcW w:w="9072" w:type="dxa"/>
            <w:tcBorders>
              <w:top w:val="single" w:sz="4" w:space="0" w:color="auto"/>
              <w:left w:val="nil"/>
              <w:bottom w:val="single" w:sz="4" w:space="0" w:color="auto"/>
              <w:right w:val="single" w:sz="4" w:space="0" w:color="auto"/>
            </w:tcBorders>
            <w:vAlign w:val="center"/>
            <w:hideMark/>
          </w:tcPr>
          <w:p w:rsidR="007A7CE7" w:rsidRDefault="007A7CE7" w:rsidP="00943C1B">
            <w:pPr>
              <w:contextualSpacing/>
              <w:jc w:val="both"/>
              <w:rPr>
                <w:bCs/>
                <w:sz w:val="28"/>
                <w:szCs w:val="28"/>
                <w:lang w:eastAsia="en-US"/>
              </w:rPr>
            </w:pPr>
            <w:r>
              <w:rPr>
                <w:bCs/>
                <w:sz w:val="28"/>
                <w:szCs w:val="28"/>
                <w:lang w:eastAsia="en-US"/>
              </w:rPr>
              <w:t>Проверка и анализ на причините, довели до неуважаване през 2022 г. на изготвените от прокурорите от РП-Варна и териториалните отделения въззивни протести срещу оправдателни съдебни актове</w:t>
            </w:r>
          </w:p>
        </w:tc>
      </w:tr>
      <w:tr w:rsidR="007A7CE7" w:rsidTr="007A7CE7">
        <w:trPr>
          <w:trHeight w:val="885"/>
        </w:trPr>
        <w:tc>
          <w:tcPr>
            <w:tcW w:w="724" w:type="dxa"/>
            <w:tcBorders>
              <w:top w:val="single" w:sz="4" w:space="0" w:color="auto"/>
              <w:left w:val="single" w:sz="4" w:space="0" w:color="auto"/>
              <w:bottom w:val="single" w:sz="4" w:space="0" w:color="auto"/>
              <w:right w:val="single" w:sz="4" w:space="0" w:color="auto"/>
            </w:tcBorders>
            <w:vAlign w:val="center"/>
            <w:hideMark/>
          </w:tcPr>
          <w:p w:rsidR="007A7CE7" w:rsidRDefault="007A7CE7" w:rsidP="00943C1B">
            <w:pPr>
              <w:contextualSpacing/>
              <w:jc w:val="center"/>
              <w:rPr>
                <w:bCs/>
                <w:sz w:val="28"/>
                <w:szCs w:val="28"/>
                <w:lang w:eastAsia="en-US"/>
              </w:rPr>
            </w:pPr>
            <w:r>
              <w:rPr>
                <w:bCs/>
                <w:sz w:val="28"/>
                <w:szCs w:val="28"/>
                <w:lang w:eastAsia="en-US"/>
              </w:rPr>
              <w:t>9</w:t>
            </w:r>
          </w:p>
        </w:tc>
        <w:tc>
          <w:tcPr>
            <w:tcW w:w="9072" w:type="dxa"/>
            <w:tcBorders>
              <w:top w:val="single" w:sz="4" w:space="0" w:color="auto"/>
              <w:left w:val="nil"/>
              <w:bottom w:val="single" w:sz="4" w:space="0" w:color="auto"/>
              <w:right w:val="single" w:sz="4" w:space="0" w:color="auto"/>
            </w:tcBorders>
            <w:vAlign w:val="center"/>
            <w:hideMark/>
          </w:tcPr>
          <w:p w:rsidR="007A7CE7" w:rsidRDefault="007A7CE7" w:rsidP="00943C1B">
            <w:pPr>
              <w:contextualSpacing/>
              <w:jc w:val="both"/>
              <w:rPr>
                <w:bCs/>
                <w:sz w:val="28"/>
                <w:szCs w:val="28"/>
                <w:lang w:eastAsia="en-US"/>
              </w:rPr>
            </w:pPr>
            <w:r>
              <w:rPr>
                <w:bCs/>
                <w:sz w:val="28"/>
                <w:szCs w:val="28"/>
                <w:lang w:eastAsia="en-US"/>
              </w:rPr>
              <w:t>Проверка и анализ, на всяко шестмесечие, на причините, довели до постановяване на влезли в сила оправдателни присъди</w:t>
            </w:r>
          </w:p>
        </w:tc>
      </w:tr>
      <w:tr w:rsidR="007A7CE7" w:rsidTr="007A7CE7">
        <w:trPr>
          <w:trHeight w:val="885"/>
        </w:trPr>
        <w:tc>
          <w:tcPr>
            <w:tcW w:w="724" w:type="dxa"/>
            <w:tcBorders>
              <w:top w:val="single" w:sz="4" w:space="0" w:color="auto"/>
              <w:left w:val="single" w:sz="4" w:space="0" w:color="auto"/>
              <w:bottom w:val="single" w:sz="4" w:space="0" w:color="auto"/>
              <w:right w:val="single" w:sz="4" w:space="0" w:color="auto"/>
            </w:tcBorders>
            <w:vAlign w:val="center"/>
            <w:hideMark/>
          </w:tcPr>
          <w:p w:rsidR="007A7CE7" w:rsidRDefault="007A7CE7" w:rsidP="00943C1B">
            <w:pPr>
              <w:contextualSpacing/>
              <w:jc w:val="center"/>
              <w:rPr>
                <w:bCs/>
                <w:sz w:val="28"/>
                <w:szCs w:val="28"/>
                <w:lang w:eastAsia="en-US"/>
              </w:rPr>
            </w:pPr>
            <w:r>
              <w:rPr>
                <w:bCs/>
                <w:sz w:val="28"/>
                <w:szCs w:val="28"/>
                <w:lang w:eastAsia="en-US"/>
              </w:rPr>
              <w:t>10</w:t>
            </w:r>
          </w:p>
        </w:tc>
        <w:tc>
          <w:tcPr>
            <w:tcW w:w="9072" w:type="dxa"/>
            <w:tcBorders>
              <w:top w:val="single" w:sz="4" w:space="0" w:color="auto"/>
              <w:left w:val="nil"/>
              <w:bottom w:val="single" w:sz="4" w:space="0" w:color="auto"/>
              <w:right w:val="single" w:sz="4" w:space="0" w:color="auto"/>
            </w:tcBorders>
            <w:vAlign w:val="center"/>
            <w:hideMark/>
          </w:tcPr>
          <w:p w:rsidR="007A7CE7" w:rsidRDefault="007A7CE7" w:rsidP="00943C1B">
            <w:pPr>
              <w:contextualSpacing/>
              <w:jc w:val="both"/>
              <w:rPr>
                <w:bCs/>
                <w:sz w:val="28"/>
                <w:szCs w:val="28"/>
                <w:lang w:eastAsia="en-US"/>
              </w:rPr>
            </w:pPr>
            <w:r>
              <w:rPr>
                <w:bCs/>
                <w:sz w:val="28"/>
                <w:szCs w:val="28"/>
                <w:lang w:eastAsia="en-US"/>
              </w:rPr>
              <w:t>Тематична проверка и анализ за върнатите от съда дела за първото и второто полугодие на 2023 г.</w:t>
            </w:r>
          </w:p>
        </w:tc>
      </w:tr>
      <w:tr w:rsidR="007A7CE7" w:rsidTr="007A7CE7">
        <w:trPr>
          <w:trHeight w:val="885"/>
        </w:trPr>
        <w:tc>
          <w:tcPr>
            <w:tcW w:w="724" w:type="dxa"/>
            <w:tcBorders>
              <w:top w:val="single" w:sz="4" w:space="0" w:color="auto"/>
              <w:left w:val="single" w:sz="4" w:space="0" w:color="auto"/>
              <w:bottom w:val="single" w:sz="4" w:space="0" w:color="auto"/>
              <w:right w:val="single" w:sz="4" w:space="0" w:color="auto"/>
            </w:tcBorders>
            <w:vAlign w:val="center"/>
            <w:hideMark/>
          </w:tcPr>
          <w:p w:rsidR="007A7CE7" w:rsidRDefault="007A7CE7" w:rsidP="00943C1B">
            <w:pPr>
              <w:contextualSpacing/>
              <w:jc w:val="center"/>
              <w:rPr>
                <w:bCs/>
                <w:sz w:val="28"/>
                <w:szCs w:val="28"/>
                <w:lang w:eastAsia="en-US"/>
              </w:rPr>
            </w:pPr>
            <w:r>
              <w:rPr>
                <w:bCs/>
                <w:sz w:val="28"/>
                <w:szCs w:val="28"/>
                <w:lang w:eastAsia="en-US"/>
              </w:rPr>
              <w:t>11</w:t>
            </w:r>
          </w:p>
        </w:tc>
        <w:tc>
          <w:tcPr>
            <w:tcW w:w="9072" w:type="dxa"/>
            <w:tcBorders>
              <w:top w:val="single" w:sz="4" w:space="0" w:color="auto"/>
              <w:left w:val="nil"/>
              <w:bottom w:val="single" w:sz="4" w:space="0" w:color="auto"/>
              <w:right w:val="single" w:sz="4" w:space="0" w:color="auto"/>
            </w:tcBorders>
            <w:vAlign w:val="center"/>
            <w:hideMark/>
          </w:tcPr>
          <w:p w:rsidR="007A7CE7" w:rsidRDefault="007A7CE7" w:rsidP="00943C1B">
            <w:pPr>
              <w:contextualSpacing/>
              <w:jc w:val="both"/>
              <w:rPr>
                <w:bCs/>
                <w:sz w:val="28"/>
                <w:szCs w:val="28"/>
                <w:lang w:eastAsia="en-US"/>
              </w:rPr>
            </w:pPr>
            <w:r>
              <w:rPr>
                <w:bCs/>
                <w:sz w:val="28"/>
                <w:szCs w:val="28"/>
                <w:lang w:eastAsia="en-US"/>
              </w:rPr>
              <w:t>На всяко шестмесечие проверка и анализ на постановените съдебни актове за прекратяване на наказателното производство.</w:t>
            </w:r>
          </w:p>
        </w:tc>
      </w:tr>
    </w:tbl>
    <w:p w:rsidR="007A7CE7" w:rsidRDefault="007A7CE7" w:rsidP="007A7CE7">
      <w:pPr>
        <w:ind w:firstLine="705"/>
        <w:jc w:val="both"/>
        <w:rPr>
          <w:rFonts w:eastAsiaTheme="minorHAnsi"/>
          <w:sz w:val="28"/>
          <w:szCs w:val="28"/>
          <w:lang w:eastAsia="en-US"/>
        </w:rPr>
      </w:pPr>
      <w:r>
        <w:rPr>
          <w:rFonts w:eastAsiaTheme="minorHAnsi"/>
          <w:sz w:val="28"/>
          <w:szCs w:val="28"/>
          <w:lang w:eastAsia="en-US"/>
        </w:rPr>
        <w:t>През отчетната година всички ревизии и проверки са приключени с доклад, в който са очертани проблемните области и пропуски. Отправени са и препоръки за предприемане на необходимите организационни мерки и вземане на управленски решения.</w:t>
      </w:r>
    </w:p>
    <w:p w:rsidR="007A7CE7" w:rsidRDefault="007A7CE7" w:rsidP="007A7CE7">
      <w:pPr>
        <w:ind w:firstLine="705"/>
        <w:jc w:val="both"/>
        <w:rPr>
          <w:rFonts w:eastAsiaTheme="minorHAnsi"/>
          <w:sz w:val="28"/>
          <w:szCs w:val="28"/>
          <w:lang w:eastAsia="en-US"/>
        </w:rPr>
      </w:pPr>
    </w:p>
    <w:p w:rsidR="007A7CE7" w:rsidRDefault="007A7CE7" w:rsidP="007A7CE7">
      <w:pPr>
        <w:ind w:firstLine="705"/>
        <w:jc w:val="both"/>
        <w:rPr>
          <w:rFonts w:eastAsiaTheme="minorHAnsi"/>
          <w:sz w:val="28"/>
          <w:szCs w:val="28"/>
          <w:lang w:eastAsia="en-US"/>
        </w:rPr>
      </w:pPr>
      <w:r>
        <w:rPr>
          <w:rFonts w:eastAsiaTheme="minorHAnsi"/>
          <w:sz w:val="28"/>
          <w:szCs w:val="28"/>
          <w:lang w:eastAsia="en-US"/>
        </w:rPr>
        <w:t>РАЙОННА ПРОКУРАТУРА – ВАРНА</w:t>
      </w:r>
    </w:p>
    <w:p w:rsidR="007A7CE7" w:rsidRDefault="007A7CE7" w:rsidP="007A7CE7">
      <w:pPr>
        <w:spacing w:before="120"/>
        <w:ind w:firstLine="705"/>
        <w:contextualSpacing/>
        <w:jc w:val="both"/>
        <w:rPr>
          <w:sz w:val="28"/>
          <w:szCs w:val="28"/>
          <w:lang w:eastAsia="en-US"/>
        </w:rPr>
      </w:pPr>
      <w:r>
        <w:rPr>
          <w:rFonts w:eastAsia="Calibri"/>
          <w:sz w:val="28"/>
          <w:szCs w:val="28"/>
          <w:lang w:eastAsia="en-US"/>
        </w:rPr>
        <w:t>В изпълнение на чл. 70а от Указанието за дейността на прокуратурата по надзора върху изпълнение на наказанията и други принудителни мерки, утвърдено със Заповед № 5306/24.11.2014 г., изм. и доп. със заповеди № РД-04-203/28.04.2016 г., № РД-04-71/19.02.2018 г., № РД-02-19/03.10.2022 г.</w:t>
      </w:r>
      <w:r>
        <w:rPr>
          <w:rFonts w:eastAsia="Calibri"/>
          <w:i/>
          <w:sz w:val="28"/>
          <w:szCs w:val="28"/>
          <w:lang w:eastAsia="en-US"/>
        </w:rPr>
        <w:t xml:space="preserve"> </w:t>
      </w:r>
      <w:r>
        <w:rPr>
          <w:rFonts w:eastAsia="Calibri"/>
          <w:sz w:val="28"/>
          <w:szCs w:val="28"/>
          <w:lang w:eastAsia="en-US"/>
        </w:rPr>
        <w:t xml:space="preserve">и РД-02-31/15.12.2023 г. на Главния прокурор, завеждащият </w:t>
      </w:r>
      <w:r>
        <w:rPr>
          <w:sz w:val="28"/>
          <w:szCs w:val="28"/>
          <w:lang w:eastAsia="en-US"/>
        </w:rPr>
        <w:t xml:space="preserve">надзор „Изпълнение на наказанията и другите принудителни мерки“ в РП - Варна, е извършил 2 </w:t>
      </w:r>
      <w:r>
        <w:rPr>
          <w:sz w:val="28"/>
          <w:szCs w:val="28"/>
          <w:lang w:eastAsia="en-US"/>
        </w:rPr>
        <w:lastRenderedPageBreak/>
        <w:t xml:space="preserve">проверки </w:t>
      </w:r>
      <w:r>
        <w:rPr>
          <w:rFonts w:eastAsia="Calibri"/>
          <w:sz w:val="28"/>
          <w:szCs w:val="28"/>
          <w:lang w:eastAsia="en-US"/>
        </w:rPr>
        <w:t xml:space="preserve">през 2023 г. </w:t>
      </w:r>
      <w:r>
        <w:rPr>
          <w:sz w:val="28"/>
          <w:szCs w:val="28"/>
          <w:lang w:eastAsia="en-US"/>
        </w:rPr>
        <w:t>по отношение на причините за непривеждането в изпълнение на влезлите в сила съдебни актове.</w:t>
      </w:r>
    </w:p>
    <w:p w:rsidR="007A7CE7" w:rsidRDefault="007A7CE7" w:rsidP="007A7CE7">
      <w:pPr>
        <w:spacing w:before="120"/>
        <w:ind w:firstLine="705"/>
        <w:contextualSpacing/>
        <w:jc w:val="both"/>
        <w:rPr>
          <w:sz w:val="28"/>
          <w:szCs w:val="28"/>
        </w:rPr>
      </w:pPr>
      <w:r>
        <w:rPr>
          <w:rFonts w:eastAsia="Calibri"/>
          <w:sz w:val="28"/>
          <w:szCs w:val="28"/>
          <w:lang w:eastAsia="en-US"/>
        </w:rPr>
        <w:t>В изпълнение на чл. 76 от Указанието за дейността на прокуратурата по надзора върху изпълнение на наказанията и други принудителни мерки, утвърдено със Заповед № 5306/24.11.2014 г., изм. и доп. със заповеди № РД-04-203/28.04.2016 г., № РД-04-71/19.02.2018 г., № РД-02-19/03.10.2022 г.</w:t>
      </w:r>
      <w:r>
        <w:rPr>
          <w:rFonts w:eastAsia="Calibri"/>
          <w:i/>
          <w:sz w:val="28"/>
          <w:szCs w:val="28"/>
          <w:lang w:eastAsia="en-US"/>
        </w:rPr>
        <w:t xml:space="preserve"> </w:t>
      </w:r>
      <w:r>
        <w:rPr>
          <w:rFonts w:eastAsia="Calibri"/>
          <w:sz w:val="28"/>
          <w:szCs w:val="28"/>
          <w:lang w:eastAsia="en-US"/>
        </w:rPr>
        <w:t xml:space="preserve">и РД-02-31/15.12.2023 г. на Главния прокурор, завеждащият </w:t>
      </w:r>
      <w:r>
        <w:rPr>
          <w:sz w:val="28"/>
          <w:szCs w:val="28"/>
          <w:lang w:eastAsia="en-US"/>
        </w:rPr>
        <w:t>надзор „Изпълнение на наказанията и другите принудителни мерки“ в РП - Варна и във връзка с т.8 от плана на надзора за 2023 г., е извършил една тематична проверка на изпълнението на пробационните мерки в ОС „ИН“ - Варна, сектор „Пробация“ по отношение на пробационните инспектори за спазването на сроковете и изискванията на чл.207-209 от ЗИНЗС за периода от 01.09.2022 г. до 01.09.2023 г.</w:t>
      </w:r>
    </w:p>
    <w:p w:rsidR="007A7CE7" w:rsidRDefault="007A7CE7" w:rsidP="007A7CE7">
      <w:pPr>
        <w:ind w:firstLine="705"/>
        <w:jc w:val="both"/>
        <w:rPr>
          <w:sz w:val="28"/>
          <w:szCs w:val="28"/>
        </w:rPr>
      </w:pPr>
      <w:r>
        <w:rPr>
          <w:sz w:val="28"/>
          <w:szCs w:val="28"/>
        </w:rPr>
        <w:t>През 2023 г. продължи работата по изпълнение на препоръките от решение по т. 90.1.6. от протокол № 21/19.07.2018 г. на Пленума на Висшия съдебен съвет - периодично всички прокурори при РП - Варна да извършват проверка на спрените дела, които наблюдават, като преценяват основанието за спиране, с оглед недопускане на прекратяване, поради изтичане на предвидената в закона давност. Със заповед № РД-04-360/29.03.2023 г. на Административния ръководител - районен прокурор на РП - Варна е указано извършването на проверка на спрените дела с приоритет наказателните производства,  спрени над 1 година на  основание чл. 244, ал. 1, т. 3 от НПК, като при наличие на условията на чл. 245, ал. 2 от НПК - предприемане на необходимите мерки за възобновяване им. Допълнително е създадена организация, съгласно заповед № РД-04-643/ 29.05.2023 г. на РП - Варна за ежемесечен контрол на административния ръководител на спрени ДП на основание чл.244 ал.1 т.3 то НПК.</w:t>
      </w:r>
    </w:p>
    <w:p w:rsidR="007A7CE7" w:rsidRDefault="007A7CE7" w:rsidP="007A7CE7">
      <w:pPr>
        <w:ind w:firstLine="705"/>
        <w:jc w:val="both"/>
        <w:rPr>
          <w:sz w:val="28"/>
          <w:szCs w:val="28"/>
        </w:rPr>
      </w:pPr>
      <w:r>
        <w:rPr>
          <w:sz w:val="28"/>
          <w:szCs w:val="28"/>
        </w:rPr>
        <w:t xml:space="preserve">В изпълнение на препоръки на ВСС от заседание на Пленума от 22.11.2018 г., съгласно протокол № 29, решение т.1.5. и през 2023 г. продължи проверката на досъдебните производства с продължителност на разследването над три години, наблюдавани от РП - Варна. В изпълнение на заповед № 50/30.01.2023 г. на АП - Варна, със заповед № РД-04-302/17.03.2023 г. на РП - Варна е създадена допълнителна организация за ускоряване на производствата. </w:t>
      </w:r>
    </w:p>
    <w:p w:rsidR="007A7CE7" w:rsidRDefault="007A7CE7" w:rsidP="007A7CE7">
      <w:pPr>
        <w:ind w:firstLine="705"/>
        <w:jc w:val="both"/>
        <w:rPr>
          <w:sz w:val="28"/>
          <w:szCs w:val="28"/>
        </w:rPr>
      </w:pPr>
      <w:r>
        <w:rPr>
          <w:sz w:val="28"/>
          <w:szCs w:val="28"/>
        </w:rPr>
        <w:t>В изпълнение на заповед № РД-04-70/16.03.2022 г. на Главния прокурор на РБ, относно ускоряване на разследванията по две и повече досъдебни производства срещу един и същ обвиняем и изложените констатации в доклад на АП - Варна от проведена тематична ревизия на движението на неприключени две и повече наказателни производства срещу един и същ обвиняем през второто шестмесечие на 2022 г., наблюдавани от РП - Варна, със заповед № РД-04-78/19.01.2023 г. на Административният ръководител на РП - Варна се извършва ежемесечна проверка, с оглед контрол върху срочността на разследването по тези дела.</w:t>
      </w:r>
    </w:p>
    <w:p w:rsidR="007A7CE7" w:rsidRDefault="007A7CE7" w:rsidP="007A7CE7">
      <w:pPr>
        <w:ind w:firstLine="705"/>
        <w:jc w:val="both"/>
        <w:rPr>
          <w:sz w:val="28"/>
          <w:szCs w:val="28"/>
        </w:rPr>
      </w:pPr>
      <w:r>
        <w:rPr>
          <w:sz w:val="28"/>
          <w:szCs w:val="28"/>
        </w:rPr>
        <w:t>И през 2023 г. продължи ежемесечната проверката на Административният ръководител - районен прокурор на РП - Варна, спрямо прокурорите при РП - Варна за спазване на т.4.1. от Указание за специален надзор до неговата отмяна със заповед № РД-02-16/21.07.2023 г. на Главния прокурор на РБ,</w:t>
      </w:r>
      <w:r>
        <w:rPr>
          <w:color w:val="FF0000"/>
          <w:sz w:val="28"/>
          <w:szCs w:val="28"/>
        </w:rPr>
        <w:t xml:space="preserve"> </w:t>
      </w:r>
      <w:r>
        <w:rPr>
          <w:sz w:val="28"/>
          <w:szCs w:val="28"/>
        </w:rPr>
        <w:t xml:space="preserve">за спазване на </w:t>
      </w:r>
      <w:r>
        <w:rPr>
          <w:sz w:val="28"/>
          <w:szCs w:val="28"/>
        </w:rPr>
        <w:lastRenderedPageBreak/>
        <w:t xml:space="preserve">Указание № И-28/16.04.2021 г. на отдел 07 при ВП, за изтичащи срокове на разследване по ДП на всеки две седмици, за спазване на заповед № РД-04-978/ 24.08.2021 г., относно </w:t>
      </w:r>
      <w:proofErr w:type="spellStart"/>
      <w:r>
        <w:rPr>
          <w:sz w:val="28"/>
          <w:szCs w:val="28"/>
        </w:rPr>
        <w:t>давностните</w:t>
      </w:r>
      <w:proofErr w:type="spellEnd"/>
      <w:r>
        <w:rPr>
          <w:sz w:val="28"/>
          <w:szCs w:val="28"/>
        </w:rPr>
        <w:t xml:space="preserve"> срокове в разпоредбата на чл. 80 ал. 1 от НК по отношение на престъпните деяния по чл. 227б, ал. 1 от НК и за прекратени ДП и взети мерки по чл.89а от НК.</w:t>
      </w:r>
    </w:p>
    <w:p w:rsidR="007A7CE7" w:rsidRDefault="007A7CE7" w:rsidP="007A7CE7">
      <w:pPr>
        <w:ind w:firstLine="705"/>
        <w:jc w:val="both"/>
        <w:rPr>
          <w:rFonts w:eastAsia="Calibri"/>
          <w:sz w:val="28"/>
          <w:szCs w:val="28"/>
          <w:lang w:eastAsia="en-US"/>
        </w:rPr>
      </w:pPr>
      <w:r>
        <w:rPr>
          <w:rFonts w:eastAsia="Calibri"/>
          <w:sz w:val="28"/>
          <w:szCs w:val="28"/>
          <w:lang w:eastAsia="en-US"/>
        </w:rPr>
        <w:t>През отчетната година, в изпълнение на заповед № РД - 04 - 377/ 24.03.2022 г. на Административния ръководител - районен прокурор на РП - Варна, екип от прокурори извърши проверки на отменените постановления за отказ от образуване на досъдебно производство и постановления за прекратяване на досъдебно производство в периода от 01.07.2022 г. до 31.12.2022 г. и от 01.</w:t>
      </w:r>
      <w:proofErr w:type="spellStart"/>
      <w:r>
        <w:rPr>
          <w:rFonts w:eastAsia="Calibri"/>
          <w:sz w:val="28"/>
          <w:szCs w:val="28"/>
          <w:lang w:eastAsia="en-US"/>
        </w:rPr>
        <w:t>01</w:t>
      </w:r>
      <w:proofErr w:type="spellEnd"/>
      <w:r>
        <w:rPr>
          <w:rFonts w:eastAsia="Calibri"/>
          <w:sz w:val="28"/>
          <w:szCs w:val="28"/>
          <w:lang w:eastAsia="en-US"/>
        </w:rPr>
        <w:t xml:space="preserve">.2023 г. до 30.06.2023 г. </w:t>
      </w:r>
      <w:r>
        <w:rPr>
          <w:sz w:val="28"/>
          <w:szCs w:val="28"/>
        </w:rPr>
        <w:t>В резултат на проверките изводите са, че отменените прокурорски актове за периодите отговарят на всички предвидени в НПК реквизити, а техният брой е намалял в сравнение за същия период на второто шестмесечие на 2021 г. и първото шестмесечие на 2022 г.</w:t>
      </w:r>
    </w:p>
    <w:p w:rsidR="007A7CE7" w:rsidRDefault="007A7CE7" w:rsidP="007A7CE7">
      <w:pPr>
        <w:spacing w:before="120"/>
        <w:ind w:firstLine="705"/>
        <w:contextualSpacing/>
        <w:jc w:val="both"/>
        <w:rPr>
          <w:rFonts w:eastAsia="Calibri"/>
          <w:sz w:val="28"/>
          <w:szCs w:val="28"/>
          <w:lang w:eastAsia="en-US"/>
        </w:rPr>
      </w:pPr>
      <w:r>
        <w:rPr>
          <w:rFonts w:eastAsia="Calibri"/>
          <w:sz w:val="28"/>
          <w:szCs w:val="28"/>
          <w:lang w:eastAsia="en-US"/>
        </w:rPr>
        <w:t>През 2023 г. дейността на РП - Варна, с ТО - Девня и ТО - Провадия беше обект на извършване на 2 комплексни ревизии и на 7 тематични проверки по отношение на организацията на административната дейност на РП - Варна и териториалните отделения, дейността на прокурорите по наблюдавани от тях досъдебни производство по конкретни престъпления по текстове от НК и срочността на производствата, както следва:</w:t>
      </w:r>
    </w:p>
    <w:p w:rsidR="007A7CE7" w:rsidRDefault="007A7CE7" w:rsidP="000059A2">
      <w:pPr>
        <w:numPr>
          <w:ilvl w:val="0"/>
          <w:numId w:val="25"/>
        </w:numPr>
        <w:spacing w:before="240" w:after="200"/>
        <w:ind w:left="0" w:firstLine="709"/>
        <w:contextualSpacing/>
        <w:jc w:val="both"/>
        <w:rPr>
          <w:sz w:val="28"/>
          <w:szCs w:val="28"/>
        </w:rPr>
      </w:pPr>
      <w:r>
        <w:rPr>
          <w:i/>
          <w:sz w:val="28"/>
          <w:szCs w:val="28"/>
        </w:rPr>
        <w:t xml:space="preserve"> </w:t>
      </w:r>
      <w:r>
        <w:rPr>
          <w:sz w:val="28"/>
          <w:szCs w:val="28"/>
        </w:rPr>
        <w:t>комплексна пълна планова проверка на дейността на РП - Варна и ТО - Девня и ТО - Провадия за периода от 01.</w:t>
      </w:r>
      <w:proofErr w:type="spellStart"/>
      <w:r>
        <w:rPr>
          <w:sz w:val="28"/>
          <w:szCs w:val="28"/>
        </w:rPr>
        <w:t>01</w:t>
      </w:r>
      <w:proofErr w:type="spellEnd"/>
      <w:r>
        <w:rPr>
          <w:sz w:val="28"/>
          <w:szCs w:val="28"/>
        </w:rPr>
        <w:t>.2021 г. до 31.12.2022 г. извършена от Инспекторат към Висш съдебен съвет по отношение на цялостния анализ и оценка на организацията на административната дейност,  по образуване и движение на преписките и делата, приключването им в установените срокове, както и анализ на приключените преписки и дела. В изпълнение на дадените две препоръки в Акт за резултатите от извършената комплексна планова проверка, Административният ръководител със заповед № РД-04-1305/26.10.2023 г. на РП - Варна е продължил упражняването на непосредствен контрол по ускоряване на производствата, по които разследването продължава повече от две години и приключване на разследванията, а със заповед № РД-04-1306/ 26.10.2023 г. е продължил упражняването на контрол по отношение на срочността в работата на прокурорите от РП - Варна, с ТО - Девня и ТО - Провадия и ефективното използване на въведените електронни регистри;</w:t>
      </w:r>
    </w:p>
    <w:p w:rsidR="007A7CE7" w:rsidRDefault="007A7CE7" w:rsidP="000059A2">
      <w:pPr>
        <w:numPr>
          <w:ilvl w:val="0"/>
          <w:numId w:val="25"/>
        </w:numPr>
        <w:spacing w:before="240" w:after="200"/>
        <w:ind w:left="0" w:firstLine="709"/>
        <w:contextualSpacing/>
        <w:jc w:val="both"/>
        <w:rPr>
          <w:sz w:val="28"/>
          <w:szCs w:val="28"/>
        </w:rPr>
      </w:pPr>
      <w:r>
        <w:rPr>
          <w:i/>
          <w:sz w:val="28"/>
          <w:szCs w:val="28"/>
        </w:rPr>
        <w:t xml:space="preserve"> </w:t>
      </w:r>
      <w:r>
        <w:rPr>
          <w:sz w:val="28"/>
          <w:szCs w:val="28"/>
        </w:rPr>
        <w:t>комплексна планова ревизия</w:t>
      </w:r>
      <w:r>
        <w:rPr>
          <w:i/>
          <w:sz w:val="28"/>
          <w:szCs w:val="28"/>
        </w:rPr>
        <w:t xml:space="preserve"> </w:t>
      </w:r>
      <w:r>
        <w:rPr>
          <w:sz w:val="28"/>
          <w:szCs w:val="28"/>
        </w:rPr>
        <w:t xml:space="preserve"> на дейността на РП - Варна и ТО - Девня и ТО - Провадия за периода от 01.10.2021 г. до 01.10.2023 г. по отношение на работата по надзори, назначена със заповед № 1252/04.10.2023 г. на ОП - Варна. Към датата на изготвяне на настоящият годишен  доклад е получен и доклада за резултатите от проверката, с оглед на направените констатации е определена като много добра работата на Административния ръководител на РП - Варна и  като много добра работата на самата прокуратура през ревизирания период в цялост;</w:t>
      </w:r>
    </w:p>
    <w:p w:rsidR="007A7CE7" w:rsidRDefault="007A7CE7" w:rsidP="000059A2">
      <w:pPr>
        <w:numPr>
          <w:ilvl w:val="0"/>
          <w:numId w:val="25"/>
        </w:numPr>
        <w:spacing w:before="240" w:after="200"/>
        <w:ind w:left="0" w:firstLine="709"/>
        <w:contextualSpacing/>
        <w:jc w:val="both"/>
        <w:rPr>
          <w:sz w:val="28"/>
          <w:szCs w:val="28"/>
        </w:rPr>
      </w:pPr>
      <w:r>
        <w:rPr>
          <w:sz w:val="28"/>
          <w:szCs w:val="28"/>
        </w:rPr>
        <w:t xml:space="preserve">  проверка за спазване на принципа на случайното разпределение в РП – Варна с ТО - Девня и ТО - Провадия за периода от 01.</w:t>
      </w:r>
      <w:proofErr w:type="spellStart"/>
      <w:r>
        <w:rPr>
          <w:sz w:val="28"/>
          <w:szCs w:val="28"/>
        </w:rPr>
        <w:t>01</w:t>
      </w:r>
      <w:proofErr w:type="spellEnd"/>
      <w:r>
        <w:rPr>
          <w:sz w:val="28"/>
          <w:szCs w:val="28"/>
        </w:rPr>
        <w:t xml:space="preserve">.2022 г. до 31.12.2022 г., назначена със заповед № 513/ 04.05.2023 г. на ОП - Варна. Общият </w:t>
      </w:r>
      <w:r>
        <w:rPr>
          <w:sz w:val="28"/>
          <w:szCs w:val="28"/>
        </w:rPr>
        <w:lastRenderedPageBreak/>
        <w:t>извод след проверката е за стриктно спазване на писмени правила, създадени с надлежни заповеди на Административния ръководител, като и липса на констатирани нарушения;</w:t>
      </w:r>
    </w:p>
    <w:p w:rsidR="007A7CE7" w:rsidRDefault="007A7CE7" w:rsidP="000059A2">
      <w:pPr>
        <w:numPr>
          <w:ilvl w:val="0"/>
          <w:numId w:val="25"/>
        </w:numPr>
        <w:spacing w:before="240" w:after="200"/>
        <w:ind w:left="0" w:firstLine="709"/>
        <w:contextualSpacing/>
        <w:jc w:val="both"/>
        <w:rPr>
          <w:sz w:val="28"/>
          <w:szCs w:val="28"/>
        </w:rPr>
      </w:pPr>
      <w:r>
        <w:rPr>
          <w:i/>
          <w:sz w:val="28"/>
          <w:szCs w:val="28"/>
        </w:rPr>
        <w:t xml:space="preserve"> </w:t>
      </w:r>
      <w:r>
        <w:rPr>
          <w:sz w:val="28"/>
          <w:szCs w:val="28"/>
        </w:rPr>
        <w:t>тематична ревизия на дейността на прокурорите от РП - Варна с ТО - Девня и ТО - Провадия по неприключени преписки и досъдебни производства, както и спрени производства, образувани по съобщения за осъществено домашно насилие, както и за неизпълнение на заповед за защита от домашно насилие, назначена със заповед № 207/28.04.2023 г. на АП - Варна. Със заповед № РД-04-785/29.06.2023 г. на РП - Варна са създадени организационни мерки по изпълнение на направените в доклада на АП - Варна препоръки, с оглед финализиране на разследванията;</w:t>
      </w:r>
    </w:p>
    <w:p w:rsidR="007A7CE7" w:rsidRDefault="007A7CE7" w:rsidP="000059A2">
      <w:pPr>
        <w:numPr>
          <w:ilvl w:val="0"/>
          <w:numId w:val="25"/>
        </w:numPr>
        <w:spacing w:before="240" w:after="200"/>
        <w:ind w:left="0" w:firstLine="709"/>
        <w:contextualSpacing/>
        <w:jc w:val="both"/>
        <w:rPr>
          <w:sz w:val="28"/>
          <w:szCs w:val="28"/>
        </w:rPr>
      </w:pPr>
      <w:r>
        <w:rPr>
          <w:sz w:val="28"/>
          <w:szCs w:val="28"/>
        </w:rPr>
        <w:t xml:space="preserve"> тематична ревизия на дейността на прокурорите от РП - Варна по неприключени и спрени досъдебни производства за престъпления по чл.346 от НК, чл.194-196 от НК, както и по чл.215 от НК, с предмет моторни превозни средства или части от тях, назначена със заповед № 108/10.03.2023 г. на АП – Варна. Констатациите на ревизиращия екип са, че РП - Варна работи с приоритет производствата от тази категория, и че в хода на разследването се прилагат всички способи за доказване;</w:t>
      </w:r>
    </w:p>
    <w:p w:rsidR="007A7CE7" w:rsidRDefault="007A7CE7" w:rsidP="000059A2">
      <w:pPr>
        <w:numPr>
          <w:ilvl w:val="0"/>
          <w:numId w:val="25"/>
        </w:numPr>
        <w:spacing w:before="240" w:after="200"/>
        <w:ind w:left="0" w:firstLine="709"/>
        <w:contextualSpacing/>
        <w:jc w:val="both"/>
        <w:rPr>
          <w:sz w:val="28"/>
          <w:szCs w:val="28"/>
        </w:rPr>
      </w:pPr>
      <w:r>
        <w:rPr>
          <w:sz w:val="28"/>
          <w:szCs w:val="28"/>
        </w:rPr>
        <w:t xml:space="preserve"> тематична ревизия на спрени от РП - Варна досъдебни производства на основание чл.244 ал.1 т.1, </w:t>
      </w:r>
      <w:proofErr w:type="spellStart"/>
      <w:r>
        <w:rPr>
          <w:sz w:val="28"/>
          <w:szCs w:val="28"/>
        </w:rPr>
        <w:t>вр</w:t>
      </w:r>
      <w:proofErr w:type="spellEnd"/>
      <w:r>
        <w:rPr>
          <w:sz w:val="28"/>
          <w:szCs w:val="28"/>
        </w:rPr>
        <w:t>. чл.25 ал.2 от НПК, назначена със заповед № 493/02.05.2023 г. на ОП - Варна. Със заповед № РД-04-673/05.06.2023 г. на Административния ръководител са въведени организационни мерки по изпълнение на констатациите от проверката, както и са назначени две проверки на дейността на прокурори от РП - Варна, с оглед извършени нарушение в работата им. И двете проверките са приключили без образуване на дисциплинарни производства. По едната на наблюдаващия прокурор е  обърнато внимание по реда на чл. 327 от ЗСВ;</w:t>
      </w:r>
    </w:p>
    <w:p w:rsidR="007A7CE7" w:rsidRDefault="007A7CE7" w:rsidP="000059A2">
      <w:pPr>
        <w:numPr>
          <w:ilvl w:val="0"/>
          <w:numId w:val="25"/>
        </w:numPr>
        <w:spacing w:before="240" w:after="200"/>
        <w:ind w:left="0" w:firstLine="709"/>
        <w:contextualSpacing/>
        <w:jc w:val="both"/>
        <w:rPr>
          <w:sz w:val="28"/>
          <w:szCs w:val="28"/>
        </w:rPr>
      </w:pPr>
      <w:r>
        <w:rPr>
          <w:sz w:val="28"/>
          <w:szCs w:val="28"/>
        </w:rPr>
        <w:t xml:space="preserve"> тематична ревизия на висящи досъдебни производства, водени за престъпления по чл.159а-159г от НК, както и спрени и прекратени през последното тримесечие на 2022 г. и през 2023 г., назначена със заповед № 1455/16.11.2023 г. на ОП - Варна. В резултата на направените констатации, със заповед № РД-04-1601/13.12.2023 г. на Административният ръководител е създадена организация за приоритетна работа и приключване на разследванията от тази категория дела;</w:t>
      </w:r>
    </w:p>
    <w:p w:rsidR="007A7CE7" w:rsidRDefault="007A7CE7" w:rsidP="000059A2">
      <w:pPr>
        <w:numPr>
          <w:ilvl w:val="0"/>
          <w:numId w:val="25"/>
        </w:numPr>
        <w:spacing w:before="240" w:after="200"/>
        <w:ind w:left="0" w:firstLine="709"/>
        <w:contextualSpacing/>
        <w:jc w:val="both"/>
        <w:rPr>
          <w:sz w:val="28"/>
          <w:szCs w:val="28"/>
        </w:rPr>
      </w:pPr>
      <w:r>
        <w:rPr>
          <w:sz w:val="28"/>
          <w:szCs w:val="28"/>
        </w:rPr>
        <w:t xml:space="preserve"> тематична проверка на неприключени и спрени досъдебни производства с предмет престъпления образувани за периода от 01.</w:t>
      </w:r>
      <w:proofErr w:type="spellStart"/>
      <w:r>
        <w:rPr>
          <w:sz w:val="28"/>
          <w:szCs w:val="28"/>
        </w:rPr>
        <w:t>01</w:t>
      </w:r>
      <w:proofErr w:type="spellEnd"/>
      <w:r>
        <w:rPr>
          <w:sz w:val="28"/>
          <w:szCs w:val="28"/>
        </w:rPr>
        <w:t>.2020 г. до 10.09.2023 г. за престъпления по чл.343 ал.3 б.“А“ от НК, назначена със заповед № 1199/14.09.2023 г. на ОП - Варна. Към края на отчетния период резултат от проверката не е постъпвал в РП - Варна;</w:t>
      </w:r>
    </w:p>
    <w:p w:rsidR="007A7CE7" w:rsidRDefault="007A7CE7" w:rsidP="000059A2">
      <w:pPr>
        <w:numPr>
          <w:ilvl w:val="0"/>
          <w:numId w:val="25"/>
        </w:numPr>
        <w:spacing w:before="240" w:after="200"/>
        <w:ind w:left="0" w:firstLine="709"/>
        <w:contextualSpacing/>
        <w:jc w:val="both"/>
        <w:rPr>
          <w:sz w:val="28"/>
          <w:szCs w:val="28"/>
        </w:rPr>
      </w:pPr>
      <w:r>
        <w:rPr>
          <w:sz w:val="28"/>
          <w:szCs w:val="28"/>
        </w:rPr>
        <w:t xml:space="preserve"> тематична проверка на съхранението и разпореждането с веществени доказателства, както и иззети като веществени доказателства МПС, чието съхранение продължава и след приключване на наказателното производство, назначена със заповед № 1201/ 15.09.2023 г. на ОП - Варна. Констатациите на комисията са за много добра организация на работа в РП - Варна, с ТО - Девня и ТО - Провадия, свързана с описването, съхранението, </w:t>
      </w:r>
      <w:r>
        <w:rPr>
          <w:sz w:val="28"/>
          <w:szCs w:val="28"/>
        </w:rPr>
        <w:lastRenderedPageBreak/>
        <w:t>отчета и разпореждането с веществени доказателства и МПС, иззети като веществени доказателства.</w:t>
      </w:r>
    </w:p>
    <w:p w:rsidR="007A7CE7" w:rsidRDefault="007A7CE7" w:rsidP="007A7CE7">
      <w:pPr>
        <w:ind w:firstLine="705"/>
        <w:jc w:val="both"/>
        <w:rPr>
          <w:sz w:val="28"/>
          <w:szCs w:val="28"/>
        </w:rPr>
      </w:pPr>
      <w:r>
        <w:rPr>
          <w:sz w:val="28"/>
          <w:szCs w:val="28"/>
        </w:rPr>
        <w:t xml:space="preserve">През отчетната година беше извършен и </w:t>
      </w:r>
      <w:proofErr w:type="spellStart"/>
      <w:r>
        <w:rPr>
          <w:sz w:val="28"/>
          <w:szCs w:val="28"/>
        </w:rPr>
        <w:t>одитен</w:t>
      </w:r>
      <w:proofErr w:type="spellEnd"/>
      <w:r>
        <w:rPr>
          <w:sz w:val="28"/>
          <w:szCs w:val="28"/>
        </w:rPr>
        <w:t xml:space="preserve"> ангажимент за даване на увереност на РП - Варна с ТО - Девня и ТО - Провадия по отношение на финансово - счетоводната дейност и дейността по управление на човешките ресурси с изискванията на правната рамка, разписаните писмени политики и процедури за периода от 01.</w:t>
      </w:r>
      <w:proofErr w:type="spellStart"/>
      <w:r>
        <w:rPr>
          <w:sz w:val="28"/>
          <w:szCs w:val="28"/>
        </w:rPr>
        <w:t>01</w:t>
      </w:r>
      <w:proofErr w:type="spellEnd"/>
      <w:r>
        <w:rPr>
          <w:sz w:val="28"/>
          <w:szCs w:val="28"/>
        </w:rPr>
        <w:t xml:space="preserve">.2022 г. до 30.09.2023 г., назначен с заповед № РД-04-395/ 15.11.2023 г. на и.ф. Главния прокурор на РБ. Към края на отчетния период в РП - Варна е получен предварителният </w:t>
      </w:r>
      <w:proofErr w:type="spellStart"/>
      <w:r>
        <w:rPr>
          <w:sz w:val="28"/>
          <w:szCs w:val="28"/>
        </w:rPr>
        <w:t>одитен</w:t>
      </w:r>
      <w:proofErr w:type="spellEnd"/>
      <w:r>
        <w:rPr>
          <w:sz w:val="28"/>
          <w:szCs w:val="28"/>
        </w:rPr>
        <w:t xml:space="preserve"> доклад ОАУ/2318 за извършен </w:t>
      </w:r>
      <w:proofErr w:type="spellStart"/>
      <w:r>
        <w:rPr>
          <w:sz w:val="28"/>
          <w:szCs w:val="28"/>
        </w:rPr>
        <w:t>одитен</w:t>
      </w:r>
      <w:proofErr w:type="spellEnd"/>
      <w:r>
        <w:rPr>
          <w:sz w:val="28"/>
          <w:szCs w:val="28"/>
        </w:rPr>
        <w:t xml:space="preserve"> ангажимент за даване на увереност само с една препоръка.</w:t>
      </w:r>
    </w:p>
    <w:p w:rsidR="007A7CE7" w:rsidRDefault="007A7CE7" w:rsidP="000059A2">
      <w:pPr>
        <w:numPr>
          <w:ilvl w:val="0"/>
          <w:numId w:val="20"/>
        </w:numPr>
        <w:spacing w:after="200"/>
        <w:ind w:left="0" w:firstLine="705"/>
        <w:contextualSpacing/>
        <w:jc w:val="both"/>
        <w:rPr>
          <w:rFonts w:eastAsiaTheme="minorHAnsi"/>
          <w:b/>
          <w:sz w:val="28"/>
          <w:szCs w:val="28"/>
          <w:lang w:eastAsia="en-US"/>
        </w:rPr>
      </w:pPr>
      <w:r>
        <w:rPr>
          <w:rFonts w:eastAsiaTheme="minorHAnsi"/>
          <w:b/>
          <w:sz w:val="28"/>
          <w:szCs w:val="28"/>
          <w:lang w:eastAsia="en-US"/>
        </w:rPr>
        <w:t>Дисциплинарни производства</w:t>
      </w:r>
    </w:p>
    <w:p w:rsidR="007A7CE7" w:rsidRDefault="007A7CE7" w:rsidP="007A7CE7">
      <w:pPr>
        <w:ind w:firstLine="705"/>
        <w:jc w:val="both"/>
        <w:rPr>
          <w:rFonts w:eastAsia="Calibri"/>
          <w:sz w:val="28"/>
          <w:szCs w:val="28"/>
          <w:lang w:eastAsia="en-US"/>
        </w:rPr>
      </w:pPr>
      <w:r>
        <w:rPr>
          <w:rFonts w:eastAsia="Calibri"/>
          <w:sz w:val="28"/>
          <w:szCs w:val="28"/>
          <w:lang w:eastAsia="en-US"/>
        </w:rPr>
        <w:t>През 2023 г. административният ръководител – окръжен прокурор със свои заповеди е назначил дисциплинарни проверки срещу двама прокурори и един следовател по сигнали за нарушения по конкретно досъдебно производство. Проверките са приключили без образуване на дисциплинарно производство, поради липса на нарушения.</w:t>
      </w:r>
    </w:p>
    <w:p w:rsidR="007A7CE7" w:rsidRDefault="007A7CE7" w:rsidP="007A7CE7">
      <w:pPr>
        <w:ind w:firstLine="705"/>
        <w:jc w:val="both"/>
        <w:rPr>
          <w:rFonts w:eastAsia="Calibri"/>
          <w:sz w:val="28"/>
          <w:szCs w:val="28"/>
          <w:lang w:eastAsia="en-US"/>
        </w:rPr>
      </w:pPr>
      <w:r>
        <w:rPr>
          <w:rFonts w:eastAsia="Calibri"/>
          <w:sz w:val="28"/>
          <w:szCs w:val="28"/>
          <w:lang w:eastAsia="en-US"/>
        </w:rPr>
        <w:t xml:space="preserve">През 2023 г. със заповеди на Административния ръководител - районен прокурор на РП - Варна, са назначени единадесет проверки за дейността на прокурори от РП - Варна по сигнали за нарушения, във връзка с работата на прокурори по конкретни дела и спазване на  трудовата дисциплина. Към края на отчетния период са приключени общо 10 проверки и не са образувани дисциплинарни производства, поради липса на извършени конкретни нарушения от страна на проверяваните магистрати, с изключение на една приключила с обръщане на внимание по реда на чл.327 от ЗСВ. </w:t>
      </w:r>
    </w:p>
    <w:p w:rsidR="007A7CE7" w:rsidRDefault="007A7CE7" w:rsidP="007A7CE7">
      <w:pPr>
        <w:keepNext/>
        <w:keepLines/>
        <w:shd w:val="clear" w:color="auto" w:fill="FFFFFF"/>
        <w:spacing w:before="120"/>
        <w:ind w:firstLine="705"/>
        <w:contextualSpacing/>
        <w:outlineLvl w:val="0"/>
        <w:rPr>
          <w:rFonts w:eastAsia="Calibri"/>
          <w:b/>
          <w:bCs/>
          <w:caps/>
          <w:color w:val="000000"/>
          <w:sz w:val="28"/>
          <w:szCs w:val="28"/>
        </w:rPr>
      </w:pPr>
      <w:r>
        <w:rPr>
          <w:sz w:val="28"/>
          <w:szCs w:val="28"/>
        </w:rPr>
        <w:t>През 2023 г. Административният ръководител - районен прокурор на РП - Варна не е образувал дисциплинарни производства срещу прокурори от РП -Варна.</w:t>
      </w:r>
    </w:p>
    <w:p w:rsidR="007A7CE7" w:rsidRDefault="007A7CE7" w:rsidP="000059A2">
      <w:pPr>
        <w:numPr>
          <w:ilvl w:val="0"/>
          <w:numId w:val="20"/>
        </w:numPr>
        <w:spacing w:after="200"/>
        <w:ind w:left="0" w:firstLine="705"/>
        <w:contextualSpacing/>
        <w:jc w:val="both"/>
        <w:rPr>
          <w:b/>
          <w:bCs/>
          <w:sz w:val="28"/>
          <w:szCs w:val="28"/>
        </w:rPr>
      </w:pPr>
      <w:r>
        <w:rPr>
          <w:b/>
          <w:bCs/>
          <w:sz w:val="28"/>
          <w:szCs w:val="28"/>
        </w:rPr>
        <w:t>Поощрения на магистрати</w:t>
      </w:r>
    </w:p>
    <w:p w:rsidR="007A7CE7" w:rsidRDefault="007A7CE7" w:rsidP="007A7CE7">
      <w:pPr>
        <w:spacing w:before="120"/>
        <w:ind w:firstLine="705"/>
        <w:contextualSpacing/>
        <w:jc w:val="both"/>
        <w:rPr>
          <w:bCs/>
          <w:sz w:val="28"/>
          <w:szCs w:val="28"/>
        </w:rPr>
      </w:pPr>
      <w:r>
        <w:rPr>
          <w:bCs/>
          <w:sz w:val="28"/>
          <w:szCs w:val="28"/>
        </w:rPr>
        <w:t xml:space="preserve">  Със заповеди № РД-08-1704/07.12.2023 г. и № РД-08-1744/07.12.2023 г. на и.ф. главен прокурор, за проявен висок професионализъм и образцово изпълнение на служебните задължения, са поощрени с парична награда административния ръководител – окръжен прокурор и завеждащия Окръжен следствен отдел в Окръжна прокуратура – Варна.</w:t>
      </w:r>
    </w:p>
    <w:p w:rsidR="007A7CE7" w:rsidRDefault="007A7CE7" w:rsidP="007A7CE7">
      <w:pPr>
        <w:spacing w:before="120"/>
        <w:ind w:firstLine="705"/>
        <w:contextualSpacing/>
        <w:jc w:val="both"/>
        <w:rPr>
          <w:rFonts w:eastAsia="Calibri"/>
          <w:sz w:val="28"/>
          <w:szCs w:val="28"/>
          <w:lang w:val="ru-RU" w:eastAsia="en-US"/>
        </w:rPr>
      </w:pPr>
      <w:r>
        <w:rPr>
          <w:bCs/>
          <w:sz w:val="28"/>
          <w:szCs w:val="28"/>
        </w:rPr>
        <w:t>Със заповед № РД-08-1688/07.12.2023 г. на и.ф. главен прокурор, за проявен висок професионализъм и образцово изпълнение на служебните задължения, е поощрен с парична награда административния ръководител – районен прокурор на Районна прокуратура - Варна.</w:t>
      </w:r>
    </w:p>
    <w:p w:rsidR="007A7CE7" w:rsidRDefault="007A7CE7" w:rsidP="007A7CE7">
      <w:pPr>
        <w:pStyle w:val="13"/>
        <w:tabs>
          <w:tab w:val="left" w:pos="907"/>
        </w:tabs>
        <w:spacing w:after="0" w:line="240" w:lineRule="auto"/>
        <w:ind w:firstLine="705"/>
        <w:contextualSpacing/>
        <w:jc w:val="both"/>
        <w:rPr>
          <w:rStyle w:val="afb"/>
          <w:b w:val="0"/>
          <w:i w:val="0"/>
          <w:color w:val="5F497A" w:themeColor="accent4" w:themeShade="BF"/>
        </w:rPr>
      </w:pPr>
    </w:p>
    <w:p w:rsidR="007A7CE7" w:rsidRDefault="007A7CE7" w:rsidP="007A7CE7">
      <w:pPr>
        <w:pStyle w:val="13"/>
        <w:tabs>
          <w:tab w:val="left" w:pos="907"/>
        </w:tabs>
        <w:spacing w:after="0" w:line="240" w:lineRule="auto"/>
        <w:ind w:firstLine="705"/>
        <w:contextualSpacing/>
        <w:jc w:val="both"/>
        <w:rPr>
          <w:rStyle w:val="afb"/>
          <w:b w:val="0"/>
          <w:i w:val="0"/>
          <w:color w:val="5F497A" w:themeColor="accent4" w:themeShade="BF"/>
          <w:sz w:val="28"/>
          <w:szCs w:val="28"/>
        </w:rPr>
      </w:pPr>
    </w:p>
    <w:p w:rsidR="007A7CE7" w:rsidRDefault="007A7CE7" w:rsidP="007A7CE7">
      <w:pPr>
        <w:pStyle w:val="13"/>
        <w:tabs>
          <w:tab w:val="left" w:pos="907"/>
        </w:tabs>
        <w:spacing w:after="0" w:line="240" w:lineRule="auto"/>
        <w:ind w:firstLine="705"/>
        <w:contextualSpacing/>
        <w:jc w:val="both"/>
        <w:rPr>
          <w:rStyle w:val="afb"/>
          <w:b w:val="0"/>
          <w:i w:val="0"/>
          <w:color w:val="5F497A" w:themeColor="accent4" w:themeShade="BF"/>
          <w:sz w:val="28"/>
          <w:szCs w:val="28"/>
        </w:rPr>
      </w:pPr>
    </w:p>
    <w:p w:rsidR="007A7CE7" w:rsidRDefault="007A7CE7" w:rsidP="007A7CE7">
      <w:pPr>
        <w:pStyle w:val="13"/>
        <w:tabs>
          <w:tab w:val="left" w:pos="907"/>
        </w:tabs>
        <w:spacing w:after="0" w:line="240" w:lineRule="auto"/>
        <w:ind w:firstLine="705"/>
        <w:contextualSpacing/>
        <w:jc w:val="both"/>
        <w:rPr>
          <w:rStyle w:val="afb"/>
          <w:b w:val="0"/>
          <w:i w:val="0"/>
          <w:color w:val="5F497A" w:themeColor="accent4" w:themeShade="BF"/>
          <w:sz w:val="28"/>
          <w:szCs w:val="28"/>
        </w:rPr>
      </w:pPr>
    </w:p>
    <w:p w:rsidR="007A7CE7" w:rsidRDefault="007A7CE7" w:rsidP="007A7CE7">
      <w:pPr>
        <w:pStyle w:val="13"/>
        <w:tabs>
          <w:tab w:val="left" w:pos="907"/>
        </w:tabs>
        <w:spacing w:after="0" w:line="240" w:lineRule="auto"/>
        <w:ind w:firstLine="705"/>
        <w:contextualSpacing/>
        <w:jc w:val="both"/>
        <w:rPr>
          <w:rStyle w:val="afb"/>
          <w:b w:val="0"/>
          <w:i w:val="0"/>
          <w:color w:val="5F497A" w:themeColor="accent4" w:themeShade="BF"/>
          <w:sz w:val="28"/>
          <w:szCs w:val="28"/>
        </w:rPr>
      </w:pPr>
    </w:p>
    <w:p w:rsidR="007A7CE7" w:rsidRDefault="007A7CE7" w:rsidP="007A7CE7">
      <w:pPr>
        <w:pStyle w:val="13"/>
        <w:tabs>
          <w:tab w:val="left" w:pos="907"/>
        </w:tabs>
        <w:spacing w:after="0" w:line="240" w:lineRule="auto"/>
        <w:ind w:firstLine="705"/>
        <w:contextualSpacing/>
        <w:jc w:val="both"/>
        <w:rPr>
          <w:rStyle w:val="afb"/>
          <w:b w:val="0"/>
          <w:i w:val="0"/>
          <w:color w:val="5F497A" w:themeColor="accent4" w:themeShade="BF"/>
          <w:sz w:val="28"/>
          <w:szCs w:val="28"/>
        </w:rPr>
      </w:pPr>
    </w:p>
    <w:p w:rsidR="007A7CE7" w:rsidRDefault="007A7CE7" w:rsidP="007A7CE7">
      <w:pPr>
        <w:pStyle w:val="13"/>
        <w:tabs>
          <w:tab w:val="left" w:pos="907"/>
        </w:tabs>
        <w:spacing w:after="0" w:line="240" w:lineRule="auto"/>
        <w:ind w:firstLine="705"/>
        <w:contextualSpacing/>
        <w:jc w:val="both"/>
        <w:rPr>
          <w:rStyle w:val="afb"/>
          <w:b w:val="0"/>
          <w:i w:val="0"/>
          <w:color w:val="5F497A" w:themeColor="accent4" w:themeShade="BF"/>
          <w:sz w:val="28"/>
          <w:szCs w:val="28"/>
        </w:rPr>
      </w:pPr>
    </w:p>
    <w:p w:rsidR="007A7CE7" w:rsidRDefault="007A7CE7" w:rsidP="007A7CE7">
      <w:pPr>
        <w:pStyle w:val="13"/>
        <w:tabs>
          <w:tab w:val="left" w:pos="907"/>
        </w:tabs>
        <w:spacing w:after="0" w:line="240" w:lineRule="auto"/>
        <w:ind w:firstLine="705"/>
        <w:contextualSpacing/>
        <w:jc w:val="both"/>
        <w:rPr>
          <w:rStyle w:val="afb"/>
          <w:b w:val="0"/>
          <w:i w:val="0"/>
          <w:color w:val="5F497A" w:themeColor="accent4" w:themeShade="BF"/>
          <w:sz w:val="28"/>
          <w:szCs w:val="28"/>
        </w:rPr>
      </w:pPr>
    </w:p>
    <w:p w:rsidR="007A7CE7" w:rsidRDefault="007A7CE7" w:rsidP="000059A2">
      <w:pPr>
        <w:pStyle w:val="13"/>
        <w:numPr>
          <w:ilvl w:val="0"/>
          <w:numId w:val="7"/>
        </w:numPr>
        <w:tabs>
          <w:tab w:val="left" w:pos="989"/>
        </w:tabs>
        <w:spacing w:after="0" w:line="240" w:lineRule="auto"/>
        <w:ind w:left="0" w:firstLine="709"/>
        <w:contextualSpacing/>
        <w:jc w:val="both"/>
        <w:rPr>
          <w:rStyle w:val="afb"/>
          <w:b w:val="0"/>
          <w:i w:val="0"/>
          <w:color w:val="5F497A" w:themeColor="accent4" w:themeShade="BF"/>
          <w:sz w:val="28"/>
          <w:szCs w:val="28"/>
        </w:rPr>
      </w:pPr>
      <w:r>
        <w:rPr>
          <w:rStyle w:val="afb"/>
          <w:b w:val="0"/>
          <w:i w:val="0"/>
          <w:color w:val="5F497A" w:themeColor="accent4" w:themeShade="BF"/>
          <w:sz w:val="28"/>
          <w:szCs w:val="28"/>
        </w:rPr>
        <w:lastRenderedPageBreak/>
        <w:t>НАТОВАРЕНОСТ НА ПРОКУРОРСКИТЕ И НА СЛЕДСТВЕНИТЕ ОРГАНИ.</w:t>
      </w:r>
    </w:p>
    <w:p w:rsidR="007A7CE7" w:rsidRDefault="007A7CE7" w:rsidP="007A7CE7">
      <w:pPr>
        <w:ind w:firstLine="709"/>
        <w:jc w:val="both"/>
      </w:pPr>
      <w:r>
        <w:rPr>
          <w:sz w:val="28"/>
          <w:szCs w:val="28"/>
        </w:rPr>
        <w:t>При отчитане натовареността на прокурорите в настоящия раздел са използвани:</w:t>
      </w:r>
    </w:p>
    <w:p w:rsidR="007A7CE7" w:rsidRDefault="00622436" w:rsidP="00622436">
      <w:pPr>
        <w:ind w:firstLine="709"/>
        <w:jc w:val="both"/>
        <w:rPr>
          <w:sz w:val="28"/>
          <w:szCs w:val="28"/>
        </w:rPr>
      </w:pPr>
      <w:r>
        <w:rPr>
          <w:sz w:val="28"/>
          <w:szCs w:val="28"/>
        </w:rPr>
        <w:t>-</w:t>
      </w:r>
      <w:r>
        <w:rPr>
          <w:sz w:val="28"/>
          <w:szCs w:val="28"/>
          <w:lang w:val="en-US"/>
        </w:rPr>
        <w:tab/>
      </w:r>
      <w:r w:rsidR="007A7CE7">
        <w:rPr>
          <w:sz w:val="28"/>
          <w:szCs w:val="28"/>
        </w:rPr>
        <w:t xml:space="preserve">механизмът, регламентиран с Указание за организация на информационната дейност в ПРБ, утвърдено със заповед №ЛС-1985/30.05.2014 г., изм. със </w:t>
      </w:r>
      <w:proofErr w:type="spellStart"/>
      <w:r w:rsidR="007A7CE7">
        <w:rPr>
          <w:sz w:val="28"/>
          <w:szCs w:val="28"/>
        </w:rPr>
        <w:t>зап</w:t>
      </w:r>
      <w:proofErr w:type="spellEnd"/>
      <w:r w:rsidR="007A7CE7">
        <w:rPr>
          <w:sz w:val="28"/>
          <w:szCs w:val="28"/>
        </w:rPr>
        <w:t>. №РД-02-27/21.11.2017 г.</w:t>
      </w:r>
      <w:r w:rsidR="007A7CE7">
        <w:rPr>
          <w:sz w:val="28"/>
          <w:szCs w:val="28"/>
          <w:lang w:eastAsia="en-US"/>
        </w:rPr>
        <w:t xml:space="preserve">, Заповед №РД-02-17/27.06.2019 г.,Заповед № РД-02-20/05.07.2021г. и Заповед № </w:t>
      </w:r>
      <w:r w:rsidR="007A7CE7">
        <w:rPr>
          <w:sz w:val="28"/>
          <w:szCs w:val="28"/>
          <w:lang w:eastAsia="en-US"/>
        </w:rPr>
        <w:tab/>
        <w:t>РД-02-03/ 01.04.2022 г.</w:t>
      </w:r>
      <w:r w:rsidR="007A7CE7">
        <w:rPr>
          <w:sz w:val="28"/>
          <w:szCs w:val="28"/>
        </w:rPr>
        <w:t xml:space="preserve">на Главния прокурор (Указанието) и </w:t>
      </w:r>
    </w:p>
    <w:p w:rsidR="007A7CE7" w:rsidRDefault="00622436" w:rsidP="00622436">
      <w:pPr>
        <w:ind w:firstLine="709"/>
        <w:jc w:val="both"/>
        <w:rPr>
          <w:sz w:val="28"/>
          <w:szCs w:val="28"/>
        </w:rPr>
      </w:pPr>
      <w:r>
        <w:rPr>
          <w:sz w:val="28"/>
          <w:szCs w:val="28"/>
        </w:rPr>
        <w:t>-</w:t>
      </w:r>
      <w:r>
        <w:rPr>
          <w:sz w:val="28"/>
          <w:szCs w:val="28"/>
          <w:lang w:val="en-US"/>
        </w:rPr>
        <w:tab/>
      </w:r>
      <w:r w:rsidR="007A7CE7">
        <w:rPr>
          <w:sz w:val="28"/>
          <w:szCs w:val="28"/>
        </w:rPr>
        <w:t xml:space="preserve">данните от УИС-3 на ПРБ по критерии и показатели, съгласно приетите от ВСС Правила за измерване на натовареността на прокуратурите и на индивидуалната натовареност на всеки прокурор и следовател (Правилата), приети с решение ВСС по протокол № 60/11.12.2014г. Изведени са данни и за натовареността с административно-ръководната дейност на Административния ръководител и неговите </w:t>
      </w:r>
      <w:proofErr w:type="spellStart"/>
      <w:r w:rsidR="007A7CE7">
        <w:rPr>
          <w:sz w:val="28"/>
          <w:szCs w:val="28"/>
        </w:rPr>
        <w:t>заместници</w:t>
      </w:r>
      <w:proofErr w:type="spellEnd"/>
      <w:r w:rsidR="007A7CE7">
        <w:rPr>
          <w:sz w:val="28"/>
          <w:szCs w:val="28"/>
        </w:rPr>
        <w:t>.</w:t>
      </w:r>
    </w:p>
    <w:p w:rsidR="007A7CE7" w:rsidRDefault="007A7CE7" w:rsidP="007A7CE7">
      <w:pPr>
        <w:ind w:firstLine="709"/>
        <w:jc w:val="both"/>
        <w:rPr>
          <w:sz w:val="28"/>
          <w:szCs w:val="28"/>
        </w:rPr>
      </w:pPr>
    </w:p>
    <w:p w:rsidR="007A7CE7" w:rsidRDefault="007A7CE7" w:rsidP="000059A2">
      <w:pPr>
        <w:keepNext/>
        <w:keepLines/>
        <w:numPr>
          <w:ilvl w:val="0"/>
          <w:numId w:val="11"/>
        </w:numPr>
        <w:shd w:val="clear" w:color="auto" w:fill="FFFFFF"/>
        <w:spacing w:before="480" w:after="200"/>
        <w:ind w:left="0" w:firstLine="709"/>
        <w:contextualSpacing/>
        <w:outlineLvl w:val="0"/>
        <w:rPr>
          <w:b/>
          <w:bCs/>
          <w:sz w:val="28"/>
          <w:szCs w:val="28"/>
          <w:lang w:eastAsia="en-US"/>
        </w:rPr>
      </w:pPr>
      <w:r>
        <w:rPr>
          <w:b/>
          <w:bCs/>
          <w:sz w:val="28"/>
          <w:szCs w:val="28"/>
          <w:lang w:eastAsia="en-US"/>
        </w:rPr>
        <w:t>ОБЕМ НА ПРОКУРОРСКАТА ДЕЙНОСТ</w:t>
      </w:r>
    </w:p>
    <w:p w:rsidR="007A7CE7" w:rsidRDefault="007A7CE7" w:rsidP="007A7CE7">
      <w:pPr>
        <w:ind w:firstLine="709"/>
        <w:jc w:val="both"/>
        <w:rPr>
          <w:sz w:val="28"/>
          <w:szCs w:val="28"/>
          <w:lang w:val="en-US"/>
        </w:rPr>
      </w:pPr>
      <w:r>
        <w:rPr>
          <w:sz w:val="28"/>
          <w:szCs w:val="28"/>
        </w:rPr>
        <w:t>Към 31.12.2023 г. в Окръжна прокуратура – Варна има по щат 2</w:t>
      </w:r>
      <w:r>
        <w:rPr>
          <w:sz w:val="28"/>
          <w:szCs w:val="28"/>
          <w:lang w:val="en-US"/>
        </w:rPr>
        <w:t>5</w:t>
      </w:r>
      <w:r>
        <w:rPr>
          <w:sz w:val="28"/>
          <w:szCs w:val="28"/>
        </w:rPr>
        <w:t xml:space="preserve"> прокурори, 3-ма заместник административни ръководители и 1 административен ръководител - окръжен прокурор. От тях незаети са 2 щатни бройки за длъжността “прокурор”. </w:t>
      </w:r>
    </w:p>
    <w:p w:rsidR="007A7CE7" w:rsidRDefault="007A7CE7" w:rsidP="007A7CE7">
      <w:pPr>
        <w:ind w:firstLine="709"/>
        <w:jc w:val="both"/>
        <w:rPr>
          <w:sz w:val="28"/>
          <w:szCs w:val="28"/>
        </w:rPr>
      </w:pPr>
      <w:r>
        <w:rPr>
          <w:sz w:val="28"/>
          <w:szCs w:val="28"/>
        </w:rPr>
        <w:t>През отчетния период реално са работили 26,5 прокурори, през 2022г.  26,98 прокурори, през 2021г. -  26,5 прокурори.</w:t>
      </w:r>
    </w:p>
    <w:p w:rsidR="007A7CE7" w:rsidRDefault="007A7CE7" w:rsidP="007A7CE7">
      <w:pPr>
        <w:ind w:firstLine="709"/>
        <w:jc w:val="both"/>
        <w:rPr>
          <w:sz w:val="28"/>
          <w:szCs w:val="28"/>
        </w:rPr>
      </w:pPr>
      <w:r>
        <w:rPr>
          <w:sz w:val="28"/>
          <w:szCs w:val="28"/>
        </w:rPr>
        <w:t>Съгласно таблица 5.1. общият обем на прокурорската дейност е 23544, в сравнение с 18733 през 2022г. и 17636 през 2021 г.</w:t>
      </w:r>
    </w:p>
    <w:p w:rsidR="007A7CE7" w:rsidRDefault="007A7CE7" w:rsidP="007A7CE7">
      <w:pPr>
        <w:ind w:firstLine="709"/>
        <w:jc w:val="both"/>
        <w:rPr>
          <w:sz w:val="28"/>
          <w:szCs w:val="28"/>
        </w:rPr>
      </w:pPr>
      <w:r>
        <w:rPr>
          <w:sz w:val="28"/>
          <w:szCs w:val="28"/>
        </w:rPr>
        <w:t xml:space="preserve">Наблюдава се процентно </w:t>
      </w:r>
      <w:r>
        <w:rPr>
          <w:b/>
          <w:sz w:val="28"/>
          <w:szCs w:val="28"/>
        </w:rPr>
        <w:t>увеличение</w:t>
      </w:r>
      <w:r>
        <w:rPr>
          <w:sz w:val="28"/>
          <w:szCs w:val="28"/>
        </w:rPr>
        <w:t xml:space="preserve"> на общия обем прокурорска дейност с 25,7</w:t>
      </w:r>
      <w:r w:rsidR="00704100">
        <w:rPr>
          <w:sz w:val="28"/>
          <w:szCs w:val="28"/>
        </w:rPr>
        <w:t>%</w:t>
      </w:r>
      <w:r>
        <w:rPr>
          <w:sz w:val="28"/>
          <w:szCs w:val="28"/>
        </w:rPr>
        <w:t xml:space="preserve"> в сравнение с предходната 2022 г и с 33,5</w:t>
      </w:r>
      <w:r w:rsidR="00704100">
        <w:rPr>
          <w:sz w:val="28"/>
          <w:szCs w:val="28"/>
        </w:rPr>
        <w:t>%</w:t>
      </w:r>
      <w:r>
        <w:rPr>
          <w:sz w:val="28"/>
          <w:szCs w:val="28"/>
        </w:rPr>
        <w:t xml:space="preserve"> спрямо 2021г.</w:t>
      </w:r>
    </w:p>
    <w:p w:rsidR="007A7CE7" w:rsidRDefault="008B1FBB" w:rsidP="007A7CE7">
      <w:pPr>
        <w:tabs>
          <w:tab w:val="left" w:pos="8364"/>
        </w:tabs>
        <w:ind w:firstLine="709"/>
        <w:jc w:val="both"/>
        <w:rPr>
          <w:sz w:val="28"/>
          <w:szCs w:val="28"/>
        </w:rPr>
      </w:pPr>
      <w:r>
        <w:rPr>
          <w:noProof/>
        </w:rPr>
        <w:drawing>
          <wp:anchor distT="0" distB="0" distL="114300" distR="114300" simplePos="0" relativeHeight="251683840" behindDoc="0" locked="0" layoutInCell="1" allowOverlap="1" wp14:anchorId="3E41AB6D" wp14:editId="785A5028">
            <wp:simplePos x="0" y="0"/>
            <wp:positionH relativeFrom="column">
              <wp:posOffset>-109855</wp:posOffset>
            </wp:positionH>
            <wp:positionV relativeFrom="paragraph">
              <wp:posOffset>225425</wp:posOffset>
            </wp:positionV>
            <wp:extent cx="6248400" cy="3127375"/>
            <wp:effectExtent l="133350" t="133350" r="133350" b="130175"/>
            <wp:wrapTopAndBottom/>
            <wp:docPr id="28" name="Диагра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7A7CE7" w:rsidRDefault="007A7CE7" w:rsidP="007A7CE7">
      <w:pPr>
        <w:ind w:firstLine="709"/>
        <w:jc w:val="both"/>
        <w:rPr>
          <w:sz w:val="28"/>
          <w:szCs w:val="28"/>
        </w:rPr>
      </w:pPr>
      <w:r>
        <w:rPr>
          <w:sz w:val="28"/>
          <w:szCs w:val="28"/>
        </w:rPr>
        <w:lastRenderedPageBreak/>
        <w:t>Обемът на прокурорската дейност е онагледен в долната таблица:</w:t>
      </w:r>
    </w:p>
    <w:tbl>
      <w:tblPr>
        <w:tblW w:w="8910" w:type="dxa"/>
        <w:tblInd w:w="15" w:type="dxa"/>
        <w:tblLayout w:type="fixed"/>
        <w:tblCellMar>
          <w:left w:w="0" w:type="dxa"/>
          <w:right w:w="0" w:type="dxa"/>
        </w:tblCellMar>
        <w:tblLook w:val="04A0" w:firstRow="1" w:lastRow="0" w:firstColumn="1" w:lastColumn="0" w:noHBand="0" w:noVBand="1"/>
      </w:tblPr>
      <w:tblGrid>
        <w:gridCol w:w="5082"/>
        <w:gridCol w:w="1276"/>
        <w:gridCol w:w="1276"/>
        <w:gridCol w:w="1276"/>
      </w:tblGrid>
      <w:tr w:rsidR="007A7CE7" w:rsidTr="007A7CE7">
        <w:trPr>
          <w:trHeight w:val="720"/>
        </w:trPr>
        <w:tc>
          <w:tcPr>
            <w:tcW w:w="5082" w:type="dxa"/>
            <w:vMerge w:val="restart"/>
            <w:tcBorders>
              <w:top w:val="single" w:sz="4" w:space="0" w:color="auto"/>
              <w:left w:val="single" w:sz="4" w:space="0" w:color="auto"/>
              <w:bottom w:val="single" w:sz="4" w:space="0" w:color="000000"/>
              <w:right w:val="single" w:sz="4" w:space="0" w:color="auto"/>
            </w:tcBorders>
            <w:shd w:val="clear" w:color="auto" w:fill="B8CCE4"/>
            <w:tcMar>
              <w:top w:w="15" w:type="dxa"/>
              <w:left w:w="15" w:type="dxa"/>
              <w:bottom w:w="0" w:type="dxa"/>
              <w:right w:w="15" w:type="dxa"/>
            </w:tcMar>
            <w:vAlign w:val="center"/>
            <w:hideMark/>
          </w:tcPr>
          <w:p w:rsidR="007A7CE7" w:rsidRDefault="007A7CE7">
            <w:pPr>
              <w:spacing w:line="276" w:lineRule="auto"/>
              <w:jc w:val="both"/>
              <w:rPr>
                <w:b/>
                <w:bCs/>
                <w:lang w:eastAsia="en-US"/>
              </w:rPr>
            </w:pPr>
            <w:r>
              <w:rPr>
                <w:b/>
                <w:bCs/>
                <w:lang w:eastAsia="en-US"/>
              </w:rPr>
              <w:t xml:space="preserve">Обем натовареност </w:t>
            </w:r>
          </w:p>
          <w:p w:rsidR="007A7CE7" w:rsidRDefault="007A7CE7">
            <w:pPr>
              <w:spacing w:line="276" w:lineRule="auto"/>
              <w:jc w:val="both"/>
              <w:rPr>
                <w:b/>
                <w:bCs/>
                <w:lang w:eastAsia="en-US"/>
              </w:rPr>
            </w:pPr>
            <w:r>
              <w:rPr>
                <w:b/>
                <w:bCs/>
                <w:lang w:eastAsia="en-US"/>
              </w:rPr>
              <w:t>в Окръжна прокуратура - Варна</w:t>
            </w:r>
          </w:p>
        </w:tc>
        <w:tc>
          <w:tcPr>
            <w:tcW w:w="3828" w:type="dxa"/>
            <w:gridSpan w:val="3"/>
            <w:tcBorders>
              <w:top w:val="single" w:sz="4" w:space="0" w:color="auto"/>
              <w:left w:val="nil"/>
              <w:bottom w:val="single" w:sz="4" w:space="0" w:color="auto"/>
              <w:right w:val="single" w:sz="4" w:space="0" w:color="auto"/>
            </w:tcBorders>
            <w:shd w:val="clear" w:color="auto" w:fill="B8CCE4"/>
            <w:tcMar>
              <w:top w:w="15" w:type="dxa"/>
              <w:left w:w="15" w:type="dxa"/>
              <w:bottom w:w="0" w:type="dxa"/>
              <w:right w:w="15" w:type="dxa"/>
            </w:tcMar>
            <w:vAlign w:val="bottom"/>
            <w:hideMark/>
          </w:tcPr>
          <w:p w:rsidR="007A7CE7" w:rsidRDefault="007A7CE7">
            <w:pPr>
              <w:spacing w:line="276" w:lineRule="auto"/>
              <w:jc w:val="center"/>
              <w:rPr>
                <w:b/>
                <w:bCs/>
                <w:lang w:eastAsia="en-US"/>
              </w:rPr>
            </w:pPr>
            <w:r>
              <w:rPr>
                <w:b/>
                <w:bCs/>
                <w:lang w:eastAsia="en-US"/>
              </w:rPr>
              <w:t>Обем на прокурорската дейност</w:t>
            </w:r>
          </w:p>
        </w:tc>
      </w:tr>
      <w:tr w:rsidR="007A7CE7" w:rsidTr="007A7CE7">
        <w:trPr>
          <w:trHeight w:val="386"/>
        </w:trPr>
        <w:tc>
          <w:tcPr>
            <w:tcW w:w="5082" w:type="dxa"/>
            <w:vMerge/>
            <w:tcBorders>
              <w:top w:val="single" w:sz="4" w:space="0" w:color="auto"/>
              <w:left w:val="single" w:sz="4" w:space="0" w:color="auto"/>
              <w:bottom w:val="single" w:sz="4" w:space="0" w:color="000000"/>
              <w:right w:val="single" w:sz="4" w:space="0" w:color="auto"/>
            </w:tcBorders>
            <w:vAlign w:val="center"/>
            <w:hideMark/>
          </w:tcPr>
          <w:p w:rsidR="007A7CE7" w:rsidRDefault="007A7CE7">
            <w:pPr>
              <w:rPr>
                <w:b/>
                <w:bCs/>
                <w:lang w:eastAsia="en-US"/>
              </w:rPr>
            </w:pPr>
            <w:bookmarkStart w:id="57" w:name="_Hlk157151788" w:colFirst="1" w:colLast="3"/>
          </w:p>
        </w:tc>
        <w:tc>
          <w:tcPr>
            <w:tcW w:w="1276" w:type="dxa"/>
            <w:tcBorders>
              <w:top w:val="nil"/>
              <w:left w:val="nil"/>
              <w:bottom w:val="single" w:sz="4" w:space="0" w:color="auto"/>
              <w:right w:val="single" w:sz="4" w:space="0" w:color="auto"/>
            </w:tcBorders>
            <w:shd w:val="clear" w:color="auto" w:fill="EAF1DD" w:themeFill="accent3" w:themeFillTint="33"/>
            <w:tcMar>
              <w:top w:w="15" w:type="dxa"/>
              <w:left w:w="15" w:type="dxa"/>
              <w:bottom w:w="0" w:type="dxa"/>
              <w:right w:w="15" w:type="dxa"/>
            </w:tcMar>
            <w:vAlign w:val="bottom"/>
            <w:hideMark/>
          </w:tcPr>
          <w:p w:rsidR="007A7CE7" w:rsidRDefault="007A7CE7">
            <w:pPr>
              <w:spacing w:line="276" w:lineRule="auto"/>
              <w:jc w:val="center"/>
              <w:rPr>
                <w:b/>
                <w:bCs/>
                <w:lang w:eastAsia="en-US"/>
              </w:rPr>
            </w:pPr>
            <w:r>
              <w:rPr>
                <w:b/>
                <w:bCs/>
                <w:lang w:eastAsia="en-US"/>
              </w:rPr>
              <w:t>2021 г.</w:t>
            </w:r>
          </w:p>
        </w:tc>
        <w:tc>
          <w:tcPr>
            <w:tcW w:w="1276" w:type="dxa"/>
            <w:tcBorders>
              <w:top w:val="nil"/>
              <w:left w:val="nil"/>
              <w:bottom w:val="single" w:sz="4" w:space="0" w:color="auto"/>
              <w:right w:val="single" w:sz="4" w:space="0" w:color="auto"/>
            </w:tcBorders>
            <w:shd w:val="clear" w:color="auto" w:fill="FDE9D9" w:themeFill="accent6" w:themeFillTint="33"/>
            <w:tcMar>
              <w:top w:w="15" w:type="dxa"/>
              <w:left w:w="15" w:type="dxa"/>
              <w:bottom w:w="0" w:type="dxa"/>
              <w:right w:w="15" w:type="dxa"/>
            </w:tcMar>
            <w:vAlign w:val="bottom"/>
            <w:hideMark/>
          </w:tcPr>
          <w:p w:rsidR="007A7CE7" w:rsidRDefault="007A7CE7">
            <w:pPr>
              <w:spacing w:line="276" w:lineRule="auto"/>
              <w:jc w:val="center"/>
              <w:rPr>
                <w:b/>
                <w:bCs/>
                <w:lang w:eastAsia="en-US"/>
              </w:rPr>
            </w:pPr>
            <w:r>
              <w:rPr>
                <w:b/>
                <w:bCs/>
                <w:lang w:eastAsia="en-US"/>
              </w:rPr>
              <w:t>2022г.</w:t>
            </w:r>
          </w:p>
        </w:tc>
        <w:tc>
          <w:tcPr>
            <w:tcW w:w="1276"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bottom"/>
            <w:hideMark/>
          </w:tcPr>
          <w:p w:rsidR="007A7CE7" w:rsidRDefault="007A7CE7">
            <w:pPr>
              <w:spacing w:line="276" w:lineRule="auto"/>
              <w:jc w:val="center"/>
              <w:rPr>
                <w:b/>
                <w:bCs/>
                <w:lang w:eastAsia="en-US"/>
              </w:rPr>
            </w:pPr>
            <w:r>
              <w:rPr>
                <w:b/>
                <w:bCs/>
                <w:lang w:eastAsia="en-US"/>
              </w:rPr>
              <w:t>2023</w:t>
            </w:r>
          </w:p>
        </w:tc>
      </w:tr>
      <w:tr w:rsidR="007A7CE7" w:rsidTr="007A7CE7">
        <w:trPr>
          <w:trHeight w:val="294"/>
        </w:trPr>
        <w:tc>
          <w:tcPr>
            <w:tcW w:w="5082"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7A7CE7" w:rsidRDefault="007A7CE7">
            <w:pPr>
              <w:spacing w:line="276" w:lineRule="auto"/>
              <w:jc w:val="both"/>
              <w:rPr>
                <w:lang w:eastAsia="en-US"/>
              </w:rPr>
            </w:pPr>
            <w:r>
              <w:rPr>
                <w:lang w:eastAsia="en-US"/>
              </w:rPr>
              <w:t xml:space="preserve">Общ обем на прокурорската дейност </w:t>
            </w:r>
          </w:p>
        </w:tc>
        <w:tc>
          <w:tcPr>
            <w:tcW w:w="1276" w:type="dxa"/>
            <w:tcBorders>
              <w:top w:val="nil"/>
              <w:left w:val="nil"/>
              <w:bottom w:val="single" w:sz="4" w:space="0" w:color="auto"/>
              <w:right w:val="single" w:sz="4" w:space="0" w:color="auto"/>
            </w:tcBorders>
            <w:shd w:val="clear" w:color="auto" w:fill="EAF1DD" w:themeFill="accent3" w:themeFillTint="33"/>
            <w:tcMar>
              <w:top w:w="15" w:type="dxa"/>
              <w:left w:w="15" w:type="dxa"/>
              <w:bottom w:w="0" w:type="dxa"/>
              <w:right w:w="15" w:type="dxa"/>
            </w:tcMar>
            <w:vAlign w:val="bottom"/>
            <w:hideMark/>
          </w:tcPr>
          <w:p w:rsidR="007A7CE7" w:rsidRDefault="007A7CE7">
            <w:pPr>
              <w:spacing w:line="276" w:lineRule="auto"/>
              <w:jc w:val="center"/>
              <w:rPr>
                <w:b/>
                <w:lang w:eastAsia="en-US"/>
              </w:rPr>
            </w:pPr>
            <w:r>
              <w:rPr>
                <w:b/>
                <w:lang w:eastAsia="en-US"/>
              </w:rPr>
              <w:t>17636</w:t>
            </w:r>
          </w:p>
        </w:tc>
        <w:tc>
          <w:tcPr>
            <w:tcW w:w="1276" w:type="dxa"/>
            <w:tcBorders>
              <w:top w:val="nil"/>
              <w:left w:val="nil"/>
              <w:bottom w:val="single" w:sz="4" w:space="0" w:color="auto"/>
              <w:right w:val="single" w:sz="4" w:space="0" w:color="auto"/>
            </w:tcBorders>
            <w:shd w:val="clear" w:color="auto" w:fill="FDE9D9" w:themeFill="accent6" w:themeFillTint="33"/>
            <w:tcMar>
              <w:top w:w="15" w:type="dxa"/>
              <w:left w:w="15" w:type="dxa"/>
              <w:bottom w:w="0" w:type="dxa"/>
              <w:right w:w="15" w:type="dxa"/>
            </w:tcMar>
            <w:vAlign w:val="bottom"/>
            <w:hideMark/>
          </w:tcPr>
          <w:p w:rsidR="007A7CE7" w:rsidRDefault="007A7CE7">
            <w:pPr>
              <w:spacing w:line="276" w:lineRule="auto"/>
              <w:jc w:val="center"/>
              <w:rPr>
                <w:b/>
                <w:lang w:eastAsia="en-US"/>
              </w:rPr>
            </w:pPr>
            <w:r>
              <w:rPr>
                <w:b/>
                <w:lang w:eastAsia="en-US"/>
              </w:rPr>
              <w:t>18733</w:t>
            </w:r>
          </w:p>
        </w:tc>
        <w:tc>
          <w:tcPr>
            <w:tcW w:w="1276"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bottom"/>
            <w:hideMark/>
          </w:tcPr>
          <w:p w:rsidR="007A7CE7" w:rsidRDefault="007A7CE7">
            <w:pPr>
              <w:spacing w:line="276" w:lineRule="auto"/>
              <w:jc w:val="center"/>
              <w:rPr>
                <w:b/>
                <w:lang w:eastAsia="en-US"/>
              </w:rPr>
            </w:pPr>
            <w:r>
              <w:rPr>
                <w:b/>
                <w:lang w:eastAsia="en-US"/>
              </w:rPr>
              <w:t>23544</w:t>
            </w:r>
          </w:p>
        </w:tc>
      </w:tr>
      <w:tr w:rsidR="007A7CE7" w:rsidTr="007A7CE7">
        <w:trPr>
          <w:trHeight w:val="372"/>
        </w:trPr>
        <w:tc>
          <w:tcPr>
            <w:tcW w:w="5082"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7A7CE7" w:rsidRDefault="007A7CE7">
            <w:pPr>
              <w:spacing w:line="276" w:lineRule="auto"/>
              <w:jc w:val="both"/>
              <w:rPr>
                <w:lang w:eastAsia="en-US"/>
              </w:rPr>
            </w:pPr>
            <w:r>
              <w:rPr>
                <w:lang w:eastAsia="en-US"/>
              </w:rPr>
              <w:t xml:space="preserve">Прокурорски актове внесени съда </w:t>
            </w:r>
          </w:p>
        </w:tc>
        <w:tc>
          <w:tcPr>
            <w:tcW w:w="1276" w:type="dxa"/>
            <w:tcBorders>
              <w:top w:val="nil"/>
              <w:left w:val="nil"/>
              <w:bottom w:val="single" w:sz="4" w:space="0" w:color="auto"/>
              <w:right w:val="single" w:sz="4" w:space="0" w:color="auto"/>
            </w:tcBorders>
            <w:shd w:val="clear" w:color="auto" w:fill="EAF1DD" w:themeFill="accent3" w:themeFillTint="33"/>
            <w:tcMar>
              <w:top w:w="15" w:type="dxa"/>
              <w:left w:w="15" w:type="dxa"/>
              <w:bottom w:w="0" w:type="dxa"/>
              <w:right w:w="15" w:type="dxa"/>
            </w:tcMar>
            <w:vAlign w:val="bottom"/>
            <w:hideMark/>
          </w:tcPr>
          <w:p w:rsidR="007A7CE7" w:rsidRDefault="007A7CE7">
            <w:pPr>
              <w:spacing w:line="276" w:lineRule="auto"/>
              <w:jc w:val="center"/>
              <w:rPr>
                <w:b/>
                <w:lang w:eastAsia="en-US"/>
              </w:rPr>
            </w:pPr>
            <w:r>
              <w:rPr>
                <w:b/>
                <w:lang w:eastAsia="en-US"/>
              </w:rPr>
              <w:t>155</w:t>
            </w:r>
          </w:p>
        </w:tc>
        <w:tc>
          <w:tcPr>
            <w:tcW w:w="1276" w:type="dxa"/>
            <w:tcBorders>
              <w:top w:val="nil"/>
              <w:left w:val="nil"/>
              <w:bottom w:val="single" w:sz="4" w:space="0" w:color="auto"/>
              <w:right w:val="single" w:sz="4" w:space="0" w:color="auto"/>
            </w:tcBorders>
            <w:shd w:val="clear" w:color="auto" w:fill="FDE9D9" w:themeFill="accent6" w:themeFillTint="33"/>
            <w:tcMar>
              <w:top w:w="15" w:type="dxa"/>
              <w:left w:w="15" w:type="dxa"/>
              <w:bottom w:w="0" w:type="dxa"/>
              <w:right w:w="15" w:type="dxa"/>
            </w:tcMar>
            <w:vAlign w:val="bottom"/>
            <w:hideMark/>
          </w:tcPr>
          <w:p w:rsidR="007A7CE7" w:rsidRDefault="007A7CE7">
            <w:pPr>
              <w:spacing w:line="276" w:lineRule="auto"/>
              <w:jc w:val="center"/>
              <w:rPr>
                <w:b/>
                <w:lang w:eastAsia="en-US"/>
              </w:rPr>
            </w:pPr>
            <w:r>
              <w:rPr>
                <w:b/>
                <w:lang w:eastAsia="en-US"/>
              </w:rPr>
              <w:t>143</w:t>
            </w:r>
          </w:p>
        </w:tc>
        <w:tc>
          <w:tcPr>
            <w:tcW w:w="1276"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bottom"/>
            <w:hideMark/>
          </w:tcPr>
          <w:p w:rsidR="007A7CE7" w:rsidRDefault="007A7CE7">
            <w:pPr>
              <w:spacing w:line="276" w:lineRule="auto"/>
              <w:jc w:val="center"/>
              <w:rPr>
                <w:b/>
                <w:lang w:eastAsia="en-US"/>
              </w:rPr>
            </w:pPr>
            <w:bookmarkStart w:id="58" w:name="OLE_LINK24"/>
            <w:r>
              <w:rPr>
                <w:b/>
                <w:lang w:eastAsia="en-US"/>
              </w:rPr>
              <w:t>168</w:t>
            </w:r>
            <w:bookmarkEnd w:id="58"/>
          </w:p>
        </w:tc>
      </w:tr>
      <w:tr w:rsidR="007A7CE7" w:rsidTr="007A7CE7">
        <w:trPr>
          <w:trHeight w:val="420"/>
        </w:trPr>
        <w:tc>
          <w:tcPr>
            <w:tcW w:w="5082"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7A7CE7" w:rsidRDefault="007A7CE7">
            <w:pPr>
              <w:spacing w:line="276" w:lineRule="auto"/>
              <w:jc w:val="both"/>
              <w:rPr>
                <w:lang w:eastAsia="en-US"/>
              </w:rPr>
            </w:pPr>
            <w:r>
              <w:rPr>
                <w:lang w:eastAsia="en-US"/>
              </w:rPr>
              <w:t xml:space="preserve">Общо участия в съдебни заседания </w:t>
            </w:r>
          </w:p>
        </w:tc>
        <w:tc>
          <w:tcPr>
            <w:tcW w:w="1276" w:type="dxa"/>
            <w:tcBorders>
              <w:top w:val="nil"/>
              <w:left w:val="nil"/>
              <w:bottom w:val="single" w:sz="4" w:space="0" w:color="auto"/>
              <w:right w:val="single" w:sz="4" w:space="0" w:color="auto"/>
            </w:tcBorders>
            <w:shd w:val="clear" w:color="auto" w:fill="EAF1DD" w:themeFill="accent3" w:themeFillTint="33"/>
            <w:tcMar>
              <w:top w:w="15" w:type="dxa"/>
              <w:left w:w="15" w:type="dxa"/>
              <w:bottom w:w="0" w:type="dxa"/>
              <w:right w:w="15" w:type="dxa"/>
            </w:tcMar>
            <w:vAlign w:val="bottom"/>
            <w:hideMark/>
          </w:tcPr>
          <w:p w:rsidR="007A7CE7" w:rsidRDefault="007A7CE7">
            <w:pPr>
              <w:spacing w:line="276" w:lineRule="auto"/>
              <w:jc w:val="center"/>
              <w:rPr>
                <w:b/>
                <w:lang w:eastAsia="en-US"/>
              </w:rPr>
            </w:pPr>
            <w:r>
              <w:rPr>
                <w:b/>
                <w:lang w:eastAsia="en-US"/>
              </w:rPr>
              <w:t>2489</w:t>
            </w:r>
          </w:p>
        </w:tc>
        <w:tc>
          <w:tcPr>
            <w:tcW w:w="1276" w:type="dxa"/>
            <w:tcBorders>
              <w:top w:val="nil"/>
              <w:left w:val="nil"/>
              <w:bottom w:val="single" w:sz="4" w:space="0" w:color="auto"/>
              <w:right w:val="single" w:sz="4" w:space="0" w:color="auto"/>
            </w:tcBorders>
            <w:shd w:val="clear" w:color="auto" w:fill="FDE9D9" w:themeFill="accent6" w:themeFillTint="33"/>
            <w:tcMar>
              <w:top w:w="15" w:type="dxa"/>
              <w:left w:w="15" w:type="dxa"/>
              <w:bottom w:w="0" w:type="dxa"/>
              <w:right w:w="15" w:type="dxa"/>
            </w:tcMar>
            <w:vAlign w:val="bottom"/>
            <w:hideMark/>
          </w:tcPr>
          <w:p w:rsidR="007A7CE7" w:rsidRDefault="007A7CE7">
            <w:pPr>
              <w:spacing w:line="276" w:lineRule="auto"/>
              <w:jc w:val="center"/>
              <w:rPr>
                <w:b/>
                <w:lang w:eastAsia="en-US"/>
              </w:rPr>
            </w:pPr>
            <w:r>
              <w:rPr>
                <w:b/>
                <w:lang w:eastAsia="en-US"/>
              </w:rPr>
              <w:t>2609</w:t>
            </w:r>
          </w:p>
        </w:tc>
        <w:tc>
          <w:tcPr>
            <w:tcW w:w="1276"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bottom"/>
            <w:hideMark/>
          </w:tcPr>
          <w:p w:rsidR="007A7CE7" w:rsidRDefault="007A7CE7">
            <w:pPr>
              <w:spacing w:line="276" w:lineRule="auto"/>
              <w:jc w:val="center"/>
              <w:rPr>
                <w:b/>
                <w:lang w:eastAsia="en-US"/>
              </w:rPr>
            </w:pPr>
            <w:r>
              <w:rPr>
                <w:b/>
                <w:lang w:eastAsia="en-US"/>
              </w:rPr>
              <w:t>2708</w:t>
            </w:r>
          </w:p>
        </w:tc>
      </w:tr>
      <w:tr w:rsidR="007A7CE7" w:rsidTr="007A7CE7">
        <w:trPr>
          <w:trHeight w:val="628"/>
        </w:trPr>
        <w:tc>
          <w:tcPr>
            <w:tcW w:w="5082"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7A7CE7" w:rsidRDefault="007A7CE7">
            <w:pPr>
              <w:spacing w:line="276" w:lineRule="auto"/>
              <w:jc w:val="both"/>
              <w:rPr>
                <w:lang w:eastAsia="en-US"/>
              </w:rPr>
            </w:pPr>
            <w:r>
              <w:rPr>
                <w:lang w:eastAsia="en-US"/>
              </w:rPr>
              <w:t xml:space="preserve">Общо други прокурорски актове и дейности </w:t>
            </w:r>
          </w:p>
          <w:p w:rsidR="007A7CE7" w:rsidRDefault="007A7CE7">
            <w:pPr>
              <w:spacing w:line="276" w:lineRule="auto"/>
              <w:jc w:val="both"/>
              <w:rPr>
                <w:lang w:eastAsia="en-US"/>
              </w:rPr>
            </w:pPr>
            <w:r>
              <w:rPr>
                <w:lang w:eastAsia="en-US"/>
              </w:rPr>
              <w:t>по всички видове надзори</w:t>
            </w:r>
          </w:p>
        </w:tc>
        <w:tc>
          <w:tcPr>
            <w:tcW w:w="1276" w:type="dxa"/>
            <w:tcBorders>
              <w:top w:val="nil"/>
              <w:left w:val="nil"/>
              <w:bottom w:val="single" w:sz="4" w:space="0" w:color="auto"/>
              <w:right w:val="single" w:sz="4" w:space="0" w:color="auto"/>
            </w:tcBorders>
            <w:shd w:val="clear" w:color="auto" w:fill="EAF1DD" w:themeFill="accent3" w:themeFillTint="33"/>
            <w:tcMar>
              <w:top w:w="15" w:type="dxa"/>
              <w:left w:w="15" w:type="dxa"/>
              <w:bottom w:w="0" w:type="dxa"/>
              <w:right w:w="15" w:type="dxa"/>
            </w:tcMar>
            <w:vAlign w:val="bottom"/>
            <w:hideMark/>
          </w:tcPr>
          <w:p w:rsidR="007A7CE7" w:rsidRDefault="007A7CE7">
            <w:pPr>
              <w:spacing w:line="276" w:lineRule="auto"/>
              <w:jc w:val="center"/>
              <w:rPr>
                <w:b/>
                <w:lang w:eastAsia="en-US"/>
              </w:rPr>
            </w:pPr>
            <w:bookmarkStart w:id="59" w:name="OLE_LINK22"/>
            <w:r>
              <w:rPr>
                <w:b/>
                <w:lang w:eastAsia="en-US"/>
              </w:rPr>
              <w:t>14992</w:t>
            </w:r>
            <w:bookmarkEnd w:id="59"/>
          </w:p>
        </w:tc>
        <w:tc>
          <w:tcPr>
            <w:tcW w:w="1276" w:type="dxa"/>
            <w:tcBorders>
              <w:top w:val="nil"/>
              <w:left w:val="nil"/>
              <w:bottom w:val="single" w:sz="4" w:space="0" w:color="auto"/>
              <w:right w:val="single" w:sz="4" w:space="0" w:color="auto"/>
            </w:tcBorders>
            <w:shd w:val="clear" w:color="auto" w:fill="FDE9D9" w:themeFill="accent6" w:themeFillTint="33"/>
            <w:tcMar>
              <w:top w:w="15" w:type="dxa"/>
              <w:left w:w="15" w:type="dxa"/>
              <w:bottom w:w="0" w:type="dxa"/>
              <w:right w:w="15" w:type="dxa"/>
            </w:tcMar>
            <w:vAlign w:val="bottom"/>
            <w:hideMark/>
          </w:tcPr>
          <w:p w:rsidR="007A7CE7" w:rsidRDefault="007A7CE7">
            <w:pPr>
              <w:spacing w:line="276" w:lineRule="auto"/>
              <w:jc w:val="center"/>
              <w:rPr>
                <w:b/>
                <w:lang w:eastAsia="en-US"/>
              </w:rPr>
            </w:pPr>
            <w:r>
              <w:rPr>
                <w:b/>
                <w:lang w:eastAsia="en-US"/>
              </w:rPr>
              <w:t>15981</w:t>
            </w:r>
          </w:p>
        </w:tc>
        <w:tc>
          <w:tcPr>
            <w:tcW w:w="1276"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bottom"/>
            <w:hideMark/>
          </w:tcPr>
          <w:p w:rsidR="007A7CE7" w:rsidRDefault="007A7CE7">
            <w:pPr>
              <w:spacing w:line="276" w:lineRule="auto"/>
              <w:jc w:val="center"/>
              <w:rPr>
                <w:b/>
                <w:lang w:eastAsia="en-US"/>
              </w:rPr>
            </w:pPr>
            <w:r>
              <w:rPr>
                <w:b/>
                <w:lang w:eastAsia="en-US"/>
              </w:rPr>
              <w:t>20668</w:t>
            </w:r>
          </w:p>
        </w:tc>
      </w:tr>
      <w:tr w:rsidR="007A7CE7" w:rsidTr="007A7CE7">
        <w:trPr>
          <w:trHeight w:val="255"/>
        </w:trPr>
        <w:tc>
          <w:tcPr>
            <w:tcW w:w="50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7CE7" w:rsidRDefault="007A7CE7">
            <w:pPr>
              <w:spacing w:line="276" w:lineRule="auto"/>
              <w:jc w:val="both"/>
              <w:rPr>
                <w:bCs/>
                <w:lang w:eastAsia="en-US"/>
              </w:rPr>
            </w:pPr>
            <w:r>
              <w:rPr>
                <w:bCs/>
                <w:lang w:eastAsia="en-US"/>
              </w:rPr>
              <w:t>Общ брой наблюдавани преписки СН</w:t>
            </w:r>
          </w:p>
        </w:tc>
        <w:tc>
          <w:tcPr>
            <w:tcW w:w="1276" w:type="dxa"/>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rsidR="007A7CE7" w:rsidRDefault="007A7CE7">
            <w:pPr>
              <w:spacing w:line="276" w:lineRule="auto"/>
              <w:jc w:val="center"/>
              <w:rPr>
                <w:b/>
                <w:bCs/>
                <w:highlight w:val="red"/>
                <w:lang w:eastAsia="en-US"/>
              </w:rPr>
            </w:pPr>
            <w:r>
              <w:rPr>
                <w:b/>
                <w:lang w:eastAsia="en-US"/>
              </w:rPr>
              <w:t>1797</w:t>
            </w:r>
          </w:p>
        </w:tc>
        <w:tc>
          <w:tcPr>
            <w:tcW w:w="1276" w:type="dxa"/>
            <w:tcBorders>
              <w:top w:val="nil"/>
              <w:left w:val="nil"/>
              <w:bottom w:val="single" w:sz="4" w:space="0" w:color="auto"/>
              <w:right w:val="single" w:sz="4" w:space="0" w:color="auto"/>
            </w:tcBorders>
            <w:shd w:val="clear" w:color="auto" w:fill="FDE9D9" w:themeFill="accent6" w:themeFillTint="33"/>
            <w:noWrap/>
            <w:tcMar>
              <w:top w:w="15" w:type="dxa"/>
              <w:left w:w="15" w:type="dxa"/>
              <w:bottom w:w="0" w:type="dxa"/>
              <w:right w:w="15" w:type="dxa"/>
            </w:tcMar>
            <w:vAlign w:val="bottom"/>
            <w:hideMark/>
          </w:tcPr>
          <w:p w:rsidR="007A7CE7" w:rsidRDefault="007A7CE7">
            <w:pPr>
              <w:spacing w:line="276" w:lineRule="auto"/>
              <w:jc w:val="center"/>
              <w:rPr>
                <w:b/>
                <w:bCs/>
                <w:highlight w:val="red"/>
                <w:lang w:eastAsia="en-US"/>
              </w:rPr>
            </w:pPr>
            <w:r>
              <w:rPr>
                <w:b/>
                <w:lang w:eastAsia="en-US"/>
              </w:rPr>
              <w:t>1766</w:t>
            </w:r>
          </w:p>
        </w:tc>
        <w:tc>
          <w:tcPr>
            <w:tcW w:w="1276" w:type="dxa"/>
            <w:tcBorders>
              <w:top w:val="nil"/>
              <w:left w:val="nil"/>
              <w:bottom w:val="single" w:sz="4" w:space="0" w:color="auto"/>
              <w:right w:val="single" w:sz="4" w:space="0" w:color="auto"/>
            </w:tcBorders>
            <w:shd w:val="clear" w:color="auto" w:fill="DAEEF3" w:themeFill="accent5" w:themeFillTint="33"/>
            <w:noWrap/>
            <w:tcMar>
              <w:top w:w="15" w:type="dxa"/>
              <w:left w:w="15" w:type="dxa"/>
              <w:bottom w:w="0" w:type="dxa"/>
              <w:right w:w="15" w:type="dxa"/>
            </w:tcMar>
            <w:vAlign w:val="bottom"/>
            <w:hideMark/>
          </w:tcPr>
          <w:p w:rsidR="007A7CE7" w:rsidRDefault="007A7CE7">
            <w:pPr>
              <w:spacing w:line="276" w:lineRule="auto"/>
              <w:jc w:val="center"/>
              <w:rPr>
                <w:b/>
                <w:bCs/>
                <w:highlight w:val="red"/>
                <w:lang w:eastAsia="en-US"/>
              </w:rPr>
            </w:pPr>
            <w:r>
              <w:rPr>
                <w:b/>
                <w:bCs/>
                <w:lang w:eastAsia="en-US"/>
              </w:rPr>
              <w:t>2000</w:t>
            </w:r>
          </w:p>
        </w:tc>
      </w:tr>
      <w:tr w:rsidR="007A7CE7" w:rsidTr="007A7CE7">
        <w:trPr>
          <w:trHeight w:val="255"/>
        </w:trPr>
        <w:tc>
          <w:tcPr>
            <w:tcW w:w="50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7CE7" w:rsidRDefault="007A7CE7">
            <w:pPr>
              <w:spacing w:line="276" w:lineRule="auto"/>
              <w:jc w:val="both"/>
              <w:rPr>
                <w:bCs/>
                <w:lang w:eastAsia="en-US"/>
              </w:rPr>
            </w:pPr>
            <w:r>
              <w:rPr>
                <w:bCs/>
                <w:lang w:eastAsia="en-US"/>
              </w:rPr>
              <w:t>Новообразувани ДП</w:t>
            </w:r>
          </w:p>
        </w:tc>
        <w:tc>
          <w:tcPr>
            <w:tcW w:w="1276" w:type="dxa"/>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rsidR="007A7CE7" w:rsidRDefault="007A7CE7">
            <w:pPr>
              <w:spacing w:line="276" w:lineRule="auto"/>
              <w:jc w:val="center"/>
              <w:rPr>
                <w:b/>
                <w:bCs/>
                <w:highlight w:val="red"/>
                <w:lang w:eastAsia="en-US"/>
              </w:rPr>
            </w:pPr>
            <w:r>
              <w:rPr>
                <w:b/>
                <w:lang w:eastAsia="en-US"/>
              </w:rPr>
              <w:t>354</w:t>
            </w:r>
          </w:p>
        </w:tc>
        <w:tc>
          <w:tcPr>
            <w:tcW w:w="1276" w:type="dxa"/>
            <w:tcBorders>
              <w:top w:val="nil"/>
              <w:left w:val="nil"/>
              <w:bottom w:val="single" w:sz="4" w:space="0" w:color="auto"/>
              <w:right w:val="single" w:sz="4" w:space="0" w:color="auto"/>
            </w:tcBorders>
            <w:shd w:val="clear" w:color="auto" w:fill="FDE9D9" w:themeFill="accent6" w:themeFillTint="33"/>
            <w:noWrap/>
            <w:tcMar>
              <w:top w:w="15" w:type="dxa"/>
              <w:left w:w="15" w:type="dxa"/>
              <w:bottom w:w="0" w:type="dxa"/>
              <w:right w:w="15" w:type="dxa"/>
            </w:tcMar>
            <w:vAlign w:val="bottom"/>
            <w:hideMark/>
          </w:tcPr>
          <w:p w:rsidR="007A7CE7" w:rsidRDefault="007A7CE7">
            <w:pPr>
              <w:spacing w:line="276" w:lineRule="auto"/>
              <w:jc w:val="center"/>
              <w:rPr>
                <w:b/>
                <w:lang w:eastAsia="en-US"/>
              </w:rPr>
            </w:pPr>
            <w:bookmarkStart w:id="60" w:name="OLE_LINK16"/>
            <w:r>
              <w:rPr>
                <w:b/>
                <w:lang w:eastAsia="en-US"/>
              </w:rPr>
              <w:t>384</w:t>
            </w:r>
            <w:bookmarkEnd w:id="60"/>
          </w:p>
        </w:tc>
        <w:tc>
          <w:tcPr>
            <w:tcW w:w="1276" w:type="dxa"/>
            <w:tcBorders>
              <w:top w:val="nil"/>
              <w:left w:val="nil"/>
              <w:bottom w:val="single" w:sz="4" w:space="0" w:color="auto"/>
              <w:right w:val="single" w:sz="4" w:space="0" w:color="auto"/>
            </w:tcBorders>
            <w:shd w:val="clear" w:color="auto" w:fill="DAEEF3" w:themeFill="accent5" w:themeFillTint="33"/>
            <w:noWrap/>
            <w:tcMar>
              <w:top w:w="15" w:type="dxa"/>
              <w:left w:w="15" w:type="dxa"/>
              <w:bottom w:w="0" w:type="dxa"/>
              <w:right w:w="15" w:type="dxa"/>
            </w:tcMar>
            <w:vAlign w:val="bottom"/>
            <w:hideMark/>
          </w:tcPr>
          <w:p w:rsidR="007A7CE7" w:rsidRDefault="007A7CE7">
            <w:pPr>
              <w:spacing w:line="276" w:lineRule="auto"/>
              <w:jc w:val="center"/>
              <w:rPr>
                <w:b/>
                <w:lang w:eastAsia="en-US"/>
              </w:rPr>
            </w:pPr>
            <w:r>
              <w:rPr>
                <w:b/>
                <w:lang w:eastAsia="en-US"/>
              </w:rPr>
              <w:t>458</w:t>
            </w:r>
          </w:p>
        </w:tc>
      </w:tr>
      <w:tr w:rsidR="007A7CE7" w:rsidTr="007A7CE7">
        <w:trPr>
          <w:trHeight w:val="255"/>
        </w:trPr>
        <w:tc>
          <w:tcPr>
            <w:tcW w:w="508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7CE7" w:rsidRDefault="007A7CE7">
            <w:pPr>
              <w:spacing w:line="276" w:lineRule="auto"/>
              <w:jc w:val="both"/>
              <w:rPr>
                <w:bCs/>
                <w:lang w:eastAsia="en-US"/>
              </w:rPr>
            </w:pPr>
            <w:r>
              <w:rPr>
                <w:bCs/>
                <w:lang w:eastAsia="en-US"/>
              </w:rPr>
              <w:t>Наблюдавани ДП</w:t>
            </w:r>
          </w:p>
        </w:tc>
        <w:tc>
          <w:tcPr>
            <w:tcW w:w="1276" w:type="dxa"/>
            <w:tcBorders>
              <w:top w:val="nil"/>
              <w:left w:val="nil"/>
              <w:bottom w:val="single" w:sz="4" w:space="0" w:color="auto"/>
              <w:right w:val="single" w:sz="4" w:space="0" w:color="auto"/>
            </w:tcBorders>
            <w:shd w:val="clear" w:color="auto" w:fill="EAF1DD" w:themeFill="accent3" w:themeFillTint="33"/>
            <w:noWrap/>
            <w:tcMar>
              <w:top w:w="15" w:type="dxa"/>
              <w:left w:w="15" w:type="dxa"/>
              <w:bottom w:w="0" w:type="dxa"/>
              <w:right w:w="15" w:type="dxa"/>
            </w:tcMar>
            <w:vAlign w:val="bottom"/>
            <w:hideMark/>
          </w:tcPr>
          <w:p w:rsidR="007A7CE7" w:rsidRDefault="007A7CE7">
            <w:pPr>
              <w:spacing w:line="276" w:lineRule="auto"/>
              <w:jc w:val="center"/>
              <w:rPr>
                <w:b/>
                <w:bCs/>
                <w:highlight w:val="red"/>
                <w:lang w:eastAsia="en-US"/>
              </w:rPr>
            </w:pPr>
            <w:r>
              <w:rPr>
                <w:b/>
                <w:lang w:eastAsia="en-US"/>
              </w:rPr>
              <w:t>1169</w:t>
            </w:r>
          </w:p>
        </w:tc>
        <w:tc>
          <w:tcPr>
            <w:tcW w:w="1276" w:type="dxa"/>
            <w:tcBorders>
              <w:top w:val="nil"/>
              <w:left w:val="nil"/>
              <w:bottom w:val="single" w:sz="4" w:space="0" w:color="auto"/>
              <w:right w:val="single" w:sz="4" w:space="0" w:color="auto"/>
            </w:tcBorders>
            <w:shd w:val="clear" w:color="auto" w:fill="FDE9D9" w:themeFill="accent6" w:themeFillTint="33"/>
            <w:noWrap/>
            <w:tcMar>
              <w:top w:w="15" w:type="dxa"/>
              <w:left w:w="15" w:type="dxa"/>
              <w:bottom w:w="0" w:type="dxa"/>
              <w:right w:w="15" w:type="dxa"/>
            </w:tcMar>
            <w:vAlign w:val="bottom"/>
            <w:hideMark/>
          </w:tcPr>
          <w:p w:rsidR="007A7CE7" w:rsidRDefault="007A7CE7">
            <w:pPr>
              <w:spacing w:line="276" w:lineRule="auto"/>
              <w:jc w:val="center"/>
              <w:rPr>
                <w:b/>
                <w:lang w:eastAsia="en-US"/>
              </w:rPr>
            </w:pPr>
            <w:bookmarkStart w:id="61" w:name="OLE_LINK19"/>
            <w:r>
              <w:rPr>
                <w:b/>
                <w:lang w:eastAsia="en-US"/>
              </w:rPr>
              <w:t>1255</w:t>
            </w:r>
            <w:bookmarkEnd w:id="61"/>
          </w:p>
        </w:tc>
        <w:tc>
          <w:tcPr>
            <w:tcW w:w="1276" w:type="dxa"/>
            <w:tcBorders>
              <w:top w:val="nil"/>
              <w:left w:val="nil"/>
              <w:bottom w:val="single" w:sz="4" w:space="0" w:color="auto"/>
              <w:right w:val="single" w:sz="4" w:space="0" w:color="auto"/>
            </w:tcBorders>
            <w:shd w:val="clear" w:color="auto" w:fill="DAEEF3" w:themeFill="accent5" w:themeFillTint="33"/>
            <w:noWrap/>
            <w:tcMar>
              <w:top w:w="15" w:type="dxa"/>
              <w:left w:w="15" w:type="dxa"/>
              <w:bottom w:w="0" w:type="dxa"/>
              <w:right w:w="15" w:type="dxa"/>
            </w:tcMar>
            <w:vAlign w:val="bottom"/>
            <w:hideMark/>
          </w:tcPr>
          <w:p w:rsidR="007A7CE7" w:rsidRDefault="007A7CE7">
            <w:pPr>
              <w:spacing w:line="276" w:lineRule="auto"/>
              <w:jc w:val="center"/>
              <w:rPr>
                <w:b/>
                <w:lang w:eastAsia="en-US"/>
              </w:rPr>
            </w:pPr>
            <w:bookmarkStart w:id="62" w:name="OLE_LINK18"/>
            <w:r>
              <w:rPr>
                <w:b/>
                <w:lang w:eastAsia="en-US"/>
              </w:rPr>
              <w:t>1358</w:t>
            </w:r>
            <w:bookmarkEnd w:id="62"/>
          </w:p>
        </w:tc>
      </w:tr>
      <w:tr w:rsidR="007A7CE7" w:rsidTr="007A7CE7">
        <w:trPr>
          <w:trHeight w:val="255"/>
        </w:trPr>
        <w:tc>
          <w:tcPr>
            <w:tcW w:w="5082" w:type="dxa"/>
            <w:tcBorders>
              <w:top w:val="nil"/>
              <w:left w:val="single" w:sz="4" w:space="0" w:color="auto"/>
              <w:bottom w:val="nil"/>
              <w:right w:val="single" w:sz="4" w:space="0" w:color="auto"/>
            </w:tcBorders>
            <w:shd w:val="clear" w:color="auto" w:fill="FBD4B4" w:themeFill="accent6" w:themeFillTint="66"/>
            <w:tcMar>
              <w:top w:w="15" w:type="dxa"/>
              <w:left w:w="15" w:type="dxa"/>
              <w:bottom w:w="0" w:type="dxa"/>
              <w:right w:w="15" w:type="dxa"/>
            </w:tcMar>
            <w:vAlign w:val="center"/>
            <w:hideMark/>
          </w:tcPr>
          <w:p w:rsidR="007A7CE7" w:rsidRDefault="007A7CE7">
            <w:pPr>
              <w:spacing w:line="276" w:lineRule="auto"/>
              <w:jc w:val="both"/>
              <w:rPr>
                <w:b/>
                <w:bCs/>
                <w:lang w:eastAsia="en-US"/>
              </w:rPr>
            </w:pPr>
            <w:r>
              <w:rPr>
                <w:b/>
                <w:bCs/>
                <w:lang w:eastAsia="en-US"/>
              </w:rPr>
              <w:t>Реално работили прокурори</w:t>
            </w:r>
          </w:p>
        </w:tc>
        <w:tc>
          <w:tcPr>
            <w:tcW w:w="1276" w:type="dxa"/>
            <w:tcBorders>
              <w:top w:val="nil"/>
              <w:left w:val="nil"/>
              <w:bottom w:val="nil"/>
              <w:right w:val="single" w:sz="4" w:space="0" w:color="auto"/>
            </w:tcBorders>
            <w:shd w:val="clear" w:color="auto" w:fill="FBD4B4" w:themeFill="accent6" w:themeFillTint="66"/>
            <w:noWrap/>
            <w:tcMar>
              <w:top w:w="15" w:type="dxa"/>
              <w:left w:w="15" w:type="dxa"/>
              <w:bottom w:w="0" w:type="dxa"/>
              <w:right w:w="15" w:type="dxa"/>
            </w:tcMar>
            <w:vAlign w:val="bottom"/>
            <w:hideMark/>
          </w:tcPr>
          <w:p w:rsidR="007A7CE7" w:rsidRDefault="007A7CE7">
            <w:pPr>
              <w:spacing w:line="276" w:lineRule="auto"/>
              <w:jc w:val="center"/>
              <w:rPr>
                <w:b/>
                <w:bCs/>
                <w:lang w:val="en-US" w:eastAsia="en-US"/>
              </w:rPr>
            </w:pPr>
            <w:r>
              <w:rPr>
                <w:b/>
                <w:bCs/>
                <w:lang w:eastAsia="en-US"/>
              </w:rPr>
              <w:t>26,5</w:t>
            </w:r>
          </w:p>
        </w:tc>
        <w:tc>
          <w:tcPr>
            <w:tcW w:w="1276" w:type="dxa"/>
            <w:tcBorders>
              <w:top w:val="nil"/>
              <w:left w:val="nil"/>
              <w:bottom w:val="nil"/>
              <w:right w:val="single" w:sz="4" w:space="0" w:color="auto"/>
            </w:tcBorders>
            <w:shd w:val="clear" w:color="auto" w:fill="FBD4B4" w:themeFill="accent6" w:themeFillTint="66"/>
            <w:noWrap/>
            <w:tcMar>
              <w:top w:w="15" w:type="dxa"/>
              <w:left w:w="15" w:type="dxa"/>
              <w:bottom w:w="0" w:type="dxa"/>
              <w:right w:w="15" w:type="dxa"/>
            </w:tcMar>
            <w:vAlign w:val="bottom"/>
            <w:hideMark/>
          </w:tcPr>
          <w:p w:rsidR="007A7CE7" w:rsidRDefault="007A7CE7">
            <w:pPr>
              <w:spacing w:line="276" w:lineRule="auto"/>
              <w:jc w:val="center"/>
              <w:rPr>
                <w:b/>
                <w:bCs/>
                <w:lang w:eastAsia="en-US"/>
              </w:rPr>
            </w:pPr>
            <w:r>
              <w:rPr>
                <w:b/>
                <w:bCs/>
                <w:lang w:eastAsia="en-US"/>
              </w:rPr>
              <w:t>26,98</w:t>
            </w:r>
          </w:p>
        </w:tc>
        <w:tc>
          <w:tcPr>
            <w:tcW w:w="1276" w:type="dxa"/>
            <w:tcBorders>
              <w:top w:val="nil"/>
              <w:left w:val="nil"/>
              <w:bottom w:val="nil"/>
              <w:right w:val="single" w:sz="4" w:space="0" w:color="auto"/>
            </w:tcBorders>
            <w:shd w:val="clear" w:color="auto" w:fill="FBD4B4" w:themeFill="accent6" w:themeFillTint="66"/>
            <w:noWrap/>
            <w:tcMar>
              <w:top w:w="15" w:type="dxa"/>
              <w:left w:w="15" w:type="dxa"/>
              <w:bottom w:w="0" w:type="dxa"/>
              <w:right w:w="15" w:type="dxa"/>
            </w:tcMar>
            <w:vAlign w:val="bottom"/>
            <w:hideMark/>
          </w:tcPr>
          <w:p w:rsidR="007A7CE7" w:rsidRDefault="007A7CE7">
            <w:pPr>
              <w:spacing w:line="276" w:lineRule="auto"/>
              <w:jc w:val="center"/>
              <w:rPr>
                <w:b/>
                <w:bCs/>
                <w:lang w:eastAsia="en-US"/>
              </w:rPr>
            </w:pPr>
            <w:r>
              <w:rPr>
                <w:b/>
                <w:bCs/>
                <w:lang w:eastAsia="en-US"/>
              </w:rPr>
              <w:t>26,5</w:t>
            </w:r>
          </w:p>
        </w:tc>
      </w:tr>
      <w:bookmarkEnd w:id="57"/>
      <w:tr w:rsidR="007A7CE7" w:rsidTr="007A7CE7">
        <w:trPr>
          <w:trHeight w:val="255"/>
        </w:trPr>
        <w:tc>
          <w:tcPr>
            <w:tcW w:w="5082" w:type="dxa"/>
            <w:tcBorders>
              <w:top w:val="nil"/>
              <w:left w:val="single" w:sz="4" w:space="0" w:color="auto"/>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tcPr>
          <w:p w:rsidR="007A7CE7" w:rsidRDefault="007A7CE7">
            <w:pPr>
              <w:spacing w:line="276" w:lineRule="auto"/>
              <w:jc w:val="both"/>
              <w:rPr>
                <w:b/>
                <w:bCs/>
                <w:lang w:eastAsia="en-US"/>
              </w:rPr>
            </w:pPr>
          </w:p>
        </w:tc>
        <w:tc>
          <w:tcPr>
            <w:tcW w:w="1276" w:type="dxa"/>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bottom"/>
          </w:tcPr>
          <w:p w:rsidR="007A7CE7" w:rsidRDefault="007A7CE7">
            <w:pPr>
              <w:spacing w:line="276" w:lineRule="auto"/>
              <w:jc w:val="center"/>
              <w:rPr>
                <w:b/>
                <w:bCs/>
                <w:lang w:eastAsia="en-US"/>
              </w:rPr>
            </w:pPr>
          </w:p>
        </w:tc>
        <w:tc>
          <w:tcPr>
            <w:tcW w:w="1276" w:type="dxa"/>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bottom"/>
          </w:tcPr>
          <w:p w:rsidR="007A7CE7" w:rsidRDefault="007A7CE7">
            <w:pPr>
              <w:spacing w:line="276" w:lineRule="auto"/>
              <w:jc w:val="center"/>
              <w:rPr>
                <w:b/>
                <w:bCs/>
                <w:lang w:eastAsia="en-US"/>
              </w:rPr>
            </w:pPr>
          </w:p>
        </w:tc>
        <w:tc>
          <w:tcPr>
            <w:tcW w:w="1276" w:type="dxa"/>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bottom"/>
          </w:tcPr>
          <w:p w:rsidR="007A7CE7" w:rsidRDefault="007A7CE7">
            <w:pPr>
              <w:spacing w:line="276" w:lineRule="auto"/>
              <w:jc w:val="center"/>
              <w:rPr>
                <w:b/>
                <w:bCs/>
                <w:lang w:eastAsia="en-US"/>
              </w:rPr>
            </w:pPr>
          </w:p>
        </w:tc>
      </w:tr>
    </w:tbl>
    <w:p w:rsidR="007A7CE7" w:rsidRDefault="007A7CE7" w:rsidP="007A7CE7">
      <w:pPr>
        <w:jc w:val="both"/>
        <w:rPr>
          <w:color w:val="000000"/>
          <w:sz w:val="28"/>
          <w:szCs w:val="28"/>
        </w:rPr>
      </w:pPr>
      <w:r>
        <w:rPr>
          <w:color w:val="000000"/>
          <w:sz w:val="28"/>
          <w:szCs w:val="28"/>
        </w:rPr>
        <w:tab/>
      </w:r>
    </w:p>
    <w:p w:rsidR="007A7CE7" w:rsidRDefault="007A7CE7" w:rsidP="007A7CE7">
      <w:pPr>
        <w:ind w:firstLine="709"/>
        <w:jc w:val="both"/>
        <w:rPr>
          <w:sz w:val="28"/>
          <w:szCs w:val="28"/>
        </w:rPr>
      </w:pPr>
      <w:r>
        <w:rPr>
          <w:sz w:val="28"/>
          <w:szCs w:val="28"/>
        </w:rPr>
        <w:t>Отчита се нарастване по всички от посочените показатели. Прокурорските актове внесени съда са се увеличили с 17,5</w:t>
      </w:r>
      <w:r w:rsidR="00704100">
        <w:rPr>
          <w:sz w:val="28"/>
          <w:szCs w:val="28"/>
        </w:rPr>
        <w:t>%</w:t>
      </w:r>
      <w:r>
        <w:rPr>
          <w:sz w:val="28"/>
          <w:szCs w:val="28"/>
        </w:rPr>
        <w:t xml:space="preserve"> спрямо 2022г и 8,4</w:t>
      </w:r>
      <w:r w:rsidR="00704100">
        <w:rPr>
          <w:sz w:val="28"/>
          <w:szCs w:val="28"/>
        </w:rPr>
        <w:t>%</w:t>
      </w:r>
      <w:r>
        <w:rPr>
          <w:sz w:val="28"/>
          <w:szCs w:val="28"/>
        </w:rPr>
        <w:t xml:space="preserve"> спрямо 2021г. Участията в съдебни заседания са се покачили с 3,8% спрямо 2022 г., а спрямо 2021 г. с 8,8%. Нарастването при новообразуваните досъдебни производства е с 19,3</w:t>
      </w:r>
      <w:r w:rsidR="00704100">
        <w:rPr>
          <w:sz w:val="28"/>
          <w:szCs w:val="28"/>
        </w:rPr>
        <w:t>%</w:t>
      </w:r>
      <w:r>
        <w:rPr>
          <w:sz w:val="28"/>
          <w:szCs w:val="28"/>
        </w:rPr>
        <w:t xml:space="preserve"> спрямо 2022г., а в сравнение с 2021 г. - 29,4%. Ръст има и при наблюдаваните досъдебни производства с 8,2</w:t>
      </w:r>
      <w:r w:rsidR="00704100">
        <w:rPr>
          <w:sz w:val="28"/>
          <w:szCs w:val="28"/>
        </w:rPr>
        <w:t>%</w:t>
      </w:r>
      <w:r>
        <w:rPr>
          <w:sz w:val="28"/>
          <w:szCs w:val="28"/>
        </w:rPr>
        <w:t xml:space="preserve"> в сравнение с предходния отчетен период. </w:t>
      </w:r>
    </w:p>
    <w:p w:rsidR="007A7CE7" w:rsidRDefault="007A7CE7" w:rsidP="007A7CE7">
      <w:pPr>
        <w:ind w:firstLine="709"/>
        <w:jc w:val="both"/>
        <w:rPr>
          <w:color w:val="FF0000"/>
          <w:sz w:val="28"/>
          <w:szCs w:val="28"/>
        </w:rPr>
      </w:pPr>
      <w:r>
        <w:rPr>
          <w:sz w:val="28"/>
          <w:szCs w:val="28"/>
        </w:rPr>
        <w:t>Продължава и тенденцията на увеличение на прокурорските актове и дейности по всички видове надзори, които са се увеличили с 29,3</w:t>
      </w:r>
      <w:r w:rsidR="00704100">
        <w:rPr>
          <w:sz w:val="28"/>
          <w:szCs w:val="28"/>
        </w:rPr>
        <w:t>%</w:t>
      </w:r>
      <w:r>
        <w:rPr>
          <w:sz w:val="28"/>
          <w:szCs w:val="28"/>
        </w:rPr>
        <w:t xml:space="preserve"> в сравнение с 2022г. и 37,9</w:t>
      </w:r>
      <w:r w:rsidR="00704100">
        <w:rPr>
          <w:sz w:val="28"/>
          <w:szCs w:val="28"/>
        </w:rPr>
        <w:t>%</w:t>
      </w:r>
      <w:r>
        <w:rPr>
          <w:sz w:val="28"/>
          <w:szCs w:val="28"/>
        </w:rPr>
        <w:t xml:space="preserve"> в сравнение с 2021г.</w:t>
      </w:r>
    </w:p>
    <w:p w:rsidR="007A7CE7" w:rsidRDefault="007A7CE7" w:rsidP="007A7CE7">
      <w:pPr>
        <w:ind w:firstLine="709"/>
        <w:jc w:val="both"/>
        <w:rPr>
          <w:sz w:val="28"/>
          <w:szCs w:val="28"/>
        </w:rPr>
      </w:pPr>
      <w:r>
        <w:rPr>
          <w:sz w:val="28"/>
          <w:szCs w:val="28"/>
        </w:rPr>
        <w:t>За разлика от 2022г., през 2023г. се отчита нарастване на прокурорските актове внесени в съда. Същите са се покачили с 17,5% спрямо 2022 г., а спрямо 2021 г. с 8,4%.</w:t>
      </w:r>
    </w:p>
    <w:p w:rsidR="007A7CE7" w:rsidRDefault="007A7CE7" w:rsidP="007A7CE7">
      <w:pPr>
        <w:ind w:firstLine="709"/>
        <w:jc w:val="both"/>
        <w:rPr>
          <w:sz w:val="28"/>
          <w:szCs w:val="28"/>
        </w:rPr>
      </w:pPr>
      <w:r>
        <w:rPr>
          <w:sz w:val="28"/>
          <w:szCs w:val="28"/>
        </w:rPr>
        <w:t>Наблюдаваните преписки по следствения надзор през 2023г. са 2000, като през 2022 г. са били 1766, а през 2021 г. - 1797, с което се отчита увеличение от 13,3</w:t>
      </w:r>
      <w:r w:rsidR="00704100">
        <w:rPr>
          <w:sz w:val="28"/>
          <w:szCs w:val="28"/>
        </w:rPr>
        <w:t>%</w:t>
      </w:r>
      <w:r>
        <w:rPr>
          <w:sz w:val="28"/>
          <w:szCs w:val="28"/>
        </w:rPr>
        <w:t xml:space="preserve"> в сравнение с 2022 г. и с 11,3</w:t>
      </w:r>
      <w:r w:rsidR="00704100">
        <w:rPr>
          <w:sz w:val="28"/>
          <w:szCs w:val="28"/>
        </w:rPr>
        <w:t>%</w:t>
      </w:r>
      <w:r>
        <w:rPr>
          <w:sz w:val="28"/>
          <w:szCs w:val="28"/>
        </w:rPr>
        <w:t xml:space="preserve"> спрямо 2021 г.</w:t>
      </w:r>
    </w:p>
    <w:p w:rsidR="007A7CE7" w:rsidRDefault="007A7CE7" w:rsidP="000059A2">
      <w:pPr>
        <w:keepNext/>
        <w:keepLines/>
        <w:numPr>
          <w:ilvl w:val="0"/>
          <w:numId w:val="11"/>
        </w:numPr>
        <w:shd w:val="clear" w:color="auto" w:fill="FFFFFF"/>
        <w:spacing w:before="480" w:after="200"/>
        <w:ind w:left="0" w:firstLine="709"/>
        <w:contextualSpacing/>
        <w:outlineLvl w:val="0"/>
        <w:rPr>
          <w:b/>
          <w:bCs/>
          <w:sz w:val="28"/>
          <w:szCs w:val="28"/>
          <w:lang w:eastAsia="en-US"/>
        </w:rPr>
      </w:pPr>
      <w:r>
        <w:rPr>
          <w:sz w:val="28"/>
          <w:szCs w:val="28"/>
        </w:rPr>
        <w:t xml:space="preserve"> </w:t>
      </w:r>
      <w:r>
        <w:rPr>
          <w:b/>
          <w:bCs/>
          <w:sz w:val="28"/>
          <w:szCs w:val="28"/>
          <w:lang w:eastAsia="en-US"/>
        </w:rPr>
        <w:t>НАТОВАРЕНОСТ</w:t>
      </w:r>
    </w:p>
    <w:p w:rsidR="007A7CE7" w:rsidRDefault="007A7CE7" w:rsidP="007A7CE7">
      <w:pPr>
        <w:ind w:firstLine="709"/>
        <w:jc w:val="both"/>
        <w:rPr>
          <w:sz w:val="28"/>
          <w:szCs w:val="28"/>
        </w:rPr>
      </w:pPr>
      <w:r>
        <w:rPr>
          <w:sz w:val="28"/>
          <w:szCs w:val="28"/>
        </w:rPr>
        <w:t xml:space="preserve">По данните от таблица 5.2 средната годишна натовареност на прокурор от ОП - Варна за 2023г. е 888,5, като за 2022г. е била 694,3 а за 2021 г. - 665,5. С 28,0% е нараснала средната натовареност на един прокурор в сравнение с предходната година, а в сравнение с 2021 г. увеличението е с 33,5%.  </w:t>
      </w:r>
    </w:p>
    <w:p w:rsidR="007A7CE7" w:rsidRDefault="007A7CE7" w:rsidP="007A7CE7">
      <w:pPr>
        <w:ind w:firstLine="709"/>
        <w:jc w:val="both"/>
        <w:rPr>
          <w:sz w:val="28"/>
          <w:szCs w:val="28"/>
        </w:rPr>
      </w:pPr>
      <w:bookmarkStart w:id="63" w:name="OLE_LINK34"/>
      <w:proofErr w:type="spellStart"/>
      <w:r>
        <w:rPr>
          <w:sz w:val="28"/>
          <w:szCs w:val="28"/>
        </w:rPr>
        <w:t>Среднодневната</w:t>
      </w:r>
      <w:proofErr w:type="spellEnd"/>
      <w:r>
        <w:rPr>
          <w:sz w:val="28"/>
          <w:szCs w:val="28"/>
        </w:rPr>
        <w:t xml:space="preserve"> натовареност на един прокурор се отчита въз основа на броя точки на ден на прокурор /изведени от броя на прокурорските актове на ден/ спрямо действително отработените дни и е както следва:</w:t>
      </w:r>
    </w:p>
    <w:p w:rsidR="007A7CE7" w:rsidRDefault="007A7CE7" w:rsidP="007A7CE7">
      <w:pPr>
        <w:jc w:val="both"/>
        <w:rPr>
          <w:sz w:val="28"/>
          <w:szCs w:val="28"/>
        </w:rPr>
      </w:pPr>
    </w:p>
    <w:p w:rsidR="007A7CE7" w:rsidRDefault="007A7CE7" w:rsidP="007A7CE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cs="Arial"/>
          <w:lang w:val="en-US"/>
        </w:rPr>
      </w:pPr>
      <w:r>
        <w:rPr>
          <w:sz w:val="28"/>
          <w:szCs w:val="28"/>
        </w:rPr>
        <w:t xml:space="preserve">2021 г. - </w:t>
      </w:r>
      <w:bookmarkStart w:id="64" w:name="OLE_LINK70"/>
      <w:r>
        <w:rPr>
          <w:sz w:val="28"/>
          <w:szCs w:val="28"/>
        </w:rPr>
        <w:t xml:space="preserve">1,22 </w:t>
      </w:r>
      <w:bookmarkEnd w:id="64"/>
      <w:r>
        <w:rPr>
          <w:sz w:val="28"/>
          <w:szCs w:val="28"/>
        </w:rPr>
        <w:t>бр. точки на ден на прокурор; натовареност по бр. точки- 6044,8</w:t>
      </w:r>
    </w:p>
    <w:p w:rsidR="007A7CE7" w:rsidRDefault="007A7CE7" w:rsidP="007A7CE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cs="Arial"/>
          <w:lang w:val="en-US"/>
        </w:rPr>
      </w:pPr>
      <w:r>
        <w:rPr>
          <w:sz w:val="28"/>
          <w:szCs w:val="28"/>
        </w:rPr>
        <w:t xml:space="preserve">2022 г. - </w:t>
      </w:r>
      <w:bookmarkStart w:id="65" w:name="OLE_LINK69"/>
      <w:r>
        <w:rPr>
          <w:sz w:val="28"/>
          <w:szCs w:val="28"/>
        </w:rPr>
        <w:t xml:space="preserve">1,25 </w:t>
      </w:r>
      <w:bookmarkEnd w:id="65"/>
      <w:r>
        <w:rPr>
          <w:sz w:val="28"/>
          <w:szCs w:val="28"/>
        </w:rPr>
        <w:t>бр. точки на ден на прокурор; натовареност по бр. точки- 6549,5</w:t>
      </w:r>
    </w:p>
    <w:p w:rsidR="007A7CE7" w:rsidRDefault="007A7CE7" w:rsidP="007A7CE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cs="Arial"/>
          <w:lang w:val="en-US"/>
        </w:rPr>
      </w:pPr>
      <w:r>
        <w:rPr>
          <w:sz w:val="28"/>
          <w:szCs w:val="28"/>
        </w:rPr>
        <w:t xml:space="preserve">2023 г. - </w:t>
      </w:r>
      <w:bookmarkStart w:id="66" w:name="OLE_LINK68"/>
      <w:r>
        <w:rPr>
          <w:sz w:val="28"/>
          <w:szCs w:val="28"/>
        </w:rPr>
        <w:t xml:space="preserve">1,34 </w:t>
      </w:r>
      <w:bookmarkEnd w:id="66"/>
      <w:r>
        <w:rPr>
          <w:sz w:val="28"/>
          <w:szCs w:val="28"/>
        </w:rPr>
        <w:t>бр. точки на ден на прокурор; натовареност по бр. точки- 6957</w:t>
      </w:r>
    </w:p>
    <w:p w:rsidR="007A7CE7" w:rsidRDefault="007A7CE7" w:rsidP="007A7CE7">
      <w:pPr>
        <w:ind w:firstLine="708"/>
        <w:jc w:val="both"/>
        <w:rPr>
          <w:sz w:val="28"/>
          <w:szCs w:val="28"/>
        </w:rPr>
      </w:pPr>
      <w:r>
        <w:rPr>
          <w:sz w:val="28"/>
          <w:szCs w:val="28"/>
        </w:rPr>
        <w:lastRenderedPageBreak/>
        <w:t>Средната натовареност по брой точки на ден на прокурор се е увеличила с 7,2% в сравнение с предходната година, спрямо 2021г. увеличението е с 9,8%</w:t>
      </w:r>
      <w:r w:rsidR="006218D1">
        <w:rPr>
          <w:sz w:val="28"/>
          <w:szCs w:val="28"/>
        </w:rPr>
        <w:t>.</w:t>
      </w:r>
    </w:p>
    <w:bookmarkEnd w:id="63"/>
    <w:p w:rsidR="007A7CE7" w:rsidRDefault="007A7CE7" w:rsidP="007A7CE7">
      <w:pPr>
        <w:ind w:firstLine="708"/>
        <w:jc w:val="both"/>
        <w:rPr>
          <w:sz w:val="28"/>
          <w:szCs w:val="28"/>
        </w:rPr>
      </w:pPr>
      <w:r>
        <w:rPr>
          <w:sz w:val="28"/>
          <w:szCs w:val="28"/>
        </w:rPr>
        <w:t xml:space="preserve">В таблицата по-долу са изведените от справочния модул данни за административната дейност на Окръжния прокурор и неговите </w:t>
      </w:r>
      <w:proofErr w:type="spellStart"/>
      <w:r>
        <w:rPr>
          <w:sz w:val="28"/>
          <w:szCs w:val="28"/>
        </w:rPr>
        <w:t>заместници</w:t>
      </w:r>
      <w:proofErr w:type="spellEnd"/>
      <w:r>
        <w:rPr>
          <w:sz w:val="28"/>
          <w:szCs w:val="28"/>
        </w:rPr>
        <w:t>:</w:t>
      </w:r>
    </w:p>
    <w:tbl>
      <w:tblPr>
        <w:tblW w:w="10602" w:type="dxa"/>
        <w:jc w:val="center"/>
        <w:tblInd w:w="296" w:type="dxa"/>
        <w:shd w:val="clear" w:color="auto" w:fill="DAEEF3" w:themeFill="accent5" w:themeFillTint="33"/>
        <w:tblCellMar>
          <w:left w:w="70" w:type="dxa"/>
          <w:right w:w="70" w:type="dxa"/>
        </w:tblCellMar>
        <w:tblLook w:val="04A0" w:firstRow="1" w:lastRow="0" w:firstColumn="1" w:lastColumn="0" w:noHBand="0" w:noVBand="1"/>
      </w:tblPr>
      <w:tblGrid>
        <w:gridCol w:w="535"/>
        <w:gridCol w:w="460"/>
        <w:gridCol w:w="383"/>
        <w:gridCol w:w="399"/>
        <w:gridCol w:w="348"/>
        <w:gridCol w:w="337"/>
        <w:gridCol w:w="506"/>
        <w:gridCol w:w="379"/>
        <w:gridCol w:w="420"/>
        <w:gridCol w:w="363"/>
        <w:gridCol w:w="401"/>
        <w:gridCol w:w="364"/>
        <w:gridCol w:w="337"/>
        <w:gridCol w:w="549"/>
        <w:gridCol w:w="380"/>
        <w:gridCol w:w="385"/>
        <w:gridCol w:w="337"/>
        <w:gridCol w:w="587"/>
        <w:gridCol w:w="580"/>
        <w:gridCol w:w="364"/>
        <w:gridCol w:w="337"/>
        <w:gridCol w:w="475"/>
        <w:gridCol w:w="380"/>
        <w:gridCol w:w="505"/>
        <w:gridCol w:w="580"/>
      </w:tblGrid>
      <w:tr w:rsidR="007A7CE7" w:rsidTr="007A7CE7">
        <w:trPr>
          <w:trHeight w:val="249"/>
          <w:jc w:val="center"/>
        </w:trPr>
        <w:tc>
          <w:tcPr>
            <w:tcW w:w="535"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textDirection w:val="btLr"/>
            <w:vAlign w:val="center"/>
            <w:hideMark/>
          </w:tcPr>
          <w:p w:rsidR="007A7CE7" w:rsidRDefault="007A7CE7">
            <w:pPr>
              <w:spacing w:line="276" w:lineRule="auto"/>
              <w:jc w:val="both"/>
              <w:rPr>
                <w:b/>
                <w:sz w:val="16"/>
                <w:szCs w:val="16"/>
                <w:lang w:eastAsia="en-US"/>
              </w:rPr>
            </w:pPr>
            <w:r>
              <w:rPr>
                <w:b/>
                <w:sz w:val="16"/>
                <w:szCs w:val="16"/>
                <w:lang w:eastAsia="en-US"/>
              </w:rPr>
              <w:t>ОКРЪЖНА ПРОКУРАТУРА – ВАРНА</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sz w:val="16"/>
                <w:szCs w:val="16"/>
                <w:lang w:eastAsia="en-US"/>
              </w:rPr>
            </w:pPr>
            <w:r>
              <w:rPr>
                <w:sz w:val="16"/>
                <w:szCs w:val="16"/>
                <w:lang w:eastAsia="en-US"/>
              </w:rPr>
              <w:t>Работни дни в месеца по календар</w:t>
            </w:r>
          </w:p>
        </w:tc>
        <w:tc>
          <w:tcPr>
            <w:tcW w:w="38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bCs/>
                <w:sz w:val="16"/>
                <w:szCs w:val="16"/>
                <w:lang w:eastAsia="en-US"/>
              </w:rPr>
            </w:pPr>
            <w:r>
              <w:rPr>
                <w:bCs/>
                <w:sz w:val="16"/>
                <w:szCs w:val="16"/>
                <w:lang w:eastAsia="en-US"/>
              </w:rPr>
              <w:t>Действително отработени дни</w:t>
            </w:r>
          </w:p>
        </w:tc>
        <w:tc>
          <w:tcPr>
            <w:tcW w:w="8139" w:type="dxa"/>
            <w:gridSpan w:val="2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A7CE7" w:rsidRDefault="007A7CE7">
            <w:pPr>
              <w:spacing w:line="276" w:lineRule="auto"/>
              <w:jc w:val="center"/>
              <w:rPr>
                <w:b/>
                <w:bCs/>
                <w:sz w:val="16"/>
                <w:szCs w:val="16"/>
                <w:lang w:eastAsia="en-US"/>
              </w:rPr>
            </w:pPr>
            <w:r>
              <w:rPr>
                <w:b/>
                <w:bCs/>
                <w:sz w:val="16"/>
                <w:szCs w:val="16"/>
                <w:shd w:val="clear" w:color="auto" w:fill="D9D9D9"/>
                <w:lang w:eastAsia="en-US"/>
              </w:rPr>
              <w:t>Дейност по администриране</w:t>
            </w:r>
          </w:p>
        </w:tc>
        <w:tc>
          <w:tcPr>
            <w:tcW w:w="1085" w:type="dxa"/>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b/>
                <w:bCs/>
                <w:sz w:val="16"/>
                <w:szCs w:val="16"/>
                <w:lang w:eastAsia="en-US"/>
              </w:rPr>
            </w:pPr>
            <w:r>
              <w:rPr>
                <w:b/>
                <w:bCs/>
                <w:sz w:val="16"/>
                <w:szCs w:val="16"/>
                <w:lang w:eastAsia="en-US"/>
              </w:rPr>
              <w:t>Дейност по администриране - общо</w:t>
            </w:r>
          </w:p>
        </w:tc>
      </w:tr>
      <w:tr w:rsidR="007A7CE7" w:rsidTr="007A7CE7">
        <w:trPr>
          <w:trHeight w:val="3605"/>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7A7CE7" w:rsidRDefault="007A7CE7">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A7CE7" w:rsidRDefault="007A7CE7">
            <w:pPr>
              <w:rPr>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A7CE7" w:rsidRDefault="007A7CE7">
            <w:pPr>
              <w:rPr>
                <w:bCs/>
                <w:sz w:val="16"/>
                <w:szCs w:val="16"/>
                <w:lang w:eastAsia="en-US"/>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sz w:val="16"/>
                <w:szCs w:val="16"/>
                <w:lang w:eastAsia="en-US"/>
              </w:rPr>
            </w:pPr>
            <w:r>
              <w:rPr>
                <w:sz w:val="16"/>
                <w:szCs w:val="16"/>
                <w:lang w:eastAsia="en-US"/>
              </w:rPr>
              <w:t>Предложение по ЗСВ</w:t>
            </w:r>
          </w:p>
        </w:tc>
        <w:tc>
          <w:tcPr>
            <w:tcW w:w="82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sz w:val="16"/>
                <w:szCs w:val="16"/>
                <w:lang w:eastAsia="en-US"/>
              </w:rPr>
            </w:pPr>
            <w:r>
              <w:rPr>
                <w:sz w:val="16"/>
                <w:szCs w:val="16"/>
                <w:lang w:eastAsia="en-US"/>
              </w:rPr>
              <w:t>Становища по ЗСВ</w:t>
            </w:r>
          </w:p>
        </w:tc>
        <w:tc>
          <w:tcPr>
            <w:tcW w:w="79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sz w:val="16"/>
                <w:szCs w:val="16"/>
                <w:lang w:eastAsia="en-US"/>
              </w:rPr>
            </w:pPr>
            <w:r>
              <w:rPr>
                <w:sz w:val="16"/>
                <w:szCs w:val="16"/>
                <w:lang w:eastAsia="en-US"/>
              </w:rPr>
              <w:t xml:space="preserve">Произнасяне по </w:t>
            </w:r>
            <w:bookmarkStart w:id="67" w:name="OLE_LINK85"/>
            <w:r>
              <w:rPr>
                <w:sz w:val="16"/>
                <w:szCs w:val="16"/>
                <w:lang w:eastAsia="en-US"/>
              </w:rPr>
              <w:t>дисциплинарни преписки</w:t>
            </w:r>
            <w:bookmarkEnd w:id="67"/>
          </w:p>
        </w:tc>
        <w:tc>
          <w:tcPr>
            <w:tcW w:w="76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sz w:val="16"/>
                <w:szCs w:val="16"/>
                <w:lang w:eastAsia="en-US"/>
              </w:rPr>
            </w:pPr>
            <w:r>
              <w:rPr>
                <w:sz w:val="16"/>
                <w:szCs w:val="16"/>
                <w:lang w:eastAsia="en-US"/>
              </w:rPr>
              <w:t>Организиране и провеждане на  работни/обучителни съвещания</w:t>
            </w:r>
          </w:p>
        </w:tc>
        <w:tc>
          <w:tcPr>
            <w:tcW w:w="67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sz w:val="16"/>
                <w:szCs w:val="16"/>
                <w:lang w:eastAsia="en-US"/>
              </w:rPr>
            </w:pPr>
            <w:r>
              <w:rPr>
                <w:sz w:val="16"/>
                <w:szCs w:val="16"/>
                <w:lang w:eastAsia="en-US"/>
              </w:rPr>
              <w:t>Участие в работни/обучителни съвещания, срещи, празници</w:t>
            </w:r>
          </w:p>
        </w:tc>
        <w:tc>
          <w:tcPr>
            <w:tcW w:w="92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sz w:val="16"/>
                <w:szCs w:val="16"/>
                <w:lang w:eastAsia="en-US"/>
              </w:rPr>
            </w:pPr>
            <w:r>
              <w:rPr>
                <w:sz w:val="16"/>
                <w:szCs w:val="16"/>
                <w:lang w:eastAsia="en-US"/>
              </w:rPr>
              <w:t>Заповеди /без такива по кадрови въпроси и за командироване/ и указания</w:t>
            </w:r>
          </w:p>
        </w:tc>
        <w:tc>
          <w:tcPr>
            <w:tcW w:w="69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sz w:val="16"/>
                <w:szCs w:val="16"/>
                <w:lang w:eastAsia="en-US"/>
              </w:rPr>
            </w:pPr>
            <w:r>
              <w:rPr>
                <w:sz w:val="16"/>
                <w:szCs w:val="16"/>
                <w:lang w:eastAsia="en-US"/>
              </w:rPr>
              <w:t>Становища</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sz w:val="16"/>
                <w:szCs w:val="16"/>
                <w:lang w:eastAsia="en-US"/>
              </w:rPr>
            </w:pPr>
            <w:r>
              <w:rPr>
                <w:sz w:val="16"/>
                <w:szCs w:val="16"/>
                <w:lang w:eastAsia="en-US"/>
              </w:rPr>
              <w:t>Справки/писма до други звена, институции, граждани</w:t>
            </w:r>
          </w:p>
        </w:tc>
        <w:tc>
          <w:tcPr>
            <w:tcW w:w="67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sz w:val="16"/>
                <w:szCs w:val="16"/>
                <w:lang w:eastAsia="en-US"/>
              </w:rPr>
            </w:pPr>
            <w:bookmarkStart w:id="68" w:name="OLE_LINK81"/>
            <w:r>
              <w:rPr>
                <w:sz w:val="16"/>
                <w:szCs w:val="16"/>
                <w:lang w:eastAsia="en-US"/>
              </w:rPr>
              <w:t>Изготвени вътрешни организационни актове/правилници, правила</w:t>
            </w:r>
            <w:bookmarkEnd w:id="68"/>
            <w:r>
              <w:rPr>
                <w:sz w:val="16"/>
                <w:szCs w:val="16"/>
                <w:lang w:eastAsia="en-US"/>
              </w:rPr>
              <w:t>/</w:t>
            </w:r>
          </w:p>
        </w:tc>
        <w:tc>
          <w:tcPr>
            <w:tcW w:w="85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A7CE7" w:rsidRDefault="007A7CE7">
            <w:pPr>
              <w:spacing w:line="276" w:lineRule="auto"/>
              <w:jc w:val="center"/>
              <w:rPr>
                <w:sz w:val="16"/>
                <w:szCs w:val="16"/>
                <w:lang w:eastAsia="en-US"/>
              </w:rPr>
            </w:pPr>
            <w:r>
              <w:rPr>
                <w:sz w:val="16"/>
                <w:szCs w:val="16"/>
                <w:lang w:eastAsia="en-US"/>
              </w:rPr>
              <w:t>Контролна дейност на административния ръководител спрямо прокурорите в прокуратурата и региона</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A7CE7" w:rsidRDefault="007A7CE7">
            <w:pPr>
              <w:rPr>
                <w:b/>
                <w:bCs/>
                <w:sz w:val="16"/>
                <w:szCs w:val="16"/>
                <w:lang w:eastAsia="en-US"/>
              </w:rPr>
            </w:pPr>
          </w:p>
        </w:tc>
      </w:tr>
      <w:tr w:rsidR="007A7CE7" w:rsidTr="007A7CE7">
        <w:trPr>
          <w:cantSplit/>
          <w:trHeight w:val="908"/>
          <w:jc w:val="center"/>
        </w:trPr>
        <w:tc>
          <w:tcPr>
            <w:tcW w:w="535" w:type="dxa"/>
            <w:tcBorders>
              <w:top w:val="nil"/>
              <w:left w:val="single" w:sz="4" w:space="0" w:color="auto"/>
              <w:bottom w:val="single" w:sz="4" w:space="0" w:color="auto"/>
              <w:right w:val="single" w:sz="4" w:space="0" w:color="auto"/>
            </w:tcBorders>
            <w:shd w:val="clear" w:color="auto" w:fill="B6DDE8" w:themeFill="accent5" w:themeFillTint="66"/>
            <w:textDirection w:val="btLr"/>
            <w:vAlign w:val="center"/>
          </w:tcPr>
          <w:p w:rsidR="007A7CE7" w:rsidRDefault="007A7CE7">
            <w:pPr>
              <w:spacing w:line="276" w:lineRule="auto"/>
              <w:jc w:val="center"/>
              <w:rPr>
                <w:b/>
                <w:sz w:val="14"/>
                <w:szCs w:val="14"/>
                <w:lang w:eastAsia="en-US"/>
              </w:rPr>
            </w:pPr>
          </w:p>
        </w:tc>
        <w:tc>
          <w:tcPr>
            <w:tcW w:w="460"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rPr>
                <w:rFonts w:asciiTheme="minorHAnsi" w:eastAsiaTheme="minorHAnsi" w:hAnsiTheme="minorHAnsi" w:cstheme="minorBidi"/>
                <w:sz w:val="22"/>
                <w:szCs w:val="22"/>
                <w:lang w:eastAsia="en-US"/>
              </w:rPr>
            </w:pPr>
          </w:p>
        </w:tc>
        <w:tc>
          <w:tcPr>
            <w:tcW w:w="383"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rPr>
                <w:rFonts w:asciiTheme="minorHAnsi" w:eastAsiaTheme="minorHAnsi" w:hAnsiTheme="minorHAnsi" w:cstheme="minorBidi"/>
                <w:sz w:val="22"/>
                <w:szCs w:val="22"/>
                <w:lang w:eastAsia="en-US"/>
              </w:rPr>
            </w:pPr>
          </w:p>
        </w:tc>
        <w:tc>
          <w:tcPr>
            <w:tcW w:w="39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брой</w:t>
            </w:r>
          </w:p>
        </w:tc>
        <w:tc>
          <w:tcPr>
            <w:tcW w:w="348"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Точки</w:t>
            </w:r>
          </w:p>
        </w:tc>
        <w:tc>
          <w:tcPr>
            <w:tcW w:w="323"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брой</w:t>
            </w:r>
          </w:p>
        </w:tc>
        <w:tc>
          <w:tcPr>
            <w:tcW w:w="506"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Точки</w:t>
            </w:r>
          </w:p>
        </w:tc>
        <w:tc>
          <w:tcPr>
            <w:tcW w:w="37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Брой</w:t>
            </w:r>
          </w:p>
        </w:tc>
        <w:tc>
          <w:tcPr>
            <w:tcW w:w="42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точки</w:t>
            </w:r>
          </w:p>
        </w:tc>
        <w:tc>
          <w:tcPr>
            <w:tcW w:w="363"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Брой</w:t>
            </w:r>
          </w:p>
        </w:tc>
        <w:tc>
          <w:tcPr>
            <w:tcW w:w="401"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Точки</w:t>
            </w:r>
          </w:p>
        </w:tc>
        <w:tc>
          <w:tcPr>
            <w:tcW w:w="364"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брой</w:t>
            </w:r>
          </w:p>
        </w:tc>
        <w:tc>
          <w:tcPr>
            <w:tcW w:w="312"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точки</w:t>
            </w:r>
          </w:p>
        </w:tc>
        <w:tc>
          <w:tcPr>
            <w:tcW w:w="54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брой</w:t>
            </w:r>
          </w:p>
        </w:tc>
        <w:tc>
          <w:tcPr>
            <w:tcW w:w="38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Точки</w:t>
            </w:r>
          </w:p>
        </w:tc>
        <w:tc>
          <w:tcPr>
            <w:tcW w:w="385"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Брой</w:t>
            </w:r>
          </w:p>
        </w:tc>
        <w:tc>
          <w:tcPr>
            <w:tcW w:w="312"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точки</w:t>
            </w:r>
          </w:p>
        </w:tc>
        <w:tc>
          <w:tcPr>
            <w:tcW w:w="587"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Брой</w:t>
            </w:r>
          </w:p>
        </w:tc>
        <w:tc>
          <w:tcPr>
            <w:tcW w:w="58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точки</w:t>
            </w:r>
          </w:p>
        </w:tc>
        <w:tc>
          <w:tcPr>
            <w:tcW w:w="364"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брой</w:t>
            </w:r>
          </w:p>
        </w:tc>
        <w:tc>
          <w:tcPr>
            <w:tcW w:w="312"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Точки</w:t>
            </w:r>
          </w:p>
        </w:tc>
        <w:tc>
          <w:tcPr>
            <w:tcW w:w="475"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Брой</w:t>
            </w:r>
          </w:p>
        </w:tc>
        <w:tc>
          <w:tcPr>
            <w:tcW w:w="38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точки</w:t>
            </w:r>
          </w:p>
        </w:tc>
        <w:tc>
          <w:tcPr>
            <w:tcW w:w="505"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Брой</w:t>
            </w:r>
          </w:p>
        </w:tc>
        <w:tc>
          <w:tcPr>
            <w:tcW w:w="580" w:type="dxa"/>
            <w:tcBorders>
              <w:top w:val="single" w:sz="4" w:space="0" w:color="auto"/>
              <w:left w:val="nil"/>
              <w:bottom w:val="single" w:sz="4" w:space="0" w:color="auto"/>
              <w:right w:val="single" w:sz="4" w:space="0" w:color="auto"/>
            </w:tcBorders>
            <w:shd w:val="clear" w:color="auto" w:fill="B6DDE8" w:themeFill="accent5" w:themeFillTint="66"/>
            <w:textDirection w:val="btLr"/>
            <w:vAlign w:val="center"/>
            <w:hideMark/>
          </w:tcPr>
          <w:p w:rsidR="007A7CE7" w:rsidRDefault="007A7CE7">
            <w:pPr>
              <w:spacing w:line="276" w:lineRule="auto"/>
              <w:jc w:val="center"/>
              <w:rPr>
                <w:sz w:val="14"/>
                <w:szCs w:val="14"/>
                <w:lang w:eastAsia="en-US"/>
              </w:rPr>
            </w:pPr>
            <w:r>
              <w:rPr>
                <w:sz w:val="14"/>
                <w:szCs w:val="14"/>
                <w:lang w:eastAsia="en-US"/>
              </w:rPr>
              <w:t>Точки</w:t>
            </w:r>
          </w:p>
        </w:tc>
      </w:tr>
      <w:tr w:rsidR="007A7CE7" w:rsidTr="007A7CE7">
        <w:trPr>
          <w:trHeight w:val="410"/>
          <w:jc w:val="center"/>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2021</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1250</w:t>
            </w:r>
          </w:p>
        </w:tc>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982</w:t>
            </w:r>
          </w:p>
        </w:tc>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9</w:t>
            </w: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6,3</w:t>
            </w:r>
          </w:p>
        </w:tc>
        <w:tc>
          <w:tcPr>
            <w:tcW w:w="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1</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0,7</w:t>
            </w:r>
          </w:p>
        </w:tc>
        <w:tc>
          <w:tcPr>
            <w:tcW w:w="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7</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10,5</w:t>
            </w:r>
          </w:p>
        </w:tc>
        <w:tc>
          <w:tcPr>
            <w:tcW w:w="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5</w:t>
            </w:r>
          </w:p>
        </w:tc>
        <w:tc>
          <w:tcPr>
            <w:tcW w:w="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10</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14</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14</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278</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278</w:t>
            </w:r>
          </w:p>
        </w:tc>
        <w:tc>
          <w:tcPr>
            <w:tcW w:w="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7</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7</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1518</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bookmarkStart w:id="69" w:name="OLE_LINK76"/>
            <w:r>
              <w:rPr>
                <w:bCs/>
                <w:sz w:val="16"/>
                <w:szCs w:val="16"/>
                <w:lang w:eastAsia="en-US"/>
              </w:rPr>
              <w:t>455,4</w:t>
            </w:r>
            <w:bookmarkEnd w:id="69"/>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8</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24</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6</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3</w:t>
            </w:r>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r>
              <w:rPr>
                <w:bCs/>
                <w:sz w:val="16"/>
                <w:szCs w:val="16"/>
                <w:lang w:eastAsia="en-US"/>
              </w:rPr>
              <w:t>1853</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Cs/>
                <w:sz w:val="16"/>
                <w:szCs w:val="16"/>
                <w:lang w:eastAsia="en-US"/>
              </w:rPr>
            </w:pPr>
            <w:bookmarkStart w:id="70" w:name="OLE_LINK74"/>
            <w:r>
              <w:rPr>
                <w:bCs/>
                <w:sz w:val="16"/>
                <w:szCs w:val="16"/>
                <w:lang w:eastAsia="en-US"/>
              </w:rPr>
              <w:t>808,9</w:t>
            </w:r>
            <w:bookmarkEnd w:id="70"/>
          </w:p>
        </w:tc>
      </w:tr>
      <w:tr w:rsidR="007A7CE7" w:rsidTr="007A7CE7">
        <w:trPr>
          <w:trHeight w:val="292"/>
          <w:jc w:val="center"/>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bookmarkStart w:id="71" w:name="OLE_LINK71"/>
            <w:r>
              <w:rPr>
                <w:sz w:val="16"/>
                <w:szCs w:val="16"/>
                <w:lang w:eastAsia="en-US"/>
              </w:rPr>
              <w:t>2022</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1178</w:t>
            </w:r>
          </w:p>
        </w:tc>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877</w:t>
            </w:r>
          </w:p>
        </w:tc>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5</w:t>
            </w: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3,5</w:t>
            </w:r>
          </w:p>
        </w:tc>
        <w:tc>
          <w:tcPr>
            <w:tcW w:w="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2</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1,4</w:t>
            </w:r>
          </w:p>
        </w:tc>
        <w:tc>
          <w:tcPr>
            <w:tcW w:w="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4</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6</w:t>
            </w:r>
          </w:p>
        </w:tc>
        <w:tc>
          <w:tcPr>
            <w:tcW w:w="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10</w:t>
            </w:r>
          </w:p>
        </w:tc>
        <w:tc>
          <w:tcPr>
            <w:tcW w:w="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20</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36</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36</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301</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301</w:t>
            </w:r>
          </w:p>
        </w:tc>
        <w:tc>
          <w:tcPr>
            <w:tcW w:w="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11</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11</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2299</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bookmarkStart w:id="72" w:name="OLE_LINK75"/>
            <w:r>
              <w:rPr>
                <w:sz w:val="16"/>
                <w:szCs w:val="16"/>
                <w:lang w:eastAsia="en-US"/>
              </w:rPr>
              <w:t>689,7</w:t>
            </w:r>
            <w:bookmarkEnd w:id="72"/>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6</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18</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9</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bookmarkStart w:id="73" w:name="OLE_LINK80"/>
            <w:r>
              <w:rPr>
                <w:sz w:val="16"/>
                <w:szCs w:val="16"/>
                <w:lang w:eastAsia="en-US"/>
              </w:rPr>
              <w:t>4,5</w:t>
            </w:r>
            <w:bookmarkEnd w:id="73"/>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r>
              <w:rPr>
                <w:sz w:val="16"/>
                <w:szCs w:val="16"/>
                <w:lang w:eastAsia="en-US"/>
              </w:rPr>
              <w:t>2683</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sz w:val="16"/>
                <w:szCs w:val="16"/>
                <w:lang w:eastAsia="en-US"/>
              </w:rPr>
            </w:pPr>
            <w:bookmarkStart w:id="74" w:name="OLE_LINK73"/>
            <w:r>
              <w:rPr>
                <w:sz w:val="16"/>
                <w:szCs w:val="16"/>
                <w:lang w:eastAsia="en-US"/>
              </w:rPr>
              <w:t>1091,1</w:t>
            </w:r>
            <w:bookmarkEnd w:id="74"/>
          </w:p>
        </w:tc>
      </w:tr>
      <w:bookmarkEnd w:id="71"/>
      <w:tr w:rsidR="007A7CE7" w:rsidTr="007A7CE7">
        <w:trPr>
          <w:trHeight w:val="292"/>
          <w:jc w:val="center"/>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2023</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1014</w:t>
            </w:r>
          </w:p>
        </w:tc>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752</w:t>
            </w:r>
          </w:p>
        </w:tc>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5</w:t>
            </w: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3,5</w:t>
            </w:r>
          </w:p>
        </w:tc>
        <w:tc>
          <w:tcPr>
            <w:tcW w:w="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11</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7,</w:t>
            </w:r>
            <w:proofErr w:type="spellStart"/>
            <w:r>
              <w:rPr>
                <w:b/>
                <w:sz w:val="16"/>
                <w:szCs w:val="16"/>
                <w:lang w:eastAsia="en-US"/>
              </w:rPr>
              <w:t>7</w:t>
            </w:r>
            <w:proofErr w:type="spellEnd"/>
          </w:p>
        </w:tc>
        <w:tc>
          <w:tcPr>
            <w:tcW w:w="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bookmarkStart w:id="75" w:name="OLE_LINK83"/>
            <w:r>
              <w:rPr>
                <w:b/>
                <w:sz w:val="16"/>
                <w:szCs w:val="16"/>
                <w:lang w:eastAsia="en-US"/>
              </w:rPr>
              <w:t>3</w:t>
            </w:r>
            <w:bookmarkEnd w:id="75"/>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4,5</w:t>
            </w:r>
          </w:p>
        </w:tc>
        <w:tc>
          <w:tcPr>
            <w:tcW w:w="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bookmarkStart w:id="76" w:name="OLE_LINK84"/>
            <w:r>
              <w:rPr>
                <w:b/>
                <w:sz w:val="16"/>
                <w:szCs w:val="16"/>
                <w:lang w:eastAsia="en-US"/>
              </w:rPr>
              <w:t>4</w:t>
            </w:r>
            <w:bookmarkEnd w:id="76"/>
          </w:p>
        </w:tc>
        <w:tc>
          <w:tcPr>
            <w:tcW w:w="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8</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50</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50</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448</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448</w:t>
            </w:r>
          </w:p>
        </w:tc>
        <w:tc>
          <w:tcPr>
            <w:tcW w:w="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54</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54</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5393</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bookmarkStart w:id="77" w:name="OLE_LINK77"/>
            <w:r>
              <w:rPr>
                <w:b/>
                <w:sz w:val="16"/>
                <w:szCs w:val="16"/>
                <w:lang w:eastAsia="en-US"/>
              </w:rPr>
              <w:t>1617,9</w:t>
            </w:r>
            <w:bookmarkEnd w:id="77"/>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10</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30</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r>
              <w:rPr>
                <w:b/>
                <w:sz w:val="16"/>
                <w:szCs w:val="16"/>
                <w:lang w:eastAsia="en-US"/>
              </w:rPr>
              <w:t>434</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bookmarkStart w:id="78" w:name="OLE_LINK78"/>
            <w:bookmarkStart w:id="79" w:name="OLE_LINK79"/>
            <w:r>
              <w:rPr>
                <w:b/>
                <w:sz w:val="16"/>
                <w:szCs w:val="16"/>
                <w:lang w:eastAsia="en-US"/>
              </w:rPr>
              <w:t>217</w:t>
            </w:r>
            <w:bookmarkEnd w:id="78"/>
            <w:bookmarkEnd w:id="79"/>
          </w:p>
        </w:tc>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bookmarkStart w:id="80" w:name="OLE_LINK82"/>
            <w:r>
              <w:rPr>
                <w:b/>
                <w:sz w:val="16"/>
                <w:szCs w:val="16"/>
                <w:lang w:eastAsia="en-US"/>
              </w:rPr>
              <w:t>6412</w:t>
            </w:r>
            <w:bookmarkEnd w:id="80"/>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CE7" w:rsidRDefault="007A7CE7">
            <w:pPr>
              <w:spacing w:line="276" w:lineRule="auto"/>
              <w:jc w:val="center"/>
              <w:rPr>
                <w:b/>
                <w:sz w:val="16"/>
                <w:szCs w:val="16"/>
                <w:lang w:eastAsia="en-US"/>
              </w:rPr>
            </w:pPr>
            <w:bookmarkStart w:id="81" w:name="OLE_LINK72"/>
            <w:r>
              <w:rPr>
                <w:b/>
                <w:sz w:val="16"/>
                <w:szCs w:val="16"/>
                <w:lang w:eastAsia="en-US"/>
              </w:rPr>
              <w:t>2440,6</w:t>
            </w:r>
            <w:bookmarkEnd w:id="81"/>
          </w:p>
        </w:tc>
      </w:tr>
    </w:tbl>
    <w:p w:rsidR="007A7CE7" w:rsidRDefault="007A7CE7" w:rsidP="007A7CE7">
      <w:pPr>
        <w:jc w:val="both"/>
        <w:rPr>
          <w:sz w:val="28"/>
          <w:szCs w:val="28"/>
        </w:rPr>
      </w:pPr>
    </w:p>
    <w:p w:rsidR="007A7CE7" w:rsidRDefault="007A7CE7" w:rsidP="007A7CE7">
      <w:pPr>
        <w:ind w:firstLine="708"/>
        <w:jc w:val="both"/>
        <w:rPr>
          <w:sz w:val="28"/>
          <w:szCs w:val="28"/>
        </w:rPr>
      </w:pPr>
      <w:r>
        <w:rPr>
          <w:sz w:val="28"/>
          <w:szCs w:val="28"/>
        </w:rPr>
        <w:t xml:space="preserve">Дейността по администриране /на административния ръководител и </w:t>
      </w:r>
      <w:proofErr w:type="spellStart"/>
      <w:r>
        <w:rPr>
          <w:sz w:val="28"/>
          <w:szCs w:val="28"/>
        </w:rPr>
        <w:t>заместниците</w:t>
      </w:r>
      <w:proofErr w:type="spellEnd"/>
      <w:r>
        <w:rPr>
          <w:sz w:val="28"/>
          <w:szCs w:val="28"/>
        </w:rPr>
        <w:t xml:space="preserve"> му/ по бр. точки е нараснала със 123,7% спрямо 2022 г. Това се дължи до голяма степен на изготвените заповеди и указания, становища, драстично </w:t>
      </w:r>
      <w:bookmarkStart w:id="82" w:name="OLE_LINK86"/>
      <w:r>
        <w:rPr>
          <w:sz w:val="28"/>
          <w:szCs w:val="28"/>
        </w:rPr>
        <w:t>нарасналата контролна дейност на административния ръководител спрямо прокурорите</w:t>
      </w:r>
      <w:bookmarkEnd w:id="82"/>
      <w:r>
        <w:rPr>
          <w:sz w:val="28"/>
          <w:szCs w:val="28"/>
        </w:rPr>
        <w:t>, изготвените множество справки и писма до други звена, институции и граждани, чиито процент е 134,6 повече в сравнение с предходния отчетен период, както и увеличение в изготвените вътрешни организационни актове /правилници, правила/.</w:t>
      </w:r>
    </w:p>
    <w:p w:rsidR="007A7CE7" w:rsidRDefault="007A7CE7" w:rsidP="007A7CE7">
      <w:pPr>
        <w:ind w:firstLine="708"/>
        <w:jc w:val="both"/>
        <w:rPr>
          <w:sz w:val="28"/>
          <w:szCs w:val="28"/>
        </w:rPr>
      </w:pPr>
      <w:r>
        <w:rPr>
          <w:sz w:val="28"/>
          <w:szCs w:val="28"/>
        </w:rPr>
        <w:t>Наблюдава се намаление в организирането и провеждането на  работни, и обучителни съвещания, за сметка на увеличение на участието в работни и обучителни съвещания.</w:t>
      </w:r>
    </w:p>
    <w:p w:rsidR="007A7CE7" w:rsidRPr="00622436" w:rsidRDefault="007A7CE7" w:rsidP="007A7CE7">
      <w:pPr>
        <w:ind w:firstLine="708"/>
        <w:jc w:val="both"/>
        <w:rPr>
          <w:sz w:val="28"/>
          <w:szCs w:val="28"/>
          <w:lang w:val="en-US"/>
        </w:rPr>
      </w:pPr>
      <w:r>
        <w:rPr>
          <w:sz w:val="28"/>
          <w:szCs w:val="28"/>
        </w:rPr>
        <w:t>Запазва се и тенденцията за намаляване на произнасянята по дисциплинарни преписки, което се дължи на взетите мерки за контрол на административния ръководител спрямо прокурорите.</w:t>
      </w:r>
    </w:p>
    <w:p w:rsidR="007A7CE7" w:rsidRDefault="007A7CE7" w:rsidP="007A7CE7">
      <w:pPr>
        <w:ind w:firstLine="708"/>
        <w:jc w:val="both"/>
        <w:rPr>
          <w:sz w:val="28"/>
          <w:szCs w:val="28"/>
        </w:rPr>
      </w:pPr>
      <w:r>
        <w:rPr>
          <w:sz w:val="28"/>
          <w:szCs w:val="28"/>
        </w:rPr>
        <w:t xml:space="preserve">Дейността по администриране е онагледена посредством диаграмата по-долу: </w:t>
      </w:r>
    </w:p>
    <w:p w:rsidR="007A7CE7" w:rsidRDefault="007A7CE7" w:rsidP="007A7CE7">
      <w:pPr>
        <w:jc w:val="both"/>
        <w:rPr>
          <w:color w:val="0070C0"/>
          <w:sz w:val="28"/>
          <w:szCs w:val="28"/>
        </w:rPr>
      </w:pPr>
      <w:r>
        <w:rPr>
          <w:noProof/>
        </w:rPr>
        <w:lastRenderedPageBreak/>
        <w:drawing>
          <wp:anchor distT="0" distB="0" distL="114300" distR="114300" simplePos="0" relativeHeight="251682816" behindDoc="0" locked="0" layoutInCell="1" allowOverlap="1" wp14:anchorId="3BC20D63" wp14:editId="1E885660">
            <wp:simplePos x="0" y="0"/>
            <wp:positionH relativeFrom="margin">
              <wp:posOffset>365760</wp:posOffset>
            </wp:positionH>
            <wp:positionV relativeFrom="page">
              <wp:posOffset>471805</wp:posOffset>
            </wp:positionV>
            <wp:extent cx="5815330" cy="3779520"/>
            <wp:effectExtent l="0" t="0" r="13970" b="11430"/>
            <wp:wrapTopAndBottom/>
            <wp:docPr id="27" name="Диагра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7A7CE7" w:rsidRDefault="007A7CE7" w:rsidP="000059A2">
      <w:pPr>
        <w:keepNext/>
        <w:keepLines/>
        <w:numPr>
          <w:ilvl w:val="0"/>
          <w:numId w:val="11"/>
        </w:numPr>
        <w:shd w:val="clear" w:color="auto" w:fill="FFFFFF"/>
        <w:spacing w:before="480" w:after="200"/>
        <w:ind w:left="0" w:firstLine="709"/>
        <w:contextualSpacing/>
        <w:outlineLvl w:val="0"/>
        <w:rPr>
          <w:b/>
          <w:bCs/>
          <w:sz w:val="28"/>
          <w:szCs w:val="28"/>
          <w:lang w:eastAsia="en-US"/>
        </w:rPr>
      </w:pPr>
      <w:r>
        <w:rPr>
          <w:b/>
          <w:bCs/>
          <w:sz w:val="28"/>
          <w:szCs w:val="28"/>
          <w:lang w:eastAsia="en-US"/>
        </w:rPr>
        <w:t>НАТОВАРЕНОСТ на следствените органи</w:t>
      </w:r>
    </w:p>
    <w:p w:rsidR="007A7CE7" w:rsidRDefault="007A7CE7" w:rsidP="007A7CE7">
      <w:pPr>
        <w:ind w:firstLine="709"/>
        <w:jc w:val="both"/>
        <w:rPr>
          <w:sz w:val="28"/>
          <w:szCs w:val="28"/>
        </w:rPr>
      </w:pPr>
      <w:r>
        <w:rPr>
          <w:sz w:val="28"/>
          <w:szCs w:val="28"/>
        </w:rPr>
        <w:t xml:space="preserve">През отчетната 2023 г. в ОСлО – ОП – Варна общо са разследвани 605 ДП, от които 226 </w:t>
      </w:r>
      <w:proofErr w:type="spellStart"/>
      <w:r>
        <w:rPr>
          <w:sz w:val="28"/>
          <w:szCs w:val="28"/>
        </w:rPr>
        <w:t>новоразпределени</w:t>
      </w:r>
      <w:proofErr w:type="spellEnd"/>
      <w:r>
        <w:rPr>
          <w:sz w:val="28"/>
          <w:szCs w:val="28"/>
        </w:rPr>
        <w:t xml:space="preserve">  ДП, разследвани от средно 21,50 следователя, като всеки един от тях е разследвал 28 ДП /което се явява ръст от почти 20% от отчетната 2022 г. и над 10% ръст от отчетната 2021 г./, от които 10,5 ДП са били </w:t>
      </w:r>
      <w:proofErr w:type="spellStart"/>
      <w:r>
        <w:rPr>
          <w:sz w:val="28"/>
          <w:szCs w:val="28"/>
        </w:rPr>
        <w:t>новоразпределени</w:t>
      </w:r>
      <w:proofErr w:type="spellEnd"/>
      <w:r>
        <w:rPr>
          <w:sz w:val="28"/>
          <w:szCs w:val="28"/>
        </w:rPr>
        <w:t xml:space="preserve">. Средно приключени на ДП от реално работилите следователи са 12 ДП, което се явява ръст от 20% спрямо 2022 г.   </w:t>
      </w:r>
    </w:p>
    <w:p w:rsidR="007A7CE7" w:rsidRDefault="007A7CE7" w:rsidP="007A7CE7">
      <w:pPr>
        <w:ind w:firstLine="709"/>
        <w:jc w:val="both"/>
        <w:rPr>
          <w:sz w:val="28"/>
          <w:szCs w:val="28"/>
        </w:rPr>
      </w:pPr>
      <w:r>
        <w:rPr>
          <w:sz w:val="28"/>
          <w:szCs w:val="28"/>
        </w:rPr>
        <w:t xml:space="preserve">При извършен сравнителен анализ се забелязва ръст на разследваните и приключени ДП от реално работилите следователи, като за 2022 г. общо са разследвани 560 ДП или по  23 ДП на следовател, от които 8 ДП са били </w:t>
      </w:r>
      <w:proofErr w:type="spellStart"/>
      <w:r>
        <w:rPr>
          <w:sz w:val="28"/>
          <w:szCs w:val="28"/>
        </w:rPr>
        <w:t>новоразпределени</w:t>
      </w:r>
      <w:proofErr w:type="spellEnd"/>
      <w:r>
        <w:rPr>
          <w:sz w:val="28"/>
          <w:szCs w:val="28"/>
        </w:rPr>
        <w:t xml:space="preserve">, като приключените ДП са средно по 10 ДП на следовател. </w:t>
      </w:r>
    </w:p>
    <w:p w:rsidR="007A7CE7" w:rsidRDefault="007A7CE7" w:rsidP="007A7CE7">
      <w:pPr>
        <w:ind w:firstLine="709"/>
        <w:jc w:val="both"/>
        <w:rPr>
          <w:rFonts w:eastAsia="Calibri"/>
          <w:sz w:val="28"/>
          <w:szCs w:val="28"/>
          <w:lang w:eastAsia="en-US"/>
        </w:rPr>
      </w:pPr>
      <w:r>
        <w:rPr>
          <w:sz w:val="28"/>
          <w:szCs w:val="28"/>
        </w:rPr>
        <w:t xml:space="preserve">     </w:t>
      </w:r>
      <w:r>
        <w:rPr>
          <w:rFonts w:eastAsia="Calibri"/>
          <w:sz w:val="28"/>
          <w:szCs w:val="28"/>
          <w:lang w:eastAsia="en-US"/>
        </w:rPr>
        <w:t xml:space="preserve">За 2021 г.  реално работилите следователи са разследвали общо 595 ДП или по 24,5 ДП на следовател, от които 7,25  ДП са били </w:t>
      </w:r>
      <w:proofErr w:type="spellStart"/>
      <w:r>
        <w:rPr>
          <w:rFonts w:eastAsia="Calibri"/>
          <w:sz w:val="28"/>
          <w:szCs w:val="28"/>
          <w:lang w:eastAsia="en-US"/>
        </w:rPr>
        <w:t>новоразпределени</w:t>
      </w:r>
      <w:proofErr w:type="spellEnd"/>
      <w:r>
        <w:rPr>
          <w:rFonts w:eastAsia="Calibri"/>
          <w:sz w:val="28"/>
          <w:szCs w:val="28"/>
          <w:lang w:eastAsia="en-US"/>
        </w:rPr>
        <w:t>, като приключените ДП са средно по 12 ДП на следовател.</w:t>
      </w:r>
    </w:p>
    <w:p w:rsidR="007A7CE7" w:rsidRDefault="007A7CE7" w:rsidP="007A7CE7">
      <w:pPr>
        <w:ind w:firstLine="709"/>
        <w:jc w:val="both"/>
        <w:rPr>
          <w:sz w:val="28"/>
          <w:szCs w:val="28"/>
        </w:rPr>
      </w:pPr>
      <w:r>
        <w:rPr>
          <w:rFonts w:eastAsia="Calibri"/>
          <w:sz w:val="28"/>
          <w:szCs w:val="28"/>
          <w:lang w:eastAsia="en-US"/>
        </w:rPr>
        <w:t>По тези показатели се забелязва значителен ръст на разследваните ДП от отделен следовател, като следва да се отбележи, че на 4 пъти през годината са преразпределяни ДП от следователи, които са били в продължителен болничен или командироване, което от своя страна изисква време на новия разследващ да се запознае с материалите и да предприеме съответните действия по разследване.</w:t>
      </w:r>
      <w:r>
        <w:rPr>
          <w:sz w:val="28"/>
          <w:szCs w:val="28"/>
        </w:rPr>
        <w:t xml:space="preserve">                                                                                                                                   </w:t>
      </w:r>
    </w:p>
    <w:p w:rsidR="007A7CE7" w:rsidRDefault="007A7CE7" w:rsidP="007A7CE7">
      <w:pPr>
        <w:ind w:firstLine="709"/>
        <w:jc w:val="both"/>
        <w:rPr>
          <w:sz w:val="28"/>
          <w:szCs w:val="28"/>
        </w:rPr>
      </w:pPr>
      <w:r>
        <w:rPr>
          <w:sz w:val="28"/>
          <w:szCs w:val="28"/>
        </w:rPr>
        <w:t xml:space="preserve">Броят на следствените поръчки, получени по делегация и разследвани през 2023г. са 518, за 2022 г. са 576, а за 2021 г.  – 615 бр.; </w:t>
      </w:r>
    </w:p>
    <w:p w:rsidR="007A7CE7" w:rsidRDefault="007A7CE7" w:rsidP="007A7CE7">
      <w:pPr>
        <w:ind w:firstLine="709"/>
        <w:jc w:val="both"/>
        <w:rPr>
          <w:sz w:val="28"/>
          <w:szCs w:val="28"/>
        </w:rPr>
      </w:pPr>
      <w:r>
        <w:rPr>
          <w:sz w:val="28"/>
          <w:szCs w:val="28"/>
        </w:rPr>
        <w:t>Броят на международните поръчки за 2023г. са 110бр., за 2022 г. са 74бр., а за 2021 г. – 76бр..</w:t>
      </w:r>
    </w:p>
    <w:p w:rsidR="007A7CE7" w:rsidRDefault="007A7CE7" w:rsidP="007A7CE7">
      <w:pPr>
        <w:ind w:firstLine="709"/>
        <w:jc w:val="both"/>
        <w:rPr>
          <w:sz w:val="28"/>
          <w:szCs w:val="28"/>
        </w:rPr>
      </w:pPr>
      <w:r>
        <w:rPr>
          <w:sz w:val="28"/>
          <w:szCs w:val="28"/>
        </w:rPr>
        <w:t xml:space="preserve"> Реално работилите следователи през 2023г. са 21,5, за 2022 г. са 24,25, а за 2021 г. –  24,25.</w:t>
      </w:r>
    </w:p>
    <w:p w:rsidR="007A7CE7" w:rsidRDefault="007A7CE7" w:rsidP="007A7CE7">
      <w:pPr>
        <w:ind w:firstLine="709"/>
        <w:jc w:val="both"/>
        <w:rPr>
          <w:rFonts w:eastAsia="Calibri"/>
          <w:sz w:val="28"/>
          <w:szCs w:val="28"/>
          <w:lang w:eastAsia="en-US"/>
        </w:rPr>
      </w:pPr>
      <w:r>
        <w:rPr>
          <w:rFonts w:eastAsia="Calibri"/>
          <w:sz w:val="28"/>
          <w:szCs w:val="28"/>
          <w:lang w:eastAsia="en-US"/>
        </w:rPr>
        <w:lastRenderedPageBreak/>
        <w:t xml:space="preserve">Средногодишното натоварване на един следовател през 2023 г. е 21,50 ДП, през 2022 г. е 24,25 ДП, през 2021 г. е 24,25 ДП. </w:t>
      </w:r>
    </w:p>
    <w:p w:rsidR="007A7CE7" w:rsidRDefault="007A7CE7" w:rsidP="007A7CE7">
      <w:pPr>
        <w:ind w:firstLine="709"/>
        <w:jc w:val="both"/>
        <w:rPr>
          <w:sz w:val="28"/>
          <w:szCs w:val="28"/>
        </w:rPr>
      </w:pPr>
      <w:r>
        <w:rPr>
          <w:rFonts w:eastAsia="Calibri"/>
          <w:sz w:val="28"/>
          <w:szCs w:val="28"/>
          <w:lang w:eastAsia="en-US"/>
        </w:rPr>
        <w:t>Почти всички следователи са равномерно натоварени, с изключение на тези от следователите, които в началото на отчетния период са имали на производство по – голям брой ДП и през годината са им били възобновени/върнати повече дела</w:t>
      </w:r>
      <w:r>
        <w:rPr>
          <w:sz w:val="28"/>
          <w:szCs w:val="28"/>
        </w:rPr>
        <w:t>.</w:t>
      </w:r>
    </w:p>
    <w:p w:rsidR="007A7CE7" w:rsidRDefault="007A7CE7" w:rsidP="007A7CE7">
      <w:pPr>
        <w:ind w:firstLine="709"/>
        <w:jc w:val="both"/>
        <w:rPr>
          <w:sz w:val="28"/>
          <w:szCs w:val="28"/>
        </w:rPr>
      </w:pPr>
      <w:r>
        <w:rPr>
          <w:sz w:val="28"/>
          <w:szCs w:val="28"/>
        </w:rPr>
        <w:t>Данните за натовареността на следователите от ОСлО – ОП – Варна през 2023 г., изведени чрез справочния модул на УИС-3, са както следва:</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249"/>
        <w:gridCol w:w="1368"/>
        <w:gridCol w:w="1249"/>
        <w:gridCol w:w="1699"/>
        <w:gridCol w:w="1699"/>
        <w:gridCol w:w="1224"/>
        <w:gridCol w:w="1225"/>
      </w:tblGrid>
      <w:tr w:rsidR="007A7CE7" w:rsidTr="007A7CE7">
        <w:trPr>
          <w:trHeight w:val="1795"/>
        </w:trPr>
        <w:tc>
          <w:tcPr>
            <w:tcW w:w="134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A7CE7" w:rsidRDefault="007A7CE7">
            <w:pPr>
              <w:spacing w:line="276" w:lineRule="auto"/>
              <w:jc w:val="center"/>
              <w:rPr>
                <w:rFonts w:eastAsia="Calibri"/>
                <w:lang w:eastAsia="en-US"/>
              </w:rPr>
            </w:pPr>
            <w:r>
              <w:rPr>
                <w:rFonts w:eastAsia="Calibri"/>
                <w:lang w:eastAsia="en-US"/>
              </w:rPr>
              <w:t>по ДП /бр./</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A7CE7" w:rsidRDefault="007A7CE7">
            <w:pPr>
              <w:spacing w:line="276" w:lineRule="auto"/>
              <w:jc w:val="center"/>
              <w:rPr>
                <w:rFonts w:eastAsia="Calibri"/>
                <w:lang w:eastAsia="en-US"/>
              </w:rPr>
            </w:pPr>
            <w:r>
              <w:rPr>
                <w:rFonts w:eastAsia="Calibri"/>
                <w:lang w:eastAsia="en-US"/>
              </w:rPr>
              <w:t>по ДП /т./</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A7CE7" w:rsidRDefault="007A7CE7">
            <w:pPr>
              <w:spacing w:line="276" w:lineRule="auto"/>
              <w:jc w:val="center"/>
              <w:rPr>
                <w:rFonts w:eastAsia="Calibri"/>
                <w:lang w:eastAsia="en-US"/>
              </w:rPr>
            </w:pPr>
            <w:r>
              <w:rPr>
                <w:rFonts w:eastAsia="Calibri"/>
                <w:lang w:eastAsia="en-US"/>
              </w:rPr>
              <w:t>по СП /бр./</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A7CE7" w:rsidRDefault="007A7CE7">
            <w:pPr>
              <w:spacing w:line="276" w:lineRule="auto"/>
              <w:jc w:val="center"/>
              <w:rPr>
                <w:rFonts w:eastAsia="Calibri"/>
                <w:lang w:eastAsia="en-US"/>
              </w:rPr>
            </w:pPr>
            <w:r>
              <w:rPr>
                <w:rFonts w:eastAsia="Calibri"/>
                <w:lang w:eastAsia="en-US"/>
              </w:rPr>
              <w:t>по СП /т./</w:t>
            </w:r>
          </w:p>
        </w:tc>
        <w:tc>
          <w:tcPr>
            <w:tcW w:w="169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A7CE7" w:rsidRDefault="007A7CE7">
            <w:pPr>
              <w:spacing w:line="276" w:lineRule="auto"/>
              <w:jc w:val="center"/>
              <w:rPr>
                <w:rFonts w:eastAsia="Calibri"/>
                <w:lang w:eastAsia="en-US"/>
              </w:rPr>
            </w:pPr>
            <w:r>
              <w:rPr>
                <w:rFonts w:eastAsia="Calibri"/>
                <w:lang w:eastAsia="en-US"/>
              </w:rPr>
              <w:t>Общо следователска дейност /бр./</w:t>
            </w:r>
          </w:p>
        </w:tc>
        <w:tc>
          <w:tcPr>
            <w:tcW w:w="169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A7CE7" w:rsidRDefault="007A7CE7">
            <w:pPr>
              <w:spacing w:line="276" w:lineRule="auto"/>
              <w:jc w:val="center"/>
              <w:rPr>
                <w:rFonts w:eastAsia="Calibri"/>
                <w:lang w:eastAsia="en-US"/>
              </w:rPr>
            </w:pPr>
            <w:r>
              <w:rPr>
                <w:rFonts w:eastAsia="Calibri"/>
                <w:lang w:eastAsia="en-US"/>
              </w:rPr>
              <w:t>Общо следователска дейност /т./</w:t>
            </w:r>
          </w:p>
        </w:tc>
        <w:tc>
          <w:tcPr>
            <w:tcW w:w="244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A7CE7" w:rsidRDefault="007A7CE7">
            <w:pPr>
              <w:spacing w:line="276" w:lineRule="auto"/>
              <w:jc w:val="center"/>
              <w:rPr>
                <w:rFonts w:eastAsia="Calibri"/>
                <w:lang w:eastAsia="en-US"/>
              </w:rPr>
            </w:pPr>
            <w:r>
              <w:rPr>
                <w:rFonts w:eastAsia="Calibri"/>
                <w:lang w:eastAsia="en-US"/>
              </w:rPr>
              <w:t>Брой точки на ден на следовател =</w:t>
            </w:r>
          </w:p>
          <w:p w:rsidR="007A7CE7" w:rsidRDefault="007A7CE7">
            <w:pPr>
              <w:spacing w:line="276" w:lineRule="auto"/>
              <w:jc w:val="center"/>
              <w:rPr>
                <w:rFonts w:eastAsia="Calibri"/>
                <w:lang w:eastAsia="en-US"/>
              </w:rPr>
            </w:pPr>
            <w:r>
              <w:rPr>
                <w:rFonts w:eastAsia="Calibri"/>
                <w:lang w:eastAsia="en-US"/>
              </w:rPr>
              <w:t xml:space="preserve">Общо точки/ </w:t>
            </w:r>
            <w:proofErr w:type="spellStart"/>
            <w:r>
              <w:rPr>
                <w:rFonts w:eastAsia="Calibri"/>
                <w:lang w:eastAsia="en-US"/>
              </w:rPr>
              <w:t>Действ</w:t>
            </w:r>
            <w:proofErr w:type="spellEnd"/>
            <w:r>
              <w:rPr>
                <w:rFonts w:eastAsia="Calibri"/>
                <w:lang w:eastAsia="en-US"/>
              </w:rPr>
              <w:t>. отработени дни,</w:t>
            </w:r>
          </w:p>
          <w:p w:rsidR="007A7CE7" w:rsidRDefault="007A7CE7">
            <w:pPr>
              <w:spacing w:line="276" w:lineRule="auto"/>
              <w:jc w:val="center"/>
              <w:rPr>
                <w:rFonts w:eastAsia="Calibri"/>
                <w:lang w:eastAsia="en-US"/>
              </w:rPr>
            </w:pPr>
            <w:r>
              <w:rPr>
                <w:rFonts w:eastAsia="Calibri"/>
                <w:sz w:val="16"/>
                <w:szCs w:val="16"/>
                <w:lang w:eastAsia="en-US"/>
              </w:rPr>
              <w:t>без командировки</w:t>
            </w:r>
          </w:p>
        </w:tc>
      </w:tr>
      <w:tr w:rsidR="007A7CE7" w:rsidTr="007A7CE7">
        <w:trPr>
          <w:trHeight w:val="4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rFonts w:eastAsia="Calibri"/>
                <w:lang w:eastAsia="en-US"/>
              </w:rPr>
            </w:pPr>
          </w:p>
        </w:tc>
        <w:tc>
          <w:tcPr>
            <w:tcW w:w="12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A7CE7" w:rsidRDefault="007A7CE7">
            <w:pPr>
              <w:spacing w:after="200" w:line="276" w:lineRule="auto"/>
              <w:contextualSpacing/>
              <w:jc w:val="center"/>
              <w:rPr>
                <w:rFonts w:eastAsia="Calibri"/>
                <w:lang w:eastAsia="en-US"/>
              </w:rPr>
            </w:pPr>
            <w:r>
              <w:rPr>
                <w:rFonts w:eastAsia="Calibri"/>
                <w:lang w:eastAsia="en-US"/>
              </w:rPr>
              <w:t>брой</w:t>
            </w:r>
          </w:p>
        </w:tc>
        <w:tc>
          <w:tcPr>
            <w:tcW w:w="12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A7CE7" w:rsidRDefault="007A7CE7">
            <w:pPr>
              <w:spacing w:after="200" w:line="276" w:lineRule="auto"/>
              <w:contextualSpacing/>
              <w:jc w:val="center"/>
              <w:rPr>
                <w:rFonts w:eastAsia="Calibri"/>
                <w:lang w:eastAsia="en-US"/>
              </w:rPr>
            </w:pPr>
            <w:r>
              <w:rPr>
                <w:rFonts w:eastAsia="Calibri"/>
                <w:lang w:eastAsia="en-US"/>
              </w:rPr>
              <w:t>точки</w:t>
            </w:r>
          </w:p>
        </w:tc>
      </w:tr>
      <w:tr w:rsidR="007A7CE7" w:rsidTr="007A7CE7">
        <w:trPr>
          <w:trHeight w:val="302"/>
        </w:trPr>
        <w:tc>
          <w:tcPr>
            <w:tcW w:w="1344" w:type="dxa"/>
            <w:tcBorders>
              <w:top w:val="single" w:sz="4" w:space="0" w:color="auto"/>
              <w:left w:val="single" w:sz="4" w:space="0" w:color="auto"/>
              <w:bottom w:val="single" w:sz="4" w:space="0" w:color="auto"/>
              <w:right w:val="single" w:sz="4" w:space="0" w:color="auto"/>
            </w:tcBorders>
            <w:vAlign w:val="bottom"/>
            <w:hideMark/>
          </w:tcPr>
          <w:p w:rsidR="007A7CE7" w:rsidRDefault="007A7CE7">
            <w:pPr>
              <w:spacing w:after="200" w:line="276" w:lineRule="auto"/>
              <w:contextualSpacing/>
              <w:jc w:val="center"/>
              <w:rPr>
                <w:rFonts w:eastAsia="Calibri"/>
                <w:lang w:eastAsia="en-US"/>
              </w:rPr>
            </w:pPr>
            <w:r>
              <w:rPr>
                <w:rFonts w:eastAsia="Calibri"/>
                <w:lang w:eastAsia="en-US"/>
              </w:rPr>
              <w:t>10439</w:t>
            </w:r>
          </w:p>
        </w:tc>
        <w:tc>
          <w:tcPr>
            <w:tcW w:w="1249" w:type="dxa"/>
            <w:tcBorders>
              <w:top w:val="single" w:sz="4" w:space="0" w:color="auto"/>
              <w:left w:val="single" w:sz="4" w:space="0" w:color="auto"/>
              <w:bottom w:val="single" w:sz="4" w:space="0" w:color="auto"/>
              <w:right w:val="single" w:sz="4" w:space="0" w:color="auto"/>
            </w:tcBorders>
            <w:vAlign w:val="bottom"/>
            <w:hideMark/>
          </w:tcPr>
          <w:p w:rsidR="007A7CE7" w:rsidRDefault="007A7CE7">
            <w:pPr>
              <w:spacing w:after="200" w:line="276" w:lineRule="auto"/>
              <w:contextualSpacing/>
              <w:jc w:val="center"/>
              <w:rPr>
                <w:rFonts w:eastAsia="Calibri"/>
                <w:lang w:eastAsia="en-US"/>
              </w:rPr>
            </w:pPr>
            <w:r>
              <w:rPr>
                <w:rFonts w:eastAsia="Calibri"/>
                <w:lang w:eastAsia="en-US"/>
              </w:rPr>
              <w:t>4267,6</w:t>
            </w:r>
          </w:p>
        </w:tc>
        <w:tc>
          <w:tcPr>
            <w:tcW w:w="1368" w:type="dxa"/>
            <w:tcBorders>
              <w:top w:val="single" w:sz="4" w:space="0" w:color="auto"/>
              <w:left w:val="single" w:sz="4" w:space="0" w:color="auto"/>
              <w:bottom w:val="single" w:sz="4" w:space="0" w:color="auto"/>
              <w:right w:val="single" w:sz="4" w:space="0" w:color="auto"/>
            </w:tcBorders>
            <w:vAlign w:val="bottom"/>
            <w:hideMark/>
          </w:tcPr>
          <w:p w:rsidR="007A7CE7" w:rsidRDefault="007A7CE7">
            <w:pPr>
              <w:spacing w:after="200" w:line="276" w:lineRule="auto"/>
              <w:contextualSpacing/>
              <w:jc w:val="center"/>
              <w:rPr>
                <w:rFonts w:eastAsia="Calibri"/>
                <w:lang w:eastAsia="en-US"/>
              </w:rPr>
            </w:pPr>
            <w:r>
              <w:rPr>
                <w:rFonts w:eastAsia="Calibri"/>
                <w:lang w:eastAsia="en-US"/>
              </w:rPr>
              <w:t>2744</w:t>
            </w:r>
          </w:p>
        </w:tc>
        <w:tc>
          <w:tcPr>
            <w:tcW w:w="1249" w:type="dxa"/>
            <w:tcBorders>
              <w:top w:val="single" w:sz="4" w:space="0" w:color="auto"/>
              <w:left w:val="single" w:sz="4" w:space="0" w:color="auto"/>
              <w:bottom w:val="single" w:sz="4" w:space="0" w:color="auto"/>
              <w:right w:val="single" w:sz="4" w:space="0" w:color="auto"/>
            </w:tcBorders>
            <w:vAlign w:val="bottom"/>
            <w:hideMark/>
          </w:tcPr>
          <w:p w:rsidR="007A7CE7" w:rsidRDefault="007A7CE7">
            <w:pPr>
              <w:spacing w:after="200" w:line="276" w:lineRule="auto"/>
              <w:contextualSpacing/>
              <w:jc w:val="center"/>
              <w:rPr>
                <w:rFonts w:eastAsia="Calibri"/>
                <w:lang w:eastAsia="en-US"/>
              </w:rPr>
            </w:pPr>
            <w:r>
              <w:rPr>
                <w:rFonts w:eastAsia="Calibri"/>
                <w:lang w:eastAsia="en-US"/>
              </w:rPr>
              <w:t>1420,5</w:t>
            </w:r>
          </w:p>
        </w:tc>
        <w:tc>
          <w:tcPr>
            <w:tcW w:w="1699" w:type="dxa"/>
            <w:tcBorders>
              <w:top w:val="single" w:sz="4" w:space="0" w:color="auto"/>
              <w:left w:val="single" w:sz="4" w:space="0" w:color="auto"/>
              <w:bottom w:val="single" w:sz="4" w:space="0" w:color="auto"/>
              <w:right w:val="single" w:sz="4" w:space="0" w:color="auto"/>
            </w:tcBorders>
            <w:vAlign w:val="bottom"/>
            <w:hideMark/>
          </w:tcPr>
          <w:p w:rsidR="007A7CE7" w:rsidRDefault="007A7CE7">
            <w:pPr>
              <w:spacing w:after="200" w:line="276" w:lineRule="auto"/>
              <w:contextualSpacing/>
              <w:jc w:val="center"/>
              <w:rPr>
                <w:rFonts w:eastAsia="Calibri"/>
                <w:lang w:eastAsia="en-US"/>
              </w:rPr>
            </w:pPr>
            <w:r>
              <w:rPr>
                <w:rFonts w:eastAsia="Calibri"/>
                <w:lang w:eastAsia="en-US"/>
              </w:rPr>
              <w:t>13183</w:t>
            </w:r>
          </w:p>
        </w:tc>
        <w:tc>
          <w:tcPr>
            <w:tcW w:w="1699" w:type="dxa"/>
            <w:tcBorders>
              <w:top w:val="single" w:sz="4" w:space="0" w:color="auto"/>
              <w:left w:val="single" w:sz="4" w:space="0" w:color="auto"/>
              <w:bottom w:val="single" w:sz="4" w:space="0" w:color="auto"/>
              <w:right w:val="single" w:sz="4" w:space="0" w:color="auto"/>
            </w:tcBorders>
            <w:vAlign w:val="bottom"/>
            <w:hideMark/>
          </w:tcPr>
          <w:p w:rsidR="007A7CE7" w:rsidRDefault="007A7CE7">
            <w:pPr>
              <w:spacing w:after="200" w:line="276" w:lineRule="auto"/>
              <w:contextualSpacing/>
              <w:jc w:val="center"/>
              <w:rPr>
                <w:rFonts w:eastAsia="Calibri"/>
                <w:lang w:eastAsia="en-US"/>
              </w:rPr>
            </w:pPr>
            <w:r>
              <w:rPr>
                <w:rFonts w:eastAsia="Calibri"/>
                <w:lang w:eastAsia="en-US"/>
              </w:rPr>
              <w:t>5688,1</w:t>
            </w:r>
          </w:p>
        </w:tc>
        <w:tc>
          <w:tcPr>
            <w:tcW w:w="1224" w:type="dxa"/>
            <w:tcBorders>
              <w:top w:val="single" w:sz="4" w:space="0" w:color="auto"/>
              <w:left w:val="single" w:sz="4" w:space="0" w:color="auto"/>
              <w:bottom w:val="single" w:sz="4" w:space="0" w:color="auto"/>
              <w:right w:val="single" w:sz="4" w:space="0" w:color="auto"/>
            </w:tcBorders>
            <w:vAlign w:val="bottom"/>
            <w:hideMark/>
          </w:tcPr>
          <w:p w:rsidR="007A7CE7" w:rsidRDefault="007A7CE7">
            <w:pPr>
              <w:spacing w:after="200" w:line="276" w:lineRule="auto"/>
              <w:contextualSpacing/>
              <w:jc w:val="center"/>
              <w:rPr>
                <w:rFonts w:eastAsia="Calibri"/>
                <w:lang w:eastAsia="en-US"/>
              </w:rPr>
            </w:pPr>
            <w:r>
              <w:rPr>
                <w:rFonts w:eastAsia="Calibri"/>
                <w:lang w:eastAsia="en-US"/>
              </w:rPr>
              <w:t>2,87</w:t>
            </w:r>
          </w:p>
        </w:tc>
        <w:tc>
          <w:tcPr>
            <w:tcW w:w="1225" w:type="dxa"/>
            <w:tcBorders>
              <w:top w:val="single" w:sz="4" w:space="0" w:color="auto"/>
              <w:left w:val="single" w:sz="4" w:space="0" w:color="auto"/>
              <w:bottom w:val="single" w:sz="4" w:space="0" w:color="auto"/>
              <w:right w:val="single" w:sz="4" w:space="0" w:color="auto"/>
            </w:tcBorders>
            <w:vAlign w:val="bottom"/>
            <w:hideMark/>
          </w:tcPr>
          <w:p w:rsidR="007A7CE7" w:rsidRDefault="007A7CE7">
            <w:pPr>
              <w:spacing w:after="200" w:line="276" w:lineRule="auto"/>
              <w:contextualSpacing/>
              <w:jc w:val="center"/>
              <w:rPr>
                <w:rFonts w:eastAsia="Calibri"/>
                <w:lang w:eastAsia="en-US"/>
              </w:rPr>
            </w:pPr>
            <w:r>
              <w:rPr>
                <w:rFonts w:eastAsia="Calibri"/>
                <w:lang w:eastAsia="en-US"/>
              </w:rPr>
              <w:t>1,24</w:t>
            </w:r>
          </w:p>
        </w:tc>
      </w:tr>
    </w:tbl>
    <w:p w:rsidR="007A7CE7" w:rsidRDefault="007A7CE7" w:rsidP="007A7CE7">
      <w:pPr>
        <w:jc w:val="both"/>
        <w:rPr>
          <w:sz w:val="28"/>
          <w:szCs w:val="28"/>
          <w:highlight w:val="red"/>
        </w:rPr>
      </w:pPr>
    </w:p>
    <w:p w:rsidR="007A7CE7" w:rsidRDefault="007A7CE7" w:rsidP="000059A2">
      <w:pPr>
        <w:keepNext/>
        <w:keepLines/>
        <w:numPr>
          <w:ilvl w:val="0"/>
          <w:numId w:val="11"/>
        </w:numPr>
        <w:tabs>
          <w:tab w:val="left" w:pos="284"/>
        </w:tabs>
        <w:spacing w:after="200"/>
        <w:ind w:left="0" w:firstLine="709"/>
        <w:contextualSpacing/>
        <w:jc w:val="both"/>
        <w:outlineLvl w:val="0"/>
        <w:rPr>
          <w:b/>
          <w:bCs/>
          <w:sz w:val="28"/>
          <w:szCs w:val="28"/>
          <w:lang w:val="ru-RU" w:eastAsia="en-US"/>
        </w:rPr>
      </w:pPr>
      <w:r>
        <w:rPr>
          <w:b/>
          <w:bCs/>
          <w:sz w:val="28"/>
          <w:szCs w:val="28"/>
          <w:lang w:val="ru-RU" w:eastAsia="en-US"/>
        </w:rPr>
        <w:t>НАТОВАРЕНОСТ НА ПРОКУРОРСКИТЕ ОРГАНИ В РП</w:t>
      </w:r>
      <w:r>
        <w:rPr>
          <w:b/>
          <w:bCs/>
          <w:sz w:val="28"/>
          <w:szCs w:val="28"/>
          <w:lang w:val="en-US" w:eastAsia="en-US"/>
        </w:rPr>
        <w:t xml:space="preserve"> </w:t>
      </w:r>
      <w:r>
        <w:rPr>
          <w:b/>
          <w:bCs/>
          <w:sz w:val="28"/>
          <w:szCs w:val="28"/>
          <w:lang w:val="ru-RU" w:eastAsia="en-US"/>
        </w:rPr>
        <w:t xml:space="preserve">-ВАРНА </w:t>
      </w:r>
    </w:p>
    <w:p w:rsidR="007A7CE7" w:rsidRDefault="007A7CE7" w:rsidP="007A7CE7">
      <w:pPr>
        <w:tabs>
          <w:tab w:val="left" w:pos="567"/>
        </w:tabs>
        <w:spacing w:before="120"/>
        <w:ind w:firstLine="709"/>
        <w:contextualSpacing/>
        <w:jc w:val="both"/>
        <w:rPr>
          <w:sz w:val="28"/>
          <w:szCs w:val="28"/>
        </w:rPr>
      </w:pPr>
      <w:r>
        <w:tab/>
      </w:r>
      <w:r>
        <w:rPr>
          <w:sz w:val="28"/>
          <w:szCs w:val="28"/>
        </w:rPr>
        <w:t>При отчитане натовареността на прокурорите от Районна прокуратура-Варна в настоящия раздел са използвани същите методи за измерване на натовареността.</w:t>
      </w:r>
    </w:p>
    <w:p w:rsidR="007A7CE7" w:rsidRPr="00622436" w:rsidRDefault="007A7CE7" w:rsidP="007A7CE7">
      <w:pPr>
        <w:keepNext/>
        <w:keepLines/>
        <w:shd w:val="clear" w:color="auto" w:fill="E5B8B7" w:themeFill="accent2" w:themeFillTint="66"/>
        <w:spacing w:before="200" w:after="200"/>
        <w:ind w:firstLine="709"/>
        <w:contextualSpacing/>
        <w:outlineLvl w:val="1"/>
        <w:rPr>
          <w:b/>
          <w:bCs/>
          <w:sz w:val="28"/>
          <w:szCs w:val="28"/>
          <w:lang w:eastAsia="en-US"/>
        </w:rPr>
      </w:pPr>
      <w:bookmarkStart w:id="83" w:name="_Toc156908365"/>
      <w:r w:rsidRPr="00622436">
        <w:rPr>
          <w:b/>
          <w:bCs/>
          <w:sz w:val="28"/>
          <w:szCs w:val="28"/>
          <w:lang w:eastAsia="en-US"/>
        </w:rPr>
        <w:t>4.1 ОБЕМ НА ПРОКУРОРСКАТА ДЕЙНОСТ</w:t>
      </w:r>
      <w:bookmarkEnd w:id="83"/>
      <w:r w:rsidRPr="00622436">
        <w:rPr>
          <w:b/>
          <w:sz w:val="28"/>
          <w:szCs w:val="28"/>
          <w:lang w:val="ru-RU" w:eastAsia="en-US"/>
        </w:rPr>
        <w:t xml:space="preserve"> В РП-ВАРНА</w:t>
      </w:r>
    </w:p>
    <w:p w:rsidR="007A7CE7" w:rsidRDefault="007A7CE7" w:rsidP="007A7CE7">
      <w:pPr>
        <w:spacing w:before="120"/>
        <w:ind w:firstLine="709"/>
        <w:contextualSpacing/>
        <w:jc w:val="both"/>
        <w:rPr>
          <w:rFonts w:eastAsia="Calibri"/>
          <w:color w:val="000000" w:themeColor="text1"/>
          <w:sz w:val="28"/>
          <w:szCs w:val="28"/>
          <w:lang w:eastAsia="en-US"/>
        </w:rPr>
      </w:pPr>
      <w:r>
        <w:rPr>
          <w:rFonts w:eastAsia="Calibri"/>
          <w:color w:val="000000" w:themeColor="text1"/>
          <w:sz w:val="28"/>
          <w:szCs w:val="28"/>
          <w:lang w:eastAsia="en-US"/>
        </w:rPr>
        <w:t xml:space="preserve">Обемът на прокурорската дейност е определен съгласно Указанието и включва: броя на внесените в съда прокурорски актове, участията на прокурорите в съдебни заседания и прокурорски актове и дейности по всички видове надзори.                                                                                                                                                                                                                                                                                                                                                                                                                                                                                                                                                                                                                                                                                                                                                                                                                                                                                                                                                                                                                                                                                                                                                                                                                                                                                                                                                                                                                                                                                                                                                                                                                                                                                                                                                                                                                                                                                                                                                                                                                                                                                                                                                                                                                                                                                                                                                                                                                                                                                                                                                                                                                                                                                                                                                                                                                                                                                                                                                                                                                                                                                                                                                                                                                                                                                                                                                                                                                                                                                                                                                                                                                                                                                                                                                                                                                                                                                                                                                                                                                                                                                                                                                                                                                                                                                                                                                                                                                                                                                                                                                                                          </w:t>
      </w:r>
    </w:p>
    <w:p w:rsidR="007A7CE7" w:rsidRDefault="007A7CE7" w:rsidP="007A7CE7">
      <w:pPr>
        <w:ind w:firstLine="709"/>
        <w:jc w:val="both"/>
        <w:rPr>
          <w:color w:val="000000" w:themeColor="text1"/>
          <w:sz w:val="28"/>
          <w:szCs w:val="28"/>
        </w:rPr>
      </w:pPr>
      <w:r>
        <w:rPr>
          <w:color w:val="000000" w:themeColor="text1"/>
          <w:sz w:val="28"/>
          <w:szCs w:val="28"/>
        </w:rPr>
        <w:t>При броя на внесените в съда прокурорски актове през отчетния период се наблюдава намаление с 2%   спрямо 2022 г. и увеличение с 8,4% спрямо 2021 г. или  1657 акта (при 1691  и 1529 акта).</w:t>
      </w:r>
    </w:p>
    <w:p w:rsidR="007A7CE7" w:rsidRDefault="007A7CE7" w:rsidP="007A7CE7">
      <w:pPr>
        <w:ind w:firstLine="709"/>
        <w:jc w:val="both"/>
        <w:rPr>
          <w:color w:val="000000" w:themeColor="text1"/>
          <w:sz w:val="28"/>
          <w:szCs w:val="28"/>
        </w:rPr>
      </w:pPr>
      <w:r>
        <w:rPr>
          <w:color w:val="000000" w:themeColor="text1"/>
          <w:sz w:val="28"/>
          <w:szCs w:val="28"/>
        </w:rPr>
        <w:t>По отношение на участията на прокурорите в съдебни заседания  през 2023 г., резултатите показват  4330 (при 4115 и 3608), наблюдава се увеличение от  5,2%     спрямо 2022 г. и с 20% спрямо 2021 г.</w:t>
      </w:r>
    </w:p>
    <w:p w:rsidR="007A7CE7" w:rsidRDefault="007A7CE7" w:rsidP="007A7CE7">
      <w:pPr>
        <w:ind w:firstLine="709"/>
        <w:jc w:val="both"/>
        <w:rPr>
          <w:color w:val="000000" w:themeColor="text1"/>
          <w:sz w:val="28"/>
          <w:szCs w:val="28"/>
        </w:rPr>
      </w:pPr>
      <w:r>
        <w:rPr>
          <w:color w:val="000000" w:themeColor="text1"/>
          <w:sz w:val="28"/>
          <w:szCs w:val="28"/>
        </w:rPr>
        <w:t>Общият брой на другите прокурорски актове и дейности по всички видове надзори е увеличен спрямо 2022 г. с 9,5%,  спрямо 2022 г. също се наблюдава увеличение с 20,4% или в абсолютни стойности: 92 019 (при 83 999 и 76 424).</w:t>
      </w:r>
    </w:p>
    <w:p w:rsidR="007A7CE7" w:rsidRDefault="007A7CE7" w:rsidP="007A7CE7">
      <w:pPr>
        <w:ind w:firstLine="709"/>
        <w:jc w:val="both"/>
        <w:rPr>
          <w:rFonts w:eastAsia="Calibri"/>
          <w:color w:val="000000" w:themeColor="text1"/>
          <w:sz w:val="28"/>
          <w:szCs w:val="28"/>
          <w:lang w:eastAsia="en-US"/>
        </w:rPr>
      </w:pPr>
      <w:r>
        <w:rPr>
          <w:rFonts w:eastAsia="Calibri"/>
          <w:color w:val="000000" w:themeColor="text1"/>
          <w:sz w:val="28"/>
          <w:szCs w:val="28"/>
          <w:lang w:eastAsia="en-US"/>
        </w:rPr>
        <w:t>Спрямо 2022</w:t>
      </w:r>
      <w:r>
        <w:rPr>
          <w:rFonts w:eastAsia="Calibri"/>
          <w:color w:val="000000" w:themeColor="text1"/>
          <w:sz w:val="28"/>
          <w:szCs w:val="28"/>
          <w:lang w:val="ru-RU" w:eastAsia="en-US"/>
        </w:rPr>
        <w:t xml:space="preserve"> </w:t>
      </w:r>
      <w:r>
        <w:rPr>
          <w:rFonts w:eastAsia="Calibri"/>
          <w:color w:val="000000" w:themeColor="text1"/>
          <w:sz w:val="28"/>
          <w:szCs w:val="28"/>
          <w:lang w:eastAsia="en-US"/>
        </w:rPr>
        <w:t>г., общият обем на прокурорската дейност за отчетния период е увеличен с 9,1%,  спрямо 2021 г. увеличението е с 20, 2%.</w:t>
      </w:r>
      <w:r>
        <w:rPr>
          <w:color w:val="000000" w:themeColor="text1"/>
          <w:sz w:val="28"/>
          <w:szCs w:val="28"/>
        </w:rPr>
        <w:t xml:space="preserve"> </w:t>
      </w:r>
    </w:p>
    <w:p w:rsidR="007A7CE7" w:rsidRDefault="007A7CE7" w:rsidP="007A7CE7">
      <w:pPr>
        <w:spacing w:before="120"/>
        <w:contextualSpacing/>
        <w:jc w:val="center"/>
        <w:rPr>
          <w:color w:val="FF0000"/>
          <w:sz w:val="28"/>
          <w:szCs w:val="28"/>
        </w:rPr>
      </w:pPr>
      <w:r>
        <w:rPr>
          <w:noProof/>
          <w:color w:val="FF0000"/>
          <w:sz w:val="28"/>
          <w:szCs w:val="28"/>
        </w:rPr>
        <w:lastRenderedPageBreak/>
        <w:drawing>
          <wp:inline distT="0" distB="0" distL="0" distR="0" wp14:anchorId="6F665852" wp14:editId="44572B83">
            <wp:extent cx="3657600" cy="1752600"/>
            <wp:effectExtent l="0" t="0" r="0"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1752600"/>
                    </a:xfrm>
                    <a:prstGeom prst="rect">
                      <a:avLst/>
                    </a:prstGeom>
                    <a:noFill/>
                    <a:ln>
                      <a:noFill/>
                    </a:ln>
                  </pic:spPr>
                </pic:pic>
              </a:graphicData>
            </a:graphic>
          </wp:inline>
        </w:drawing>
      </w:r>
    </w:p>
    <w:p w:rsidR="007A7CE7" w:rsidRDefault="007A7CE7" w:rsidP="007A7CE7">
      <w:pPr>
        <w:spacing w:before="120"/>
        <w:contextualSpacing/>
        <w:jc w:val="center"/>
        <w:rPr>
          <w:rFonts w:eastAsia="Calibri"/>
          <w:i/>
          <w:sz w:val="28"/>
          <w:szCs w:val="28"/>
          <w:lang w:eastAsia="en-US"/>
        </w:rPr>
      </w:pPr>
      <w:r>
        <w:rPr>
          <w:rFonts w:eastAsia="Calibri"/>
          <w:i/>
          <w:sz w:val="28"/>
          <w:szCs w:val="28"/>
          <w:lang w:eastAsia="en-US"/>
        </w:rPr>
        <w:t>Фиг.</w:t>
      </w:r>
      <w:r>
        <w:rPr>
          <w:rFonts w:eastAsia="Calibri"/>
          <w:i/>
          <w:sz w:val="28"/>
          <w:szCs w:val="28"/>
          <w:lang w:val="en-US" w:eastAsia="en-US"/>
        </w:rPr>
        <w:t xml:space="preserve"> </w:t>
      </w:r>
      <w:r>
        <w:rPr>
          <w:rFonts w:eastAsia="Calibri"/>
          <w:i/>
          <w:sz w:val="28"/>
          <w:szCs w:val="28"/>
          <w:lang w:eastAsia="en-US"/>
        </w:rPr>
        <w:t>11.  Общ обем на прокурорската дейност</w:t>
      </w:r>
    </w:p>
    <w:p w:rsidR="007A7CE7" w:rsidRDefault="007A7CE7" w:rsidP="007A7CE7">
      <w:pPr>
        <w:spacing w:before="120"/>
        <w:ind w:firstLine="567"/>
        <w:contextualSpacing/>
        <w:jc w:val="both"/>
        <w:rPr>
          <w:bCs/>
          <w:sz w:val="28"/>
          <w:szCs w:val="28"/>
        </w:rPr>
      </w:pPr>
    </w:p>
    <w:p w:rsidR="007A7CE7" w:rsidRDefault="007A7CE7" w:rsidP="007A7CE7">
      <w:pPr>
        <w:spacing w:before="120"/>
        <w:ind w:firstLine="709"/>
        <w:contextualSpacing/>
        <w:jc w:val="both"/>
        <w:rPr>
          <w:bCs/>
          <w:sz w:val="28"/>
          <w:szCs w:val="28"/>
        </w:rPr>
      </w:pPr>
      <w:r>
        <w:rPr>
          <w:bCs/>
          <w:sz w:val="28"/>
          <w:szCs w:val="28"/>
        </w:rPr>
        <w:t>На следващата графика тези показатели онагледяват изменението на натоварването в общия обем на прокурорската работа през сравнявания 3-годишен период.</w:t>
      </w:r>
    </w:p>
    <w:p w:rsidR="007A7CE7" w:rsidRDefault="007A7CE7" w:rsidP="007A7CE7">
      <w:pPr>
        <w:spacing w:before="120"/>
        <w:contextualSpacing/>
        <w:jc w:val="center"/>
        <w:rPr>
          <w:bCs/>
          <w:color w:val="FF0000"/>
          <w:sz w:val="28"/>
          <w:szCs w:val="28"/>
        </w:rPr>
      </w:pPr>
      <w:r>
        <w:rPr>
          <w:noProof/>
          <w:color w:val="FF0000"/>
          <w:sz w:val="28"/>
          <w:szCs w:val="28"/>
        </w:rPr>
        <w:drawing>
          <wp:inline distT="0" distB="0" distL="0" distR="0" wp14:anchorId="5F2D25D1" wp14:editId="6210ABF9">
            <wp:extent cx="4686300" cy="2990850"/>
            <wp:effectExtent l="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300" cy="2990850"/>
                    </a:xfrm>
                    <a:prstGeom prst="rect">
                      <a:avLst/>
                    </a:prstGeom>
                    <a:noFill/>
                    <a:ln>
                      <a:noFill/>
                    </a:ln>
                  </pic:spPr>
                </pic:pic>
              </a:graphicData>
            </a:graphic>
          </wp:inline>
        </w:drawing>
      </w:r>
    </w:p>
    <w:p w:rsidR="007A7CE7" w:rsidRDefault="007A7CE7" w:rsidP="007A7CE7">
      <w:pPr>
        <w:spacing w:before="120"/>
        <w:contextualSpacing/>
        <w:jc w:val="center"/>
        <w:rPr>
          <w:rFonts w:eastAsia="Calibri"/>
          <w:i/>
          <w:sz w:val="28"/>
          <w:szCs w:val="28"/>
          <w:lang w:eastAsia="en-US"/>
        </w:rPr>
      </w:pPr>
      <w:r>
        <w:rPr>
          <w:i/>
          <w:sz w:val="28"/>
          <w:szCs w:val="28"/>
        </w:rPr>
        <w:t xml:space="preserve">Фиг. 12. </w:t>
      </w:r>
      <w:r>
        <w:rPr>
          <w:rFonts w:eastAsia="Calibri"/>
          <w:i/>
          <w:sz w:val="28"/>
          <w:szCs w:val="28"/>
          <w:lang w:eastAsia="en-US"/>
        </w:rPr>
        <w:t>Обем на прокурорската дейност</w:t>
      </w:r>
    </w:p>
    <w:p w:rsidR="007A7CE7" w:rsidRDefault="007A7CE7" w:rsidP="007A7CE7">
      <w:pPr>
        <w:spacing w:before="120"/>
        <w:contextualSpacing/>
        <w:jc w:val="center"/>
        <w:rPr>
          <w:rFonts w:eastAsia="Calibri"/>
          <w:i/>
          <w:sz w:val="28"/>
          <w:szCs w:val="28"/>
          <w:lang w:eastAsia="en-US"/>
        </w:rPr>
      </w:pPr>
    </w:p>
    <w:p w:rsidR="007A7CE7" w:rsidRDefault="007A7CE7" w:rsidP="007A7CE7">
      <w:pPr>
        <w:spacing w:before="120" w:after="240"/>
        <w:ind w:firstLine="709"/>
        <w:contextualSpacing/>
        <w:jc w:val="both"/>
        <w:rPr>
          <w:sz w:val="28"/>
          <w:szCs w:val="28"/>
        </w:rPr>
      </w:pPr>
      <w:r>
        <w:rPr>
          <w:sz w:val="28"/>
          <w:szCs w:val="28"/>
        </w:rPr>
        <w:t>Освен общ обем на прокурорската дейност в следващата таблица са представени данни за брой наблюдавани и решени преписки,  новообразувани, наблюдавани и решени дела, с оглед  на конкретизиране на натовареността:</w:t>
      </w:r>
    </w:p>
    <w:p w:rsidR="007A7CE7" w:rsidRDefault="007A7CE7" w:rsidP="007A7CE7">
      <w:pPr>
        <w:spacing w:before="120" w:after="240"/>
        <w:ind w:firstLine="567"/>
        <w:contextualSpacing/>
        <w:jc w:val="both"/>
        <w:rPr>
          <w:sz w:val="28"/>
          <w:szCs w:val="28"/>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62"/>
        <w:gridCol w:w="992"/>
        <w:gridCol w:w="993"/>
        <w:gridCol w:w="992"/>
        <w:gridCol w:w="658"/>
        <w:gridCol w:w="1416"/>
        <w:gridCol w:w="710"/>
        <w:gridCol w:w="1417"/>
      </w:tblGrid>
      <w:tr w:rsidR="007A7CE7" w:rsidTr="007A7CE7">
        <w:trPr>
          <w:trHeight w:val="20"/>
          <w:jc w:val="center"/>
        </w:trPr>
        <w:tc>
          <w:tcPr>
            <w:tcW w:w="2362"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line="276" w:lineRule="auto"/>
              <w:jc w:val="center"/>
              <w:rPr>
                <w:b/>
                <w:bCs/>
                <w:color w:val="000000" w:themeColor="text1"/>
                <w:sz w:val="28"/>
                <w:szCs w:val="28"/>
                <w:lang w:eastAsia="en-US"/>
              </w:rPr>
            </w:pPr>
            <w:bookmarkStart w:id="84" w:name="_Hlk156388554"/>
            <w:r>
              <w:rPr>
                <w:b/>
                <w:bCs/>
                <w:color w:val="000000" w:themeColor="text1"/>
                <w:sz w:val="28"/>
                <w:szCs w:val="28"/>
                <w:lang w:eastAsia="en-US"/>
              </w:rPr>
              <w:t>Показатели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line="276" w:lineRule="auto"/>
              <w:jc w:val="both"/>
              <w:rPr>
                <w:bCs/>
                <w:color w:val="000000" w:themeColor="text1"/>
                <w:sz w:val="28"/>
                <w:szCs w:val="28"/>
                <w:lang w:eastAsia="en-US"/>
              </w:rPr>
            </w:pPr>
            <w:r>
              <w:rPr>
                <w:bCs/>
                <w:color w:val="000000" w:themeColor="text1"/>
                <w:sz w:val="28"/>
                <w:szCs w:val="28"/>
                <w:lang w:eastAsia="en-US"/>
              </w:rPr>
              <w:t>2021 г.</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line="276" w:lineRule="auto"/>
              <w:jc w:val="both"/>
              <w:rPr>
                <w:bCs/>
                <w:color w:val="000000" w:themeColor="text1"/>
                <w:sz w:val="28"/>
                <w:szCs w:val="28"/>
                <w:lang w:eastAsia="en-US"/>
              </w:rPr>
            </w:pPr>
            <w:r>
              <w:rPr>
                <w:bCs/>
                <w:color w:val="000000" w:themeColor="text1"/>
                <w:sz w:val="28"/>
                <w:szCs w:val="28"/>
                <w:lang w:eastAsia="en-US"/>
              </w:rPr>
              <w:t>2022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line="276" w:lineRule="auto"/>
              <w:jc w:val="both"/>
              <w:rPr>
                <w:b/>
                <w:bCs/>
                <w:color w:val="000000" w:themeColor="text1"/>
                <w:sz w:val="28"/>
                <w:szCs w:val="28"/>
                <w:lang w:eastAsia="en-US"/>
              </w:rPr>
            </w:pPr>
            <w:r>
              <w:rPr>
                <w:b/>
                <w:bCs/>
                <w:color w:val="000000" w:themeColor="text1"/>
                <w:sz w:val="28"/>
                <w:szCs w:val="28"/>
                <w:lang w:eastAsia="en-US"/>
              </w:rPr>
              <w:t>2023 г.</w:t>
            </w:r>
          </w:p>
        </w:tc>
        <w:tc>
          <w:tcPr>
            <w:tcW w:w="4201"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line="276" w:lineRule="auto"/>
              <w:jc w:val="center"/>
              <w:rPr>
                <w:b/>
                <w:bCs/>
                <w:color w:val="000000" w:themeColor="text1"/>
                <w:sz w:val="28"/>
                <w:szCs w:val="28"/>
                <w:lang w:eastAsia="en-US"/>
              </w:rPr>
            </w:pPr>
            <w:r>
              <w:rPr>
                <w:b/>
                <w:bCs/>
                <w:color w:val="000000" w:themeColor="text1"/>
                <w:sz w:val="28"/>
                <w:szCs w:val="28"/>
                <w:lang w:eastAsia="en-US"/>
              </w:rPr>
              <w:t>Разлика спрямо съответната година</w:t>
            </w:r>
          </w:p>
        </w:tc>
      </w:tr>
      <w:tr w:rsidR="007A7CE7" w:rsidTr="007A7CE7">
        <w:trPr>
          <w:trHeight w:val="20"/>
          <w:jc w:val="center"/>
        </w:trPr>
        <w:tc>
          <w:tcPr>
            <w:tcW w:w="2362" w:type="dxa"/>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b/>
                <w:bCs/>
                <w:color w:val="000000" w:themeColor="text1"/>
                <w:sz w:val="28"/>
                <w:szCs w:val="2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bCs/>
                <w:color w:val="000000" w:themeColor="text1"/>
                <w:sz w:val="28"/>
                <w:szCs w:val="28"/>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bCs/>
                <w:color w:val="000000" w:themeColor="text1"/>
                <w:sz w:val="28"/>
                <w:szCs w:val="2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b/>
                <w:bCs/>
                <w:color w:val="000000" w:themeColor="text1"/>
                <w:sz w:val="28"/>
                <w:szCs w:val="28"/>
                <w:lang w:eastAsia="en-US"/>
              </w:rPr>
            </w:pPr>
          </w:p>
        </w:tc>
        <w:tc>
          <w:tcPr>
            <w:tcW w:w="207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line="276" w:lineRule="auto"/>
              <w:jc w:val="center"/>
              <w:rPr>
                <w:bCs/>
                <w:color w:val="000000" w:themeColor="text1"/>
                <w:sz w:val="28"/>
                <w:szCs w:val="28"/>
                <w:lang w:eastAsia="en-US"/>
              </w:rPr>
            </w:pPr>
            <w:r>
              <w:rPr>
                <w:bCs/>
                <w:color w:val="000000" w:themeColor="text1"/>
                <w:sz w:val="28"/>
                <w:szCs w:val="28"/>
                <w:lang w:eastAsia="en-US"/>
              </w:rPr>
              <w:t>2022 г.</w:t>
            </w:r>
          </w:p>
        </w:tc>
        <w:tc>
          <w:tcPr>
            <w:tcW w:w="212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line="276" w:lineRule="auto"/>
              <w:jc w:val="center"/>
              <w:rPr>
                <w:bCs/>
                <w:color w:val="000000" w:themeColor="text1"/>
                <w:sz w:val="28"/>
                <w:szCs w:val="28"/>
                <w:lang w:eastAsia="en-US"/>
              </w:rPr>
            </w:pPr>
            <w:r>
              <w:rPr>
                <w:bCs/>
                <w:color w:val="000000" w:themeColor="text1"/>
                <w:sz w:val="28"/>
                <w:szCs w:val="28"/>
                <w:lang w:eastAsia="en-US"/>
              </w:rPr>
              <w:t>2021 г.</w:t>
            </w:r>
          </w:p>
        </w:tc>
      </w:tr>
      <w:tr w:rsidR="007A7CE7" w:rsidTr="007A7CE7">
        <w:trPr>
          <w:trHeight w:val="20"/>
          <w:jc w:val="center"/>
        </w:trPr>
        <w:tc>
          <w:tcPr>
            <w:tcW w:w="2362" w:type="dxa"/>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b/>
                <w:bCs/>
                <w:color w:val="000000" w:themeColor="text1"/>
                <w:sz w:val="28"/>
                <w:szCs w:val="2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bCs/>
                <w:color w:val="000000" w:themeColor="text1"/>
                <w:sz w:val="28"/>
                <w:szCs w:val="28"/>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bCs/>
                <w:color w:val="000000" w:themeColor="text1"/>
                <w:sz w:val="28"/>
                <w:szCs w:val="2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b/>
                <w:bCs/>
                <w:color w:val="000000" w:themeColor="text1"/>
                <w:sz w:val="28"/>
                <w:szCs w:val="28"/>
                <w:lang w:eastAsia="en-US"/>
              </w:rPr>
            </w:pPr>
          </w:p>
        </w:tc>
        <w:tc>
          <w:tcPr>
            <w:tcW w:w="658"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line="276" w:lineRule="auto"/>
              <w:jc w:val="center"/>
              <w:rPr>
                <w:color w:val="000000" w:themeColor="text1"/>
                <w:sz w:val="28"/>
                <w:szCs w:val="28"/>
                <w:lang w:eastAsia="en-US"/>
              </w:rPr>
            </w:pPr>
            <w:proofErr w:type="spellStart"/>
            <w:r>
              <w:rPr>
                <w:color w:val="000000" w:themeColor="text1"/>
                <w:sz w:val="28"/>
                <w:szCs w:val="28"/>
                <w:lang w:eastAsia="en-US"/>
              </w:rPr>
              <w:t>в</w:t>
            </w:r>
            <w:r w:rsidR="00704100">
              <w:rPr>
                <w:color w:val="000000" w:themeColor="text1"/>
                <w:sz w:val="28"/>
                <w:szCs w:val="28"/>
                <w:lang w:eastAsia="en-US"/>
              </w:rPr>
              <w:t>%</w:t>
            </w:r>
            <w:proofErr w:type="spellEnd"/>
          </w:p>
        </w:tc>
        <w:tc>
          <w:tcPr>
            <w:tcW w:w="141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line="276" w:lineRule="auto"/>
              <w:jc w:val="center"/>
              <w:rPr>
                <w:color w:val="000000" w:themeColor="text1"/>
                <w:sz w:val="28"/>
                <w:szCs w:val="28"/>
                <w:lang w:eastAsia="en-US"/>
              </w:rPr>
            </w:pPr>
            <w:r>
              <w:rPr>
                <w:color w:val="000000" w:themeColor="text1"/>
                <w:sz w:val="28"/>
                <w:szCs w:val="28"/>
                <w:lang w:eastAsia="en-US"/>
              </w:rPr>
              <w:t>вид</w:t>
            </w:r>
          </w:p>
        </w:tc>
        <w:tc>
          <w:tcPr>
            <w:tcW w:w="71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line="276" w:lineRule="auto"/>
              <w:jc w:val="center"/>
              <w:rPr>
                <w:color w:val="000000" w:themeColor="text1"/>
                <w:sz w:val="28"/>
                <w:szCs w:val="28"/>
                <w:lang w:eastAsia="en-US"/>
              </w:rPr>
            </w:pPr>
            <w:proofErr w:type="spellStart"/>
            <w:r>
              <w:rPr>
                <w:color w:val="000000" w:themeColor="text1"/>
                <w:sz w:val="28"/>
                <w:szCs w:val="28"/>
                <w:lang w:eastAsia="en-US"/>
              </w:rPr>
              <w:t>в</w:t>
            </w:r>
            <w:r w:rsidR="00704100">
              <w:rPr>
                <w:color w:val="000000" w:themeColor="text1"/>
                <w:sz w:val="28"/>
                <w:szCs w:val="28"/>
                <w:lang w:eastAsia="en-US"/>
              </w:rPr>
              <w:t>%</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line="276" w:lineRule="auto"/>
              <w:jc w:val="center"/>
              <w:rPr>
                <w:color w:val="000000" w:themeColor="text1"/>
                <w:sz w:val="28"/>
                <w:szCs w:val="28"/>
                <w:lang w:eastAsia="en-US"/>
              </w:rPr>
            </w:pPr>
            <w:r>
              <w:rPr>
                <w:color w:val="000000" w:themeColor="text1"/>
                <w:sz w:val="28"/>
                <w:szCs w:val="28"/>
                <w:lang w:eastAsia="en-US"/>
              </w:rPr>
              <w:t>вид</w:t>
            </w:r>
          </w:p>
        </w:tc>
      </w:tr>
      <w:tr w:rsidR="007A7CE7" w:rsidTr="007A7CE7">
        <w:trPr>
          <w:trHeight w:val="20"/>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rPr>
                <w:bCs/>
                <w:color w:val="000000" w:themeColor="text1"/>
                <w:lang w:eastAsia="en-US"/>
              </w:rPr>
            </w:pPr>
            <w:r>
              <w:rPr>
                <w:bCs/>
                <w:color w:val="000000" w:themeColor="text1"/>
                <w:lang w:eastAsia="en-US"/>
              </w:rPr>
              <w:t>Наблюдавани преписки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16 485</w:t>
            </w:r>
          </w:p>
        </w:tc>
        <w:tc>
          <w:tcPr>
            <w:tcW w:w="99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15 317</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b/>
                <w:color w:val="000000" w:themeColor="text1"/>
                <w:lang w:eastAsia="en-US"/>
              </w:rPr>
            </w:pPr>
            <w:r>
              <w:rPr>
                <w:rFonts w:eastAsia="Calibri"/>
                <w:b/>
                <w:color w:val="000000" w:themeColor="text1"/>
                <w:lang w:eastAsia="en-US"/>
              </w:rPr>
              <w:t>15 664</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2,3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val="en-US" w:eastAsia="en-US"/>
              </w:rPr>
              <w:t>-</w:t>
            </w:r>
            <w:r>
              <w:rPr>
                <w:rFonts w:eastAsia="Calibri"/>
                <w:color w:val="000000" w:themeColor="text1"/>
                <w:lang w:eastAsia="en-US"/>
              </w:rPr>
              <w:t>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Намаление</w:t>
            </w:r>
          </w:p>
        </w:tc>
      </w:tr>
      <w:tr w:rsidR="007A7CE7" w:rsidTr="007A7CE7">
        <w:trPr>
          <w:trHeight w:val="20"/>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rPr>
                <w:bCs/>
                <w:color w:val="000000" w:themeColor="text1"/>
                <w:lang w:eastAsia="en-US"/>
              </w:rPr>
            </w:pPr>
            <w:r>
              <w:rPr>
                <w:bCs/>
                <w:color w:val="000000" w:themeColor="text1"/>
                <w:lang w:eastAsia="en-US"/>
              </w:rPr>
              <w:t>Решени преписки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16 087</w:t>
            </w:r>
          </w:p>
        </w:tc>
        <w:tc>
          <w:tcPr>
            <w:tcW w:w="99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val="en-US" w:eastAsia="en-US"/>
              </w:rPr>
            </w:pPr>
            <w:r>
              <w:rPr>
                <w:rFonts w:eastAsia="Calibri"/>
                <w:color w:val="000000" w:themeColor="text1"/>
                <w:lang w:val="en-US" w:eastAsia="en-US"/>
              </w:rPr>
              <w:t>14 995</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b/>
                <w:color w:val="000000" w:themeColor="text1"/>
                <w:lang w:eastAsia="en-US"/>
              </w:rPr>
            </w:pPr>
            <w:r>
              <w:rPr>
                <w:rFonts w:eastAsia="Calibri"/>
                <w:b/>
                <w:color w:val="000000" w:themeColor="text1"/>
                <w:lang w:eastAsia="en-US"/>
              </w:rPr>
              <w:t>15 244</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1,7</w:t>
            </w:r>
          </w:p>
        </w:tc>
        <w:tc>
          <w:tcPr>
            <w:tcW w:w="1416"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val="en-US" w:eastAsia="en-US"/>
              </w:rPr>
              <w:t>-</w:t>
            </w:r>
            <w:r>
              <w:rPr>
                <w:rFonts w:eastAsia="Calibri"/>
                <w:color w:val="000000" w:themeColor="text1"/>
                <w:lang w:eastAsia="en-US"/>
              </w:rPr>
              <w:t>5,2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Намаление</w:t>
            </w:r>
          </w:p>
        </w:tc>
      </w:tr>
      <w:tr w:rsidR="007A7CE7" w:rsidTr="007A7CE7">
        <w:trPr>
          <w:trHeight w:val="20"/>
          <w:jc w:val="center"/>
        </w:trPr>
        <w:tc>
          <w:tcPr>
            <w:tcW w:w="2362"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rPr>
                <w:color w:val="000000" w:themeColor="text1"/>
                <w:lang w:eastAsia="en-US"/>
              </w:rPr>
            </w:pPr>
            <w:r>
              <w:rPr>
                <w:color w:val="000000" w:themeColor="text1"/>
                <w:lang w:eastAsia="en-US"/>
              </w:rPr>
              <w:t>Новообразувани ДП</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6880</w:t>
            </w:r>
          </w:p>
        </w:tc>
        <w:tc>
          <w:tcPr>
            <w:tcW w:w="99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val="en-US" w:eastAsia="en-US"/>
              </w:rPr>
            </w:pPr>
            <w:r>
              <w:rPr>
                <w:rFonts w:eastAsia="Calibri"/>
                <w:color w:val="000000" w:themeColor="text1"/>
                <w:lang w:val="en-US" w:eastAsia="en-US"/>
              </w:rPr>
              <w:t>7500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b/>
                <w:color w:val="000000" w:themeColor="text1"/>
                <w:lang w:eastAsia="en-US"/>
              </w:rPr>
            </w:pPr>
            <w:r>
              <w:rPr>
                <w:rFonts w:eastAsia="Calibri"/>
                <w:b/>
                <w:color w:val="000000" w:themeColor="text1"/>
                <w:lang w:eastAsia="en-US"/>
              </w:rPr>
              <w:t>7244</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-3,4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Намаление</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5,3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r>
      <w:tr w:rsidR="007A7CE7" w:rsidTr="007A7CE7">
        <w:trPr>
          <w:trHeight w:val="20"/>
          <w:jc w:val="center"/>
        </w:trPr>
        <w:tc>
          <w:tcPr>
            <w:tcW w:w="2362"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rPr>
                <w:color w:val="000000" w:themeColor="text1"/>
                <w:lang w:eastAsia="en-US"/>
              </w:rPr>
            </w:pPr>
            <w:r>
              <w:rPr>
                <w:color w:val="000000" w:themeColor="text1"/>
                <w:lang w:eastAsia="en-US"/>
              </w:rPr>
              <w:t xml:space="preserve">Наблюдавани ДП /включително и </w:t>
            </w:r>
            <w:r>
              <w:rPr>
                <w:color w:val="000000" w:themeColor="text1"/>
                <w:lang w:eastAsia="en-US"/>
              </w:rPr>
              <w:lastRenderedPageBreak/>
              <w:t>прекратени по давност/</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lastRenderedPageBreak/>
              <w:t>14 117</w:t>
            </w:r>
          </w:p>
        </w:tc>
        <w:tc>
          <w:tcPr>
            <w:tcW w:w="99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val="en-US" w:eastAsia="en-US"/>
              </w:rPr>
            </w:pPr>
            <w:r>
              <w:rPr>
                <w:rFonts w:eastAsia="Calibri"/>
                <w:color w:val="000000" w:themeColor="text1"/>
                <w:lang w:val="en-US" w:eastAsia="en-US"/>
              </w:rPr>
              <w:t>20 328</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b/>
                <w:color w:val="000000" w:themeColor="text1"/>
                <w:lang w:eastAsia="en-US"/>
              </w:rPr>
            </w:pPr>
            <w:r>
              <w:rPr>
                <w:rFonts w:eastAsia="Calibri"/>
                <w:b/>
                <w:color w:val="000000" w:themeColor="text1"/>
                <w:lang w:eastAsia="en-US"/>
              </w:rPr>
              <w:t>21 378</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5,2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51,4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r>
      <w:tr w:rsidR="007A7CE7" w:rsidTr="007A7CE7">
        <w:trPr>
          <w:trHeight w:val="20"/>
          <w:jc w:val="center"/>
        </w:trPr>
        <w:tc>
          <w:tcPr>
            <w:tcW w:w="2362"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rPr>
                <w:color w:val="000000" w:themeColor="text1"/>
                <w:lang w:eastAsia="en-US"/>
              </w:rPr>
            </w:pPr>
            <w:r>
              <w:rPr>
                <w:color w:val="000000" w:themeColor="text1"/>
                <w:lang w:eastAsia="en-US"/>
              </w:rPr>
              <w:lastRenderedPageBreak/>
              <w:t>Решени ДП</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9613</w:t>
            </w:r>
          </w:p>
        </w:tc>
        <w:tc>
          <w:tcPr>
            <w:tcW w:w="99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val="en-US" w:eastAsia="en-US"/>
              </w:rPr>
            </w:pPr>
            <w:r>
              <w:rPr>
                <w:rFonts w:eastAsia="Calibri"/>
                <w:color w:val="000000" w:themeColor="text1"/>
                <w:lang w:val="en-US" w:eastAsia="en-US"/>
              </w:rPr>
              <w:t>15 766</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b/>
                <w:color w:val="000000" w:themeColor="text1"/>
                <w:lang w:eastAsia="en-US"/>
              </w:rPr>
            </w:pPr>
            <w:r>
              <w:rPr>
                <w:rFonts w:eastAsia="Calibri"/>
                <w:b/>
                <w:color w:val="000000" w:themeColor="text1"/>
                <w:lang w:eastAsia="en-US"/>
              </w:rPr>
              <w:t>16 358</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3,8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70,2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r>
      <w:tr w:rsidR="007A7CE7" w:rsidTr="007A7CE7">
        <w:trPr>
          <w:trHeight w:val="20"/>
          <w:jc w:val="center"/>
        </w:trPr>
        <w:tc>
          <w:tcPr>
            <w:tcW w:w="2362"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rPr>
                <w:color w:val="000000" w:themeColor="text1"/>
                <w:lang w:eastAsia="en-US"/>
              </w:rPr>
            </w:pPr>
            <w:r>
              <w:rPr>
                <w:color w:val="000000" w:themeColor="text1"/>
                <w:lang w:eastAsia="en-US"/>
              </w:rPr>
              <w:t>Прокурорски актове,  внесени в съда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1529</w:t>
            </w:r>
          </w:p>
        </w:tc>
        <w:tc>
          <w:tcPr>
            <w:tcW w:w="99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val="en-US" w:eastAsia="en-US"/>
              </w:rPr>
            </w:pPr>
            <w:r>
              <w:rPr>
                <w:rFonts w:eastAsia="Calibri"/>
                <w:color w:val="000000" w:themeColor="text1"/>
                <w:lang w:val="en-US" w:eastAsia="en-US"/>
              </w:rPr>
              <w:t>1691</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b/>
                <w:color w:val="000000" w:themeColor="text1"/>
                <w:lang w:eastAsia="en-US"/>
              </w:rPr>
            </w:pPr>
            <w:r>
              <w:rPr>
                <w:rFonts w:eastAsia="Calibri"/>
                <w:b/>
                <w:color w:val="000000" w:themeColor="text1"/>
                <w:lang w:eastAsia="en-US"/>
              </w:rPr>
              <w:t>1657</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val="en-US" w:eastAsia="en-US"/>
              </w:rPr>
            </w:pPr>
            <w:r>
              <w:rPr>
                <w:rFonts w:eastAsia="Calibri"/>
                <w:color w:val="000000" w:themeColor="text1"/>
                <w:lang w:eastAsia="en-US"/>
              </w:rPr>
              <w:t>-2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Намаление</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r>
      <w:tr w:rsidR="007A7CE7" w:rsidTr="007A7CE7">
        <w:trPr>
          <w:trHeight w:val="20"/>
          <w:jc w:val="center"/>
        </w:trPr>
        <w:tc>
          <w:tcPr>
            <w:tcW w:w="2362"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rPr>
                <w:color w:val="000000" w:themeColor="text1"/>
                <w:lang w:eastAsia="en-US"/>
              </w:rPr>
            </w:pPr>
            <w:r>
              <w:rPr>
                <w:color w:val="000000" w:themeColor="text1"/>
                <w:lang w:eastAsia="en-US"/>
              </w:rPr>
              <w:t>Общо участия в съдебни заседания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3608</w:t>
            </w:r>
          </w:p>
        </w:tc>
        <w:tc>
          <w:tcPr>
            <w:tcW w:w="99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val="en-US" w:eastAsia="en-US"/>
              </w:rPr>
            </w:pPr>
            <w:r>
              <w:rPr>
                <w:rFonts w:eastAsia="Calibri"/>
                <w:color w:val="000000" w:themeColor="text1"/>
                <w:lang w:val="en-US" w:eastAsia="en-US"/>
              </w:rPr>
              <w:t>4115</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b/>
                <w:color w:val="000000" w:themeColor="text1"/>
                <w:lang w:eastAsia="en-US"/>
              </w:rPr>
            </w:pPr>
            <w:r>
              <w:rPr>
                <w:rFonts w:eastAsia="Calibri"/>
                <w:b/>
                <w:color w:val="000000" w:themeColor="text1"/>
                <w:lang w:eastAsia="en-US"/>
              </w:rPr>
              <w:t>4330</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5,2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val="en-US" w:eastAsia="en-US"/>
              </w:rPr>
            </w:pPr>
            <w:r>
              <w:rPr>
                <w:rFonts w:eastAsia="Calibri"/>
                <w:color w:val="000000" w:themeColor="text1"/>
                <w:lang w:eastAsia="en-US"/>
              </w:rPr>
              <w:t>20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r>
      <w:tr w:rsidR="007A7CE7" w:rsidTr="007A7CE7">
        <w:trPr>
          <w:trHeight w:val="20"/>
          <w:jc w:val="center"/>
        </w:trPr>
        <w:tc>
          <w:tcPr>
            <w:tcW w:w="2362"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rPr>
                <w:color w:val="000000" w:themeColor="text1"/>
                <w:lang w:eastAsia="en-US"/>
              </w:rPr>
            </w:pPr>
            <w:r>
              <w:rPr>
                <w:color w:val="000000" w:themeColor="text1"/>
                <w:lang w:eastAsia="en-US"/>
              </w:rPr>
              <w:t xml:space="preserve">Общо др. </w:t>
            </w:r>
            <w:proofErr w:type="spellStart"/>
            <w:r>
              <w:rPr>
                <w:color w:val="000000" w:themeColor="text1"/>
                <w:lang w:eastAsia="en-US"/>
              </w:rPr>
              <w:t>прок</w:t>
            </w:r>
            <w:proofErr w:type="spellEnd"/>
            <w:r>
              <w:rPr>
                <w:color w:val="000000" w:themeColor="text1"/>
                <w:lang w:eastAsia="en-US"/>
              </w:rPr>
              <w:t>. актове и дейности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76 424</w:t>
            </w:r>
          </w:p>
        </w:tc>
        <w:tc>
          <w:tcPr>
            <w:tcW w:w="99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83 999</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b/>
                <w:color w:val="000000" w:themeColor="text1"/>
                <w:lang w:eastAsia="en-US"/>
              </w:rPr>
            </w:pPr>
            <w:r>
              <w:rPr>
                <w:rFonts w:eastAsia="Calibri"/>
                <w:b/>
                <w:color w:val="000000" w:themeColor="text1"/>
                <w:lang w:eastAsia="en-US"/>
              </w:rPr>
              <w:t>92 019</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val="en-US" w:eastAsia="en-US"/>
              </w:rPr>
              <w:t>9</w:t>
            </w:r>
            <w:r>
              <w:rPr>
                <w:rFonts w:eastAsia="Calibri"/>
                <w:color w:val="000000" w:themeColor="text1"/>
                <w:lang w:eastAsia="en-US"/>
              </w:rPr>
              <w:t>,5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20,4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r>
      <w:tr w:rsidR="007A7CE7" w:rsidTr="007A7CE7">
        <w:trPr>
          <w:trHeight w:val="20"/>
          <w:jc w:val="center"/>
        </w:trPr>
        <w:tc>
          <w:tcPr>
            <w:tcW w:w="2362"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rPr>
                <w:color w:val="000000" w:themeColor="text1"/>
                <w:lang w:eastAsia="en-US"/>
              </w:rPr>
            </w:pPr>
            <w:r>
              <w:rPr>
                <w:color w:val="000000" w:themeColor="text1"/>
                <w:lang w:eastAsia="en-US"/>
              </w:rPr>
              <w:t>Общ обем на прокурорската дейност</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81 561</w:t>
            </w:r>
          </w:p>
        </w:tc>
        <w:tc>
          <w:tcPr>
            <w:tcW w:w="993"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val="en-US" w:eastAsia="en-US"/>
              </w:rPr>
              <w:t>89 80</w:t>
            </w:r>
            <w:r>
              <w:rPr>
                <w:rFonts w:eastAsia="Calibri"/>
                <w:color w:val="000000" w:themeColor="text1"/>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line="276" w:lineRule="auto"/>
              <w:jc w:val="center"/>
              <w:rPr>
                <w:rFonts w:eastAsia="Calibri"/>
                <w:b/>
                <w:color w:val="000000" w:themeColor="text1"/>
                <w:lang w:eastAsia="en-US"/>
              </w:rPr>
            </w:pPr>
            <w:r>
              <w:rPr>
                <w:rFonts w:eastAsia="Calibri"/>
                <w:b/>
                <w:color w:val="000000" w:themeColor="text1"/>
                <w:lang w:eastAsia="en-US"/>
              </w:rPr>
              <w:t>98 006</w:t>
            </w:r>
          </w:p>
        </w:tc>
        <w:tc>
          <w:tcPr>
            <w:tcW w:w="658"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9,1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c>
          <w:tcPr>
            <w:tcW w:w="710"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20,2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color w:val="000000" w:themeColor="text1"/>
                <w:lang w:eastAsia="en-US"/>
              </w:rPr>
            </w:pPr>
            <w:r>
              <w:rPr>
                <w:rFonts w:eastAsia="Calibri"/>
                <w:color w:val="000000" w:themeColor="text1"/>
                <w:lang w:eastAsia="en-US"/>
              </w:rPr>
              <w:t>Увеличение</w:t>
            </w:r>
          </w:p>
        </w:tc>
      </w:tr>
      <w:bookmarkEnd w:id="84"/>
    </w:tbl>
    <w:p w:rsidR="007A7CE7" w:rsidRDefault="007A7CE7" w:rsidP="007A7CE7">
      <w:pPr>
        <w:spacing w:after="240"/>
        <w:contextualSpacing/>
        <w:rPr>
          <w:b/>
          <w:color w:val="FF0000"/>
          <w:sz w:val="28"/>
          <w:szCs w:val="28"/>
        </w:rPr>
      </w:pPr>
    </w:p>
    <w:p w:rsidR="007A7CE7" w:rsidRDefault="007A7CE7" w:rsidP="007A7CE7">
      <w:pPr>
        <w:keepNext/>
        <w:keepLines/>
        <w:shd w:val="clear" w:color="auto" w:fill="E5B8B7" w:themeFill="accent2" w:themeFillTint="66"/>
        <w:spacing w:before="200" w:after="200"/>
        <w:ind w:firstLine="709"/>
        <w:contextualSpacing/>
        <w:jc w:val="center"/>
        <w:outlineLvl w:val="1"/>
        <w:rPr>
          <w:b/>
          <w:bCs/>
          <w:sz w:val="28"/>
          <w:szCs w:val="28"/>
          <w:lang w:eastAsia="en-US"/>
        </w:rPr>
      </w:pPr>
      <w:bookmarkStart w:id="85" w:name="_Toc156908366"/>
      <w:r>
        <w:rPr>
          <w:b/>
          <w:bCs/>
          <w:sz w:val="28"/>
          <w:szCs w:val="28"/>
          <w:lang w:eastAsia="en-US"/>
        </w:rPr>
        <w:t>4.2 НАТОВАРЕНОСТ</w:t>
      </w:r>
      <w:bookmarkEnd w:id="85"/>
    </w:p>
    <w:p w:rsidR="007A7CE7" w:rsidRDefault="007A7CE7" w:rsidP="007A7CE7">
      <w:pPr>
        <w:spacing w:before="120"/>
        <w:ind w:firstLine="709"/>
        <w:contextualSpacing/>
        <w:rPr>
          <w:color w:val="000000" w:themeColor="text1"/>
          <w:sz w:val="28"/>
          <w:szCs w:val="28"/>
        </w:rPr>
      </w:pPr>
      <w:r>
        <w:rPr>
          <w:color w:val="000000" w:themeColor="text1"/>
          <w:sz w:val="28"/>
          <w:szCs w:val="28"/>
        </w:rPr>
        <w:t xml:space="preserve">Реално, през сравнявания период в РП - Варна са работили, както следва: 53 прокурори през 2023 г., при 47 прокурори през 2022 г. и съответно 49 прокурори за 2021 г. </w:t>
      </w:r>
    </w:p>
    <w:p w:rsidR="007A7CE7" w:rsidRDefault="007A7CE7" w:rsidP="007A7CE7">
      <w:pPr>
        <w:spacing w:before="120" w:after="120"/>
        <w:ind w:firstLine="709"/>
        <w:contextualSpacing/>
        <w:rPr>
          <w:sz w:val="28"/>
          <w:szCs w:val="28"/>
        </w:rPr>
      </w:pPr>
      <w:r>
        <w:rPr>
          <w:sz w:val="28"/>
          <w:szCs w:val="28"/>
        </w:rPr>
        <w:t xml:space="preserve">Средната годишна натовареност на прокурор от РП - Варна, съобразно реално работилите прокурори, изчислена по Указанието за организация на информационната дейност в ПРБ, утвърдено със заповед № ЛС-1985/ 30.05.2014 г. изм. със </w:t>
      </w:r>
      <w:proofErr w:type="spellStart"/>
      <w:r>
        <w:rPr>
          <w:sz w:val="28"/>
          <w:szCs w:val="28"/>
        </w:rPr>
        <w:t>зап</w:t>
      </w:r>
      <w:proofErr w:type="spellEnd"/>
      <w:r>
        <w:rPr>
          <w:sz w:val="28"/>
          <w:szCs w:val="28"/>
        </w:rPr>
        <w:t>. № РД-02-27/21.11.2017 г.</w:t>
      </w:r>
      <w:r>
        <w:rPr>
          <w:sz w:val="28"/>
          <w:szCs w:val="28"/>
          <w:lang w:val="en-US"/>
        </w:rPr>
        <w:t>,</w:t>
      </w:r>
      <w:r>
        <w:rPr>
          <w:sz w:val="28"/>
          <w:szCs w:val="28"/>
          <w:lang w:val="en-US" w:eastAsia="en-US"/>
        </w:rPr>
        <w:t xml:space="preserve"> </w:t>
      </w:r>
      <w:r>
        <w:rPr>
          <w:sz w:val="28"/>
          <w:szCs w:val="28"/>
          <w:lang w:eastAsia="en-US"/>
        </w:rPr>
        <w:t>№ РД-02-17/27.06.2019 г.</w:t>
      </w:r>
      <w:r>
        <w:rPr>
          <w:sz w:val="28"/>
          <w:szCs w:val="28"/>
          <w:lang w:val="en-US" w:eastAsia="en-US"/>
        </w:rPr>
        <w:t xml:space="preserve"> </w:t>
      </w:r>
      <w:r>
        <w:rPr>
          <w:sz w:val="28"/>
          <w:szCs w:val="28"/>
          <w:lang w:eastAsia="en-US"/>
        </w:rPr>
        <w:t>и № РД-02-03-01.04.2022 г.</w:t>
      </w:r>
      <w:r>
        <w:rPr>
          <w:sz w:val="28"/>
          <w:szCs w:val="28"/>
        </w:rPr>
        <w:t xml:space="preserve"> на Главния прокурор, е както следва:</w:t>
      </w:r>
    </w:p>
    <w:p w:rsidR="007A7CE7" w:rsidRDefault="007A7CE7" w:rsidP="007A7CE7">
      <w:pPr>
        <w:spacing w:before="120" w:after="120"/>
        <w:ind w:firstLine="567"/>
        <w:contextualSpacing/>
        <w:rPr>
          <w:color w:val="FF0000"/>
          <w:sz w:val="28"/>
          <w:szCs w:val="28"/>
        </w:rPr>
      </w:pPr>
    </w:p>
    <w:tbl>
      <w:tblPr>
        <w:tblW w:w="99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3"/>
        <w:gridCol w:w="1021"/>
        <w:gridCol w:w="1021"/>
        <w:gridCol w:w="1071"/>
        <w:gridCol w:w="691"/>
        <w:gridCol w:w="1456"/>
        <w:gridCol w:w="677"/>
        <w:gridCol w:w="1574"/>
      </w:tblGrid>
      <w:tr w:rsidR="007A7CE7" w:rsidTr="007A7CE7">
        <w:trPr>
          <w:trHeight w:val="870"/>
        </w:trPr>
        <w:tc>
          <w:tcPr>
            <w:tcW w:w="2562"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120" w:after="120" w:line="276" w:lineRule="auto"/>
              <w:contextualSpacing/>
              <w:jc w:val="center"/>
              <w:rPr>
                <w:b/>
                <w:bCs/>
                <w:color w:val="000000" w:themeColor="text1"/>
                <w:sz w:val="28"/>
                <w:szCs w:val="28"/>
                <w:lang w:eastAsia="en-US"/>
              </w:rPr>
            </w:pPr>
            <w:bookmarkStart w:id="86" w:name="_Hlk156389080"/>
            <w:r>
              <w:rPr>
                <w:b/>
                <w:bCs/>
                <w:color w:val="000000" w:themeColor="text1"/>
                <w:sz w:val="28"/>
                <w:szCs w:val="28"/>
                <w:lang w:eastAsia="en-US"/>
              </w:rPr>
              <w:t>Средна натовареност на един прокурор по показатели</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120" w:after="120" w:line="276" w:lineRule="auto"/>
              <w:contextualSpacing/>
              <w:jc w:val="center"/>
              <w:rPr>
                <w:color w:val="000000" w:themeColor="text1"/>
                <w:sz w:val="28"/>
                <w:szCs w:val="28"/>
                <w:lang w:eastAsia="en-US"/>
              </w:rPr>
            </w:pPr>
            <w:r>
              <w:rPr>
                <w:bCs/>
                <w:color w:val="000000" w:themeColor="text1"/>
                <w:sz w:val="28"/>
                <w:szCs w:val="28"/>
                <w:lang w:eastAsia="en-US"/>
              </w:rPr>
              <w:t>2021 г.</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120" w:after="120" w:line="276" w:lineRule="auto"/>
              <w:contextualSpacing/>
              <w:jc w:val="center"/>
              <w:rPr>
                <w:color w:val="000000" w:themeColor="text1"/>
                <w:sz w:val="28"/>
                <w:szCs w:val="28"/>
                <w:lang w:eastAsia="en-US"/>
              </w:rPr>
            </w:pPr>
            <w:r>
              <w:rPr>
                <w:bCs/>
                <w:color w:val="000000" w:themeColor="text1"/>
                <w:sz w:val="28"/>
                <w:szCs w:val="28"/>
                <w:lang w:eastAsia="en-US"/>
              </w:rPr>
              <w:t>2022 г.</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120" w:after="120" w:line="276" w:lineRule="auto"/>
              <w:contextualSpacing/>
              <w:jc w:val="center"/>
              <w:rPr>
                <w:b/>
                <w:color w:val="000000" w:themeColor="text1"/>
                <w:sz w:val="28"/>
                <w:szCs w:val="28"/>
                <w:lang w:eastAsia="en-US"/>
              </w:rPr>
            </w:pPr>
            <w:r>
              <w:rPr>
                <w:b/>
                <w:bCs/>
                <w:color w:val="000000" w:themeColor="text1"/>
                <w:sz w:val="28"/>
                <w:szCs w:val="28"/>
                <w:lang w:eastAsia="en-US"/>
              </w:rPr>
              <w:t>2023 г.</w:t>
            </w:r>
          </w:p>
        </w:tc>
        <w:tc>
          <w:tcPr>
            <w:tcW w:w="4106"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before="120" w:after="120" w:line="276" w:lineRule="auto"/>
              <w:contextualSpacing/>
              <w:jc w:val="center"/>
              <w:rPr>
                <w:b/>
                <w:bCs/>
                <w:color w:val="000000" w:themeColor="text1"/>
                <w:sz w:val="28"/>
                <w:szCs w:val="28"/>
                <w:lang w:eastAsia="en-US"/>
              </w:rPr>
            </w:pPr>
            <w:r>
              <w:rPr>
                <w:b/>
                <w:bCs/>
                <w:color w:val="000000" w:themeColor="text1"/>
                <w:sz w:val="28"/>
                <w:szCs w:val="28"/>
                <w:lang w:eastAsia="en-US"/>
              </w:rPr>
              <w:t>Разлика спрямо съответната година</w:t>
            </w:r>
          </w:p>
        </w:tc>
      </w:tr>
      <w:tr w:rsidR="007A7CE7" w:rsidTr="007A7CE7">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b/>
                <w:bCs/>
                <w:color w:val="000000" w:themeColor="text1"/>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color w:val="000000" w:themeColor="text1"/>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color w:val="000000" w:themeColor="text1"/>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b/>
                <w:color w:val="000000" w:themeColor="text1"/>
                <w:sz w:val="28"/>
                <w:szCs w:val="28"/>
                <w:lang w:eastAsia="en-US"/>
              </w:rPr>
            </w:pPr>
          </w:p>
        </w:tc>
        <w:tc>
          <w:tcPr>
            <w:tcW w:w="206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before="120" w:after="120" w:line="276" w:lineRule="auto"/>
              <w:contextualSpacing/>
              <w:jc w:val="center"/>
              <w:rPr>
                <w:color w:val="000000" w:themeColor="text1"/>
                <w:sz w:val="28"/>
                <w:szCs w:val="28"/>
                <w:lang w:eastAsia="en-US"/>
              </w:rPr>
            </w:pPr>
            <w:r>
              <w:rPr>
                <w:bCs/>
                <w:color w:val="000000" w:themeColor="text1"/>
                <w:sz w:val="28"/>
                <w:szCs w:val="28"/>
                <w:lang w:eastAsia="en-US"/>
              </w:rPr>
              <w:t>2022 г.</w:t>
            </w:r>
          </w:p>
        </w:tc>
        <w:tc>
          <w:tcPr>
            <w:tcW w:w="204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before="120" w:after="120" w:line="276" w:lineRule="auto"/>
              <w:contextualSpacing/>
              <w:jc w:val="center"/>
              <w:rPr>
                <w:color w:val="000000" w:themeColor="text1"/>
                <w:sz w:val="28"/>
                <w:szCs w:val="28"/>
                <w:lang w:eastAsia="en-US"/>
              </w:rPr>
            </w:pPr>
            <w:r>
              <w:rPr>
                <w:bCs/>
                <w:color w:val="000000" w:themeColor="text1"/>
                <w:sz w:val="28"/>
                <w:szCs w:val="28"/>
                <w:lang w:eastAsia="en-US"/>
              </w:rPr>
              <w:t>2021 г.</w:t>
            </w:r>
          </w:p>
        </w:tc>
      </w:tr>
      <w:tr w:rsidR="007A7CE7" w:rsidTr="007A7CE7">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b/>
                <w:bCs/>
                <w:color w:val="000000" w:themeColor="text1"/>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color w:val="000000" w:themeColor="text1"/>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color w:val="000000" w:themeColor="text1"/>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7" w:rsidRDefault="007A7CE7">
            <w:pPr>
              <w:rPr>
                <w:b/>
                <w:color w:val="000000" w:themeColor="text1"/>
                <w:sz w:val="28"/>
                <w:szCs w:val="28"/>
                <w:lang w:eastAsia="en-US"/>
              </w:rPr>
            </w:pPr>
          </w:p>
        </w:tc>
        <w:tc>
          <w:tcPr>
            <w:tcW w:w="69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before="120" w:after="120" w:line="276" w:lineRule="auto"/>
              <w:contextualSpacing/>
              <w:jc w:val="center"/>
              <w:rPr>
                <w:color w:val="000000" w:themeColor="text1"/>
                <w:sz w:val="28"/>
                <w:szCs w:val="28"/>
                <w:lang w:eastAsia="en-US"/>
              </w:rPr>
            </w:pPr>
            <w:proofErr w:type="spellStart"/>
            <w:r>
              <w:rPr>
                <w:color w:val="000000" w:themeColor="text1"/>
                <w:sz w:val="28"/>
                <w:szCs w:val="28"/>
                <w:lang w:eastAsia="en-US"/>
              </w:rPr>
              <w:t>в</w:t>
            </w:r>
            <w:r w:rsidR="00704100">
              <w:rPr>
                <w:color w:val="000000" w:themeColor="text1"/>
                <w:sz w:val="28"/>
                <w:szCs w:val="28"/>
                <w:lang w:eastAsia="en-US"/>
              </w:rPr>
              <w:t>%</w:t>
            </w:r>
            <w:proofErr w:type="spellEnd"/>
          </w:p>
        </w:tc>
        <w:tc>
          <w:tcPr>
            <w:tcW w:w="136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before="120" w:after="120" w:line="276" w:lineRule="auto"/>
              <w:contextualSpacing/>
              <w:jc w:val="center"/>
              <w:rPr>
                <w:color w:val="000000" w:themeColor="text1"/>
                <w:sz w:val="28"/>
                <w:szCs w:val="28"/>
                <w:lang w:eastAsia="en-US"/>
              </w:rPr>
            </w:pPr>
            <w:r>
              <w:rPr>
                <w:color w:val="000000" w:themeColor="text1"/>
                <w:sz w:val="28"/>
                <w:szCs w:val="28"/>
                <w:lang w:eastAsia="en-US"/>
              </w:rPr>
              <w:t>вид</w:t>
            </w:r>
          </w:p>
        </w:tc>
        <w:tc>
          <w:tcPr>
            <w:tcW w:w="67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before="120" w:after="120" w:line="276" w:lineRule="auto"/>
              <w:contextualSpacing/>
              <w:jc w:val="center"/>
              <w:rPr>
                <w:color w:val="000000" w:themeColor="text1"/>
                <w:sz w:val="28"/>
                <w:szCs w:val="28"/>
                <w:lang w:eastAsia="en-US"/>
              </w:rPr>
            </w:pPr>
            <w:proofErr w:type="spellStart"/>
            <w:r>
              <w:rPr>
                <w:color w:val="000000" w:themeColor="text1"/>
                <w:sz w:val="28"/>
                <w:szCs w:val="28"/>
                <w:lang w:eastAsia="en-US"/>
              </w:rPr>
              <w:t>в</w:t>
            </w:r>
            <w:r w:rsidR="00704100">
              <w:rPr>
                <w:color w:val="000000" w:themeColor="text1"/>
                <w:sz w:val="28"/>
                <w:szCs w:val="28"/>
                <w:lang w:eastAsia="en-US"/>
              </w:rPr>
              <w:t>%</w:t>
            </w:r>
            <w:proofErr w:type="spellEnd"/>
          </w:p>
        </w:tc>
        <w:tc>
          <w:tcPr>
            <w:tcW w:w="1369"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7A7CE7" w:rsidRDefault="007A7CE7">
            <w:pPr>
              <w:spacing w:before="120" w:after="120" w:line="276" w:lineRule="auto"/>
              <w:contextualSpacing/>
              <w:jc w:val="center"/>
              <w:rPr>
                <w:color w:val="000000" w:themeColor="text1"/>
                <w:sz w:val="28"/>
                <w:szCs w:val="28"/>
                <w:lang w:eastAsia="en-US"/>
              </w:rPr>
            </w:pPr>
            <w:r>
              <w:rPr>
                <w:color w:val="000000" w:themeColor="text1"/>
                <w:sz w:val="28"/>
                <w:szCs w:val="28"/>
                <w:lang w:eastAsia="en-US"/>
              </w:rPr>
              <w:t>вид</w:t>
            </w:r>
          </w:p>
        </w:tc>
      </w:tr>
      <w:tr w:rsidR="007A7CE7" w:rsidTr="007A7CE7">
        <w:trPr>
          <w:trHeight w:val="645"/>
        </w:trPr>
        <w:tc>
          <w:tcPr>
            <w:tcW w:w="256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both"/>
              <w:rPr>
                <w:color w:val="000000" w:themeColor="text1"/>
                <w:sz w:val="28"/>
                <w:szCs w:val="28"/>
                <w:lang w:eastAsia="en-US"/>
              </w:rPr>
            </w:pPr>
            <w:r>
              <w:rPr>
                <w:color w:val="000000" w:themeColor="text1"/>
                <w:sz w:val="28"/>
                <w:szCs w:val="28"/>
                <w:lang w:eastAsia="en-US"/>
              </w:rPr>
              <w:t>Средна натовареност на един прокурор</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1664,5</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1910,8</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b/>
                <w:color w:val="000000" w:themeColor="text1"/>
                <w:sz w:val="28"/>
                <w:szCs w:val="28"/>
                <w:lang w:eastAsia="en-US"/>
              </w:rPr>
            </w:pPr>
            <w:r>
              <w:rPr>
                <w:rFonts w:eastAsia="Calibri"/>
                <w:b/>
                <w:color w:val="000000" w:themeColor="text1"/>
                <w:sz w:val="28"/>
                <w:szCs w:val="28"/>
                <w:lang w:eastAsia="en-US"/>
              </w:rPr>
              <w:t>1849,17</w:t>
            </w:r>
          </w:p>
        </w:tc>
        <w:tc>
          <w:tcPr>
            <w:tcW w:w="6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-3,2</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Намаление</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11,1</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Увеличение</w:t>
            </w:r>
          </w:p>
        </w:tc>
      </w:tr>
      <w:tr w:rsidR="007A7CE7" w:rsidTr="007A7CE7">
        <w:trPr>
          <w:trHeight w:val="330"/>
        </w:trPr>
        <w:tc>
          <w:tcPr>
            <w:tcW w:w="256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both"/>
              <w:rPr>
                <w:color w:val="000000" w:themeColor="text1"/>
                <w:sz w:val="28"/>
                <w:szCs w:val="28"/>
                <w:lang w:eastAsia="en-US"/>
              </w:rPr>
            </w:pPr>
            <w:r>
              <w:rPr>
                <w:color w:val="000000" w:themeColor="text1"/>
                <w:sz w:val="28"/>
                <w:szCs w:val="28"/>
                <w:lang w:eastAsia="en-US"/>
              </w:rPr>
              <w:t>Наблюдавани преписки</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336,4</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325,9</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b/>
                <w:color w:val="000000" w:themeColor="text1"/>
                <w:sz w:val="28"/>
                <w:szCs w:val="28"/>
                <w:lang w:eastAsia="en-US"/>
              </w:rPr>
            </w:pPr>
            <w:r>
              <w:rPr>
                <w:rFonts w:eastAsia="Calibri"/>
                <w:b/>
                <w:color w:val="000000" w:themeColor="text1"/>
                <w:sz w:val="28"/>
                <w:szCs w:val="28"/>
                <w:lang w:eastAsia="en-US"/>
              </w:rPr>
              <w:t>295,6</w:t>
            </w:r>
          </w:p>
        </w:tc>
        <w:tc>
          <w:tcPr>
            <w:tcW w:w="6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-9,3</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Намаление</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-12,1</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Намаление</w:t>
            </w:r>
          </w:p>
        </w:tc>
      </w:tr>
      <w:tr w:rsidR="007A7CE7" w:rsidTr="007A7CE7">
        <w:trPr>
          <w:trHeight w:val="330"/>
        </w:trPr>
        <w:tc>
          <w:tcPr>
            <w:tcW w:w="256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both"/>
              <w:rPr>
                <w:color w:val="000000" w:themeColor="text1"/>
                <w:sz w:val="28"/>
                <w:szCs w:val="28"/>
                <w:lang w:eastAsia="en-US"/>
              </w:rPr>
            </w:pPr>
            <w:r>
              <w:rPr>
                <w:color w:val="000000" w:themeColor="text1"/>
                <w:sz w:val="28"/>
                <w:szCs w:val="28"/>
                <w:lang w:eastAsia="en-US"/>
              </w:rPr>
              <w:t>Решени преписки</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328,3</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319</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b/>
                <w:color w:val="000000" w:themeColor="text1"/>
                <w:sz w:val="28"/>
                <w:szCs w:val="28"/>
                <w:lang w:eastAsia="en-US"/>
              </w:rPr>
            </w:pPr>
            <w:r>
              <w:rPr>
                <w:rFonts w:eastAsia="Calibri"/>
                <w:b/>
                <w:color w:val="000000" w:themeColor="text1"/>
                <w:sz w:val="28"/>
                <w:szCs w:val="28"/>
                <w:lang w:eastAsia="en-US"/>
              </w:rPr>
              <w:t>287,6</w:t>
            </w:r>
          </w:p>
        </w:tc>
        <w:tc>
          <w:tcPr>
            <w:tcW w:w="6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-9,8</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Намаление</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-12,4</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Намаление</w:t>
            </w:r>
          </w:p>
        </w:tc>
      </w:tr>
      <w:tr w:rsidR="007A7CE7" w:rsidTr="007A7CE7">
        <w:trPr>
          <w:trHeight w:val="330"/>
        </w:trPr>
        <w:tc>
          <w:tcPr>
            <w:tcW w:w="256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both"/>
              <w:rPr>
                <w:color w:val="000000" w:themeColor="text1"/>
                <w:sz w:val="28"/>
                <w:szCs w:val="28"/>
                <w:lang w:eastAsia="en-US"/>
              </w:rPr>
            </w:pPr>
            <w:r>
              <w:rPr>
                <w:color w:val="000000" w:themeColor="text1"/>
                <w:sz w:val="28"/>
                <w:szCs w:val="28"/>
                <w:lang w:eastAsia="en-US"/>
              </w:rPr>
              <w:t>Новообразувани ДП</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140,4</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159,6</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b/>
                <w:color w:val="000000" w:themeColor="text1"/>
                <w:sz w:val="28"/>
                <w:szCs w:val="28"/>
                <w:lang w:eastAsia="en-US"/>
              </w:rPr>
            </w:pPr>
            <w:r>
              <w:rPr>
                <w:rFonts w:eastAsia="Calibri"/>
                <w:b/>
                <w:color w:val="000000" w:themeColor="text1"/>
                <w:sz w:val="28"/>
                <w:szCs w:val="28"/>
                <w:lang w:eastAsia="en-US"/>
              </w:rPr>
              <w:t>140,4</w:t>
            </w:r>
          </w:p>
        </w:tc>
        <w:tc>
          <w:tcPr>
            <w:tcW w:w="6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-14,4</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Намаление</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-2,7</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Намаление</w:t>
            </w:r>
          </w:p>
        </w:tc>
      </w:tr>
      <w:tr w:rsidR="007A7CE7" w:rsidTr="007A7CE7">
        <w:trPr>
          <w:trHeight w:val="645"/>
        </w:trPr>
        <w:tc>
          <w:tcPr>
            <w:tcW w:w="256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both"/>
              <w:rPr>
                <w:color w:val="000000" w:themeColor="text1"/>
                <w:sz w:val="28"/>
                <w:szCs w:val="28"/>
                <w:lang w:eastAsia="en-US"/>
              </w:rPr>
            </w:pPr>
            <w:r>
              <w:rPr>
                <w:color w:val="000000" w:themeColor="text1"/>
                <w:sz w:val="28"/>
                <w:szCs w:val="28"/>
                <w:lang w:eastAsia="en-US"/>
              </w:rPr>
              <w:t>Наблюдавани ДП /вкл. прекратени по давност/</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288,1</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432,5</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b/>
                <w:color w:val="000000" w:themeColor="text1"/>
                <w:sz w:val="28"/>
                <w:szCs w:val="28"/>
                <w:lang w:eastAsia="en-US"/>
              </w:rPr>
            </w:pPr>
            <w:r>
              <w:rPr>
                <w:rFonts w:eastAsia="Calibri"/>
                <w:b/>
                <w:color w:val="000000" w:themeColor="text1"/>
                <w:sz w:val="28"/>
                <w:szCs w:val="28"/>
                <w:lang w:eastAsia="en-US"/>
              </w:rPr>
              <w:t>403,4</w:t>
            </w:r>
          </w:p>
        </w:tc>
        <w:tc>
          <w:tcPr>
            <w:tcW w:w="6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-6,7</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Намаление</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40</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Увеличение</w:t>
            </w:r>
          </w:p>
        </w:tc>
      </w:tr>
      <w:tr w:rsidR="007A7CE7" w:rsidTr="007A7CE7">
        <w:trPr>
          <w:trHeight w:val="330"/>
        </w:trPr>
        <w:tc>
          <w:tcPr>
            <w:tcW w:w="256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both"/>
              <w:rPr>
                <w:color w:val="000000" w:themeColor="text1"/>
                <w:sz w:val="28"/>
                <w:szCs w:val="28"/>
                <w:lang w:eastAsia="en-US"/>
              </w:rPr>
            </w:pPr>
            <w:r>
              <w:rPr>
                <w:color w:val="000000" w:themeColor="text1"/>
                <w:sz w:val="28"/>
                <w:szCs w:val="28"/>
                <w:lang w:eastAsia="en-US"/>
              </w:rPr>
              <w:t>Решени ДП</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196,1</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335,4</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b/>
                <w:color w:val="000000" w:themeColor="text1"/>
                <w:sz w:val="28"/>
                <w:szCs w:val="28"/>
                <w:lang w:eastAsia="en-US"/>
              </w:rPr>
            </w:pPr>
            <w:r>
              <w:rPr>
                <w:rFonts w:eastAsia="Calibri"/>
                <w:b/>
                <w:color w:val="000000" w:themeColor="text1"/>
                <w:sz w:val="28"/>
                <w:szCs w:val="28"/>
                <w:lang w:eastAsia="en-US"/>
              </w:rPr>
              <w:t>308,7</w:t>
            </w:r>
          </w:p>
        </w:tc>
        <w:tc>
          <w:tcPr>
            <w:tcW w:w="6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-8</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Намаление</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57,4</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Увеличение</w:t>
            </w:r>
          </w:p>
        </w:tc>
      </w:tr>
      <w:tr w:rsidR="007A7CE7" w:rsidTr="007A7CE7">
        <w:trPr>
          <w:trHeight w:val="645"/>
        </w:trPr>
        <w:tc>
          <w:tcPr>
            <w:tcW w:w="256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both"/>
              <w:rPr>
                <w:color w:val="000000" w:themeColor="text1"/>
                <w:sz w:val="28"/>
                <w:szCs w:val="28"/>
                <w:lang w:eastAsia="en-US"/>
              </w:rPr>
            </w:pPr>
            <w:r>
              <w:rPr>
                <w:color w:val="000000" w:themeColor="text1"/>
                <w:sz w:val="28"/>
                <w:szCs w:val="28"/>
                <w:lang w:eastAsia="en-US"/>
              </w:rPr>
              <w:t xml:space="preserve">Прокурорски актове,  внесени в </w:t>
            </w:r>
            <w:r>
              <w:rPr>
                <w:color w:val="000000" w:themeColor="text1"/>
                <w:sz w:val="28"/>
                <w:szCs w:val="28"/>
                <w:lang w:eastAsia="en-US"/>
              </w:rPr>
              <w:lastRenderedPageBreak/>
              <w:t>съда</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lastRenderedPageBreak/>
              <w:t>31,2</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36</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b/>
                <w:color w:val="000000" w:themeColor="text1"/>
                <w:sz w:val="28"/>
                <w:szCs w:val="28"/>
                <w:lang w:eastAsia="en-US"/>
              </w:rPr>
            </w:pPr>
            <w:r>
              <w:rPr>
                <w:rFonts w:eastAsia="Calibri"/>
                <w:b/>
                <w:color w:val="000000" w:themeColor="text1"/>
                <w:sz w:val="28"/>
                <w:szCs w:val="28"/>
                <w:lang w:eastAsia="en-US"/>
              </w:rPr>
              <w:t>31,3</w:t>
            </w:r>
          </w:p>
        </w:tc>
        <w:tc>
          <w:tcPr>
            <w:tcW w:w="6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-13,2</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Намаление</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0,2</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Увеличение</w:t>
            </w:r>
          </w:p>
        </w:tc>
      </w:tr>
      <w:tr w:rsidR="007A7CE7" w:rsidTr="007A7CE7">
        <w:trPr>
          <w:trHeight w:val="645"/>
        </w:trPr>
        <w:tc>
          <w:tcPr>
            <w:tcW w:w="256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both"/>
              <w:rPr>
                <w:color w:val="000000" w:themeColor="text1"/>
                <w:sz w:val="28"/>
                <w:szCs w:val="28"/>
                <w:lang w:eastAsia="en-US"/>
              </w:rPr>
            </w:pPr>
            <w:r>
              <w:rPr>
                <w:color w:val="000000" w:themeColor="text1"/>
                <w:sz w:val="28"/>
                <w:szCs w:val="28"/>
                <w:lang w:eastAsia="en-US"/>
              </w:rPr>
              <w:lastRenderedPageBreak/>
              <w:t>Общо участия в съдебни заседания</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73,6</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87,6</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b/>
                <w:color w:val="000000" w:themeColor="text1"/>
                <w:sz w:val="28"/>
                <w:szCs w:val="28"/>
                <w:lang w:eastAsia="en-US"/>
              </w:rPr>
            </w:pPr>
            <w:r>
              <w:rPr>
                <w:rFonts w:eastAsia="Calibri"/>
                <w:b/>
                <w:color w:val="000000" w:themeColor="text1"/>
                <w:sz w:val="28"/>
                <w:szCs w:val="28"/>
                <w:lang w:eastAsia="en-US"/>
              </w:rPr>
              <w:t>81,7</w:t>
            </w:r>
          </w:p>
        </w:tc>
        <w:tc>
          <w:tcPr>
            <w:tcW w:w="6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-6,7</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Намаление</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11</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Увеличение</w:t>
            </w:r>
          </w:p>
        </w:tc>
      </w:tr>
      <w:tr w:rsidR="007A7CE7" w:rsidTr="007A7CE7">
        <w:trPr>
          <w:trHeight w:val="645"/>
        </w:trPr>
        <w:tc>
          <w:tcPr>
            <w:tcW w:w="256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both"/>
              <w:rPr>
                <w:color w:val="000000" w:themeColor="text1"/>
                <w:sz w:val="28"/>
                <w:szCs w:val="28"/>
                <w:lang w:eastAsia="en-US"/>
              </w:rPr>
            </w:pPr>
            <w:r>
              <w:rPr>
                <w:color w:val="000000" w:themeColor="text1"/>
                <w:sz w:val="28"/>
                <w:szCs w:val="28"/>
                <w:lang w:eastAsia="en-US"/>
              </w:rPr>
              <w:t xml:space="preserve">Общо др. </w:t>
            </w:r>
            <w:proofErr w:type="spellStart"/>
            <w:r>
              <w:rPr>
                <w:color w:val="000000" w:themeColor="text1"/>
                <w:sz w:val="28"/>
                <w:szCs w:val="28"/>
                <w:lang w:eastAsia="en-US"/>
              </w:rPr>
              <w:t>прок</w:t>
            </w:r>
            <w:proofErr w:type="spellEnd"/>
            <w:r>
              <w:rPr>
                <w:color w:val="000000" w:themeColor="text1"/>
                <w:sz w:val="28"/>
                <w:szCs w:val="28"/>
                <w:lang w:eastAsia="en-US"/>
              </w:rPr>
              <w:t>. актове и дейности</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1559,7</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1787,3</w:t>
            </w:r>
          </w:p>
        </w:tc>
        <w:tc>
          <w:tcPr>
            <w:tcW w:w="1082" w:type="dxa"/>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rFonts w:eastAsia="Calibri"/>
                <w:b/>
                <w:color w:val="000000" w:themeColor="text1"/>
                <w:sz w:val="28"/>
                <w:szCs w:val="28"/>
                <w:lang w:eastAsia="en-US"/>
              </w:rPr>
            </w:pPr>
            <w:r>
              <w:rPr>
                <w:rFonts w:eastAsia="Calibri"/>
                <w:b/>
                <w:color w:val="000000" w:themeColor="text1"/>
                <w:sz w:val="28"/>
                <w:szCs w:val="28"/>
                <w:lang w:eastAsia="en-US"/>
              </w:rPr>
              <w:t>1736,2</w:t>
            </w:r>
          </w:p>
        </w:tc>
        <w:tc>
          <w:tcPr>
            <w:tcW w:w="6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-2,9</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Намаление</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lang w:eastAsia="en-US"/>
              </w:rPr>
            </w:pPr>
            <w:r>
              <w:rPr>
                <w:rFonts w:eastAsia="Calibri"/>
                <w:color w:val="000000" w:themeColor="text1"/>
                <w:lang w:eastAsia="en-US"/>
              </w:rPr>
              <w:t>11,3</w:t>
            </w:r>
          </w:p>
        </w:tc>
        <w:tc>
          <w:tcPr>
            <w:tcW w:w="1369" w:type="dxa"/>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before="120" w:after="120" w:line="276" w:lineRule="auto"/>
              <w:contextualSpacing/>
              <w:jc w:val="center"/>
              <w:rPr>
                <w:rFonts w:eastAsia="Calibri"/>
                <w:color w:val="000000" w:themeColor="text1"/>
                <w:sz w:val="28"/>
                <w:szCs w:val="28"/>
                <w:lang w:eastAsia="en-US"/>
              </w:rPr>
            </w:pPr>
            <w:r>
              <w:rPr>
                <w:rFonts w:eastAsia="Calibri"/>
                <w:color w:val="000000" w:themeColor="text1"/>
                <w:sz w:val="28"/>
                <w:szCs w:val="28"/>
                <w:lang w:eastAsia="en-US"/>
              </w:rPr>
              <w:t>Увеличение</w:t>
            </w:r>
          </w:p>
        </w:tc>
      </w:tr>
    </w:tbl>
    <w:bookmarkEnd w:id="86"/>
    <w:p w:rsidR="007A7CE7" w:rsidRDefault="007A7CE7" w:rsidP="007A7CE7">
      <w:pPr>
        <w:ind w:left="709"/>
        <w:contextualSpacing/>
        <w:rPr>
          <w:sz w:val="28"/>
          <w:szCs w:val="28"/>
          <w:lang w:val="en-US"/>
        </w:rPr>
      </w:pPr>
      <w:r>
        <w:rPr>
          <w:sz w:val="28"/>
          <w:szCs w:val="28"/>
        </w:rPr>
        <w:t xml:space="preserve">          </w:t>
      </w:r>
    </w:p>
    <w:p w:rsidR="007A7CE7" w:rsidRDefault="007A7CE7" w:rsidP="007A7CE7">
      <w:pPr>
        <w:ind w:left="709"/>
        <w:contextualSpacing/>
        <w:rPr>
          <w:sz w:val="28"/>
          <w:szCs w:val="28"/>
        </w:rPr>
      </w:pPr>
      <w:r>
        <w:rPr>
          <w:sz w:val="28"/>
          <w:szCs w:val="28"/>
        </w:rPr>
        <w:t>В графичен вид данните се онагледяват по следния начин:</w:t>
      </w:r>
    </w:p>
    <w:p w:rsidR="007A7CE7" w:rsidRDefault="007A7CE7" w:rsidP="007A7CE7">
      <w:pPr>
        <w:ind w:left="709"/>
        <w:contextualSpacing/>
        <w:rPr>
          <w:color w:val="FF0000"/>
          <w:sz w:val="28"/>
          <w:szCs w:val="28"/>
        </w:rPr>
      </w:pPr>
      <w:r>
        <w:rPr>
          <w:noProof/>
          <w:color w:val="FF0000"/>
          <w:sz w:val="28"/>
          <w:szCs w:val="28"/>
        </w:rPr>
        <w:drawing>
          <wp:inline distT="0" distB="0" distL="0" distR="0" wp14:anchorId="34A2629F" wp14:editId="54AE4E91">
            <wp:extent cx="5086350" cy="320040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6350" cy="3200400"/>
                    </a:xfrm>
                    <a:prstGeom prst="rect">
                      <a:avLst/>
                    </a:prstGeom>
                    <a:noFill/>
                    <a:ln>
                      <a:noFill/>
                    </a:ln>
                  </pic:spPr>
                </pic:pic>
              </a:graphicData>
            </a:graphic>
          </wp:inline>
        </w:drawing>
      </w:r>
    </w:p>
    <w:p w:rsidR="007A7CE7" w:rsidRDefault="007A7CE7" w:rsidP="007A7CE7">
      <w:pPr>
        <w:jc w:val="center"/>
        <w:rPr>
          <w:i/>
          <w:sz w:val="28"/>
          <w:szCs w:val="28"/>
        </w:rPr>
      </w:pPr>
      <w:r>
        <w:rPr>
          <w:i/>
          <w:sz w:val="28"/>
          <w:szCs w:val="28"/>
        </w:rPr>
        <w:t>Фиг.13. Средна натовареност на един прокурор</w:t>
      </w:r>
    </w:p>
    <w:p w:rsidR="007A7CE7" w:rsidRDefault="007A7CE7" w:rsidP="007A7CE7">
      <w:pPr>
        <w:jc w:val="center"/>
        <w:rPr>
          <w:i/>
          <w:sz w:val="28"/>
          <w:szCs w:val="28"/>
        </w:rPr>
      </w:pPr>
    </w:p>
    <w:p w:rsidR="007A7CE7" w:rsidRDefault="007A7CE7" w:rsidP="007A7CE7">
      <w:pPr>
        <w:ind w:firstLine="709"/>
        <w:rPr>
          <w:color w:val="000000" w:themeColor="text1"/>
          <w:sz w:val="28"/>
          <w:szCs w:val="28"/>
        </w:rPr>
      </w:pPr>
      <w:r>
        <w:rPr>
          <w:color w:val="000000" w:themeColor="text1"/>
          <w:sz w:val="28"/>
          <w:szCs w:val="28"/>
        </w:rPr>
        <w:t xml:space="preserve">Използвайки данните от УИС на ПРБ по критерии и показатели, съгласно приетите от ВСС Правила, </w:t>
      </w:r>
      <w:proofErr w:type="spellStart"/>
      <w:r>
        <w:rPr>
          <w:color w:val="000000" w:themeColor="text1"/>
          <w:sz w:val="28"/>
          <w:szCs w:val="28"/>
        </w:rPr>
        <w:t>среднодневната</w:t>
      </w:r>
      <w:proofErr w:type="spellEnd"/>
      <w:r>
        <w:rPr>
          <w:color w:val="000000" w:themeColor="text1"/>
          <w:sz w:val="28"/>
          <w:szCs w:val="28"/>
        </w:rPr>
        <w:t xml:space="preserve"> натовареност на един прокурор при РП -Варна, се отчита въз основа на реално отработените дни  за 2022 г., 2021 г. и 2020 г., както следва:</w:t>
      </w:r>
    </w:p>
    <w:p w:rsidR="007A7CE7" w:rsidRDefault="007A7CE7" w:rsidP="007A7CE7">
      <w:pPr>
        <w:ind w:firstLine="567"/>
        <w:rPr>
          <w:color w:val="000000" w:themeColor="text1"/>
          <w:sz w:val="28"/>
          <w:szCs w:val="28"/>
        </w:rPr>
      </w:pPr>
    </w:p>
    <w:tbl>
      <w:tblPr>
        <w:tblW w:w="5000" w:type="pct"/>
        <w:tblCellMar>
          <w:left w:w="70" w:type="dxa"/>
          <w:right w:w="70" w:type="dxa"/>
        </w:tblCellMar>
        <w:tblLook w:val="04A0" w:firstRow="1" w:lastRow="0" w:firstColumn="1" w:lastColumn="0" w:noHBand="0" w:noVBand="1"/>
      </w:tblPr>
      <w:tblGrid>
        <w:gridCol w:w="2339"/>
        <w:gridCol w:w="1383"/>
        <w:gridCol w:w="1395"/>
        <w:gridCol w:w="1389"/>
        <w:gridCol w:w="1147"/>
        <w:gridCol w:w="1129"/>
        <w:gridCol w:w="1139"/>
      </w:tblGrid>
      <w:tr w:rsidR="007A7CE7" w:rsidTr="007A7CE7">
        <w:trPr>
          <w:trHeight w:val="1230"/>
        </w:trPr>
        <w:tc>
          <w:tcPr>
            <w:tcW w:w="1179" w:type="pct"/>
            <w:vMerge w:val="restart"/>
            <w:tcBorders>
              <w:top w:val="single" w:sz="8" w:space="0" w:color="auto"/>
              <w:left w:val="single" w:sz="8" w:space="0" w:color="auto"/>
              <w:bottom w:val="single" w:sz="8" w:space="0" w:color="000000"/>
              <w:right w:val="single" w:sz="8" w:space="0" w:color="auto"/>
            </w:tcBorders>
            <w:shd w:val="clear" w:color="auto" w:fill="E5B8B7" w:themeFill="accent2" w:themeFillTint="66"/>
            <w:vAlign w:val="center"/>
          </w:tcPr>
          <w:p w:rsidR="007A7CE7" w:rsidRDefault="007A7CE7">
            <w:pPr>
              <w:spacing w:line="276" w:lineRule="auto"/>
              <w:jc w:val="center"/>
              <w:rPr>
                <w:b/>
                <w:bCs/>
                <w:color w:val="000000" w:themeColor="text1"/>
                <w:sz w:val="28"/>
                <w:szCs w:val="28"/>
                <w:lang w:eastAsia="en-US"/>
              </w:rPr>
            </w:pPr>
          </w:p>
          <w:p w:rsidR="007A7CE7" w:rsidRDefault="007A7CE7">
            <w:pPr>
              <w:spacing w:before="240" w:line="276" w:lineRule="auto"/>
              <w:contextualSpacing/>
              <w:jc w:val="center"/>
              <w:rPr>
                <w:b/>
                <w:bCs/>
                <w:color w:val="000000" w:themeColor="text1"/>
                <w:sz w:val="28"/>
                <w:szCs w:val="28"/>
                <w:lang w:eastAsia="en-US"/>
              </w:rPr>
            </w:pPr>
            <w:r>
              <w:rPr>
                <w:b/>
                <w:bCs/>
                <w:color w:val="000000" w:themeColor="text1"/>
                <w:sz w:val="28"/>
                <w:szCs w:val="28"/>
                <w:lang w:eastAsia="en-US"/>
              </w:rPr>
              <w:t>Прокуратура</w:t>
            </w:r>
          </w:p>
        </w:tc>
        <w:tc>
          <w:tcPr>
            <w:tcW w:w="3821" w:type="pct"/>
            <w:gridSpan w:val="6"/>
            <w:tcBorders>
              <w:top w:val="single" w:sz="8" w:space="0" w:color="auto"/>
              <w:left w:val="nil"/>
              <w:bottom w:val="nil"/>
              <w:right w:val="single" w:sz="8" w:space="0" w:color="000000"/>
            </w:tcBorders>
            <w:shd w:val="clear" w:color="auto" w:fill="E5B8B7" w:themeFill="accent2" w:themeFillTint="66"/>
            <w:vAlign w:val="center"/>
            <w:hideMark/>
          </w:tcPr>
          <w:p w:rsidR="007A7CE7" w:rsidRDefault="007A7CE7">
            <w:pPr>
              <w:spacing w:before="240" w:line="276" w:lineRule="auto"/>
              <w:contextualSpacing/>
              <w:jc w:val="center"/>
              <w:rPr>
                <w:b/>
                <w:bCs/>
                <w:color w:val="000000" w:themeColor="text1"/>
                <w:sz w:val="28"/>
                <w:szCs w:val="28"/>
                <w:lang w:eastAsia="en-US"/>
              </w:rPr>
            </w:pPr>
            <w:r>
              <w:rPr>
                <w:b/>
                <w:bCs/>
                <w:color w:val="000000" w:themeColor="text1"/>
                <w:sz w:val="28"/>
                <w:szCs w:val="28"/>
                <w:lang w:eastAsia="en-US"/>
              </w:rPr>
              <w:t>Брой актове на ден на прокурор = (Брой актове/Действително отработени дни)</w:t>
            </w:r>
            <w:r>
              <w:rPr>
                <w:b/>
                <w:bCs/>
                <w:color w:val="000000" w:themeColor="text1"/>
                <w:sz w:val="28"/>
                <w:szCs w:val="28"/>
                <w:lang w:eastAsia="en-US"/>
              </w:rPr>
              <w:br/>
              <w:t>//Брой точки на ден на прокурор = (Брой точки/Действително отработени дни)</w:t>
            </w:r>
          </w:p>
        </w:tc>
      </w:tr>
      <w:tr w:rsidR="007A7CE7" w:rsidTr="007A7CE7">
        <w:trPr>
          <w:trHeight w:val="33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A7CE7" w:rsidRDefault="007A7CE7">
            <w:pPr>
              <w:rPr>
                <w:b/>
                <w:bCs/>
                <w:color w:val="000000" w:themeColor="text1"/>
                <w:sz w:val="28"/>
                <w:szCs w:val="28"/>
                <w:lang w:eastAsia="en-US"/>
              </w:rPr>
            </w:pPr>
            <w:bookmarkStart w:id="87" w:name="_Hlk156389418" w:colFirst="1" w:colLast="6"/>
          </w:p>
        </w:tc>
        <w:tc>
          <w:tcPr>
            <w:tcW w:w="1400" w:type="pct"/>
            <w:gridSpan w:val="2"/>
            <w:tcBorders>
              <w:top w:val="single" w:sz="8" w:space="0" w:color="auto"/>
              <w:left w:val="nil"/>
              <w:bottom w:val="single" w:sz="8" w:space="0" w:color="auto"/>
              <w:right w:val="single" w:sz="8" w:space="0" w:color="000000"/>
            </w:tcBorders>
            <w:shd w:val="clear" w:color="auto" w:fill="E5B8B7" w:themeFill="accent2" w:themeFillTint="66"/>
            <w:vAlign w:val="center"/>
            <w:hideMark/>
          </w:tcPr>
          <w:p w:rsidR="007A7CE7" w:rsidRDefault="007A7CE7">
            <w:pPr>
              <w:spacing w:before="240" w:line="276" w:lineRule="auto"/>
              <w:contextualSpacing/>
              <w:jc w:val="center"/>
              <w:rPr>
                <w:color w:val="000000" w:themeColor="text1"/>
                <w:sz w:val="28"/>
                <w:szCs w:val="28"/>
                <w:lang w:eastAsia="en-US"/>
              </w:rPr>
            </w:pPr>
            <w:r>
              <w:rPr>
                <w:color w:val="000000" w:themeColor="text1"/>
                <w:sz w:val="28"/>
                <w:szCs w:val="28"/>
                <w:lang w:eastAsia="en-US"/>
              </w:rPr>
              <w:t>2021 г.</w:t>
            </w:r>
          </w:p>
        </w:tc>
        <w:tc>
          <w:tcPr>
            <w:tcW w:w="1278" w:type="pct"/>
            <w:gridSpan w:val="2"/>
            <w:tcBorders>
              <w:top w:val="single" w:sz="8" w:space="0" w:color="auto"/>
              <w:left w:val="nil"/>
              <w:bottom w:val="single" w:sz="8" w:space="0" w:color="auto"/>
              <w:right w:val="single" w:sz="8" w:space="0" w:color="000000"/>
            </w:tcBorders>
            <w:shd w:val="clear" w:color="auto" w:fill="E5B8B7" w:themeFill="accent2" w:themeFillTint="66"/>
            <w:vAlign w:val="center"/>
            <w:hideMark/>
          </w:tcPr>
          <w:p w:rsidR="007A7CE7" w:rsidRDefault="007A7CE7">
            <w:pPr>
              <w:spacing w:before="240" w:line="276" w:lineRule="auto"/>
              <w:contextualSpacing/>
              <w:jc w:val="center"/>
              <w:rPr>
                <w:bCs/>
                <w:color w:val="000000" w:themeColor="text1"/>
                <w:sz w:val="28"/>
                <w:szCs w:val="28"/>
                <w:lang w:eastAsia="en-US"/>
              </w:rPr>
            </w:pPr>
            <w:r>
              <w:rPr>
                <w:bCs/>
                <w:color w:val="000000" w:themeColor="text1"/>
                <w:sz w:val="28"/>
                <w:szCs w:val="28"/>
                <w:lang w:eastAsia="en-US"/>
              </w:rPr>
              <w:t xml:space="preserve">2022 г. </w:t>
            </w:r>
          </w:p>
        </w:tc>
        <w:tc>
          <w:tcPr>
            <w:tcW w:w="1143" w:type="pct"/>
            <w:gridSpan w:val="2"/>
            <w:tcBorders>
              <w:top w:val="single" w:sz="8" w:space="0" w:color="auto"/>
              <w:left w:val="nil"/>
              <w:bottom w:val="single" w:sz="8" w:space="0" w:color="auto"/>
              <w:right w:val="single" w:sz="8" w:space="0" w:color="000000"/>
            </w:tcBorders>
            <w:shd w:val="clear" w:color="auto" w:fill="E5B8B7" w:themeFill="accent2" w:themeFillTint="66"/>
            <w:vAlign w:val="center"/>
            <w:hideMark/>
          </w:tcPr>
          <w:p w:rsidR="007A7CE7" w:rsidRDefault="007A7CE7">
            <w:pPr>
              <w:spacing w:before="240" w:line="276" w:lineRule="auto"/>
              <w:contextualSpacing/>
              <w:jc w:val="center"/>
              <w:rPr>
                <w:b/>
                <w:bCs/>
                <w:color w:val="000000" w:themeColor="text1"/>
                <w:sz w:val="28"/>
                <w:szCs w:val="28"/>
                <w:lang w:eastAsia="en-US"/>
              </w:rPr>
            </w:pPr>
            <w:r>
              <w:rPr>
                <w:b/>
                <w:bCs/>
                <w:color w:val="000000" w:themeColor="text1"/>
                <w:sz w:val="28"/>
                <w:szCs w:val="28"/>
                <w:lang w:eastAsia="en-US"/>
              </w:rPr>
              <w:t xml:space="preserve">2023 г. </w:t>
            </w:r>
          </w:p>
        </w:tc>
      </w:tr>
      <w:tr w:rsidR="007A7CE7" w:rsidTr="007A7CE7">
        <w:trPr>
          <w:trHeight w:val="33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A7CE7" w:rsidRDefault="007A7CE7">
            <w:pPr>
              <w:rPr>
                <w:b/>
                <w:bCs/>
                <w:color w:val="000000" w:themeColor="text1"/>
                <w:sz w:val="28"/>
                <w:szCs w:val="28"/>
                <w:lang w:eastAsia="en-US"/>
              </w:rPr>
            </w:pPr>
          </w:p>
        </w:tc>
        <w:tc>
          <w:tcPr>
            <w:tcW w:w="697" w:type="pct"/>
            <w:tcBorders>
              <w:top w:val="nil"/>
              <w:left w:val="nil"/>
              <w:bottom w:val="single" w:sz="8" w:space="0" w:color="auto"/>
              <w:right w:val="single" w:sz="8" w:space="0" w:color="auto"/>
            </w:tcBorders>
            <w:shd w:val="clear" w:color="auto" w:fill="E5B8B7" w:themeFill="accent2" w:themeFillTint="66"/>
            <w:vAlign w:val="center"/>
            <w:hideMark/>
          </w:tcPr>
          <w:p w:rsidR="007A7CE7" w:rsidRDefault="007A7CE7">
            <w:pPr>
              <w:spacing w:before="240" w:line="276" w:lineRule="auto"/>
              <w:contextualSpacing/>
              <w:jc w:val="center"/>
              <w:rPr>
                <w:color w:val="000000" w:themeColor="text1"/>
                <w:sz w:val="28"/>
                <w:szCs w:val="28"/>
                <w:lang w:eastAsia="en-US"/>
              </w:rPr>
            </w:pPr>
            <w:r>
              <w:rPr>
                <w:color w:val="000000" w:themeColor="text1"/>
                <w:sz w:val="28"/>
                <w:szCs w:val="28"/>
                <w:lang w:eastAsia="en-US"/>
              </w:rPr>
              <w:t>брой</w:t>
            </w:r>
          </w:p>
        </w:tc>
        <w:tc>
          <w:tcPr>
            <w:tcW w:w="703" w:type="pct"/>
            <w:tcBorders>
              <w:top w:val="nil"/>
              <w:left w:val="nil"/>
              <w:bottom w:val="single" w:sz="8" w:space="0" w:color="auto"/>
              <w:right w:val="single" w:sz="8" w:space="0" w:color="auto"/>
            </w:tcBorders>
            <w:shd w:val="clear" w:color="auto" w:fill="E5B8B7" w:themeFill="accent2" w:themeFillTint="66"/>
            <w:vAlign w:val="center"/>
            <w:hideMark/>
          </w:tcPr>
          <w:p w:rsidR="007A7CE7" w:rsidRDefault="007A7CE7">
            <w:pPr>
              <w:spacing w:before="240" w:line="276" w:lineRule="auto"/>
              <w:contextualSpacing/>
              <w:jc w:val="center"/>
              <w:rPr>
                <w:color w:val="000000" w:themeColor="text1"/>
                <w:sz w:val="28"/>
                <w:szCs w:val="28"/>
                <w:lang w:eastAsia="en-US"/>
              </w:rPr>
            </w:pPr>
            <w:r>
              <w:rPr>
                <w:color w:val="000000" w:themeColor="text1"/>
                <w:sz w:val="28"/>
                <w:szCs w:val="28"/>
                <w:lang w:eastAsia="en-US"/>
              </w:rPr>
              <w:t>точки</w:t>
            </w:r>
          </w:p>
        </w:tc>
        <w:tc>
          <w:tcPr>
            <w:tcW w:w="700" w:type="pct"/>
            <w:tcBorders>
              <w:top w:val="nil"/>
              <w:left w:val="nil"/>
              <w:bottom w:val="single" w:sz="8" w:space="0" w:color="auto"/>
              <w:right w:val="single" w:sz="8" w:space="0" w:color="auto"/>
            </w:tcBorders>
            <w:shd w:val="clear" w:color="auto" w:fill="E5B8B7" w:themeFill="accent2" w:themeFillTint="66"/>
            <w:vAlign w:val="center"/>
            <w:hideMark/>
          </w:tcPr>
          <w:p w:rsidR="007A7CE7" w:rsidRDefault="007A7CE7">
            <w:pPr>
              <w:spacing w:before="240" w:line="276" w:lineRule="auto"/>
              <w:contextualSpacing/>
              <w:jc w:val="center"/>
              <w:rPr>
                <w:color w:val="000000" w:themeColor="text1"/>
                <w:sz w:val="28"/>
                <w:szCs w:val="28"/>
                <w:lang w:eastAsia="en-US"/>
              </w:rPr>
            </w:pPr>
            <w:r>
              <w:rPr>
                <w:color w:val="000000" w:themeColor="text1"/>
                <w:sz w:val="28"/>
                <w:szCs w:val="28"/>
                <w:lang w:eastAsia="en-US"/>
              </w:rPr>
              <w:t>брой</w:t>
            </w:r>
          </w:p>
        </w:tc>
        <w:tc>
          <w:tcPr>
            <w:tcW w:w="578" w:type="pct"/>
            <w:tcBorders>
              <w:top w:val="nil"/>
              <w:left w:val="nil"/>
              <w:bottom w:val="single" w:sz="8" w:space="0" w:color="auto"/>
              <w:right w:val="single" w:sz="8" w:space="0" w:color="auto"/>
            </w:tcBorders>
            <w:shd w:val="clear" w:color="auto" w:fill="E5B8B7" w:themeFill="accent2" w:themeFillTint="66"/>
            <w:vAlign w:val="center"/>
            <w:hideMark/>
          </w:tcPr>
          <w:p w:rsidR="007A7CE7" w:rsidRDefault="007A7CE7">
            <w:pPr>
              <w:spacing w:before="240" w:line="276" w:lineRule="auto"/>
              <w:contextualSpacing/>
              <w:jc w:val="center"/>
              <w:rPr>
                <w:color w:val="000000" w:themeColor="text1"/>
                <w:sz w:val="28"/>
                <w:szCs w:val="28"/>
                <w:lang w:eastAsia="en-US"/>
              </w:rPr>
            </w:pPr>
            <w:r>
              <w:rPr>
                <w:color w:val="000000" w:themeColor="text1"/>
                <w:sz w:val="28"/>
                <w:szCs w:val="28"/>
                <w:lang w:eastAsia="en-US"/>
              </w:rPr>
              <w:t>точки</w:t>
            </w:r>
          </w:p>
        </w:tc>
        <w:tc>
          <w:tcPr>
            <w:tcW w:w="569" w:type="pct"/>
            <w:tcBorders>
              <w:top w:val="nil"/>
              <w:left w:val="nil"/>
              <w:bottom w:val="single" w:sz="8" w:space="0" w:color="auto"/>
              <w:right w:val="single" w:sz="8" w:space="0" w:color="auto"/>
            </w:tcBorders>
            <w:shd w:val="clear" w:color="auto" w:fill="E5B8B7" w:themeFill="accent2" w:themeFillTint="66"/>
            <w:vAlign w:val="center"/>
            <w:hideMark/>
          </w:tcPr>
          <w:p w:rsidR="007A7CE7" w:rsidRDefault="007A7CE7">
            <w:pPr>
              <w:spacing w:before="240" w:line="276" w:lineRule="auto"/>
              <w:contextualSpacing/>
              <w:jc w:val="center"/>
              <w:rPr>
                <w:color w:val="000000" w:themeColor="text1"/>
                <w:sz w:val="28"/>
                <w:szCs w:val="28"/>
                <w:lang w:eastAsia="en-US"/>
              </w:rPr>
            </w:pPr>
            <w:r>
              <w:rPr>
                <w:color w:val="000000" w:themeColor="text1"/>
                <w:sz w:val="28"/>
                <w:szCs w:val="28"/>
                <w:lang w:eastAsia="en-US"/>
              </w:rPr>
              <w:t>брой</w:t>
            </w:r>
          </w:p>
        </w:tc>
        <w:tc>
          <w:tcPr>
            <w:tcW w:w="574" w:type="pct"/>
            <w:tcBorders>
              <w:top w:val="nil"/>
              <w:left w:val="nil"/>
              <w:bottom w:val="single" w:sz="8" w:space="0" w:color="auto"/>
              <w:right w:val="single" w:sz="8" w:space="0" w:color="auto"/>
            </w:tcBorders>
            <w:shd w:val="clear" w:color="auto" w:fill="E5B8B7" w:themeFill="accent2" w:themeFillTint="66"/>
            <w:vAlign w:val="center"/>
            <w:hideMark/>
          </w:tcPr>
          <w:p w:rsidR="007A7CE7" w:rsidRDefault="007A7CE7">
            <w:pPr>
              <w:spacing w:before="240" w:line="276" w:lineRule="auto"/>
              <w:contextualSpacing/>
              <w:jc w:val="center"/>
              <w:rPr>
                <w:color w:val="000000" w:themeColor="text1"/>
                <w:sz w:val="28"/>
                <w:szCs w:val="28"/>
                <w:lang w:eastAsia="en-US"/>
              </w:rPr>
            </w:pPr>
            <w:r>
              <w:rPr>
                <w:color w:val="000000" w:themeColor="text1"/>
                <w:sz w:val="28"/>
                <w:szCs w:val="28"/>
                <w:lang w:eastAsia="en-US"/>
              </w:rPr>
              <w:t>точки</w:t>
            </w:r>
          </w:p>
        </w:tc>
      </w:tr>
      <w:tr w:rsidR="007A7CE7" w:rsidTr="007A7CE7">
        <w:trPr>
          <w:trHeight w:val="645"/>
        </w:trPr>
        <w:tc>
          <w:tcPr>
            <w:tcW w:w="1179" w:type="pct"/>
            <w:tcBorders>
              <w:top w:val="nil"/>
              <w:left w:val="single" w:sz="8" w:space="0" w:color="auto"/>
              <w:bottom w:val="single" w:sz="8" w:space="0" w:color="auto"/>
              <w:right w:val="single" w:sz="8" w:space="0" w:color="auto"/>
            </w:tcBorders>
            <w:vAlign w:val="center"/>
            <w:hideMark/>
          </w:tcPr>
          <w:p w:rsidR="007A7CE7" w:rsidRDefault="007A7CE7">
            <w:pPr>
              <w:spacing w:before="240" w:line="276" w:lineRule="auto"/>
              <w:contextualSpacing/>
              <w:jc w:val="both"/>
              <w:rPr>
                <w:color w:val="000000" w:themeColor="text1"/>
                <w:sz w:val="28"/>
                <w:szCs w:val="28"/>
                <w:lang w:eastAsia="en-US"/>
              </w:rPr>
            </w:pPr>
            <w:r>
              <w:rPr>
                <w:color w:val="000000" w:themeColor="text1"/>
                <w:sz w:val="28"/>
                <w:szCs w:val="28"/>
                <w:lang w:eastAsia="en-US"/>
              </w:rPr>
              <w:t>РП-Варна</w:t>
            </w:r>
          </w:p>
        </w:tc>
        <w:tc>
          <w:tcPr>
            <w:tcW w:w="697" w:type="pct"/>
            <w:tcBorders>
              <w:top w:val="nil"/>
              <w:left w:val="nil"/>
              <w:bottom w:val="single" w:sz="8" w:space="0" w:color="auto"/>
              <w:right w:val="single" w:sz="8" w:space="0" w:color="auto"/>
            </w:tcBorders>
            <w:vAlign w:val="center"/>
            <w:hideMark/>
          </w:tcPr>
          <w:p w:rsidR="007A7CE7" w:rsidRDefault="007A7CE7">
            <w:pPr>
              <w:spacing w:before="240" w:line="276" w:lineRule="auto"/>
              <w:contextualSpacing/>
              <w:jc w:val="center"/>
              <w:rPr>
                <w:bCs/>
                <w:color w:val="000000" w:themeColor="text1"/>
                <w:sz w:val="28"/>
                <w:szCs w:val="28"/>
                <w:lang w:eastAsia="en-US"/>
              </w:rPr>
            </w:pPr>
            <w:r>
              <w:rPr>
                <w:bCs/>
                <w:color w:val="000000" w:themeColor="text1"/>
                <w:sz w:val="28"/>
                <w:szCs w:val="28"/>
                <w:lang w:eastAsia="en-US"/>
              </w:rPr>
              <w:t>7,1</w:t>
            </w:r>
          </w:p>
        </w:tc>
        <w:tc>
          <w:tcPr>
            <w:tcW w:w="703" w:type="pct"/>
            <w:tcBorders>
              <w:top w:val="nil"/>
              <w:left w:val="nil"/>
              <w:bottom w:val="single" w:sz="8" w:space="0" w:color="auto"/>
              <w:right w:val="single" w:sz="8" w:space="0" w:color="auto"/>
            </w:tcBorders>
            <w:vAlign w:val="center"/>
            <w:hideMark/>
          </w:tcPr>
          <w:p w:rsidR="007A7CE7" w:rsidRDefault="007A7CE7">
            <w:pPr>
              <w:spacing w:before="240" w:line="276" w:lineRule="auto"/>
              <w:contextualSpacing/>
              <w:jc w:val="center"/>
              <w:rPr>
                <w:bCs/>
                <w:color w:val="000000" w:themeColor="text1"/>
                <w:sz w:val="28"/>
                <w:szCs w:val="28"/>
                <w:lang w:eastAsia="en-US"/>
              </w:rPr>
            </w:pPr>
            <w:r>
              <w:rPr>
                <w:bCs/>
                <w:color w:val="000000" w:themeColor="text1"/>
                <w:sz w:val="28"/>
                <w:szCs w:val="28"/>
                <w:lang w:eastAsia="en-US"/>
              </w:rPr>
              <w:t>3,41</w:t>
            </w:r>
          </w:p>
        </w:tc>
        <w:tc>
          <w:tcPr>
            <w:tcW w:w="700" w:type="pct"/>
            <w:tcBorders>
              <w:top w:val="nil"/>
              <w:left w:val="nil"/>
              <w:bottom w:val="single" w:sz="8" w:space="0" w:color="auto"/>
              <w:right w:val="single" w:sz="8" w:space="0" w:color="auto"/>
            </w:tcBorders>
            <w:vAlign w:val="center"/>
            <w:hideMark/>
          </w:tcPr>
          <w:p w:rsidR="007A7CE7" w:rsidRDefault="007A7CE7">
            <w:pPr>
              <w:spacing w:before="240" w:line="276" w:lineRule="auto"/>
              <w:contextualSpacing/>
              <w:jc w:val="center"/>
              <w:rPr>
                <w:bCs/>
                <w:color w:val="000000" w:themeColor="text1"/>
                <w:sz w:val="28"/>
                <w:szCs w:val="28"/>
                <w:lang w:eastAsia="en-US"/>
              </w:rPr>
            </w:pPr>
            <w:r>
              <w:rPr>
                <w:bCs/>
                <w:color w:val="000000" w:themeColor="text1"/>
                <w:sz w:val="28"/>
                <w:szCs w:val="28"/>
                <w:lang w:eastAsia="en-US"/>
              </w:rPr>
              <w:t>7,51</w:t>
            </w:r>
          </w:p>
        </w:tc>
        <w:tc>
          <w:tcPr>
            <w:tcW w:w="578" w:type="pct"/>
            <w:tcBorders>
              <w:top w:val="nil"/>
              <w:left w:val="nil"/>
              <w:bottom w:val="single" w:sz="8" w:space="0" w:color="auto"/>
              <w:right w:val="single" w:sz="8" w:space="0" w:color="auto"/>
            </w:tcBorders>
            <w:vAlign w:val="center"/>
            <w:hideMark/>
          </w:tcPr>
          <w:p w:rsidR="007A7CE7" w:rsidRDefault="007A7CE7">
            <w:pPr>
              <w:spacing w:before="240" w:line="276" w:lineRule="auto"/>
              <w:contextualSpacing/>
              <w:jc w:val="center"/>
              <w:rPr>
                <w:bCs/>
                <w:color w:val="000000" w:themeColor="text1"/>
                <w:sz w:val="28"/>
                <w:szCs w:val="28"/>
                <w:lang w:eastAsia="en-US"/>
              </w:rPr>
            </w:pPr>
            <w:r>
              <w:rPr>
                <w:bCs/>
                <w:color w:val="000000" w:themeColor="text1"/>
                <w:sz w:val="28"/>
                <w:szCs w:val="28"/>
                <w:lang w:eastAsia="en-US"/>
              </w:rPr>
              <w:t>3,58</w:t>
            </w:r>
          </w:p>
        </w:tc>
        <w:tc>
          <w:tcPr>
            <w:tcW w:w="569" w:type="pct"/>
            <w:tcBorders>
              <w:top w:val="nil"/>
              <w:left w:val="nil"/>
              <w:bottom w:val="single" w:sz="8" w:space="0" w:color="auto"/>
              <w:right w:val="single" w:sz="8" w:space="0" w:color="auto"/>
            </w:tcBorders>
            <w:vAlign w:val="center"/>
            <w:hideMark/>
          </w:tcPr>
          <w:p w:rsidR="007A7CE7" w:rsidRDefault="007A7CE7">
            <w:pPr>
              <w:spacing w:before="240" w:line="276" w:lineRule="auto"/>
              <w:contextualSpacing/>
              <w:jc w:val="center"/>
              <w:rPr>
                <w:b/>
                <w:bCs/>
                <w:color w:val="000000" w:themeColor="text1"/>
                <w:sz w:val="28"/>
                <w:szCs w:val="28"/>
                <w:lang w:eastAsia="en-US"/>
              </w:rPr>
            </w:pPr>
            <w:r>
              <w:rPr>
                <w:b/>
                <w:bCs/>
                <w:color w:val="000000" w:themeColor="text1"/>
                <w:sz w:val="28"/>
                <w:szCs w:val="28"/>
                <w:lang w:eastAsia="en-US"/>
              </w:rPr>
              <w:t>7,48</w:t>
            </w:r>
          </w:p>
        </w:tc>
        <w:tc>
          <w:tcPr>
            <w:tcW w:w="574" w:type="pct"/>
            <w:tcBorders>
              <w:top w:val="nil"/>
              <w:left w:val="nil"/>
              <w:bottom w:val="single" w:sz="8" w:space="0" w:color="auto"/>
              <w:right w:val="single" w:sz="8" w:space="0" w:color="auto"/>
            </w:tcBorders>
            <w:vAlign w:val="center"/>
            <w:hideMark/>
          </w:tcPr>
          <w:p w:rsidR="007A7CE7" w:rsidRDefault="007A7CE7">
            <w:pPr>
              <w:spacing w:before="240" w:line="276" w:lineRule="auto"/>
              <w:contextualSpacing/>
              <w:jc w:val="center"/>
              <w:rPr>
                <w:b/>
                <w:bCs/>
                <w:color w:val="000000" w:themeColor="text1"/>
                <w:sz w:val="28"/>
                <w:szCs w:val="28"/>
                <w:lang w:eastAsia="en-US"/>
              </w:rPr>
            </w:pPr>
            <w:r>
              <w:rPr>
                <w:b/>
                <w:bCs/>
                <w:color w:val="000000" w:themeColor="text1"/>
                <w:sz w:val="28"/>
                <w:szCs w:val="28"/>
                <w:lang w:eastAsia="en-US"/>
              </w:rPr>
              <w:t>3,53</w:t>
            </w:r>
          </w:p>
        </w:tc>
      </w:tr>
      <w:bookmarkEnd w:id="87"/>
    </w:tbl>
    <w:p w:rsidR="007A7CE7" w:rsidRDefault="007A7CE7" w:rsidP="007A7CE7">
      <w:pPr>
        <w:ind w:firstLine="567"/>
        <w:rPr>
          <w:color w:val="000000" w:themeColor="text1"/>
          <w:sz w:val="28"/>
          <w:szCs w:val="28"/>
        </w:rPr>
      </w:pPr>
    </w:p>
    <w:p w:rsidR="007A7CE7" w:rsidRDefault="007A7CE7" w:rsidP="007A7CE7">
      <w:pPr>
        <w:ind w:firstLine="709"/>
        <w:jc w:val="both"/>
        <w:rPr>
          <w:color w:val="FF0000"/>
          <w:sz w:val="28"/>
          <w:szCs w:val="28"/>
        </w:rPr>
      </w:pPr>
      <w:r>
        <w:rPr>
          <w:color w:val="000000" w:themeColor="text1"/>
          <w:sz w:val="28"/>
          <w:szCs w:val="28"/>
        </w:rPr>
        <w:t>При средна дневна норма на натовареност за прокурор – 2 акта/действия с тежест  единица  /1/</w:t>
      </w:r>
      <w:r w:rsidR="006218D1">
        <w:rPr>
          <w:color w:val="000000" w:themeColor="text1"/>
          <w:sz w:val="28"/>
          <w:szCs w:val="28"/>
        </w:rPr>
        <w:t>,</w:t>
      </w:r>
      <w:r>
        <w:rPr>
          <w:color w:val="000000" w:themeColor="text1"/>
          <w:sz w:val="28"/>
          <w:szCs w:val="28"/>
        </w:rPr>
        <w:t xml:space="preserve"> определена по т. ІІІ от Правилата, средната дневна натовареност в РП - Варна е съответно –  7,48 акта.  </w:t>
      </w:r>
      <w:r>
        <w:rPr>
          <w:sz w:val="28"/>
          <w:szCs w:val="28"/>
        </w:rPr>
        <w:t xml:space="preserve">Като  спрямо 2022  г. е </w:t>
      </w:r>
      <w:r>
        <w:rPr>
          <w:sz w:val="28"/>
          <w:szCs w:val="28"/>
        </w:rPr>
        <w:lastRenderedPageBreak/>
        <w:t>намаляла  с 0,02</w:t>
      </w:r>
      <w:r w:rsidR="006218D1">
        <w:rPr>
          <w:sz w:val="28"/>
          <w:szCs w:val="28"/>
        </w:rPr>
        <w:t>,</w:t>
      </w:r>
      <w:r>
        <w:rPr>
          <w:sz w:val="28"/>
          <w:szCs w:val="28"/>
        </w:rPr>
        <w:t xml:space="preserve"> а спрямо 2021 г. се отчита увеличение с 0,38 акта, при отчитане на данните в проценти: намаление с 1,4% за 2022г. и увеличение с 3,5</w:t>
      </w:r>
      <w:r w:rsidR="00704100">
        <w:rPr>
          <w:sz w:val="28"/>
          <w:szCs w:val="28"/>
        </w:rPr>
        <w:t>%</w:t>
      </w:r>
      <w:r>
        <w:rPr>
          <w:sz w:val="28"/>
          <w:szCs w:val="28"/>
        </w:rPr>
        <w:t xml:space="preserve"> спрямо 2021 г.).</w:t>
      </w:r>
    </w:p>
    <w:p w:rsidR="007A7CE7" w:rsidRDefault="007A7CE7" w:rsidP="007A7CE7">
      <w:pPr>
        <w:ind w:firstLine="709"/>
        <w:jc w:val="both"/>
        <w:rPr>
          <w:color w:val="FF0000"/>
          <w:sz w:val="28"/>
          <w:szCs w:val="28"/>
        </w:rPr>
      </w:pPr>
      <w:r>
        <w:rPr>
          <w:color w:val="000000" w:themeColor="text1"/>
          <w:sz w:val="28"/>
          <w:szCs w:val="28"/>
        </w:rPr>
        <w:t xml:space="preserve">По отношение на средната натовареност с административно - ръководна дейност в РП – Варна </w:t>
      </w:r>
      <w:r>
        <w:rPr>
          <w:color w:val="000000" w:themeColor="text1"/>
          <w:sz w:val="28"/>
          <w:szCs w:val="28"/>
          <w:lang w:val="en-US"/>
        </w:rPr>
        <w:t>(</w:t>
      </w:r>
      <w:r>
        <w:rPr>
          <w:color w:val="000000" w:themeColor="text1"/>
          <w:sz w:val="28"/>
          <w:szCs w:val="28"/>
        </w:rPr>
        <w:t xml:space="preserve">без да се извежда средна натовареност за един ден на административния ръководител и тримата му </w:t>
      </w:r>
      <w:proofErr w:type="spellStart"/>
      <w:r>
        <w:rPr>
          <w:color w:val="000000" w:themeColor="text1"/>
          <w:sz w:val="28"/>
          <w:szCs w:val="28"/>
        </w:rPr>
        <w:t>заместници</w:t>
      </w:r>
      <w:proofErr w:type="spellEnd"/>
      <w:r>
        <w:rPr>
          <w:color w:val="000000" w:themeColor="text1"/>
          <w:sz w:val="28"/>
          <w:szCs w:val="28"/>
          <w:lang w:val="en-US"/>
        </w:rPr>
        <w:t>)</w:t>
      </w:r>
      <w:r>
        <w:rPr>
          <w:color w:val="000000" w:themeColor="text1"/>
          <w:sz w:val="28"/>
          <w:szCs w:val="28"/>
        </w:rPr>
        <w:t xml:space="preserve"> за 2023 г., 2022 г. и 2021 г. се наблюдава растеж, видно от следващата таблица:</w:t>
      </w:r>
    </w:p>
    <w:p w:rsidR="007A7CE7" w:rsidRDefault="007A7CE7" w:rsidP="007A7CE7">
      <w:pPr>
        <w:spacing w:before="120"/>
        <w:ind w:firstLine="709"/>
        <w:contextualSpacing/>
        <w:rPr>
          <w:b/>
          <w:bCs/>
          <w:sz w:val="28"/>
          <w:szCs w:val="28"/>
          <w:lang w:val="en-US"/>
        </w:rPr>
      </w:pPr>
    </w:p>
    <w:p w:rsidR="007A7CE7" w:rsidRDefault="007A7CE7" w:rsidP="007A7CE7">
      <w:pPr>
        <w:spacing w:before="120"/>
        <w:ind w:firstLine="709"/>
        <w:contextualSpacing/>
        <w:rPr>
          <w:b/>
          <w:bCs/>
          <w:sz w:val="28"/>
          <w:szCs w:val="28"/>
        </w:rPr>
      </w:pPr>
      <w:r>
        <w:rPr>
          <w:b/>
          <w:bCs/>
          <w:sz w:val="28"/>
          <w:szCs w:val="28"/>
        </w:rPr>
        <w:t>Дейност по администриране – общо</w:t>
      </w:r>
    </w:p>
    <w:tbl>
      <w:tblPr>
        <w:tblW w:w="5000" w:type="pct"/>
        <w:jc w:val="center"/>
        <w:tblCellMar>
          <w:left w:w="70" w:type="dxa"/>
          <w:right w:w="70" w:type="dxa"/>
        </w:tblCellMar>
        <w:tblLook w:val="04A0" w:firstRow="1" w:lastRow="0" w:firstColumn="1" w:lastColumn="0" w:noHBand="0" w:noVBand="1"/>
      </w:tblPr>
      <w:tblGrid>
        <w:gridCol w:w="2418"/>
        <w:gridCol w:w="1393"/>
        <w:gridCol w:w="1173"/>
        <w:gridCol w:w="1189"/>
        <w:gridCol w:w="1296"/>
        <w:gridCol w:w="1125"/>
        <w:gridCol w:w="1327"/>
      </w:tblGrid>
      <w:tr w:rsidR="007A7CE7" w:rsidTr="007A7CE7">
        <w:trPr>
          <w:trHeight w:val="498"/>
          <w:jc w:val="center"/>
        </w:trPr>
        <w:tc>
          <w:tcPr>
            <w:tcW w:w="1219" w:type="pct"/>
            <w:vMerge w:val="restart"/>
            <w:tcBorders>
              <w:top w:val="single" w:sz="4" w:space="0" w:color="auto"/>
              <w:left w:val="single" w:sz="4" w:space="0" w:color="auto"/>
              <w:bottom w:val="single" w:sz="4" w:space="0" w:color="auto"/>
              <w:right w:val="nil"/>
            </w:tcBorders>
            <w:shd w:val="clear" w:color="auto" w:fill="E5B8B7" w:themeFill="accent2" w:themeFillTint="66"/>
            <w:vAlign w:val="center"/>
            <w:hideMark/>
          </w:tcPr>
          <w:p w:rsidR="007A7CE7" w:rsidRDefault="007A7CE7">
            <w:pPr>
              <w:spacing w:before="240" w:line="276" w:lineRule="auto"/>
              <w:contextualSpacing/>
              <w:jc w:val="center"/>
              <w:rPr>
                <w:b/>
                <w:sz w:val="28"/>
                <w:szCs w:val="28"/>
                <w:lang w:eastAsia="en-US"/>
              </w:rPr>
            </w:pPr>
            <w:r>
              <w:rPr>
                <w:b/>
                <w:sz w:val="28"/>
                <w:szCs w:val="28"/>
                <w:lang w:eastAsia="en-US"/>
              </w:rPr>
              <w:t>Прокуратура</w:t>
            </w:r>
          </w:p>
        </w:tc>
        <w:tc>
          <w:tcPr>
            <w:tcW w:w="1293"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240" w:line="276" w:lineRule="auto"/>
              <w:contextualSpacing/>
              <w:jc w:val="center"/>
              <w:rPr>
                <w:sz w:val="28"/>
                <w:szCs w:val="28"/>
                <w:lang w:eastAsia="en-US"/>
              </w:rPr>
            </w:pPr>
            <w:r>
              <w:rPr>
                <w:sz w:val="28"/>
                <w:szCs w:val="28"/>
                <w:lang w:eastAsia="en-US"/>
              </w:rPr>
              <w:t>2021 г.</w:t>
            </w:r>
          </w:p>
        </w:tc>
        <w:tc>
          <w:tcPr>
            <w:tcW w:w="1252"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240" w:line="276" w:lineRule="auto"/>
              <w:contextualSpacing/>
              <w:jc w:val="center"/>
              <w:rPr>
                <w:bCs/>
                <w:sz w:val="28"/>
                <w:szCs w:val="28"/>
                <w:lang w:eastAsia="en-US"/>
              </w:rPr>
            </w:pPr>
            <w:r>
              <w:rPr>
                <w:bCs/>
                <w:sz w:val="28"/>
                <w:szCs w:val="28"/>
                <w:lang w:eastAsia="en-US"/>
              </w:rPr>
              <w:t xml:space="preserve">2022 г. </w:t>
            </w:r>
          </w:p>
        </w:tc>
        <w:tc>
          <w:tcPr>
            <w:tcW w:w="1236"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240" w:line="276" w:lineRule="auto"/>
              <w:contextualSpacing/>
              <w:jc w:val="center"/>
              <w:rPr>
                <w:b/>
                <w:bCs/>
                <w:sz w:val="28"/>
                <w:szCs w:val="28"/>
                <w:lang w:eastAsia="en-US"/>
              </w:rPr>
            </w:pPr>
            <w:r>
              <w:rPr>
                <w:b/>
                <w:bCs/>
                <w:sz w:val="28"/>
                <w:szCs w:val="28"/>
                <w:lang w:eastAsia="en-US"/>
              </w:rPr>
              <w:t xml:space="preserve">2023 г. </w:t>
            </w:r>
          </w:p>
        </w:tc>
      </w:tr>
      <w:tr w:rsidR="007A7CE7" w:rsidTr="007A7CE7">
        <w:trPr>
          <w:trHeight w:val="315"/>
          <w:jc w:val="center"/>
        </w:trPr>
        <w:tc>
          <w:tcPr>
            <w:tcW w:w="0" w:type="auto"/>
            <w:vMerge/>
            <w:tcBorders>
              <w:top w:val="single" w:sz="4" w:space="0" w:color="auto"/>
              <w:left w:val="single" w:sz="4" w:space="0" w:color="auto"/>
              <w:bottom w:val="single" w:sz="4" w:space="0" w:color="auto"/>
              <w:right w:val="nil"/>
            </w:tcBorders>
            <w:vAlign w:val="center"/>
            <w:hideMark/>
          </w:tcPr>
          <w:p w:rsidR="007A7CE7" w:rsidRDefault="007A7CE7">
            <w:pPr>
              <w:rPr>
                <w:b/>
                <w:sz w:val="28"/>
                <w:szCs w:val="28"/>
                <w:lang w:eastAsia="en-US"/>
              </w:rPr>
            </w:pPr>
          </w:p>
        </w:tc>
        <w:tc>
          <w:tcPr>
            <w:tcW w:w="70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240" w:line="276" w:lineRule="auto"/>
              <w:contextualSpacing/>
              <w:jc w:val="center"/>
              <w:rPr>
                <w:sz w:val="28"/>
                <w:szCs w:val="28"/>
                <w:lang w:eastAsia="en-US"/>
              </w:rPr>
            </w:pPr>
            <w:r>
              <w:rPr>
                <w:sz w:val="28"/>
                <w:szCs w:val="28"/>
                <w:lang w:eastAsia="en-US"/>
              </w:rPr>
              <w:t>брой</w:t>
            </w:r>
          </w:p>
        </w:tc>
        <w:tc>
          <w:tcPr>
            <w:tcW w:w="591"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240" w:line="276" w:lineRule="auto"/>
              <w:contextualSpacing/>
              <w:jc w:val="center"/>
              <w:rPr>
                <w:sz w:val="28"/>
                <w:szCs w:val="28"/>
                <w:lang w:eastAsia="en-US"/>
              </w:rPr>
            </w:pPr>
            <w:r>
              <w:rPr>
                <w:sz w:val="28"/>
                <w:szCs w:val="28"/>
                <w:lang w:eastAsia="en-US"/>
              </w:rPr>
              <w:t>точки</w:t>
            </w:r>
          </w:p>
        </w:tc>
        <w:tc>
          <w:tcPr>
            <w:tcW w:w="59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240" w:line="276" w:lineRule="auto"/>
              <w:contextualSpacing/>
              <w:jc w:val="center"/>
              <w:rPr>
                <w:sz w:val="28"/>
                <w:szCs w:val="28"/>
                <w:lang w:eastAsia="en-US"/>
              </w:rPr>
            </w:pPr>
            <w:r>
              <w:rPr>
                <w:sz w:val="28"/>
                <w:szCs w:val="28"/>
                <w:lang w:eastAsia="en-US"/>
              </w:rPr>
              <w:t>брой</w:t>
            </w:r>
          </w:p>
        </w:tc>
        <w:tc>
          <w:tcPr>
            <w:tcW w:w="653"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240" w:line="276" w:lineRule="auto"/>
              <w:contextualSpacing/>
              <w:jc w:val="center"/>
              <w:rPr>
                <w:sz w:val="28"/>
                <w:szCs w:val="28"/>
                <w:lang w:eastAsia="en-US"/>
              </w:rPr>
            </w:pPr>
            <w:r>
              <w:rPr>
                <w:sz w:val="28"/>
                <w:szCs w:val="28"/>
                <w:lang w:eastAsia="en-US"/>
              </w:rPr>
              <w:t>точки</w:t>
            </w:r>
          </w:p>
        </w:tc>
        <w:tc>
          <w:tcPr>
            <w:tcW w:w="567"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240" w:line="276" w:lineRule="auto"/>
              <w:contextualSpacing/>
              <w:jc w:val="center"/>
              <w:rPr>
                <w:b/>
                <w:sz w:val="28"/>
                <w:szCs w:val="28"/>
                <w:lang w:eastAsia="en-US"/>
              </w:rPr>
            </w:pPr>
            <w:r>
              <w:rPr>
                <w:b/>
                <w:sz w:val="28"/>
                <w:szCs w:val="28"/>
                <w:lang w:eastAsia="en-US"/>
              </w:rPr>
              <w:t>брой</w:t>
            </w:r>
          </w:p>
        </w:tc>
        <w:tc>
          <w:tcPr>
            <w:tcW w:w="669"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7A7CE7" w:rsidRDefault="007A7CE7">
            <w:pPr>
              <w:spacing w:before="240" w:line="276" w:lineRule="auto"/>
              <w:contextualSpacing/>
              <w:jc w:val="center"/>
              <w:rPr>
                <w:b/>
                <w:sz w:val="28"/>
                <w:szCs w:val="28"/>
                <w:lang w:eastAsia="en-US"/>
              </w:rPr>
            </w:pPr>
            <w:r>
              <w:rPr>
                <w:b/>
                <w:sz w:val="28"/>
                <w:szCs w:val="28"/>
                <w:lang w:eastAsia="en-US"/>
              </w:rPr>
              <w:t>точки</w:t>
            </w:r>
          </w:p>
        </w:tc>
      </w:tr>
      <w:tr w:rsidR="007A7CE7" w:rsidTr="007A7CE7">
        <w:trPr>
          <w:trHeight w:val="255"/>
          <w:jc w:val="center"/>
        </w:trPr>
        <w:tc>
          <w:tcPr>
            <w:tcW w:w="1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7CE7" w:rsidRDefault="007A7CE7">
            <w:pPr>
              <w:spacing w:before="120" w:after="120" w:line="276" w:lineRule="auto"/>
              <w:contextualSpacing/>
              <w:jc w:val="center"/>
              <w:rPr>
                <w:sz w:val="28"/>
                <w:szCs w:val="28"/>
                <w:lang w:eastAsia="en-US"/>
              </w:rPr>
            </w:pPr>
            <w:r>
              <w:rPr>
                <w:sz w:val="28"/>
                <w:szCs w:val="28"/>
                <w:lang w:eastAsia="en-US"/>
              </w:rPr>
              <w:t>РП-Варна</w:t>
            </w:r>
          </w:p>
        </w:tc>
        <w:tc>
          <w:tcPr>
            <w:tcW w:w="702" w:type="pct"/>
            <w:tcBorders>
              <w:top w:val="single" w:sz="4" w:space="0" w:color="auto"/>
              <w:left w:val="nil"/>
              <w:bottom w:val="single" w:sz="4" w:space="0" w:color="auto"/>
              <w:right w:val="single" w:sz="4" w:space="0" w:color="auto"/>
            </w:tcBorders>
            <w:shd w:val="clear" w:color="auto" w:fill="FFFFFF" w:themeFill="background1"/>
            <w:vAlign w:val="center"/>
            <w:hideMark/>
          </w:tcPr>
          <w:p w:rsidR="007A7CE7" w:rsidRDefault="007A7CE7">
            <w:pPr>
              <w:spacing w:before="120" w:after="120" w:line="276" w:lineRule="auto"/>
              <w:contextualSpacing/>
              <w:jc w:val="center"/>
              <w:rPr>
                <w:sz w:val="28"/>
                <w:szCs w:val="28"/>
                <w:lang w:eastAsia="en-US"/>
              </w:rPr>
            </w:pPr>
            <w:r>
              <w:rPr>
                <w:sz w:val="28"/>
                <w:szCs w:val="28"/>
                <w:lang w:eastAsia="en-US"/>
              </w:rPr>
              <w:t>1143</w:t>
            </w:r>
          </w:p>
        </w:tc>
        <w:tc>
          <w:tcPr>
            <w:tcW w:w="591" w:type="pct"/>
            <w:tcBorders>
              <w:top w:val="single" w:sz="4" w:space="0" w:color="auto"/>
              <w:left w:val="nil"/>
              <w:bottom w:val="single" w:sz="4" w:space="0" w:color="auto"/>
              <w:right w:val="single" w:sz="4" w:space="0" w:color="auto"/>
            </w:tcBorders>
            <w:noWrap/>
            <w:vAlign w:val="center"/>
            <w:hideMark/>
          </w:tcPr>
          <w:p w:rsidR="007A7CE7" w:rsidRDefault="007A7CE7">
            <w:pPr>
              <w:spacing w:before="120" w:after="120" w:line="276" w:lineRule="auto"/>
              <w:contextualSpacing/>
              <w:jc w:val="center"/>
              <w:rPr>
                <w:sz w:val="28"/>
                <w:szCs w:val="28"/>
                <w:lang w:eastAsia="en-US"/>
              </w:rPr>
            </w:pPr>
            <w:r>
              <w:rPr>
                <w:rFonts w:eastAsia="Calibri"/>
                <w:sz w:val="28"/>
                <w:szCs w:val="28"/>
                <w:lang w:eastAsia="en-US"/>
              </w:rPr>
              <w:t>583</w:t>
            </w:r>
          </w:p>
        </w:tc>
        <w:tc>
          <w:tcPr>
            <w:tcW w:w="599" w:type="pct"/>
            <w:tcBorders>
              <w:top w:val="single" w:sz="4" w:space="0" w:color="auto"/>
              <w:left w:val="nil"/>
              <w:bottom w:val="single" w:sz="4" w:space="0" w:color="auto"/>
              <w:right w:val="single" w:sz="4" w:space="0" w:color="auto"/>
            </w:tcBorders>
            <w:vAlign w:val="center"/>
            <w:hideMark/>
          </w:tcPr>
          <w:p w:rsidR="007A7CE7" w:rsidRDefault="007A7CE7">
            <w:pPr>
              <w:spacing w:before="120" w:after="120" w:line="276" w:lineRule="auto"/>
              <w:contextualSpacing/>
              <w:jc w:val="center"/>
              <w:rPr>
                <w:sz w:val="28"/>
                <w:szCs w:val="28"/>
                <w:lang w:eastAsia="en-US"/>
              </w:rPr>
            </w:pPr>
            <w:r>
              <w:rPr>
                <w:sz w:val="28"/>
                <w:szCs w:val="28"/>
                <w:lang w:eastAsia="en-US"/>
              </w:rPr>
              <w:t>3470</w:t>
            </w:r>
          </w:p>
        </w:tc>
        <w:tc>
          <w:tcPr>
            <w:tcW w:w="653" w:type="pct"/>
            <w:tcBorders>
              <w:top w:val="single" w:sz="4" w:space="0" w:color="auto"/>
              <w:left w:val="nil"/>
              <w:bottom w:val="single" w:sz="4" w:space="0" w:color="auto"/>
              <w:right w:val="single" w:sz="4" w:space="0" w:color="auto"/>
            </w:tcBorders>
            <w:vAlign w:val="center"/>
            <w:hideMark/>
          </w:tcPr>
          <w:p w:rsidR="007A7CE7" w:rsidRDefault="007A7CE7">
            <w:pPr>
              <w:spacing w:before="120" w:after="120" w:line="276" w:lineRule="auto"/>
              <w:contextualSpacing/>
              <w:jc w:val="center"/>
              <w:rPr>
                <w:sz w:val="28"/>
                <w:szCs w:val="28"/>
                <w:lang w:eastAsia="en-US"/>
              </w:rPr>
            </w:pPr>
            <w:r>
              <w:rPr>
                <w:rFonts w:eastAsia="Calibri"/>
                <w:sz w:val="28"/>
                <w:szCs w:val="28"/>
                <w:lang w:eastAsia="en-US"/>
              </w:rPr>
              <w:t>1784</w:t>
            </w:r>
          </w:p>
        </w:tc>
        <w:tc>
          <w:tcPr>
            <w:tcW w:w="567" w:type="pct"/>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b/>
                <w:sz w:val="28"/>
                <w:szCs w:val="28"/>
                <w:lang w:eastAsia="en-US"/>
              </w:rPr>
            </w:pPr>
            <w:r>
              <w:rPr>
                <w:b/>
                <w:sz w:val="28"/>
                <w:szCs w:val="28"/>
                <w:lang w:eastAsia="en-US"/>
              </w:rPr>
              <w:t>4668</w:t>
            </w:r>
          </w:p>
        </w:tc>
        <w:tc>
          <w:tcPr>
            <w:tcW w:w="669" w:type="pct"/>
            <w:tcBorders>
              <w:top w:val="single" w:sz="4" w:space="0" w:color="auto"/>
              <w:left w:val="single" w:sz="4" w:space="0" w:color="auto"/>
              <w:bottom w:val="single" w:sz="4" w:space="0" w:color="auto"/>
              <w:right w:val="single" w:sz="4" w:space="0" w:color="auto"/>
            </w:tcBorders>
            <w:vAlign w:val="center"/>
            <w:hideMark/>
          </w:tcPr>
          <w:p w:rsidR="007A7CE7" w:rsidRDefault="007A7CE7">
            <w:pPr>
              <w:spacing w:before="120" w:after="120" w:line="276" w:lineRule="auto"/>
              <w:contextualSpacing/>
              <w:jc w:val="center"/>
              <w:rPr>
                <w:b/>
                <w:sz w:val="28"/>
                <w:szCs w:val="28"/>
                <w:lang w:eastAsia="en-US"/>
              </w:rPr>
            </w:pPr>
            <w:r>
              <w:rPr>
                <w:rFonts w:eastAsia="Calibri"/>
                <w:b/>
                <w:sz w:val="28"/>
                <w:szCs w:val="28"/>
                <w:lang w:eastAsia="en-US"/>
              </w:rPr>
              <w:t>2389,2</w:t>
            </w:r>
          </w:p>
        </w:tc>
      </w:tr>
    </w:tbl>
    <w:p w:rsidR="007A7CE7" w:rsidRDefault="007A7CE7" w:rsidP="007A7CE7">
      <w:pPr>
        <w:spacing w:after="200"/>
        <w:contextualSpacing/>
        <w:rPr>
          <w:rFonts w:ascii="Calibri" w:eastAsia="Calibri" w:hAnsi="Calibri"/>
          <w:color w:val="FF0000"/>
          <w:sz w:val="28"/>
          <w:szCs w:val="28"/>
          <w:lang w:eastAsia="en-US"/>
        </w:rPr>
      </w:pPr>
    </w:p>
    <w:p w:rsidR="007A7CE7" w:rsidRDefault="007A7CE7" w:rsidP="007A7CE7">
      <w:pPr>
        <w:ind w:firstLine="709"/>
        <w:rPr>
          <w:b/>
          <w:sz w:val="28"/>
          <w:szCs w:val="28"/>
          <w:lang w:val="en-US"/>
        </w:rPr>
      </w:pPr>
      <w:r>
        <w:rPr>
          <w:b/>
          <w:sz w:val="28"/>
          <w:szCs w:val="28"/>
        </w:rPr>
        <w:t>Натовареност на РП-Варна – административна дейност</w:t>
      </w:r>
    </w:p>
    <w:tbl>
      <w:tblPr>
        <w:tblpPr w:leftFromText="141" w:rightFromText="141" w:topFromText="240" w:bottomFromText="60" w:vertAnchor="text" w:horzAnchor="margin" w:tblpXSpec="center" w:tblpY="560"/>
        <w:tblOverlap w:val="never"/>
        <w:tblW w:w="5650" w:type="pct"/>
        <w:tblCellMar>
          <w:left w:w="70" w:type="dxa"/>
          <w:right w:w="70" w:type="dxa"/>
        </w:tblCellMar>
        <w:tblLook w:val="04A0" w:firstRow="1" w:lastRow="0" w:firstColumn="1" w:lastColumn="0" w:noHBand="0" w:noVBand="1"/>
      </w:tblPr>
      <w:tblGrid>
        <w:gridCol w:w="391"/>
        <w:gridCol w:w="410"/>
        <w:gridCol w:w="410"/>
        <w:gridCol w:w="396"/>
        <w:gridCol w:w="549"/>
        <w:gridCol w:w="405"/>
        <w:gridCol w:w="551"/>
        <w:gridCol w:w="405"/>
        <w:gridCol w:w="405"/>
        <w:gridCol w:w="391"/>
        <w:gridCol w:w="391"/>
        <w:gridCol w:w="405"/>
        <w:gridCol w:w="405"/>
        <w:gridCol w:w="410"/>
        <w:gridCol w:w="410"/>
        <w:gridCol w:w="391"/>
        <w:gridCol w:w="391"/>
        <w:gridCol w:w="410"/>
        <w:gridCol w:w="545"/>
        <w:gridCol w:w="397"/>
        <w:gridCol w:w="406"/>
        <w:gridCol w:w="550"/>
        <w:gridCol w:w="550"/>
        <w:gridCol w:w="550"/>
        <w:gridCol w:w="687"/>
      </w:tblGrid>
      <w:tr w:rsidR="007A7CE7" w:rsidTr="007A7CE7">
        <w:trPr>
          <w:trHeight w:val="401"/>
        </w:trPr>
        <w:tc>
          <w:tcPr>
            <w:tcW w:w="160" w:type="pct"/>
            <w:vMerge w:val="restart"/>
            <w:tcBorders>
              <w:top w:val="single" w:sz="4" w:space="0" w:color="auto"/>
              <w:left w:val="single" w:sz="4" w:space="0" w:color="auto"/>
              <w:bottom w:val="single" w:sz="8" w:space="0" w:color="000000"/>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b/>
                <w:bCs/>
                <w:sz w:val="18"/>
                <w:szCs w:val="18"/>
                <w:lang w:eastAsia="en-US"/>
              </w:rPr>
            </w:pPr>
            <w:r>
              <w:rPr>
                <w:b/>
                <w:bCs/>
                <w:sz w:val="18"/>
                <w:szCs w:val="18"/>
                <w:lang w:eastAsia="en-US"/>
              </w:rPr>
              <w:t>ПРОКУРАТУРА</w:t>
            </w:r>
          </w:p>
        </w:tc>
        <w:tc>
          <w:tcPr>
            <w:tcW w:w="190" w:type="pct"/>
            <w:vMerge w:val="restart"/>
            <w:tcBorders>
              <w:top w:val="single" w:sz="4" w:space="0" w:color="auto"/>
              <w:left w:val="single" w:sz="8" w:space="0" w:color="auto"/>
              <w:bottom w:val="single" w:sz="8" w:space="0" w:color="000000"/>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Работни дни в месеца по календар</w:t>
            </w:r>
          </w:p>
        </w:tc>
        <w:tc>
          <w:tcPr>
            <w:tcW w:w="192" w:type="pct"/>
            <w:vMerge w:val="restart"/>
            <w:tcBorders>
              <w:top w:val="single" w:sz="4" w:space="0" w:color="auto"/>
              <w:left w:val="single" w:sz="8" w:space="0" w:color="auto"/>
              <w:bottom w:val="single" w:sz="8" w:space="0" w:color="000000"/>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b/>
                <w:bCs/>
                <w:sz w:val="18"/>
                <w:szCs w:val="18"/>
                <w:lang w:eastAsia="en-US"/>
              </w:rPr>
            </w:pPr>
            <w:r>
              <w:rPr>
                <w:b/>
                <w:bCs/>
                <w:sz w:val="18"/>
                <w:szCs w:val="18"/>
                <w:lang w:eastAsia="en-US"/>
              </w:rPr>
              <w:t>Действително отработени дни</w:t>
            </w:r>
          </w:p>
        </w:tc>
        <w:tc>
          <w:tcPr>
            <w:tcW w:w="3887" w:type="pct"/>
            <w:gridSpan w:val="20"/>
            <w:tcBorders>
              <w:top w:val="single" w:sz="4" w:space="0" w:color="auto"/>
              <w:left w:val="nil"/>
              <w:bottom w:val="single" w:sz="8" w:space="0" w:color="auto"/>
              <w:right w:val="single" w:sz="8" w:space="0" w:color="000000"/>
            </w:tcBorders>
            <w:shd w:val="clear" w:color="auto" w:fill="E5B8B7" w:themeFill="accent2" w:themeFillTint="66"/>
            <w:vAlign w:val="center"/>
            <w:hideMark/>
          </w:tcPr>
          <w:p w:rsidR="007A7CE7" w:rsidRDefault="007A7CE7">
            <w:pPr>
              <w:spacing w:line="276" w:lineRule="auto"/>
              <w:jc w:val="center"/>
              <w:rPr>
                <w:b/>
                <w:bCs/>
                <w:sz w:val="18"/>
                <w:szCs w:val="18"/>
                <w:lang w:eastAsia="en-US"/>
              </w:rPr>
            </w:pPr>
            <w:r>
              <w:rPr>
                <w:b/>
                <w:bCs/>
                <w:sz w:val="18"/>
                <w:szCs w:val="18"/>
                <w:lang w:eastAsia="en-US"/>
              </w:rPr>
              <w:t>Дейност по администриране</w:t>
            </w:r>
          </w:p>
        </w:tc>
        <w:tc>
          <w:tcPr>
            <w:tcW w:w="571" w:type="pct"/>
            <w:gridSpan w:val="2"/>
            <w:vMerge w:val="restart"/>
            <w:tcBorders>
              <w:top w:val="single" w:sz="4" w:space="0" w:color="auto"/>
              <w:left w:val="single" w:sz="8" w:space="0" w:color="auto"/>
              <w:bottom w:val="single" w:sz="8" w:space="0" w:color="000000"/>
              <w:right w:val="single" w:sz="4" w:space="0" w:color="auto"/>
            </w:tcBorders>
            <w:shd w:val="clear" w:color="auto" w:fill="E5B8B7" w:themeFill="accent2" w:themeFillTint="66"/>
            <w:textDirection w:val="btLr"/>
            <w:vAlign w:val="center"/>
            <w:hideMark/>
          </w:tcPr>
          <w:p w:rsidR="007A7CE7" w:rsidRDefault="007A7CE7">
            <w:pPr>
              <w:spacing w:line="276" w:lineRule="auto"/>
              <w:jc w:val="center"/>
              <w:rPr>
                <w:b/>
                <w:bCs/>
                <w:sz w:val="18"/>
                <w:szCs w:val="18"/>
                <w:lang w:eastAsia="en-US"/>
              </w:rPr>
            </w:pPr>
            <w:r>
              <w:rPr>
                <w:b/>
                <w:bCs/>
                <w:sz w:val="18"/>
                <w:szCs w:val="18"/>
                <w:lang w:eastAsia="en-US"/>
              </w:rPr>
              <w:t>11. Дейност по администриране - общо</w:t>
            </w:r>
          </w:p>
        </w:tc>
      </w:tr>
      <w:tr w:rsidR="007A7CE7" w:rsidTr="007A7CE7">
        <w:trPr>
          <w:trHeight w:val="936"/>
        </w:trPr>
        <w:tc>
          <w:tcPr>
            <w:tcW w:w="0" w:type="auto"/>
            <w:vMerge/>
            <w:tcBorders>
              <w:top w:val="single" w:sz="4" w:space="0" w:color="auto"/>
              <w:left w:val="single" w:sz="4" w:space="0" w:color="auto"/>
              <w:bottom w:val="single" w:sz="8" w:space="0" w:color="000000"/>
              <w:right w:val="single" w:sz="8" w:space="0" w:color="auto"/>
            </w:tcBorders>
            <w:vAlign w:val="center"/>
            <w:hideMark/>
          </w:tcPr>
          <w:p w:rsidR="007A7CE7" w:rsidRDefault="007A7CE7">
            <w:pPr>
              <w:rPr>
                <w:b/>
                <w:bCs/>
                <w:sz w:val="18"/>
                <w:szCs w:val="18"/>
                <w:lang w:eastAsia="en-US"/>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7A7CE7" w:rsidRDefault="007A7CE7">
            <w:pPr>
              <w:rPr>
                <w:sz w:val="18"/>
                <w:szCs w:val="18"/>
                <w:lang w:eastAsia="en-US"/>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7A7CE7" w:rsidRDefault="007A7CE7">
            <w:pPr>
              <w:rPr>
                <w:b/>
                <w:bCs/>
                <w:sz w:val="18"/>
                <w:szCs w:val="18"/>
                <w:lang w:eastAsia="en-US"/>
              </w:rPr>
            </w:pPr>
          </w:p>
        </w:tc>
        <w:tc>
          <w:tcPr>
            <w:tcW w:w="446"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textDirection w:val="btLr"/>
            <w:vAlign w:val="center"/>
            <w:hideMark/>
          </w:tcPr>
          <w:p w:rsidR="007A7CE7" w:rsidRDefault="007A7CE7">
            <w:pPr>
              <w:spacing w:line="276" w:lineRule="auto"/>
              <w:rPr>
                <w:sz w:val="18"/>
                <w:szCs w:val="18"/>
                <w:lang w:eastAsia="en-US"/>
              </w:rPr>
            </w:pPr>
            <w:r>
              <w:rPr>
                <w:sz w:val="18"/>
                <w:szCs w:val="18"/>
                <w:lang w:eastAsia="en-US"/>
              </w:rPr>
              <w:t>11.1.Предложение по ЗСВ</w:t>
            </w:r>
          </w:p>
        </w:tc>
        <w:tc>
          <w:tcPr>
            <w:tcW w:w="447"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textDirection w:val="btLr"/>
            <w:vAlign w:val="center"/>
            <w:hideMark/>
          </w:tcPr>
          <w:p w:rsidR="007A7CE7" w:rsidRDefault="007A7CE7">
            <w:pPr>
              <w:spacing w:line="276" w:lineRule="auto"/>
              <w:rPr>
                <w:sz w:val="18"/>
                <w:szCs w:val="18"/>
                <w:lang w:eastAsia="en-US"/>
              </w:rPr>
            </w:pPr>
            <w:r>
              <w:rPr>
                <w:sz w:val="18"/>
                <w:szCs w:val="18"/>
                <w:lang w:eastAsia="en-US"/>
              </w:rPr>
              <w:t>11.2. Становища по ЗСВ</w:t>
            </w:r>
          </w:p>
        </w:tc>
        <w:tc>
          <w:tcPr>
            <w:tcW w:w="382"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textDirection w:val="btLr"/>
            <w:vAlign w:val="center"/>
            <w:hideMark/>
          </w:tcPr>
          <w:p w:rsidR="007A7CE7" w:rsidRDefault="007A7CE7">
            <w:pPr>
              <w:spacing w:line="276" w:lineRule="auto"/>
              <w:rPr>
                <w:sz w:val="18"/>
                <w:szCs w:val="18"/>
                <w:lang w:eastAsia="en-US"/>
              </w:rPr>
            </w:pPr>
            <w:r>
              <w:rPr>
                <w:sz w:val="18"/>
                <w:szCs w:val="18"/>
                <w:lang w:eastAsia="en-US"/>
              </w:rPr>
              <w:t>11.3.Произнасяне по дисциплинарни преписки</w:t>
            </w:r>
          </w:p>
        </w:tc>
        <w:tc>
          <w:tcPr>
            <w:tcW w:w="256"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textDirection w:val="btLr"/>
            <w:vAlign w:val="center"/>
            <w:hideMark/>
          </w:tcPr>
          <w:p w:rsidR="007A7CE7" w:rsidRDefault="007A7CE7">
            <w:pPr>
              <w:spacing w:line="276" w:lineRule="auto"/>
              <w:rPr>
                <w:sz w:val="18"/>
                <w:szCs w:val="18"/>
                <w:lang w:eastAsia="en-US"/>
              </w:rPr>
            </w:pPr>
            <w:r>
              <w:rPr>
                <w:sz w:val="18"/>
                <w:szCs w:val="18"/>
                <w:lang w:eastAsia="en-US"/>
              </w:rPr>
              <w:t>11.4.Организиране и провеждане на  работни/обучителни съвещания</w:t>
            </w:r>
          </w:p>
        </w:tc>
        <w:tc>
          <w:tcPr>
            <w:tcW w:w="382"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textDirection w:val="btLr"/>
            <w:vAlign w:val="center"/>
            <w:hideMark/>
          </w:tcPr>
          <w:p w:rsidR="007A7CE7" w:rsidRDefault="007A7CE7">
            <w:pPr>
              <w:spacing w:line="276" w:lineRule="auto"/>
              <w:rPr>
                <w:sz w:val="18"/>
                <w:szCs w:val="18"/>
                <w:lang w:eastAsia="en-US"/>
              </w:rPr>
            </w:pPr>
            <w:r>
              <w:rPr>
                <w:sz w:val="18"/>
                <w:szCs w:val="18"/>
                <w:lang w:eastAsia="en-US"/>
              </w:rPr>
              <w:t>11.5.Участие в работни/обучителни съвещания, срещи, празници</w:t>
            </w:r>
          </w:p>
        </w:tc>
        <w:tc>
          <w:tcPr>
            <w:tcW w:w="382"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textDirection w:val="btLr"/>
            <w:vAlign w:val="center"/>
            <w:hideMark/>
          </w:tcPr>
          <w:p w:rsidR="007A7CE7" w:rsidRDefault="007A7CE7">
            <w:pPr>
              <w:spacing w:line="276" w:lineRule="auto"/>
              <w:rPr>
                <w:sz w:val="18"/>
                <w:szCs w:val="18"/>
                <w:lang w:eastAsia="en-US"/>
              </w:rPr>
            </w:pPr>
            <w:r>
              <w:rPr>
                <w:sz w:val="18"/>
                <w:szCs w:val="18"/>
                <w:lang w:eastAsia="en-US"/>
              </w:rPr>
              <w:t>11.6. Заповеди /без такива по кадрови въпроси и за командироване/ и указания</w:t>
            </w:r>
          </w:p>
        </w:tc>
        <w:tc>
          <w:tcPr>
            <w:tcW w:w="254"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noWrap/>
            <w:textDirection w:val="btLr"/>
            <w:vAlign w:val="center"/>
            <w:hideMark/>
          </w:tcPr>
          <w:p w:rsidR="007A7CE7" w:rsidRDefault="007A7CE7">
            <w:pPr>
              <w:spacing w:line="276" w:lineRule="auto"/>
              <w:rPr>
                <w:sz w:val="18"/>
                <w:szCs w:val="18"/>
                <w:lang w:eastAsia="en-US"/>
              </w:rPr>
            </w:pPr>
            <w:r>
              <w:rPr>
                <w:sz w:val="18"/>
                <w:szCs w:val="18"/>
                <w:lang w:eastAsia="en-US"/>
              </w:rPr>
              <w:t>11.7. Становища</w:t>
            </w:r>
          </w:p>
        </w:tc>
        <w:tc>
          <w:tcPr>
            <w:tcW w:w="446"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textDirection w:val="btLr"/>
            <w:vAlign w:val="center"/>
            <w:hideMark/>
          </w:tcPr>
          <w:p w:rsidR="007A7CE7" w:rsidRDefault="007A7CE7">
            <w:pPr>
              <w:spacing w:line="276" w:lineRule="auto"/>
              <w:rPr>
                <w:sz w:val="18"/>
                <w:szCs w:val="18"/>
                <w:lang w:eastAsia="en-US"/>
              </w:rPr>
            </w:pPr>
            <w:r>
              <w:rPr>
                <w:sz w:val="18"/>
                <w:szCs w:val="18"/>
                <w:lang w:eastAsia="en-US"/>
              </w:rPr>
              <w:t>11.8. Справки/писма до други звена, институции, граждани</w:t>
            </w:r>
          </w:p>
        </w:tc>
        <w:tc>
          <w:tcPr>
            <w:tcW w:w="382"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textDirection w:val="btLr"/>
            <w:vAlign w:val="center"/>
            <w:hideMark/>
          </w:tcPr>
          <w:p w:rsidR="007A7CE7" w:rsidRDefault="007A7CE7">
            <w:pPr>
              <w:spacing w:line="276" w:lineRule="auto"/>
              <w:rPr>
                <w:sz w:val="18"/>
                <w:szCs w:val="18"/>
                <w:lang w:eastAsia="en-US"/>
              </w:rPr>
            </w:pPr>
            <w:r>
              <w:rPr>
                <w:sz w:val="18"/>
                <w:szCs w:val="18"/>
                <w:lang w:eastAsia="en-US"/>
              </w:rPr>
              <w:t>11.9. Изготвени вътрешни организационни актове/правилници, правила/</w:t>
            </w:r>
          </w:p>
        </w:tc>
        <w:tc>
          <w:tcPr>
            <w:tcW w:w="510" w:type="pct"/>
            <w:gridSpan w:val="2"/>
            <w:vMerge w:val="restart"/>
            <w:tcBorders>
              <w:top w:val="single" w:sz="8" w:space="0" w:color="auto"/>
              <w:left w:val="single" w:sz="8" w:space="0" w:color="auto"/>
              <w:bottom w:val="single" w:sz="8" w:space="0" w:color="000000"/>
              <w:right w:val="single" w:sz="8" w:space="0" w:color="000000"/>
            </w:tcBorders>
            <w:shd w:val="clear" w:color="auto" w:fill="E5B8B7" w:themeFill="accent2" w:themeFillTint="66"/>
            <w:textDirection w:val="btLr"/>
            <w:vAlign w:val="center"/>
            <w:hideMark/>
          </w:tcPr>
          <w:p w:rsidR="007A7CE7" w:rsidRDefault="007A7CE7">
            <w:pPr>
              <w:spacing w:line="276" w:lineRule="auto"/>
              <w:rPr>
                <w:sz w:val="18"/>
                <w:szCs w:val="18"/>
                <w:lang w:eastAsia="en-US"/>
              </w:rPr>
            </w:pPr>
            <w:r>
              <w:rPr>
                <w:sz w:val="18"/>
                <w:szCs w:val="18"/>
                <w:lang w:eastAsia="en-US"/>
              </w:rPr>
              <w:t>11.10. Контролна дейност на административния ръководител спрямо прокурорите в прокуратурата и региона</w:t>
            </w:r>
          </w:p>
        </w:tc>
        <w:tc>
          <w:tcPr>
            <w:tcW w:w="0" w:type="auto"/>
            <w:gridSpan w:val="2"/>
            <w:vMerge/>
            <w:tcBorders>
              <w:top w:val="single" w:sz="4" w:space="0" w:color="auto"/>
              <w:left w:val="single" w:sz="8" w:space="0" w:color="auto"/>
              <w:bottom w:val="single" w:sz="8" w:space="0" w:color="000000"/>
              <w:right w:val="single" w:sz="4" w:space="0" w:color="auto"/>
            </w:tcBorders>
            <w:vAlign w:val="center"/>
            <w:hideMark/>
          </w:tcPr>
          <w:p w:rsidR="007A7CE7" w:rsidRDefault="007A7CE7">
            <w:pPr>
              <w:rPr>
                <w:b/>
                <w:bCs/>
                <w:sz w:val="18"/>
                <w:szCs w:val="18"/>
                <w:lang w:eastAsia="en-US"/>
              </w:rPr>
            </w:pPr>
          </w:p>
        </w:tc>
      </w:tr>
      <w:tr w:rsidR="007A7CE7" w:rsidTr="007A7CE7">
        <w:trPr>
          <w:trHeight w:val="492"/>
        </w:trPr>
        <w:tc>
          <w:tcPr>
            <w:tcW w:w="0" w:type="auto"/>
            <w:vMerge/>
            <w:tcBorders>
              <w:top w:val="single" w:sz="4" w:space="0" w:color="auto"/>
              <w:left w:val="single" w:sz="4" w:space="0" w:color="auto"/>
              <w:bottom w:val="single" w:sz="8" w:space="0" w:color="000000"/>
              <w:right w:val="single" w:sz="8" w:space="0" w:color="auto"/>
            </w:tcBorders>
            <w:vAlign w:val="center"/>
            <w:hideMark/>
          </w:tcPr>
          <w:p w:rsidR="007A7CE7" w:rsidRDefault="007A7CE7">
            <w:pPr>
              <w:rPr>
                <w:b/>
                <w:bCs/>
                <w:sz w:val="18"/>
                <w:szCs w:val="18"/>
                <w:lang w:eastAsia="en-US"/>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7A7CE7" w:rsidRDefault="007A7CE7">
            <w:pPr>
              <w:rPr>
                <w:sz w:val="18"/>
                <w:szCs w:val="18"/>
                <w:lang w:eastAsia="en-US"/>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7A7CE7" w:rsidRDefault="007A7CE7">
            <w:pPr>
              <w:rPr>
                <w:b/>
                <w:bCs/>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4" w:space="0" w:color="auto"/>
              <w:left w:val="single" w:sz="8" w:space="0" w:color="auto"/>
              <w:bottom w:val="single" w:sz="8" w:space="0" w:color="000000"/>
              <w:right w:val="single" w:sz="4" w:space="0" w:color="auto"/>
            </w:tcBorders>
            <w:vAlign w:val="center"/>
            <w:hideMark/>
          </w:tcPr>
          <w:p w:rsidR="007A7CE7" w:rsidRDefault="007A7CE7">
            <w:pPr>
              <w:rPr>
                <w:b/>
                <w:bCs/>
                <w:sz w:val="18"/>
                <w:szCs w:val="18"/>
                <w:lang w:eastAsia="en-US"/>
              </w:rPr>
            </w:pPr>
          </w:p>
        </w:tc>
      </w:tr>
      <w:tr w:rsidR="007A7CE7" w:rsidTr="007A7CE7">
        <w:trPr>
          <w:trHeight w:val="1836"/>
        </w:trPr>
        <w:tc>
          <w:tcPr>
            <w:tcW w:w="0" w:type="auto"/>
            <w:vMerge/>
            <w:tcBorders>
              <w:top w:val="single" w:sz="4" w:space="0" w:color="auto"/>
              <w:left w:val="single" w:sz="4" w:space="0" w:color="auto"/>
              <w:bottom w:val="single" w:sz="8" w:space="0" w:color="000000"/>
              <w:right w:val="single" w:sz="8" w:space="0" w:color="auto"/>
            </w:tcBorders>
            <w:vAlign w:val="center"/>
            <w:hideMark/>
          </w:tcPr>
          <w:p w:rsidR="007A7CE7" w:rsidRDefault="007A7CE7">
            <w:pPr>
              <w:rPr>
                <w:b/>
                <w:bCs/>
                <w:sz w:val="18"/>
                <w:szCs w:val="18"/>
                <w:lang w:eastAsia="en-US"/>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7A7CE7" w:rsidRDefault="007A7CE7">
            <w:pPr>
              <w:rPr>
                <w:sz w:val="18"/>
                <w:szCs w:val="18"/>
                <w:lang w:eastAsia="en-US"/>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7A7CE7" w:rsidRDefault="007A7CE7">
            <w:pPr>
              <w:rPr>
                <w:b/>
                <w:bCs/>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7A7CE7" w:rsidRDefault="007A7CE7">
            <w:pPr>
              <w:rPr>
                <w:sz w:val="18"/>
                <w:szCs w:val="18"/>
                <w:lang w:eastAsia="en-US"/>
              </w:rPr>
            </w:pPr>
          </w:p>
        </w:tc>
        <w:tc>
          <w:tcPr>
            <w:tcW w:w="0" w:type="auto"/>
            <w:gridSpan w:val="2"/>
            <w:vMerge/>
            <w:tcBorders>
              <w:top w:val="single" w:sz="4" w:space="0" w:color="auto"/>
              <w:left w:val="single" w:sz="8" w:space="0" w:color="auto"/>
              <w:bottom w:val="single" w:sz="8" w:space="0" w:color="000000"/>
              <w:right w:val="single" w:sz="4" w:space="0" w:color="auto"/>
            </w:tcBorders>
            <w:vAlign w:val="center"/>
            <w:hideMark/>
          </w:tcPr>
          <w:p w:rsidR="007A7CE7" w:rsidRDefault="007A7CE7">
            <w:pPr>
              <w:rPr>
                <w:b/>
                <w:bCs/>
                <w:sz w:val="18"/>
                <w:szCs w:val="18"/>
                <w:lang w:eastAsia="en-US"/>
              </w:rPr>
            </w:pPr>
          </w:p>
        </w:tc>
      </w:tr>
      <w:tr w:rsidR="007A7CE7" w:rsidTr="007A7CE7">
        <w:trPr>
          <w:cantSplit/>
          <w:trHeight w:val="981"/>
        </w:trPr>
        <w:tc>
          <w:tcPr>
            <w:tcW w:w="160" w:type="pct"/>
            <w:tcBorders>
              <w:top w:val="nil"/>
              <w:left w:val="single" w:sz="4" w:space="0" w:color="auto"/>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РП-Варна</w:t>
            </w:r>
          </w:p>
        </w:tc>
        <w:tc>
          <w:tcPr>
            <w:tcW w:w="190"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rPr>
                <w:rFonts w:asciiTheme="minorHAnsi" w:eastAsiaTheme="minorHAnsi" w:hAnsiTheme="minorHAnsi" w:cstheme="minorBidi"/>
                <w:sz w:val="22"/>
                <w:szCs w:val="22"/>
                <w:lang w:eastAsia="en-US"/>
              </w:rPr>
            </w:pPr>
          </w:p>
        </w:tc>
        <w:tc>
          <w:tcPr>
            <w:tcW w:w="192"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rPr>
                <w:rFonts w:asciiTheme="minorHAnsi" w:eastAsiaTheme="minorHAnsi" w:hAnsiTheme="minorHAnsi" w:cstheme="minorBidi"/>
                <w:sz w:val="22"/>
                <w:szCs w:val="22"/>
                <w:lang w:eastAsia="en-US"/>
              </w:rPr>
            </w:pPr>
          </w:p>
        </w:tc>
        <w:tc>
          <w:tcPr>
            <w:tcW w:w="191"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брой</w:t>
            </w:r>
          </w:p>
        </w:tc>
        <w:tc>
          <w:tcPr>
            <w:tcW w:w="255"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точки</w:t>
            </w:r>
          </w:p>
        </w:tc>
        <w:tc>
          <w:tcPr>
            <w:tcW w:w="191"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брой</w:t>
            </w:r>
          </w:p>
        </w:tc>
        <w:tc>
          <w:tcPr>
            <w:tcW w:w="256"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точки</w:t>
            </w:r>
          </w:p>
        </w:tc>
        <w:tc>
          <w:tcPr>
            <w:tcW w:w="191"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брой</w:t>
            </w:r>
          </w:p>
        </w:tc>
        <w:tc>
          <w:tcPr>
            <w:tcW w:w="191"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точки</w:t>
            </w:r>
          </w:p>
        </w:tc>
        <w:tc>
          <w:tcPr>
            <w:tcW w:w="129"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брой</w:t>
            </w:r>
          </w:p>
        </w:tc>
        <w:tc>
          <w:tcPr>
            <w:tcW w:w="127"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точки</w:t>
            </w:r>
          </w:p>
        </w:tc>
        <w:tc>
          <w:tcPr>
            <w:tcW w:w="191"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брой</w:t>
            </w:r>
          </w:p>
        </w:tc>
        <w:tc>
          <w:tcPr>
            <w:tcW w:w="191"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точки</w:t>
            </w:r>
          </w:p>
        </w:tc>
        <w:tc>
          <w:tcPr>
            <w:tcW w:w="191"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брой</w:t>
            </w:r>
          </w:p>
        </w:tc>
        <w:tc>
          <w:tcPr>
            <w:tcW w:w="191"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точки</w:t>
            </w:r>
          </w:p>
        </w:tc>
        <w:tc>
          <w:tcPr>
            <w:tcW w:w="127"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брой</w:t>
            </w:r>
          </w:p>
        </w:tc>
        <w:tc>
          <w:tcPr>
            <w:tcW w:w="127"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точки</w:t>
            </w:r>
          </w:p>
        </w:tc>
        <w:tc>
          <w:tcPr>
            <w:tcW w:w="191"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брой</w:t>
            </w:r>
          </w:p>
        </w:tc>
        <w:tc>
          <w:tcPr>
            <w:tcW w:w="255"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точки</w:t>
            </w:r>
          </w:p>
        </w:tc>
        <w:tc>
          <w:tcPr>
            <w:tcW w:w="191"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брой</w:t>
            </w:r>
          </w:p>
        </w:tc>
        <w:tc>
          <w:tcPr>
            <w:tcW w:w="191"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точки</w:t>
            </w:r>
          </w:p>
        </w:tc>
        <w:tc>
          <w:tcPr>
            <w:tcW w:w="255"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брой</w:t>
            </w:r>
          </w:p>
        </w:tc>
        <w:tc>
          <w:tcPr>
            <w:tcW w:w="255"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точки</w:t>
            </w:r>
          </w:p>
        </w:tc>
        <w:tc>
          <w:tcPr>
            <w:tcW w:w="255" w:type="pct"/>
            <w:tcBorders>
              <w:top w:val="nil"/>
              <w:left w:val="nil"/>
              <w:bottom w:val="single" w:sz="8" w:space="0" w:color="auto"/>
              <w:right w:val="single" w:sz="8"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брой</w:t>
            </w:r>
          </w:p>
        </w:tc>
        <w:tc>
          <w:tcPr>
            <w:tcW w:w="316" w:type="pct"/>
            <w:tcBorders>
              <w:top w:val="nil"/>
              <w:left w:val="nil"/>
              <w:bottom w:val="single" w:sz="8" w:space="0" w:color="auto"/>
              <w:right w:val="single" w:sz="4" w:space="0" w:color="auto"/>
            </w:tcBorders>
            <w:shd w:val="clear" w:color="auto" w:fill="E5B8B7" w:themeFill="accent2" w:themeFillTint="66"/>
            <w:textDirection w:val="btLr"/>
            <w:vAlign w:val="center"/>
            <w:hideMark/>
          </w:tcPr>
          <w:p w:rsidR="007A7CE7" w:rsidRDefault="007A7CE7">
            <w:pPr>
              <w:spacing w:line="276" w:lineRule="auto"/>
              <w:jc w:val="center"/>
              <w:rPr>
                <w:sz w:val="18"/>
                <w:szCs w:val="18"/>
                <w:lang w:eastAsia="en-US"/>
              </w:rPr>
            </w:pPr>
            <w:r>
              <w:rPr>
                <w:sz w:val="18"/>
                <w:szCs w:val="18"/>
                <w:lang w:eastAsia="en-US"/>
              </w:rPr>
              <w:t>точки</w:t>
            </w:r>
          </w:p>
        </w:tc>
      </w:tr>
      <w:tr w:rsidR="007A7CE7" w:rsidTr="007A7CE7">
        <w:trPr>
          <w:cantSplit/>
          <w:trHeight w:val="611"/>
        </w:trPr>
        <w:tc>
          <w:tcPr>
            <w:tcW w:w="160" w:type="pct"/>
            <w:tcBorders>
              <w:top w:val="nil"/>
              <w:left w:val="single" w:sz="4" w:space="0" w:color="auto"/>
              <w:bottom w:val="single" w:sz="8" w:space="0" w:color="auto"/>
              <w:right w:val="single" w:sz="8" w:space="0" w:color="auto"/>
            </w:tcBorders>
            <w:noWrap/>
            <w:textDirection w:val="btLr"/>
            <w:vAlign w:val="center"/>
            <w:hideMark/>
          </w:tcPr>
          <w:p w:rsidR="007A7CE7" w:rsidRDefault="007A7CE7">
            <w:pPr>
              <w:spacing w:line="276" w:lineRule="auto"/>
              <w:jc w:val="center"/>
              <w:rPr>
                <w:bCs/>
                <w:sz w:val="18"/>
                <w:szCs w:val="18"/>
                <w:lang w:eastAsia="en-US"/>
              </w:rPr>
            </w:pPr>
            <w:r>
              <w:rPr>
                <w:bCs/>
                <w:sz w:val="18"/>
                <w:szCs w:val="18"/>
                <w:lang w:eastAsia="en-US"/>
              </w:rPr>
              <w:t>2021</w:t>
            </w:r>
          </w:p>
        </w:tc>
        <w:tc>
          <w:tcPr>
            <w:tcW w:w="190"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944</w:t>
            </w:r>
          </w:p>
        </w:tc>
        <w:tc>
          <w:tcPr>
            <w:tcW w:w="192"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725</w:t>
            </w:r>
          </w:p>
        </w:tc>
        <w:tc>
          <w:tcPr>
            <w:tcW w:w="191"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19</w:t>
            </w:r>
          </w:p>
        </w:tc>
        <w:tc>
          <w:tcPr>
            <w:tcW w:w="255"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13,3</w:t>
            </w:r>
          </w:p>
        </w:tc>
        <w:tc>
          <w:tcPr>
            <w:tcW w:w="191"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16</w:t>
            </w:r>
          </w:p>
        </w:tc>
        <w:tc>
          <w:tcPr>
            <w:tcW w:w="256"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11,2</w:t>
            </w:r>
          </w:p>
        </w:tc>
        <w:tc>
          <w:tcPr>
            <w:tcW w:w="191"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12</w:t>
            </w:r>
          </w:p>
        </w:tc>
        <w:tc>
          <w:tcPr>
            <w:tcW w:w="191"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18</w:t>
            </w:r>
          </w:p>
        </w:tc>
        <w:tc>
          <w:tcPr>
            <w:tcW w:w="129"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0</w:t>
            </w:r>
          </w:p>
        </w:tc>
        <w:tc>
          <w:tcPr>
            <w:tcW w:w="127"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0</w:t>
            </w:r>
          </w:p>
        </w:tc>
        <w:tc>
          <w:tcPr>
            <w:tcW w:w="191"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7</w:t>
            </w:r>
          </w:p>
        </w:tc>
        <w:tc>
          <w:tcPr>
            <w:tcW w:w="191"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7</w:t>
            </w:r>
          </w:p>
        </w:tc>
        <w:tc>
          <w:tcPr>
            <w:tcW w:w="191"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253</w:t>
            </w:r>
          </w:p>
        </w:tc>
        <w:tc>
          <w:tcPr>
            <w:tcW w:w="191"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253</w:t>
            </w:r>
          </w:p>
        </w:tc>
        <w:tc>
          <w:tcPr>
            <w:tcW w:w="127"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1</w:t>
            </w:r>
          </w:p>
        </w:tc>
        <w:tc>
          <w:tcPr>
            <w:tcW w:w="127"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1</w:t>
            </w:r>
          </w:p>
        </w:tc>
        <w:tc>
          <w:tcPr>
            <w:tcW w:w="191"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740</w:t>
            </w:r>
          </w:p>
        </w:tc>
        <w:tc>
          <w:tcPr>
            <w:tcW w:w="255"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222</w:t>
            </w:r>
          </w:p>
        </w:tc>
        <w:tc>
          <w:tcPr>
            <w:tcW w:w="191"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4</w:t>
            </w:r>
          </w:p>
        </w:tc>
        <w:tc>
          <w:tcPr>
            <w:tcW w:w="191"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12</w:t>
            </w:r>
          </w:p>
        </w:tc>
        <w:tc>
          <w:tcPr>
            <w:tcW w:w="255"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91</w:t>
            </w:r>
          </w:p>
        </w:tc>
        <w:tc>
          <w:tcPr>
            <w:tcW w:w="255"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45,5</w:t>
            </w:r>
          </w:p>
        </w:tc>
        <w:tc>
          <w:tcPr>
            <w:tcW w:w="255" w:type="pct"/>
            <w:tcBorders>
              <w:top w:val="nil"/>
              <w:left w:val="nil"/>
              <w:bottom w:val="single" w:sz="8" w:space="0" w:color="auto"/>
              <w:right w:val="single" w:sz="8"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1143</w:t>
            </w:r>
          </w:p>
        </w:tc>
        <w:tc>
          <w:tcPr>
            <w:tcW w:w="316" w:type="pct"/>
            <w:tcBorders>
              <w:top w:val="nil"/>
              <w:left w:val="nil"/>
              <w:bottom w:val="single" w:sz="8" w:space="0" w:color="auto"/>
              <w:right w:val="single" w:sz="4" w:space="0" w:color="auto"/>
            </w:tcBorders>
            <w:noWrap/>
            <w:vAlign w:val="center"/>
            <w:hideMark/>
          </w:tcPr>
          <w:p w:rsidR="007A7CE7" w:rsidRDefault="007A7CE7">
            <w:pPr>
              <w:spacing w:line="276" w:lineRule="auto"/>
              <w:jc w:val="center"/>
              <w:rPr>
                <w:sz w:val="18"/>
                <w:szCs w:val="18"/>
                <w:lang w:eastAsia="en-US"/>
              </w:rPr>
            </w:pPr>
            <w:r>
              <w:rPr>
                <w:sz w:val="18"/>
                <w:szCs w:val="18"/>
                <w:lang w:eastAsia="en-US"/>
              </w:rPr>
              <w:t>583</w:t>
            </w:r>
          </w:p>
        </w:tc>
      </w:tr>
      <w:tr w:rsidR="007A7CE7" w:rsidTr="007A7CE7">
        <w:trPr>
          <w:cantSplit/>
          <w:trHeight w:val="611"/>
        </w:trPr>
        <w:tc>
          <w:tcPr>
            <w:tcW w:w="160" w:type="pct"/>
            <w:tcBorders>
              <w:top w:val="nil"/>
              <w:left w:val="single" w:sz="4" w:space="0" w:color="auto"/>
              <w:bottom w:val="single" w:sz="4" w:space="0" w:color="auto"/>
              <w:right w:val="single" w:sz="8" w:space="0" w:color="auto"/>
            </w:tcBorders>
            <w:noWrap/>
            <w:textDirection w:val="btLr"/>
            <w:vAlign w:val="center"/>
            <w:hideMark/>
          </w:tcPr>
          <w:p w:rsidR="007A7CE7" w:rsidRDefault="007A7CE7">
            <w:pPr>
              <w:spacing w:line="276" w:lineRule="auto"/>
              <w:jc w:val="center"/>
              <w:rPr>
                <w:bCs/>
                <w:sz w:val="18"/>
                <w:szCs w:val="18"/>
                <w:lang w:eastAsia="en-US"/>
              </w:rPr>
            </w:pPr>
            <w:bookmarkStart w:id="88" w:name="_Hlk156569841"/>
            <w:r>
              <w:rPr>
                <w:bCs/>
                <w:sz w:val="18"/>
                <w:szCs w:val="18"/>
                <w:lang w:eastAsia="en-US"/>
              </w:rPr>
              <w:t>2022</w:t>
            </w:r>
          </w:p>
        </w:tc>
        <w:tc>
          <w:tcPr>
            <w:tcW w:w="190"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956</w:t>
            </w:r>
          </w:p>
        </w:tc>
        <w:tc>
          <w:tcPr>
            <w:tcW w:w="192"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770</w:t>
            </w:r>
          </w:p>
        </w:tc>
        <w:tc>
          <w:tcPr>
            <w:tcW w:w="191"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23</w:t>
            </w:r>
          </w:p>
        </w:tc>
        <w:tc>
          <w:tcPr>
            <w:tcW w:w="255"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16,1</w:t>
            </w:r>
          </w:p>
        </w:tc>
        <w:tc>
          <w:tcPr>
            <w:tcW w:w="191"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9</w:t>
            </w:r>
          </w:p>
        </w:tc>
        <w:tc>
          <w:tcPr>
            <w:tcW w:w="256"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6,3</w:t>
            </w:r>
          </w:p>
        </w:tc>
        <w:tc>
          <w:tcPr>
            <w:tcW w:w="191"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16</w:t>
            </w:r>
          </w:p>
        </w:tc>
        <w:tc>
          <w:tcPr>
            <w:tcW w:w="191"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24</w:t>
            </w:r>
          </w:p>
        </w:tc>
        <w:tc>
          <w:tcPr>
            <w:tcW w:w="129"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2</w:t>
            </w:r>
          </w:p>
        </w:tc>
        <w:tc>
          <w:tcPr>
            <w:tcW w:w="127"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4</w:t>
            </w:r>
          </w:p>
        </w:tc>
        <w:tc>
          <w:tcPr>
            <w:tcW w:w="191"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19</w:t>
            </w:r>
          </w:p>
        </w:tc>
        <w:tc>
          <w:tcPr>
            <w:tcW w:w="191"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19</w:t>
            </w:r>
          </w:p>
        </w:tc>
        <w:tc>
          <w:tcPr>
            <w:tcW w:w="191"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261</w:t>
            </w:r>
          </w:p>
        </w:tc>
        <w:tc>
          <w:tcPr>
            <w:tcW w:w="191"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261</w:t>
            </w:r>
          </w:p>
        </w:tc>
        <w:tc>
          <w:tcPr>
            <w:tcW w:w="127"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2</w:t>
            </w:r>
          </w:p>
        </w:tc>
        <w:tc>
          <w:tcPr>
            <w:tcW w:w="127"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2</w:t>
            </w:r>
          </w:p>
        </w:tc>
        <w:tc>
          <w:tcPr>
            <w:tcW w:w="191"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699</w:t>
            </w:r>
          </w:p>
        </w:tc>
        <w:tc>
          <w:tcPr>
            <w:tcW w:w="255"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209,7</w:t>
            </w:r>
          </w:p>
        </w:tc>
        <w:tc>
          <w:tcPr>
            <w:tcW w:w="191"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9</w:t>
            </w:r>
          </w:p>
        </w:tc>
        <w:tc>
          <w:tcPr>
            <w:tcW w:w="191"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27</w:t>
            </w:r>
          </w:p>
        </w:tc>
        <w:tc>
          <w:tcPr>
            <w:tcW w:w="255"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2430</w:t>
            </w:r>
          </w:p>
        </w:tc>
        <w:tc>
          <w:tcPr>
            <w:tcW w:w="255"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1215</w:t>
            </w:r>
          </w:p>
        </w:tc>
        <w:tc>
          <w:tcPr>
            <w:tcW w:w="255" w:type="pct"/>
            <w:tcBorders>
              <w:top w:val="nil"/>
              <w:left w:val="nil"/>
              <w:bottom w:val="single" w:sz="4" w:space="0" w:color="auto"/>
              <w:right w:val="single" w:sz="8"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3470</w:t>
            </w:r>
          </w:p>
        </w:tc>
        <w:tc>
          <w:tcPr>
            <w:tcW w:w="316" w:type="pct"/>
            <w:tcBorders>
              <w:top w:val="nil"/>
              <w:left w:val="nil"/>
              <w:bottom w:val="single" w:sz="4" w:space="0" w:color="auto"/>
              <w:right w:val="single" w:sz="4" w:space="0" w:color="auto"/>
            </w:tcBorders>
            <w:noWrap/>
            <w:vAlign w:val="center"/>
            <w:hideMark/>
          </w:tcPr>
          <w:p w:rsidR="007A7CE7" w:rsidRDefault="007A7CE7">
            <w:pPr>
              <w:spacing w:line="276" w:lineRule="auto"/>
              <w:jc w:val="center"/>
              <w:rPr>
                <w:rFonts w:eastAsia="Calibri"/>
                <w:sz w:val="18"/>
                <w:szCs w:val="18"/>
                <w:lang w:eastAsia="en-US"/>
              </w:rPr>
            </w:pPr>
            <w:r>
              <w:rPr>
                <w:rFonts w:eastAsia="Calibri"/>
                <w:sz w:val="18"/>
                <w:szCs w:val="18"/>
                <w:lang w:eastAsia="en-US"/>
              </w:rPr>
              <w:t>1784,1</w:t>
            </w:r>
          </w:p>
        </w:tc>
      </w:tr>
      <w:bookmarkEnd w:id="88"/>
      <w:tr w:rsidR="007A7CE7" w:rsidTr="007A7CE7">
        <w:trPr>
          <w:cantSplit/>
          <w:trHeight w:val="611"/>
        </w:trPr>
        <w:tc>
          <w:tcPr>
            <w:tcW w:w="160" w:type="pct"/>
            <w:tcBorders>
              <w:top w:val="single" w:sz="4" w:space="0" w:color="auto"/>
              <w:left w:val="single" w:sz="4" w:space="0" w:color="auto"/>
              <w:bottom w:val="single" w:sz="4" w:space="0" w:color="auto"/>
              <w:right w:val="single" w:sz="4" w:space="0" w:color="auto"/>
            </w:tcBorders>
            <w:noWrap/>
            <w:textDirection w:val="btLr"/>
            <w:vAlign w:val="center"/>
            <w:hideMark/>
          </w:tcPr>
          <w:p w:rsidR="007A7CE7" w:rsidRDefault="007A7CE7">
            <w:pPr>
              <w:spacing w:line="276" w:lineRule="auto"/>
              <w:jc w:val="center"/>
              <w:rPr>
                <w:b/>
                <w:bCs/>
                <w:sz w:val="18"/>
                <w:szCs w:val="18"/>
                <w:lang w:eastAsia="en-US"/>
              </w:rPr>
            </w:pPr>
            <w:r>
              <w:rPr>
                <w:b/>
                <w:bCs/>
                <w:sz w:val="18"/>
                <w:szCs w:val="18"/>
                <w:lang w:eastAsia="en-US"/>
              </w:rPr>
              <w:t>2023</w:t>
            </w:r>
          </w:p>
        </w:tc>
        <w:tc>
          <w:tcPr>
            <w:tcW w:w="190"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992</w:t>
            </w:r>
          </w:p>
        </w:tc>
        <w:tc>
          <w:tcPr>
            <w:tcW w:w="192"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800</w:t>
            </w:r>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14</w:t>
            </w:r>
          </w:p>
        </w:tc>
        <w:tc>
          <w:tcPr>
            <w:tcW w:w="255"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9,8</w:t>
            </w:r>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11</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7,</w:t>
            </w:r>
            <w:proofErr w:type="spellStart"/>
            <w:r>
              <w:rPr>
                <w:rFonts w:eastAsia="Calibri"/>
                <w:b/>
                <w:sz w:val="18"/>
                <w:szCs w:val="18"/>
                <w:lang w:eastAsia="en-US"/>
              </w:rPr>
              <w:t>7</w:t>
            </w:r>
            <w:proofErr w:type="spellEnd"/>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10</w:t>
            </w:r>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15</w:t>
            </w:r>
          </w:p>
        </w:tc>
        <w:tc>
          <w:tcPr>
            <w:tcW w:w="129"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7</w:t>
            </w:r>
          </w:p>
        </w:tc>
        <w:tc>
          <w:tcPr>
            <w:tcW w:w="127"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14</w:t>
            </w:r>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23</w:t>
            </w:r>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23</w:t>
            </w:r>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300</w:t>
            </w:r>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300</w:t>
            </w:r>
          </w:p>
        </w:tc>
        <w:tc>
          <w:tcPr>
            <w:tcW w:w="127"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2</w:t>
            </w:r>
          </w:p>
        </w:tc>
        <w:tc>
          <w:tcPr>
            <w:tcW w:w="127"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2</w:t>
            </w:r>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839</w:t>
            </w:r>
          </w:p>
        </w:tc>
        <w:tc>
          <w:tcPr>
            <w:tcW w:w="255"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251,7</w:t>
            </w:r>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14</w:t>
            </w:r>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12</w:t>
            </w:r>
          </w:p>
        </w:tc>
        <w:tc>
          <w:tcPr>
            <w:tcW w:w="255"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3448</w:t>
            </w:r>
          </w:p>
        </w:tc>
        <w:tc>
          <w:tcPr>
            <w:tcW w:w="255"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1724</w:t>
            </w:r>
          </w:p>
        </w:tc>
        <w:tc>
          <w:tcPr>
            <w:tcW w:w="255"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4668</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7A7CE7" w:rsidRDefault="007A7CE7">
            <w:pPr>
              <w:spacing w:line="276" w:lineRule="auto"/>
              <w:jc w:val="center"/>
              <w:rPr>
                <w:rFonts w:eastAsia="Calibri"/>
                <w:b/>
                <w:sz w:val="18"/>
                <w:szCs w:val="18"/>
                <w:lang w:eastAsia="en-US"/>
              </w:rPr>
            </w:pPr>
            <w:r>
              <w:rPr>
                <w:rFonts w:eastAsia="Calibri"/>
                <w:b/>
                <w:sz w:val="18"/>
                <w:szCs w:val="18"/>
                <w:lang w:eastAsia="en-US"/>
              </w:rPr>
              <w:t>2389,2</w:t>
            </w:r>
          </w:p>
        </w:tc>
      </w:tr>
    </w:tbl>
    <w:p w:rsidR="007A7CE7" w:rsidRDefault="007A7CE7" w:rsidP="007A7CE7">
      <w:pPr>
        <w:ind w:firstLine="851"/>
        <w:jc w:val="both"/>
        <w:rPr>
          <w:b/>
          <w:sz w:val="28"/>
          <w:szCs w:val="28"/>
          <w:u w:val="single"/>
          <w:lang w:val="en-US" w:eastAsia="en-US"/>
        </w:rPr>
      </w:pPr>
    </w:p>
    <w:p w:rsidR="007A7CE7" w:rsidRDefault="007A7CE7" w:rsidP="007A7CE7">
      <w:pPr>
        <w:ind w:firstLine="851"/>
        <w:jc w:val="both"/>
        <w:rPr>
          <w:b/>
          <w:sz w:val="28"/>
          <w:szCs w:val="28"/>
          <w:u w:val="single"/>
          <w:lang w:val="en-US" w:eastAsia="en-US"/>
        </w:rPr>
      </w:pPr>
    </w:p>
    <w:p w:rsidR="007A7CE7" w:rsidRDefault="007A7CE7" w:rsidP="007A7CE7">
      <w:pPr>
        <w:ind w:firstLine="851"/>
        <w:jc w:val="both"/>
        <w:rPr>
          <w:b/>
          <w:sz w:val="28"/>
          <w:szCs w:val="28"/>
          <w:u w:val="single"/>
          <w:lang w:val="en-US" w:eastAsia="en-US"/>
        </w:rPr>
      </w:pPr>
    </w:p>
    <w:p w:rsidR="007A7CE7" w:rsidRDefault="007A7CE7" w:rsidP="007A7CE7">
      <w:pPr>
        <w:ind w:firstLine="851"/>
        <w:jc w:val="both"/>
        <w:rPr>
          <w:b/>
          <w:sz w:val="28"/>
          <w:szCs w:val="28"/>
          <w:u w:val="single"/>
          <w:lang w:val="en-US" w:eastAsia="en-US"/>
        </w:rPr>
      </w:pPr>
    </w:p>
    <w:p w:rsidR="007A7CE7" w:rsidRDefault="007A7CE7" w:rsidP="007A7CE7">
      <w:pPr>
        <w:ind w:firstLine="851"/>
        <w:jc w:val="both"/>
        <w:rPr>
          <w:b/>
          <w:sz w:val="28"/>
          <w:szCs w:val="28"/>
          <w:u w:val="single"/>
          <w:lang w:val="en-US" w:eastAsia="en-US"/>
        </w:rPr>
      </w:pPr>
    </w:p>
    <w:p w:rsidR="007A7CE7" w:rsidRDefault="007A7CE7" w:rsidP="007A7CE7">
      <w:pPr>
        <w:ind w:firstLine="851"/>
        <w:jc w:val="both"/>
        <w:rPr>
          <w:b/>
          <w:sz w:val="28"/>
          <w:szCs w:val="28"/>
          <w:u w:val="single"/>
          <w:lang w:val="en-US" w:eastAsia="en-US"/>
        </w:rPr>
      </w:pPr>
    </w:p>
    <w:p w:rsidR="00E51B93" w:rsidRPr="00E51B93" w:rsidRDefault="00E51B93" w:rsidP="0076381C">
      <w:pPr>
        <w:pStyle w:val="15"/>
        <w:keepNext/>
        <w:keepLines/>
        <w:spacing w:after="0" w:line="240" w:lineRule="auto"/>
        <w:ind w:firstLine="709"/>
        <w:contextualSpacing/>
        <w:rPr>
          <w:rStyle w:val="afb"/>
          <w:b/>
          <w:i w:val="0"/>
          <w:color w:val="5F497A" w:themeColor="accent4" w:themeShade="BF"/>
          <w:sz w:val="28"/>
          <w:szCs w:val="28"/>
          <w:lang w:val="en-US"/>
        </w:rPr>
      </w:pPr>
      <w:bookmarkStart w:id="89" w:name="bookmark2"/>
      <w:r w:rsidRPr="00E51B93">
        <w:rPr>
          <w:rStyle w:val="afb"/>
          <w:b/>
          <w:i w:val="0"/>
          <w:color w:val="5F497A" w:themeColor="accent4" w:themeShade="BF"/>
          <w:sz w:val="28"/>
          <w:szCs w:val="28"/>
        </w:rPr>
        <w:lastRenderedPageBreak/>
        <w:t>РАЗДЕЛ IV</w:t>
      </w:r>
      <w:bookmarkEnd w:id="89"/>
    </w:p>
    <w:p w:rsidR="00E51B93" w:rsidRPr="00E51B93" w:rsidRDefault="00E51B93" w:rsidP="0076381C">
      <w:pPr>
        <w:pStyle w:val="15"/>
        <w:keepNext/>
        <w:keepLines/>
        <w:spacing w:after="0" w:line="240" w:lineRule="auto"/>
        <w:ind w:firstLine="709"/>
        <w:contextualSpacing/>
        <w:rPr>
          <w:rStyle w:val="afb"/>
          <w:i w:val="0"/>
          <w:color w:val="5F497A" w:themeColor="accent4" w:themeShade="BF"/>
          <w:sz w:val="28"/>
          <w:szCs w:val="28"/>
          <w:lang w:val="en-US"/>
        </w:rPr>
      </w:pPr>
    </w:p>
    <w:p w:rsidR="00E51B93" w:rsidRPr="00E51B93" w:rsidRDefault="00E51B93" w:rsidP="0076381C">
      <w:pPr>
        <w:pStyle w:val="13"/>
        <w:spacing w:after="0" w:line="240" w:lineRule="auto"/>
        <w:ind w:firstLine="709"/>
        <w:contextualSpacing/>
        <w:jc w:val="center"/>
        <w:rPr>
          <w:rStyle w:val="afb"/>
          <w:b w:val="0"/>
          <w:i w:val="0"/>
          <w:color w:val="5F497A" w:themeColor="accent4" w:themeShade="BF"/>
          <w:sz w:val="28"/>
          <w:szCs w:val="28"/>
        </w:rPr>
      </w:pPr>
      <w:r w:rsidRPr="00E51B93">
        <w:rPr>
          <w:rStyle w:val="afb"/>
          <w:b w:val="0"/>
          <w:i w:val="0"/>
          <w:color w:val="5F497A" w:themeColor="accent4" w:themeShade="BF"/>
          <w:sz w:val="28"/>
          <w:szCs w:val="28"/>
        </w:rPr>
        <w:t>ДЕЙНОСТ НА ТЕРИТОРИАЛНИТЕ ПРОКУРАТУРИ И</w:t>
      </w:r>
      <w:r w:rsidRPr="00E51B93">
        <w:rPr>
          <w:bCs/>
          <w:iCs/>
          <w:color w:val="5F497A" w:themeColor="accent4" w:themeShade="BF"/>
          <w:sz w:val="28"/>
          <w:szCs w:val="28"/>
        </w:rPr>
        <w:br/>
      </w:r>
      <w:r w:rsidRPr="00E51B93">
        <w:rPr>
          <w:rStyle w:val="afb"/>
          <w:b w:val="0"/>
          <w:i w:val="0"/>
          <w:color w:val="5F497A" w:themeColor="accent4" w:themeShade="BF"/>
          <w:sz w:val="28"/>
          <w:szCs w:val="28"/>
        </w:rPr>
        <w:t>НА ВЪРХОВНАТА АДМИНИСТРАТИВНА ПРОКУРАТУРА</w:t>
      </w:r>
      <w:r w:rsidRPr="00E51B93">
        <w:rPr>
          <w:bCs/>
          <w:iCs/>
          <w:color w:val="5F497A" w:themeColor="accent4" w:themeShade="BF"/>
          <w:sz w:val="28"/>
          <w:szCs w:val="28"/>
        </w:rPr>
        <w:br/>
      </w:r>
      <w:r w:rsidRPr="00E51B93">
        <w:rPr>
          <w:rStyle w:val="afb"/>
          <w:b w:val="0"/>
          <w:i w:val="0"/>
          <w:color w:val="5F497A" w:themeColor="accent4" w:themeShade="BF"/>
          <w:sz w:val="28"/>
          <w:szCs w:val="28"/>
        </w:rPr>
        <w:t>ПО АДМИНИСТРАТИВНОС</w:t>
      </w:r>
      <w:r w:rsidR="00AD6B89">
        <w:rPr>
          <w:rStyle w:val="afb"/>
          <w:b w:val="0"/>
          <w:i w:val="0"/>
          <w:color w:val="5F497A" w:themeColor="accent4" w:themeShade="BF"/>
          <w:sz w:val="28"/>
          <w:szCs w:val="28"/>
        </w:rPr>
        <w:t>Ъ</w:t>
      </w:r>
      <w:r w:rsidRPr="00E51B93">
        <w:rPr>
          <w:rStyle w:val="afb"/>
          <w:b w:val="0"/>
          <w:i w:val="0"/>
          <w:color w:val="5F497A" w:themeColor="accent4" w:themeShade="BF"/>
          <w:sz w:val="28"/>
          <w:szCs w:val="28"/>
        </w:rPr>
        <w:t>ДЕБНИЯ НАДЗОР И НАДЗОРА ЗА ЗАКОННОСТ</w:t>
      </w:r>
    </w:p>
    <w:p w:rsidR="00E51B93" w:rsidRPr="00E51B93" w:rsidRDefault="00E51B93" w:rsidP="0076381C">
      <w:pPr>
        <w:pStyle w:val="13"/>
        <w:spacing w:after="0" w:line="240" w:lineRule="auto"/>
        <w:ind w:firstLine="709"/>
        <w:contextualSpacing/>
        <w:jc w:val="center"/>
        <w:rPr>
          <w:rStyle w:val="afb"/>
          <w:b w:val="0"/>
          <w:i w:val="0"/>
          <w:color w:val="5F497A" w:themeColor="accent4" w:themeShade="BF"/>
          <w:sz w:val="28"/>
          <w:szCs w:val="28"/>
        </w:rPr>
      </w:pPr>
    </w:p>
    <w:p w:rsidR="00E51B93" w:rsidRPr="00E51B93" w:rsidRDefault="00E51B93" w:rsidP="000059A2">
      <w:pPr>
        <w:pStyle w:val="13"/>
        <w:numPr>
          <w:ilvl w:val="0"/>
          <w:numId w:val="8"/>
        </w:numPr>
        <w:tabs>
          <w:tab w:val="left" w:pos="856"/>
        </w:tabs>
        <w:spacing w:after="0" w:line="240" w:lineRule="auto"/>
        <w:contextualSpacing/>
        <w:jc w:val="both"/>
        <w:rPr>
          <w:rStyle w:val="afb"/>
          <w:b w:val="0"/>
          <w:i w:val="0"/>
          <w:color w:val="5F497A" w:themeColor="accent4" w:themeShade="BF"/>
          <w:sz w:val="28"/>
          <w:szCs w:val="28"/>
        </w:rPr>
      </w:pPr>
      <w:r w:rsidRPr="00E51B93">
        <w:rPr>
          <w:rStyle w:val="afb"/>
          <w:b w:val="0"/>
          <w:i w:val="0"/>
          <w:color w:val="5F497A" w:themeColor="accent4" w:themeShade="BF"/>
          <w:sz w:val="28"/>
          <w:szCs w:val="28"/>
        </w:rPr>
        <w:t>ДЕЙНОСТ НА ТЕРИТОРИАЛНИТЕ ПРОКУРАТУРИ.</w:t>
      </w:r>
    </w:p>
    <w:p w:rsidR="00FD1270" w:rsidRDefault="00FD1270" w:rsidP="00FD1270">
      <w:pPr>
        <w:pStyle w:val="a3"/>
        <w:ind w:left="0" w:firstLine="709"/>
        <w:jc w:val="both"/>
        <w:rPr>
          <w:b/>
          <w:bCs/>
          <w:sz w:val="28"/>
          <w:szCs w:val="28"/>
        </w:rPr>
      </w:pPr>
      <w:r>
        <w:rPr>
          <w:b/>
          <w:bCs/>
          <w:sz w:val="28"/>
          <w:szCs w:val="28"/>
        </w:rPr>
        <w:t>1. Състояние  и организация на дейността по надзори – АСН и НАДЗОР ЗА ЗАКОННОСТ в ОП - Варна</w:t>
      </w:r>
    </w:p>
    <w:p w:rsidR="00FD1270" w:rsidRDefault="00FD1270" w:rsidP="00FD1270">
      <w:pPr>
        <w:pStyle w:val="a3"/>
        <w:ind w:left="0" w:firstLine="709"/>
        <w:jc w:val="both"/>
        <w:rPr>
          <w:rStyle w:val="FontStyle227"/>
          <w:sz w:val="28"/>
          <w:szCs w:val="28"/>
        </w:rPr>
      </w:pPr>
      <w:r>
        <w:rPr>
          <w:rStyle w:val="FontStyle227"/>
          <w:sz w:val="28"/>
          <w:szCs w:val="28"/>
        </w:rPr>
        <w:t>През 20</w:t>
      </w:r>
      <w:r>
        <w:rPr>
          <w:rStyle w:val="FontStyle227"/>
          <w:sz w:val="28"/>
          <w:szCs w:val="28"/>
          <w:lang w:val="en-US"/>
        </w:rPr>
        <w:t>2</w:t>
      </w:r>
      <w:r>
        <w:rPr>
          <w:rStyle w:val="FontStyle227"/>
          <w:sz w:val="28"/>
          <w:szCs w:val="28"/>
        </w:rPr>
        <w:t xml:space="preserve">3г. дейността на ОП – Варна  и РП - Варна се реализира, съгласно основните нормативни разпоредби, възлагащи функции на прокуратурата в </w:t>
      </w:r>
      <w:proofErr w:type="spellStart"/>
      <w:r>
        <w:rPr>
          <w:rStyle w:val="FontStyle227"/>
          <w:sz w:val="28"/>
          <w:szCs w:val="28"/>
        </w:rPr>
        <w:t>административноправната</w:t>
      </w:r>
      <w:proofErr w:type="spellEnd"/>
      <w:r>
        <w:rPr>
          <w:rStyle w:val="FontStyle227"/>
          <w:sz w:val="28"/>
          <w:szCs w:val="28"/>
        </w:rPr>
        <w:t xml:space="preserve"> област, в съответствие с правомощията на прокуратурата по други закони, подзаконовите нормативни актове, задължителните разпореждания на </w:t>
      </w:r>
      <w:proofErr w:type="spellStart"/>
      <w:r>
        <w:rPr>
          <w:rStyle w:val="FontStyle227"/>
          <w:sz w:val="28"/>
          <w:szCs w:val="28"/>
        </w:rPr>
        <w:t>горестоящите</w:t>
      </w:r>
      <w:proofErr w:type="spellEnd"/>
      <w:r>
        <w:rPr>
          <w:rStyle w:val="FontStyle227"/>
          <w:sz w:val="28"/>
          <w:szCs w:val="28"/>
        </w:rPr>
        <w:t xml:space="preserve"> прокуратури и Главния прокурор на РБ.</w:t>
      </w:r>
    </w:p>
    <w:p w:rsidR="00FD1270" w:rsidRDefault="00FD1270" w:rsidP="00FD1270">
      <w:pPr>
        <w:ind w:firstLine="709"/>
        <w:jc w:val="both"/>
        <w:rPr>
          <w:rFonts w:ascii="Calibri" w:hAnsi="Calibri" w:cs="Calibri"/>
          <w:sz w:val="22"/>
          <w:szCs w:val="22"/>
        </w:rPr>
      </w:pPr>
      <w:r>
        <w:rPr>
          <w:b/>
          <w:sz w:val="28"/>
          <w:szCs w:val="28"/>
        </w:rPr>
        <w:t>Кадрово обезпечаване, квалификация, натовареност.</w:t>
      </w:r>
      <w:r>
        <w:rPr>
          <w:sz w:val="28"/>
          <w:szCs w:val="28"/>
        </w:rPr>
        <w:t xml:space="preserve"> През отчетния период 2023г. в АСН и НЗ по щат в ОП – Варна са били 7 прокурори, </w:t>
      </w:r>
      <w:r>
        <w:rPr>
          <w:b/>
          <w:sz w:val="28"/>
          <w:szCs w:val="28"/>
        </w:rPr>
        <w:t>реално работили са 6</w:t>
      </w:r>
      <w:r>
        <w:rPr>
          <w:sz w:val="28"/>
          <w:szCs w:val="28"/>
        </w:rPr>
        <w:t xml:space="preserve">. </w:t>
      </w:r>
    </w:p>
    <w:p w:rsidR="00FD1270" w:rsidRDefault="00FD1270" w:rsidP="00FD1270">
      <w:pPr>
        <w:ind w:firstLine="709"/>
        <w:jc w:val="both"/>
        <w:rPr>
          <w:sz w:val="28"/>
          <w:szCs w:val="28"/>
        </w:rPr>
      </w:pPr>
      <w:r>
        <w:rPr>
          <w:sz w:val="28"/>
          <w:szCs w:val="28"/>
        </w:rPr>
        <w:t>С</w:t>
      </w:r>
      <w:r>
        <w:rPr>
          <w:b/>
          <w:bCs/>
          <w:sz w:val="28"/>
          <w:szCs w:val="28"/>
        </w:rPr>
        <w:t>редната натовареност на прокурор</w:t>
      </w:r>
      <w:r>
        <w:rPr>
          <w:sz w:val="28"/>
          <w:szCs w:val="28"/>
        </w:rPr>
        <w:t xml:space="preserve"> за отчетния период 2023г. в надзора за законност е както следва:</w:t>
      </w:r>
    </w:p>
    <w:p w:rsidR="00FD1270" w:rsidRDefault="00FD1270" w:rsidP="00FD1270">
      <w:pPr>
        <w:ind w:firstLine="709"/>
        <w:jc w:val="both"/>
        <w:rPr>
          <w:sz w:val="28"/>
          <w:szCs w:val="28"/>
        </w:rPr>
      </w:pPr>
      <w:r>
        <w:rPr>
          <w:b/>
          <w:bCs/>
          <w:sz w:val="28"/>
          <w:szCs w:val="28"/>
        </w:rPr>
        <w:t>ОП – Варна – 11,8 при 17,7 за 2022г и</w:t>
      </w:r>
      <w:r>
        <w:rPr>
          <w:b/>
          <w:bCs/>
          <w:sz w:val="28"/>
          <w:szCs w:val="28"/>
          <w:lang w:val="en-US"/>
        </w:rPr>
        <w:t xml:space="preserve"> </w:t>
      </w:r>
      <w:r>
        <w:rPr>
          <w:b/>
          <w:bCs/>
          <w:sz w:val="28"/>
          <w:szCs w:val="28"/>
        </w:rPr>
        <w:t>1</w:t>
      </w:r>
      <w:r>
        <w:rPr>
          <w:bCs/>
          <w:sz w:val="28"/>
          <w:szCs w:val="28"/>
        </w:rPr>
        <w:t>7</w:t>
      </w:r>
      <w:r>
        <w:rPr>
          <w:bCs/>
          <w:sz w:val="28"/>
          <w:szCs w:val="28"/>
          <w:lang w:val="en-US"/>
        </w:rPr>
        <w:t xml:space="preserve"> </w:t>
      </w:r>
      <w:r>
        <w:rPr>
          <w:b/>
          <w:bCs/>
          <w:sz w:val="28"/>
          <w:szCs w:val="28"/>
        </w:rPr>
        <w:t xml:space="preserve">за 2021г. По този показател </w:t>
      </w:r>
      <w:r>
        <w:rPr>
          <w:bCs/>
          <w:sz w:val="28"/>
          <w:szCs w:val="28"/>
        </w:rPr>
        <w:t>се констатира</w:t>
      </w:r>
      <w:r>
        <w:rPr>
          <w:b/>
          <w:bCs/>
          <w:sz w:val="28"/>
          <w:szCs w:val="28"/>
        </w:rPr>
        <w:t xml:space="preserve"> намаление</w:t>
      </w:r>
      <w:r>
        <w:rPr>
          <w:bCs/>
          <w:sz w:val="28"/>
          <w:szCs w:val="28"/>
        </w:rPr>
        <w:t xml:space="preserve"> </w:t>
      </w:r>
      <w:r>
        <w:rPr>
          <w:b/>
          <w:bCs/>
          <w:sz w:val="28"/>
          <w:szCs w:val="28"/>
        </w:rPr>
        <w:t>с 33, 33</w:t>
      </w:r>
      <w:r w:rsidR="00704100">
        <w:rPr>
          <w:b/>
          <w:bCs/>
          <w:sz w:val="28"/>
          <w:szCs w:val="28"/>
        </w:rPr>
        <w:t>%</w:t>
      </w:r>
      <w:r>
        <w:rPr>
          <w:b/>
          <w:bCs/>
          <w:sz w:val="28"/>
          <w:szCs w:val="28"/>
        </w:rPr>
        <w:t xml:space="preserve"> спрямо 2022г</w:t>
      </w:r>
      <w:r>
        <w:rPr>
          <w:sz w:val="28"/>
          <w:szCs w:val="28"/>
        </w:rPr>
        <w:t xml:space="preserve">. и намаление с 30,59% спрямо 2021г. </w:t>
      </w:r>
      <w:r>
        <w:rPr>
          <w:bCs/>
          <w:sz w:val="28"/>
          <w:szCs w:val="28"/>
        </w:rPr>
        <w:t xml:space="preserve"> </w:t>
      </w:r>
    </w:p>
    <w:p w:rsidR="00FD1270" w:rsidRDefault="00FD1270" w:rsidP="00FD1270">
      <w:pPr>
        <w:ind w:firstLine="709"/>
        <w:jc w:val="both"/>
        <w:rPr>
          <w:b/>
          <w:bCs/>
          <w:sz w:val="28"/>
          <w:szCs w:val="28"/>
        </w:rPr>
      </w:pPr>
      <w:r>
        <w:rPr>
          <w:b/>
          <w:bCs/>
          <w:sz w:val="28"/>
          <w:szCs w:val="28"/>
        </w:rPr>
        <w:t xml:space="preserve">2. Дейност  по административно съдебния надзор </w:t>
      </w:r>
    </w:p>
    <w:p w:rsidR="00FD1270" w:rsidRDefault="00FD1270" w:rsidP="00FD1270">
      <w:pPr>
        <w:ind w:firstLine="709"/>
        <w:jc w:val="both"/>
        <w:rPr>
          <w:sz w:val="28"/>
          <w:szCs w:val="28"/>
        </w:rPr>
      </w:pPr>
      <w:r>
        <w:rPr>
          <w:sz w:val="28"/>
          <w:szCs w:val="28"/>
        </w:rPr>
        <w:t xml:space="preserve">През 2023г. прокурорите в ОП – Варна са участвали </w:t>
      </w:r>
      <w:r>
        <w:rPr>
          <w:b/>
          <w:sz w:val="28"/>
          <w:szCs w:val="28"/>
        </w:rPr>
        <w:t>в 1161</w:t>
      </w:r>
      <w:r>
        <w:rPr>
          <w:b/>
          <w:bCs/>
          <w:sz w:val="28"/>
          <w:szCs w:val="28"/>
        </w:rPr>
        <w:t xml:space="preserve"> съдебни заседания</w:t>
      </w:r>
      <w:r>
        <w:rPr>
          <w:sz w:val="28"/>
          <w:szCs w:val="28"/>
        </w:rPr>
        <w:t xml:space="preserve"> по общо образувани </w:t>
      </w:r>
      <w:r>
        <w:rPr>
          <w:b/>
          <w:sz w:val="28"/>
          <w:szCs w:val="28"/>
        </w:rPr>
        <w:t>1023</w:t>
      </w:r>
      <w:r>
        <w:rPr>
          <w:b/>
          <w:bCs/>
          <w:sz w:val="28"/>
          <w:szCs w:val="28"/>
        </w:rPr>
        <w:t xml:space="preserve"> административни дела</w:t>
      </w:r>
      <w:r>
        <w:rPr>
          <w:sz w:val="28"/>
          <w:szCs w:val="28"/>
        </w:rPr>
        <w:t xml:space="preserve">. От тях решени са </w:t>
      </w:r>
      <w:r>
        <w:rPr>
          <w:b/>
          <w:sz w:val="28"/>
          <w:szCs w:val="28"/>
        </w:rPr>
        <w:t xml:space="preserve">943 </w:t>
      </w:r>
      <w:r>
        <w:rPr>
          <w:sz w:val="28"/>
          <w:szCs w:val="28"/>
        </w:rPr>
        <w:t>административни дела.</w:t>
      </w:r>
    </w:p>
    <w:p w:rsidR="00FD1270" w:rsidRDefault="00FD1270" w:rsidP="00FD1270">
      <w:pPr>
        <w:ind w:firstLine="709"/>
        <w:jc w:val="both"/>
        <w:rPr>
          <w:b/>
          <w:bCs/>
          <w:sz w:val="28"/>
          <w:szCs w:val="28"/>
        </w:rPr>
      </w:pPr>
      <w:r>
        <w:rPr>
          <w:sz w:val="28"/>
          <w:szCs w:val="28"/>
        </w:rPr>
        <w:t xml:space="preserve">Горните показатели сочат на незначително намаление на съдебните заседания спрямо </w:t>
      </w:r>
      <w:r>
        <w:rPr>
          <w:b/>
          <w:sz w:val="28"/>
          <w:szCs w:val="28"/>
        </w:rPr>
        <w:t>2022г с 1,94%</w:t>
      </w:r>
      <w:r>
        <w:rPr>
          <w:sz w:val="28"/>
          <w:szCs w:val="28"/>
        </w:rPr>
        <w:t xml:space="preserve"> и </w:t>
      </w:r>
      <w:r>
        <w:rPr>
          <w:b/>
          <w:sz w:val="28"/>
          <w:szCs w:val="28"/>
        </w:rPr>
        <w:t>намаление</w:t>
      </w:r>
      <w:r>
        <w:rPr>
          <w:sz w:val="28"/>
          <w:szCs w:val="28"/>
        </w:rPr>
        <w:t xml:space="preserve"> на съдебните заседания през отчетния период </w:t>
      </w:r>
      <w:r>
        <w:rPr>
          <w:b/>
          <w:sz w:val="28"/>
          <w:szCs w:val="28"/>
        </w:rPr>
        <w:t>2023г. с 1,94</w:t>
      </w:r>
      <w:r w:rsidR="00704100">
        <w:rPr>
          <w:b/>
          <w:sz w:val="28"/>
          <w:szCs w:val="28"/>
        </w:rPr>
        <w:t>%</w:t>
      </w:r>
      <w:r>
        <w:rPr>
          <w:sz w:val="28"/>
          <w:szCs w:val="28"/>
        </w:rPr>
        <w:t xml:space="preserve"> спрямо 2021г.  По отношение броя на административните дела се отчита </w:t>
      </w:r>
      <w:r>
        <w:rPr>
          <w:b/>
          <w:sz w:val="28"/>
          <w:szCs w:val="28"/>
        </w:rPr>
        <w:t xml:space="preserve">липса на промяна спрямо </w:t>
      </w:r>
      <w:r>
        <w:rPr>
          <w:sz w:val="28"/>
          <w:szCs w:val="28"/>
        </w:rPr>
        <w:t xml:space="preserve"> 2022г. и незначително намаление </w:t>
      </w:r>
      <w:r>
        <w:rPr>
          <w:b/>
          <w:sz w:val="28"/>
          <w:szCs w:val="28"/>
        </w:rPr>
        <w:t>с 1,73</w:t>
      </w:r>
      <w:r>
        <w:rPr>
          <w:b/>
          <w:bCs/>
          <w:sz w:val="28"/>
          <w:szCs w:val="28"/>
        </w:rPr>
        <w:t>%</w:t>
      </w:r>
      <w:r>
        <w:rPr>
          <w:sz w:val="28"/>
          <w:szCs w:val="28"/>
        </w:rPr>
        <w:t xml:space="preserve"> спрямо 2021г.</w:t>
      </w:r>
      <w:r>
        <w:rPr>
          <w:b/>
          <w:bCs/>
          <w:sz w:val="28"/>
          <w:szCs w:val="28"/>
        </w:rPr>
        <w:t xml:space="preserve"> </w:t>
      </w:r>
    </w:p>
    <w:p w:rsidR="00FD1270" w:rsidRDefault="00FD1270" w:rsidP="00FD1270">
      <w:pPr>
        <w:ind w:firstLine="709"/>
        <w:jc w:val="both"/>
        <w:rPr>
          <w:b/>
          <w:bCs/>
          <w:sz w:val="28"/>
          <w:szCs w:val="28"/>
        </w:rPr>
      </w:pPr>
      <w:r>
        <w:rPr>
          <w:b/>
          <w:bCs/>
          <w:sz w:val="28"/>
          <w:szCs w:val="28"/>
        </w:rPr>
        <w:t>2.1.</w:t>
      </w:r>
      <w:r>
        <w:rPr>
          <w:b/>
          <w:i/>
          <w:iCs/>
          <w:sz w:val="28"/>
          <w:szCs w:val="28"/>
        </w:rPr>
        <w:t>Участие по закон в съдебни заседания по административни дела.</w:t>
      </w:r>
    </w:p>
    <w:p w:rsidR="00FD1270" w:rsidRDefault="00FD1270" w:rsidP="00FD1270">
      <w:pPr>
        <w:ind w:firstLine="709"/>
        <w:jc w:val="both"/>
        <w:rPr>
          <w:sz w:val="28"/>
          <w:szCs w:val="28"/>
        </w:rPr>
      </w:pPr>
      <w:r>
        <w:rPr>
          <w:sz w:val="28"/>
          <w:szCs w:val="28"/>
        </w:rPr>
        <w:t xml:space="preserve"> През отчетния период 2023г. </w:t>
      </w:r>
      <w:r>
        <w:rPr>
          <w:b/>
          <w:i/>
          <w:iCs/>
          <w:sz w:val="28"/>
          <w:szCs w:val="28"/>
        </w:rPr>
        <w:t>участието по закон</w:t>
      </w:r>
      <w:r>
        <w:rPr>
          <w:i/>
          <w:iCs/>
          <w:sz w:val="28"/>
          <w:szCs w:val="28"/>
        </w:rPr>
        <w:t xml:space="preserve"> в съдебни заседания по административни дела</w:t>
      </w:r>
      <w:r>
        <w:rPr>
          <w:sz w:val="28"/>
          <w:szCs w:val="28"/>
        </w:rPr>
        <w:t xml:space="preserve"> е както следва:</w:t>
      </w:r>
    </w:p>
    <w:p w:rsidR="00FD1270" w:rsidRDefault="00FD1270" w:rsidP="00FD1270">
      <w:pPr>
        <w:pStyle w:val="a3"/>
        <w:ind w:left="0"/>
        <w:jc w:val="both"/>
        <w:rPr>
          <w:sz w:val="28"/>
          <w:szCs w:val="28"/>
        </w:rPr>
      </w:pPr>
      <w:r>
        <w:rPr>
          <w:i/>
          <w:iCs/>
          <w:sz w:val="28"/>
          <w:szCs w:val="28"/>
        </w:rPr>
        <w:t xml:space="preserve">          - </w:t>
      </w:r>
      <w:r>
        <w:rPr>
          <w:b/>
          <w:i/>
          <w:iCs/>
          <w:sz w:val="28"/>
          <w:szCs w:val="28"/>
        </w:rPr>
        <w:t>Участие в</w:t>
      </w:r>
      <w:r>
        <w:rPr>
          <w:b/>
          <w:sz w:val="28"/>
          <w:szCs w:val="28"/>
        </w:rPr>
        <w:t xml:space="preserve"> </w:t>
      </w:r>
      <w:r>
        <w:rPr>
          <w:b/>
          <w:i/>
          <w:iCs/>
          <w:sz w:val="28"/>
          <w:szCs w:val="28"/>
        </w:rPr>
        <w:t>административно–наказателни касационни дела</w:t>
      </w:r>
      <w:r>
        <w:rPr>
          <w:i/>
          <w:iCs/>
          <w:sz w:val="28"/>
          <w:szCs w:val="28"/>
        </w:rPr>
        <w:t xml:space="preserve"> </w:t>
      </w:r>
      <w:r>
        <w:rPr>
          <w:sz w:val="28"/>
          <w:szCs w:val="28"/>
        </w:rPr>
        <w:t xml:space="preserve">в Административен съд – Варна.  </w:t>
      </w:r>
    </w:p>
    <w:p w:rsidR="00FD1270" w:rsidRDefault="00FD1270" w:rsidP="00FD1270">
      <w:pPr>
        <w:pStyle w:val="a3"/>
        <w:ind w:left="0" w:firstLine="708"/>
        <w:jc w:val="both"/>
        <w:rPr>
          <w:b/>
          <w:sz w:val="28"/>
          <w:szCs w:val="28"/>
        </w:rPr>
      </w:pPr>
      <w:r>
        <w:rPr>
          <w:b/>
          <w:sz w:val="28"/>
          <w:szCs w:val="28"/>
        </w:rPr>
        <w:t>През 2023г.</w:t>
      </w:r>
      <w:r>
        <w:rPr>
          <w:sz w:val="28"/>
          <w:szCs w:val="28"/>
        </w:rPr>
        <w:t xml:space="preserve"> в АС – Варна са образувани </w:t>
      </w:r>
      <w:r>
        <w:rPr>
          <w:b/>
          <w:sz w:val="28"/>
          <w:szCs w:val="28"/>
        </w:rPr>
        <w:t xml:space="preserve">936 </w:t>
      </w:r>
      <w:r>
        <w:rPr>
          <w:sz w:val="28"/>
          <w:szCs w:val="28"/>
        </w:rPr>
        <w:t>касационни дела, от които 63</w:t>
      </w:r>
      <w:r>
        <w:rPr>
          <w:b/>
          <w:sz w:val="28"/>
          <w:szCs w:val="28"/>
        </w:rPr>
        <w:t xml:space="preserve"> </w:t>
      </w:r>
      <w:r>
        <w:rPr>
          <w:sz w:val="28"/>
          <w:szCs w:val="28"/>
        </w:rPr>
        <w:t xml:space="preserve">са насрочени за 2024г, а прокурорите от ОП – Варна са взели участие в </w:t>
      </w:r>
      <w:r>
        <w:rPr>
          <w:b/>
          <w:sz w:val="28"/>
          <w:szCs w:val="28"/>
        </w:rPr>
        <w:t>1015</w:t>
      </w:r>
      <w:r>
        <w:rPr>
          <w:b/>
          <w:color w:val="FF0000"/>
          <w:sz w:val="28"/>
          <w:szCs w:val="28"/>
        </w:rPr>
        <w:t xml:space="preserve"> </w:t>
      </w:r>
      <w:r>
        <w:rPr>
          <w:b/>
          <w:sz w:val="28"/>
          <w:szCs w:val="28"/>
        </w:rPr>
        <w:t xml:space="preserve">съдебни заседания по касационни дела.  </w:t>
      </w:r>
    </w:p>
    <w:p w:rsidR="00FD1270" w:rsidRDefault="00FD1270" w:rsidP="00FD1270">
      <w:pPr>
        <w:pStyle w:val="a3"/>
        <w:ind w:left="0" w:firstLine="708"/>
        <w:jc w:val="both"/>
        <w:rPr>
          <w:b/>
          <w:bCs/>
          <w:sz w:val="28"/>
          <w:szCs w:val="28"/>
        </w:rPr>
      </w:pPr>
      <w:r>
        <w:rPr>
          <w:sz w:val="28"/>
          <w:szCs w:val="28"/>
        </w:rPr>
        <w:t xml:space="preserve">В проценти, се наблюдава </w:t>
      </w:r>
      <w:r>
        <w:rPr>
          <w:b/>
          <w:sz w:val="28"/>
          <w:szCs w:val="28"/>
        </w:rPr>
        <w:t>увеличение с 11,29%</w:t>
      </w:r>
      <w:r>
        <w:rPr>
          <w:sz w:val="28"/>
          <w:szCs w:val="28"/>
        </w:rPr>
        <w:t xml:space="preserve"> </w:t>
      </w:r>
      <w:r>
        <w:rPr>
          <w:b/>
          <w:sz w:val="28"/>
          <w:szCs w:val="28"/>
        </w:rPr>
        <w:t>на броя на съдебните заседания</w:t>
      </w:r>
      <w:r>
        <w:rPr>
          <w:sz w:val="28"/>
          <w:szCs w:val="28"/>
        </w:rPr>
        <w:t xml:space="preserve"> по касационните дела през 2023г. спрямо 2022г.  и намаление с 6,28% спрямо 2021г.</w:t>
      </w:r>
      <w:r>
        <w:rPr>
          <w:b/>
          <w:bCs/>
          <w:sz w:val="28"/>
          <w:szCs w:val="28"/>
        </w:rPr>
        <w:t xml:space="preserve"> </w:t>
      </w:r>
    </w:p>
    <w:p w:rsidR="00FD1270" w:rsidRDefault="00FD1270" w:rsidP="00FD1270">
      <w:pPr>
        <w:pStyle w:val="a3"/>
        <w:ind w:left="0" w:firstLine="708"/>
        <w:jc w:val="both"/>
        <w:rPr>
          <w:b/>
          <w:bCs/>
          <w:sz w:val="28"/>
          <w:szCs w:val="28"/>
        </w:rPr>
      </w:pPr>
      <w:r>
        <w:rPr>
          <w:sz w:val="28"/>
          <w:szCs w:val="28"/>
        </w:rPr>
        <w:lastRenderedPageBreak/>
        <w:t xml:space="preserve">В проценти се наблюдава </w:t>
      </w:r>
      <w:r>
        <w:rPr>
          <w:b/>
          <w:sz w:val="28"/>
          <w:szCs w:val="28"/>
        </w:rPr>
        <w:t>увеличение с 0,75%</w:t>
      </w:r>
      <w:r>
        <w:rPr>
          <w:sz w:val="28"/>
          <w:szCs w:val="28"/>
        </w:rPr>
        <w:t xml:space="preserve"> </w:t>
      </w:r>
      <w:r>
        <w:rPr>
          <w:b/>
          <w:sz w:val="28"/>
          <w:szCs w:val="28"/>
        </w:rPr>
        <w:t>на броя на касационните дела</w:t>
      </w:r>
      <w:r>
        <w:rPr>
          <w:sz w:val="28"/>
          <w:szCs w:val="28"/>
        </w:rPr>
        <w:t xml:space="preserve"> през 2023г. спрямо 2022г. и намаление с 9,13</w:t>
      </w:r>
      <w:r>
        <w:rPr>
          <w:b/>
          <w:bCs/>
          <w:sz w:val="28"/>
          <w:szCs w:val="28"/>
        </w:rPr>
        <w:t>% спрямо 2021г., т.е. запазва се относително високият брой на касационните дела, разглеждани в административен съд.</w:t>
      </w:r>
    </w:p>
    <w:p w:rsidR="00FD1270" w:rsidRDefault="00FD1270" w:rsidP="00FD1270">
      <w:pPr>
        <w:pStyle w:val="a3"/>
        <w:ind w:left="0" w:firstLine="708"/>
        <w:jc w:val="both"/>
        <w:rPr>
          <w:sz w:val="28"/>
          <w:szCs w:val="28"/>
        </w:rPr>
      </w:pPr>
      <w:r>
        <w:rPr>
          <w:b/>
          <w:i/>
          <w:iCs/>
          <w:sz w:val="28"/>
          <w:szCs w:val="28"/>
        </w:rPr>
        <w:t>- Участие по административни първоинстанционни дела</w:t>
      </w:r>
      <w:r>
        <w:rPr>
          <w:i/>
          <w:iCs/>
          <w:sz w:val="28"/>
          <w:szCs w:val="28"/>
        </w:rPr>
        <w:t xml:space="preserve"> </w:t>
      </w:r>
      <w:r>
        <w:rPr>
          <w:sz w:val="28"/>
          <w:szCs w:val="28"/>
        </w:rPr>
        <w:t xml:space="preserve">в Административен съд – Варна </w:t>
      </w:r>
    </w:p>
    <w:p w:rsidR="00FD1270" w:rsidRDefault="00FD1270" w:rsidP="00FD1270">
      <w:pPr>
        <w:pStyle w:val="a3"/>
        <w:ind w:left="0" w:firstLine="708"/>
        <w:jc w:val="both"/>
        <w:rPr>
          <w:sz w:val="28"/>
          <w:szCs w:val="28"/>
        </w:rPr>
      </w:pPr>
      <w:r>
        <w:rPr>
          <w:b/>
          <w:sz w:val="28"/>
          <w:szCs w:val="28"/>
        </w:rPr>
        <w:t>През отчетната 2023г</w:t>
      </w:r>
      <w:r>
        <w:rPr>
          <w:sz w:val="28"/>
          <w:szCs w:val="28"/>
        </w:rPr>
        <w:t xml:space="preserve">. са били образувани </w:t>
      </w:r>
      <w:r>
        <w:rPr>
          <w:b/>
          <w:sz w:val="28"/>
          <w:szCs w:val="28"/>
        </w:rPr>
        <w:t>13</w:t>
      </w:r>
      <w:r>
        <w:rPr>
          <w:b/>
          <w:bCs/>
          <w:sz w:val="28"/>
          <w:szCs w:val="28"/>
        </w:rPr>
        <w:t xml:space="preserve"> </w:t>
      </w:r>
      <w:r>
        <w:rPr>
          <w:b/>
          <w:sz w:val="28"/>
          <w:szCs w:val="28"/>
        </w:rPr>
        <w:t>броя дела по подзаконови актове на общинските съвети</w:t>
      </w:r>
      <w:r>
        <w:rPr>
          <w:sz w:val="28"/>
          <w:szCs w:val="28"/>
        </w:rPr>
        <w:t>, които са били разгледани в 22</w:t>
      </w:r>
      <w:r>
        <w:rPr>
          <w:color w:val="FF0000"/>
          <w:sz w:val="28"/>
          <w:szCs w:val="28"/>
        </w:rPr>
        <w:t xml:space="preserve"> </w:t>
      </w:r>
      <w:r>
        <w:rPr>
          <w:sz w:val="28"/>
          <w:szCs w:val="28"/>
        </w:rPr>
        <w:t xml:space="preserve">съдебни заседания и </w:t>
      </w:r>
      <w:r>
        <w:rPr>
          <w:b/>
          <w:bCs/>
          <w:sz w:val="28"/>
          <w:szCs w:val="28"/>
        </w:rPr>
        <w:t>67</w:t>
      </w:r>
      <w:r>
        <w:rPr>
          <w:b/>
          <w:sz w:val="28"/>
          <w:szCs w:val="28"/>
        </w:rPr>
        <w:t xml:space="preserve"> броя  дела по предявени искове за обезщетение</w:t>
      </w:r>
      <w:r>
        <w:rPr>
          <w:sz w:val="28"/>
          <w:szCs w:val="28"/>
        </w:rPr>
        <w:t xml:space="preserve">, от които са били разгледани </w:t>
      </w:r>
      <w:r>
        <w:rPr>
          <w:b/>
          <w:sz w:val="28"/>
          <w:szCs w:val="28"/>
        </w:rPr>
        <w:t>51</w:t>
      </w:r>
      <w:r>
        <w:rPr>
          <w:sz w:val="28"/>
          <w:szCs w:val="28"/>
        </w:rPr>
        <w:t xml:space="preserve"> дела в </w:t>
      </w:r>
      <w:r>
        <w:rPr>
          <w:b/>
          <w:sz w:val="28"/>
          <w:szCs w:val="28"/>
        </w:rPr>
        <w:t>146 съдебни заседания</w:t>
      </w:r>
      <w:r>
        <w:rPr>
          <w:sz w:val="28"/>
          <w:szCs w:val="28"/>
        </w:rPr>
        <w:t xml:space="preserve">, а </w:t>
      </w:r>
      <w:r>
        <w:rPr>
          <w:b/>
          <w:sz w:val="28"/>
          <w:szCs w:val="28"/>
        </w:rPr>
        <w:t>16</w:t>
      </w:r>
      <w:r>
        <w:rPr>
          <w:sz w:val="28"/>
          <w:szCs w:val="28"/>
        </w:rPr>
        <w:t xml:space="preserve"> са насрочени за </w:t>
      </w:r>
      <w:r>
        <w:rPr>
          <w:b/>
          <w:sz w:val="28"/>
          <w:szCs w:val="28"/>
        </w:rPr>
        <w:t>2024г.</w:t>
      </w:r>
    </w:p>
    <w:p w:rsidR="00FD1270" w:rsidRDefault="00FD1270" w:rsidP="00FD1270">
      <w:pPr>
        <w:overflowPunct w:val="0"/>
        <w:autoSpaceDE w:val="0"/>
        <w:autoSpaceDN w:val="0"/>
        <w:adjustRightInd w:val="0"/>
        <w:ind w:firstLine="708"/>
        <w:jc w:val="both"/>
        <w:textAlignment w:val="baseline"/>
        <w:rPr>
          <w:b/>
          <w:bCs/>
          <w:sz w:val="28"/>
          <w:szCs w:val="28"/>
        </w:rPr>
      </w:pPr>
      <w:r>
        <w:rPr>
          <w:b/>
          <w:sz w:val="28"/>
          <w:szCs w:val="28"/>
        </w:rPr>
        <w:t>В проценти,</w:t>
      </w:r>
      <w:r>
        <w:rPr>
          <w:sz w:val="28"/>
          <w:szCs w:val="28"/>
        </w:rPr>
        <w:t xml:space="preserve"> наблюдава се продължение на тенденцията за  намаление</w:t>
      </w:r>
      <w:r>
        <w:rPr>
          <w:b/>
          <w:sz w:val="28"/>
          <w:szCs w:val="28"/>
        </w:rPr>
        <w:t xml:space="preserve"> </w:t>
      </w:r>
      <w:r>
        <w:rPr>
          <w:sz w:val="28"/>
          <w:szCs w:val="28"/>
        </w:rPr>
        <w:t xml:space="preserve">на броя на делата </w:t>
      </w:r>
      <w:r>
        <w:rPr>
          <w:b/>
          <w:sz w:val="28"/>
          <w:szCs w:val="28"/>
        </w:rPr>
        <w:t>по предявени искове за обезщетение</w:t>
      </w:r>
      <w:r>
        <w:rPr>
          <w:sz w:val="28"/>
          <w:szCs w:val="28"/>
        </w:rPr>
        <w:t xml:space="preserve"> през 2023г. спрямо 2022г. няма промяна в броя на тези дела и се наблюдава намаление спрямо 2021г. </w:t>
      </w:r>
      <w:r>
        <w:rPr>
          <w:b/>
          <w:sz w:val="28"/>
          <w:szCs w:val="28"/>
        </w:rPr>
        <w:t>с 42,24%.</w:t>
      </w:r>
    </w:p>
    <w:p w:rsidR="00FD1270" w:rsidRDefault="00FD1270" w:rsidP="00FD1270">
      <w:pPr>
        <w:ind w:firstLine="709"/>
        <w:jc w:val="both"/>
        <w:rPr>
          <w:sz w:val="28"/>
          <w:szCs w:val="28"/>
        </w:rPr>
      </w:pPr>
      <w:r>
        <w:rPr>
          <w:b/>
          <w:bCs/>
          <w:sz w:val="28"/>
          <w:szCs w:val="28"/>
        </w:rPr>
        <w:t>2.</w:t>
      </w:r>
      <w:proofErr w:type="spellStart"/>
      <w:r>
        <w:rPr>
          <w:b/>
          <w:bCs/>
          <w:sz w:val="28"/>
          <w:szCs w:val="28"/>
        </w:rPr>
        <w:t>2</w:t>
      </w:r>
      <w:proofErr w:type="spellEnd"/>
      <w:r>
        <w:rPr>
          <w:b/>
          <w:bCs/>
          <w:sz w:val="28"/>
          <w:szCs w:val="28"/>
        </w:rPr>
        <w:t>.</w:t>
      </w:r>
      <w:r>
        <w:rPr>
          <w:sz w:val="28"/>
          <w:szCs w:val="28"/>
        </w:rPr>
        <w:t xml:space="preserve"> </w:t>
      </w:r>
      <w:r>
        <w:rPr>
          <w:i/>
          <w:iCs/>
          <w:sz w:val="28"/>
          <w:szCs w:val="28"/>
        </w:rPr>
        <w:t xml:space="preserve">Участие по преценка в дела, представляващи важен държавен или обществен интерес, </w:t>
      </w:r>
      <w:r>
        <w:rPr>
          <w:b/>
          <w:i/>
          <w:iCs/>
          <w:sz w:val="28"/>
          <w:szCs w:val="28"/>
        </w:rPr>
        <w:t xml:space="preserve">съгласно Указание  изх.№ 196/08.06.2011г., изменено </w:t>
      </w:r>
      <w:r>
        <w:rPr>
          <w:sz w:val="28"/>
          <w:szCs w:val="28"/>
        </w:rPr>
        <w:t xml:space="preserve">със Заповед № ЛС – 3423 от 15.11.2013г. </w:t>
      </w:r>
      <w:r>
        <w:rPr>
          <w:b/>
          <w:i/>
          <w:iCs/>
          <w:sz w:val="28"/>
          <w:szCs w:val="28"/>
        </w:rPr>
        <w:t xml:space="preserve"> и </w:t>
      </w:r>
      <w:r>
        <w:rPr>
          <w:i/>
          <w:iCs/>
          <w:sz w:val="28"/>
          <w:szCs w:val="28"/>
        </w:rPr>
        <w:t xml:space="preserve"> </w:t>
      </w:r>
      <w:r>
        <w:rPr>
          <w:b/>
          <w:i/>
          <w:iCs/>
          <w:sz w:val="28"/>
          <w:szCs w:val="28"/>
        </w:rPr>
        <w:t xml:space="preserve">Указание  за участието на прокурорите в административни дела по преценка, когато това се налага от важен държавен или обществен интерес, прието със Заповед № ЛС – 4496/13.10.2014г. </w:t>
      </w:r>
      <w:r>
        <w:rPr>
          <w:i/>
          <w:iCs/>
          <w:sz w:val="28"/>
          <w:szCs w:val="28"/>
        </w:rPr>
        <w:t>на Главния прокурор на РБ</w:t>
      </w:r>
      <w:r>
        <w:rPr>
          <w:sz w:val="28"/>
          <w:szCs w:val="28"/>
        </w:rPr>
        <w:t>.</w:t>
      </w:r>
    </w:p>
    <w:p w:rsidR="00FD1270" w:rsidRDefault="00FD1270" w:rsidP="00FD1270">
      <w:pPr>
        <w:ind w:firstLine="709"/>
        <w:jc w:val="both"/>
        <w:rPr>
          <w:b/>
          <w:bCs/>
          <w:sz w:val="28"/>
          <w:szCs w:val="28"/>
        </w:rPr>
      </w:pPr>
      <w:r>
        <w:rPr>
          <w:b/>
          <w:sz w:val="28"/>
          <w:szCs w:val="28"/>
        </w:rPr>
        <w:t>През отчетната  2023 г</w:t>
      </w:r>
      <w:r>
        <w:rPr>
          <w:sz w:val="28"/>
          <w:szCs w:val="28"/>
        </w:rPr>
        <w:t xml:space="preserve">. прокурорите в ОП – Варна са участвали в </w:t>
      </w:r>
      <w:r>
        <w:rPr>
          <w:b/>
          <w:sz w:val="28"/>
          <w:szCs w:val="28"/>
        </w:rPr>
        <w:t>4</w:t>
      </w:r>
      <w:r>
        <w:rPr>
          <w:b/>
          <w:bCs/>
          <w:sz w:val="28"/>
          <w:szCs w:val="28"/>
        </w:rPr>
        <w:t xml:space="preserve"> дела </w:t>
      </w:r>
      <w:r>
        <w:rPr>
          <w:sz w:val="28"/>
          <w:szCs w:val="28"/>
        </w:rPr>
        <w:t xml:space="preserve">по  </w:t>
      </w:r>
      <w:r>
        <w:rPr>
          <w:b/>
          <w:sz w:val="28"/>
          <w:szCs w:val="28"/>
        </w:rPr>
        <w:t xml:space="preserve">Указание  на Главния прокурор, </w:t>
      </w:r>
      <w:r>
        <w:rPr>
          <w:sz w:val="28"/>
          <w:szCs w:val="28"/>
        </w:rPr>
        <w:t>разгледани</w:t>
      </w:r>
      <w:r>
        <w:rPr>
          <w:b/>
          <w:sz w:val="28"/>
          <w:szCs w:val="28"/>
        </w:rPr>
        <w:t xml:space="preserve"> в 6 съдебни заседания.</w:t>
      </w:r>
    </w:p>
    <w:p w:rsidR="00FD1270" w:rsidRDefault="00FD1270" w:rsidP="00FD1270">
      <w:pPr>
        <w:ind w:firstLine="709"/>
        <w:jc w:val="both"/>
        <w:rPr>
          <w:sz w:val="28"/>
          <w:szCs w:val="28"/>
        </w:rPr>
      </w:pPr>
      <w:r>
        <w:rPr>
          <w:sz w:val="28"/>
          <w:szCs w:val="28"/>
        </w:rPr>
        <w:t xml:space="preserve">Изразено в проценти, се отчита </w:t>
      </w:r>
      <w:r>
        <w:rPr>
          <w:b/>
          <w:sz w:val="28"/>
          <w:szCs w:val="28"/>
        </w:rPr>
        <w:t>намаление с 20%</w:t>
      </w:r>
      <w:r>
        <w:rPr>
          <w:sz w:val="28"/>
          <w:szCs w:val="28"/>
        </w:rPr>
        <w:t xml:space="preserve"> спрямо 2022г. и </w:t>
      </w:r>
      <w:r>
        <w:rPr>
          <w:b/>
          <w:sz w:val="28"/>
          <w:szCs w:val="28"/>
        </w:rPr>
        <w:t>увеличение с 33,33</w:t>
      </w:r>
      <w:r>
        <w:rPr>
          <w:b/>
          <w:bCs/>
          <w:sz w:val="28"/>
          <w:szCs w:val="28"/>
        </w:rPr>
        <w:t>%</w:t>
      </w:r>
      <w:r>
        <w:rPr>
          <w:sz w:val="28"/>
          <w:szCs w:val="28"/>
        </w:rPr>
        <w:t xml:space="preserve"> спрямо 2021г.</w:t>
      </w:r>
    </w:p>
    <w:p w:rsidR="00FD1270" w:rsidRDefault="00FD1270" w:rsidP="00FD1270">
      <w:pPr>
        <w:ind w:firstLine="709"/>
        <w:jc w:val="both"/>
        <w:rPr>
          <w:sz w:val="28"/>
          <w:szCs w:val="28"/>
        </w:rPr>
      </w:pPr>
      <w:r>
        <w:rPr>
          <w:sz w:val="28"/>
          <w:szCs w:val="28"/>
        </w:rPr>
        <w:t xml:space="preserve">През отчетната  </w:t>
      </w:r>
      <w:r>
        <w:rPr>
          <w:b/>
          <w:sz w:val="28"/>
          <w:szCs w:val="28"/>
        </w:rPr>
        <w:t>2023г</w:t>
      </w:r>
      <w:r>
        <w:rPr>
          <w:sz w:val="28"/>
          <w:szCs w:val="28"/>
        </w:rPr>
        <w:t xml:space="preserve"> </w:t>
      </w:r>
      <w:r>
        <w:rPr>
          <w:b/>
          <w:sz w:val="28"/>
          <w:szCs w:val="28"/>
        </w:rPr>
        <w:t>по лична преценка</w:t>
      </w:r>
      <w:r>
        <w:rPr>
          <w:sz w:val="28"/>
          <w:szCs w:val="28"/>
        </w:rPr>
        <w:t xml:space="preserve"> прокурорите са участвали в </w:t>
      </w:r>
      <w:r>
        <w:rPr>
          <w:b/>
          <w:sz w:val="28"/>
          <w:szCs w:val="28"/>
        </w:rPr>
        <w:t>2</w:t>
      </w:r>
      <w:r>
        <w:rPr>
          <w:sz w:val="28"/>
          <w:szCs w:val="28"/>
        </w:rPr>
        <w:t xml:space="preserve"> броя дела, разгледани в </w:t>
      </w:r>
      <w:r>
        <w:rPr>
          <w:b/>
          <w:sz w:val="28"/>
          <w:szCs w:val="28"/>
        </w:rPr>
        <w:t>3</w:t>
      </w:r>
      <w:r>
        <w:rPr>
          <w:sz w:val="28"/>
          <w:szCs w:val="28"/>
        </w:rPr>
        <w:t xml:space="preserve"> съдебни заседания.</w:t>
      </w:r>
    </w:p>
    <w:p w:rsidR="00FD1270" w:rsidRDefault="00FD1270" w:rsidP="00FD1270">
      <w:pPr>
        <w:ind w:firstLine="709"/>
        <w:jc w:val="both"/>
        <w:rPr>
          <w:b/>
          <w:sz w:val="28"/>
          <w:szCs w:val="28"/>
        </w:rPr>
      </w:pPr>
      <w:r>
        <w:rPr>
          <w:b/>
          <w:sz w:val="28"/>
          <w:szCs w:val="28"/>
        </w:rPr>
        <w:t>В проценти</w:t>
      </w:r>
      <w:r>
        <w:rPr>
          <w:sz w:val="28"/>
          <w:szCs w:val="28"/>
        </w:rPr>
        <w:t xml:space="preserve"> тези стойности изразяват </w:t>
      </w:r>
      <w:r>
        <w:rPr>
          <w:b/>
          <w:sz w:val="28"/>
          <w:szCs w:val="28"/>
        </w:rPr>
        <w:t>намаление с 33,33% спрямо 2022г и без промяна спрямо 2021г.</w:t>
      </w:r>
    </w:p>
    <w:p w:rsidR="00FD1270" w:rsidRDefault="00FD1270" w:rsidP="00FD1270">
      <w:pPr>
        <w:ind w:firstLine="709"/>
        <w:jc w:val="both"/>
        <w:rPr>
          <w:i/>
          <w:iCs/>
          <w:sz w:val="28"/>
          <w:szCs w:val="28"/>
        </w:rPr>
      </w:pPr>
      <w:r>
        <w:rPr>
          <w:b/>
          <w:bCs/>
          <w:sz w:val="28"/>
          <w:szCs w:val="28"/>
        </w:rPr>
        <w:t>2.3.</w:t>
      </w:r>
      <w:r>
        <w:rPr>
          <w:i/>
          <w:iCs/>
          <w:sz w:val="28"/>
          <w:szCs w:val="28"/>
        </w:rPr>
        <w:t xml:space="preserve"> Подадени прокурорски актове до съда и резултати по тях.</w:t>
      </w:r>
    </w:p>
    <w:p w:rsidR="00FD1270" w:rsidRDefault="00FD1270" w:rsidP="00FD1270">
      <w:pPr>
        <w:ind w:firstLine="709"/>
        <w:jc w:val="both"/>
        <w:rPr>
          <w:sz w:val="28"/>
          <w:szCs w:val="28"/>
        </w:rPr>
      </w:pPr>
      <w:r>
        <w:rPr>
          <w:sz w:val="28"/>
          <w:szCs w:val="28"/>
        </w:rPr>
        <w:t xml:space="preserve">През отчетната </w:t>
      </w:r>
      <w:r>
        <w:rPr>
          <w:b/>
          <w:sz w:val="28"/>
          <w:szCs w:val="28"/>
        </w:rPr>
        <w:t>2023г</w:t>
      </w:r>
      <w:r>
        <w:rPr>
          <w:sz w:val="28"/>
          <w:szCs w:val="28"/>
        </w:rPr>
        <w:t xml:space="preserve">. е било подадено до съда </w:t>
      </w:r>
      <w:r>
        <w:rPr>
          <w:b/>
          <w:sz w:val="28"/>
          <w:szCs w:val="28"/>
        </w:rPr>
        <w:t>1 предложение за възобновяване на производство по ЗАНН, което е било разгледано и уважено</w:t>
      </w:r>
      <w:r>
        <w:rPr>
          <w:sz w:val="28"/>
          <w:szCs w:val="28"/>
        </w:rPr>
        <w:t xml:space="preserve">. </w:t>
      </w:r>
    </w:p>
    <w:p w:rsidR="00FD1270" w:rsidRDefault="00FD1270" w:rsidP="00FD1270">
      <w:pPr>
        <w:ind w:firstLine="709"/>
        <w:jc w:val="both"/>
        <w:rPr>
          <w:sz w:val="28"/>
          <w:szCs w:val="28"/>
        </w:rPr>
      </w:pPr>
      <w:r>
        <w:rPr>
          <w:b/>
          <w:sz w:val="28"/>
          <w:szCs w:val="28"/>
        </w:rPr>
        <w:t>През отчетната 2023г.</w:t>
      </w:r>
      <w:r>
        <w:rPr>
          <w:sz w:val="28"/>
          <w:szCs w:val="28"/>
        </w:rPr>
        <w:t xml:space="preserve"> е бил изготвен 1</w:t>
      </w:r>
      <w:r>
        <w:rPr>
          <w:b/>
          <w:sz w:val="28"/>
          <w:szCs w:val="28"/>
        </w:rPr>
        <w:t xml:space="preserve"> отказ за възобновяване по ЗАНН</w:t>
      </w:r>
      <w:r>
        <w:rPr>
          <w:sz w:val="28"/>
          <w:szCs w:val="28"/>
        </w:rPr>
        <w:t>, който е бил обжалван пред АП – Варна и е бил потвърден.</w:t>
      </w:r>
    </w:p>
    <w:p w:rsidR="00FD1270" w:rsidRDefault="00FD1270" w:rsidP="00FD1270">
      <w:pPr>
        <w:ind w:firstLine="709"/>
        <w:jc w:val="both"/>
        <w:rPr>
          <w:sz w:val="28"/>
          <w:szCs w:val="28"/>
        </w:rPr>
      </w:pPr>
      <w:r>
        <w:rPr>
          <w:b/>
          <w:sz w:val="28"/>
          <w:szCs w:val="28"/>
        </w:rPr>
        <w:t xml:space="preserve">В проценти, </w:t>
      </w:r>
      <w:r>
        <w:rPr>
          <w:sz w:val="28"/>
          <w:szCs w:val="28"/>
        </w:rPr>
        <w:t xml:space="preserve">подадените </w:t>
      </w:r>
      <w:r>
        <w:rPr>
          <w:b/>
          <w:sz w:val="28"/>
          <w:szCs w:val="28"/>
        </w:rPr>
        <w:t>предложения до съда за възобновяване на производства по ЗАНН</w:t>
      </w:r>
      <w:r>
        <w:rPr>
          <w:sz w:val="28"/>
          <w:szCs w:val="28"/>
        </w:rPr>
        <w:t xml:space="preserve"> </w:t>
      </w:r>
      <w:r>
        <w:rPr>
          <w:b/>
          <w:sz w:val="28"/>
          <w:szCs w:val="28"/>
        </w:rPr>
        <w:t>са без промяна спрямо 2022г и са намалели</w:t>
      </w:r>
      <w:r>
        <w:rPr>
          <w:sz w:val="28"/>
          <w:szCs w:val="28"/>
        </w:rPr>
        <w:t xml:space="preserve"> </w:t>
      </w:r>
      <w:r>
        <w:rPr>
          <w:b/>
          <w:sz w:val="28"/>
          <w:szCs w:val="28"/>
        </w:rPr>
        <w:t>с 95%</w:t>
      </w:r>
      <w:r>
        <w:rPr>
          <w:sz w:val="28"/>
          <w:szCs w:val="28"/>
        </w:rPr>
        <w:t xml:space="preserve"> спрямо 2021г. </w:t>
      </w:r>
    </w:p>
    <w:p w:rsidR="00FD1270" w:rsidRDefault="00FD1270" w:rsidP="00FD1270">
      <w:pPr>
        <w:ind w:firstLine="709"/>
        <w:jc w:val="both"/>
        <w:rPr>
          <w:sz w:val="28"/>
          <w:szCs w:val="28"/>
        </w:rPr>
      </w:pPr>
      <w:r>
        <w:rPr>
          <w:b/>
          <w:sz w:val="28"/>
          <w:szCs w:val="28"/>
        </w:rPr>
        <w:t>В проценти, отказите за възобновяване на производство по ЗАНН</w:t>
      </w:r>
      <w:r>
        <w:rPr>
          <w:sz w:val="28"/>
          <w:szCs w:val="28"/>
        </w:rPr>
        <w:t xml:space="preserve"> са без промяна</w:t>
      </w:r>
      <w:r>
        <w:rPr>
          <w:b/>
          <w:sz w:val="28"/>
          <w:szCs w:val="28"/>
        </w:rPr>
        <w:t xml:space="preserve"> спрямо 2022г</w:t>
      </w:r>
      <w:r>
        <w:rPr>
          <w:sz w:val="28"/>
          <w:szCs w:val="28"/>
        </w:rPr>
        <w:t xml:space="preserve">. и </w:t>
      </w:r>
      <w:r>
        <w:rPr>
          <w:b/>
          <w:sz w:val="28"/>
          <w:szCs w:val="28"/>
        </w:rPr>
        <w:t>са намалели с 95%</w:t>
      </w:r>
      <w:r>
        <w:rPr>
          <w:sz w:val="28"/>
          <w:szCs w:val="28"/>
        </w:rPr>
        <w:t xml:space="preserve"> </w:t>
      </w:r>
      <w:r>
        <w:rPr>
          <w:b/>
          <w:sz w:val="28"/>
          <w:szCs w:val="28"/>
        </w:rPr>
        <w:t>спрямо 2021г</w:t>
      </w:r>
      <w:r>
        <w:rPr>
          <w:sz w:val="28"/>
          <w:szCs w:val="28"/>
        </w:rPr>
        <w:t>.</w:t>
      </w:r>
    </w:p>
    <w:p w:rsidR="00FD1270" w:rsidRDefault="00FD1270" w:rsidP="00FD1270">
      <w:pPr>
        <w:ind w:firstLine="708"/>
        <w:rPr>
          <w:i/>
          <w:iCs/>
          <w:sz w:val="28"/>
          <w:szCs w:val="28"/>
        </w:rPr>
      </w:pPr>
      <w:r>
        <w:rPr>
          <w:b/>
          <w:sz w:val="28"/>
          <w:szCs w:val="28"/>
        </w:rPr>
        <w:t>През отчетната 2023г</w:t>
      </w:r>
      <w:r>
        <w:rPr>
          <w:sz w:val="28"/>
          <w:szCs w:val="28"/>
        </w:rPr>
        <w:t xml:space="preserve">, както и през 2022г. прокурорите от ОП  Варна </w:t>
      </w:r>
      <w:r>
        <w:rPr>
          <w:b/>
          <w:sz w:val="28"/>
          <w:szCs w:val="28"/>
        </w:rPr>
        <w:t>не са подавали касационни и частни протести</w:t>
      </w:r>
      <w:r>
        <w:rPr>
          <w:sz w:val="28"/>
          <w:szCs w:val="28"/>
        </w:rPr>
        <w:t xml:space="preserve"> срещу актове на административен съд.</w:t>
      </w:r>
    </w:p>
    <w:p w:rsidR="00FD1270" w:rsidRDefault="00FD1270" w:rsidP="00FD1270">
      <w:pPr>
        <w:ind w:firstLine="709"/>
        <w:jc w:val="both"/>
        <w:rPr>
          <w:sz w:val="28"/>
          <w:szCs w:val="28"/>
        </w:rPr>
      </w:pPr>
      <w:r>
        <w:rPr>
          <w:sz w:val="28"/>
          <w:szCs w:val="28"/>
        </w:rPr>
        <w:t xml:space="preserve">През </w:t>
      </w:r>
      <w:r>
        <w:rPr>
          <w:b/>
          <w:sz w:val="28"/>
          <w:szCs w:val="28"/>
        </w:rPr>
        <w:t>отчетната 2023г.</w:t>
      </w:r>
      <w:r>
        <w:rPr>
          <w:sz w:val="28"/>
          <w:szCs w:val="28"/>
        </w:rPr>
        <w:t xml:space="preserve"> от прокурорите в ОП – Варна са били подадени до АС – Варна </w:t>
      </w:r>
      <w:r>
        <w:rPr>
          <w:b/>
          <w:sz w:val="28"/>
          <w:szCs w:val="28"/>
        </w:rPr>
        <w:t>6 броя протести срещу незаконни актове на общинските съвети,</w:t>
      </w:r>
      <w:r>
        <w:rPr>
          <w:sz w:val="28"/>
          <w:szCs w:val="28"/>
        </w:rPr>
        <w:t xml:space="preserve"> от които 4 са били уважени и 2 не са били разгледани в отчетния период.</w:t>
      </w:r>
    </w:p>
    <w:p w:rsidR="00FD1270" w:rsidRDefault="00FD1270" w:rsidP="00FD1270">
      <w:pPr>
        <w:ind w:firstLine="709"/>
        <w:jc w:val="both"/>
        <w:rPr>
          <w:b/>
          <w:bCs/>
          <w:sz w:val="28"/>
          <w:szCs w:val="28"/>
        </w:rPr>
      </w:pPr>
      <w:r>
        <w:rPr>
          <w:b/>
          <w:bCs/>
          <w:sz w:val="28"/>
          <w:szCs w:val="28"/>
        </w:rPr>
        <w:lastRenderedPageBreak/>
        <w:t>По този показател в отчетния период се бележи намаление с 45,45</w:t>
      </w:r>
      <w:r w:rsidR="00704100">
        <w:rPr>
          <w:b/>
          <w:bCs/>
          <w:sz w:val="28"/>
          <w:szCs w:val="28"/>
        </w:rPr>
        <w:t>%</w:t>
      </w:r>
      <w:r>
        <w:rPr>
          <w:b/>
          <w:bCs/>
          <w:sz w:val="28"/>
          <w:szCs w:val="28"/>
        </w:rPr>
        <w:t xml:space="preserve"> в сравнение с 2022г. и намаление със 40,00% спрямо 2021г. </w:t>
      </w:r>
    </w:p>
    <w:p w:rsidR="00FD1270" w:rsidRDefault="00FD1270" w:rsidP="00FD1270">
      <w:pPr>
        <w:ind w:firstLine="709"/>
        <w:jc w:val="both"/>
        <w:rPr>
          <w:sz w:val="28"/>
          <w:szCs w:val="28"/>
        </w:rPr>
      </w:pPr>
      <w:r>
        <w:rPr>
          <w:b/>
          <w:bCs/>
          <w:sz w:val="28"/>
          <w:szCs w:val="28"/>
        </w:rPr>
        <w:t>2.4. Проблеми и предложения за преодоляването им</w:t>
      </w:r>
      <w:r>
        <w:rPr>
          <w:sz w:val="28"/>
          <w:szCs w:val="28"/>
        </w:rPr>
        <w:t xml:space="preserve"> </w:t>
      </w:r>
    </w:p>
    <w:p w:rsidR="00FD1270" w:rsidRDefault="00FD1270" w:rsidP="00FD1270">
      <w:pPr>
        <w:pStyle w:val="a3"/>
        <w:ind w:left="0" w:firstLine="708"/>
        <w:jc w:val="both"/>
        <w:rPr>
          <w:bCs/>
          <w:sz w:val="28"/>
          <w:szCs w:val="28"/>
        </w:rPr>
      </w:pPr>
      <w:r>
        <w:rPr>
          <w:sz w:val="28"/>
          <w:szCs w:val="28"/>
        </w:rPr>
        <w:t>За поредна година се отчита участие в значителен брой съдебни заседания в Административен съд, което води до висока натовареност на работещите в надзора. З</w:t>
      </w:r>
      <w:r>
        <w:rPr>
          <w:bCs/>
          <w:sz w:val="28"/>
          <w:szCs w:val="28"/>
        </w:rPr>
        <w:t xml:space="preserve">апазва се относително високият брой на касационните дела, разглеждани в административен съд. Броят им, изразен в проценти спрямо предходната 2022 е увеличен с </w:t>
      </w:r>
      <w:r>
        <w:rPr>
          <w:b/>
          <w:bCs/>
          <w:sz w:val="28"/>
          <w:szCs w:val="28"/>
        </w:rPr>
        <w:t>0,75%</w:t>
      </w:r>
      <w:r>
        <w:rPr>
          <w:bCs/>
          <w:sz w:val="28"/>
          <w:szCs w:val="28"/>
        </w:rPr>
        <w:t xml:space="preserve"> като продължава високата натовареност на прокурорите от надзора с оглед броя на проведените </w:t>
      </w:r>
      <w:r>
        <w:rPr>
          <w:b/>
          <w:bCs/>
          <w:sz w:val="28"/>
          <w:szCs w:val="28"/>
        </w:rPr>
        <w:t>1015 съдебни заседания</w:t>
      </w:r>
      <w:r>
        <w:rPr>
          <w:bCs/>
          <w:sz w:val="28"/>
          <w:szCs w:val="28"/>
        </w:rPr>
        <w:t xml:space="preserve"> за разглеждането им през годината, като увеличението  при съдебните заседания е с </w:t>
      </w:r>
      <w:r>
        <w:rPr>
          <w:b/>
          <w:bCs/>
          <w:sz w:val="28"/>
          <w:szCs w:val="28"/>
        </w:rPr>
        <w:t>11,29%.</w:t>
      </w:r>
    </w:p>
    <w:p w:rsidR="00FD1270" w:rsidRDefault="00FD1270" w:rsidP="00FD1270">
      <w:pPr>
        <w:overflowPunct w:val="0"/>
        <w:autoSpaceDE w:val="0"/>
        <w:autoSpaceDN w:val="0"/>
        <w:adjustRightInd w:val="0"/>
        <w:ind w:firstLine="708"/>
        <w:jc w:val="both"/>
        <w:textAlignment w:val="baseline"/>
        <w:rPr>
          <w:b/>
          <w:bCs/>
          <w:sz w:val="28"/>
          <w:szCs w:val="28"/>
        </w:rPr>
      </w:pPr>
      <w:r>
        <w:rPr>
          <w:sz w:val="28"/>
          <w:szCs w:val="28"/>
        </w:rPr>
        <w:t xml:space="preserve">Запазва се и сравнително висок брой на делата </w:t>
      </w:r>
      <w:r>
        <w:rPr>
          <w:b/>
          <w:sz w:val="28"/>
          <w:szCs w:val="28"/>
        </w:rPr>
        <w:t>по предявени искове за обезщетение</w:t>
      </w:r>
      <w:r>
        <w:rPr>
          <w:sz w:val="28"/>
          <w:szCs w:val="28"/>
        </w:rPr>
        <w:t xml:space="preserve"> през 2023г. – </w:t>
      </w:r>
      <w:r>
        <w:rPr>
          <w:b/>
          <w:sz w:val="28"/>
          <w:szCs w:val="28"/>
        </w:rPr>
        <w:t xml:space="preserve">67 </w:t>
      </w:r>
      <w:r>
        <w:rPr>
          <w:sz w:val="28"/>
          <w:szCs w:val="28"/>
        </w:rPr>
        <w:t xml:space="preserve">броя, от които са били разгледани </w:t>
      </w:r>
      <w:r>
        <w:rPr>
          <w:b/>
          <w:sz w:val="28"/>
          <w:szCs w:val="28"/>
        </w:rPr>
        <w:t>51</w:t>
      </w:r>
      <w:r>
        <w:rPr>
          <w:sz w:val="28"/>
          <w:szCs w:val="28"/>
        </w:rPr>
        <w:t xml:space="preserve"> дела в </w:t>
      </w:r>
      <w:r>
        <w:rPr>
          <w:b/>
          <w:sz w:val="28"/>
          <w:szCs w:val="28"/>
        </w:rPr>
        <w:t>146 съдебни заседания</w:t>
      </w:r>
      <w:r>
        <w:rPr>
          <w:sz w:val="28"/>
          <w:szCs w:val="28"/>
        </w:rPr>
        <w:t xml:space="preserve">, а </w:t>
      </w:r>
      <w:r>
        <w:rPr>
          <w:b/>
          <w:sz w:val="28"/>
          <w:szCs w:val="28"/>
        </w:rPr>
        <w:t xml:space="preserve">16 </w:t>
      </w:r>
      <w:r>
        <w:rPr>
          <w:sz w:val="28"/>
          <w:szCs w:val="28"/>
        </w:rPr>
        <w:t xml:space="preserve">са насрочени за </w:t>
      </w:r>
      <w:r>
        <w:rPr>
          <w:b/>
          <w:sz w:val="28"/>
          <w:szCs w:val="28"/>
        </w:rPr>
        <w:t>2024г</w:t>
      </w:r>
      <w:r>
        <w:rPr>
          <w:sz w:val="28"/>
          <w:szCs w:val="28"/>
        </w:rPr>
        <w:t>. Спрямо 2022г., в бройката на тези дела не се отчита промяна, а спрямо 2021г. са намалели с 42,24</w:t>
      </w:r>
      <w:r w:rsidR="00704100">
        <w:rPr>
          <w:sz w:val="28"/>
          <w:szCs w:val="28"/>
        </w:rPr>
        <w:t>%</w:t>
      </w:r>
      <w:r>
        <w:rPr>
          <w:sz w:val="28"/>
          <w:szCs w:val="28"/>
        </w:rPr>
        <w:t>.</w:t>
      </w:r>
    </w:p>
    <w:p w:rsidR="00FD1270" w:rsidRDefault="00FD1270" w:rsidP="00FD1270">
      <w:pPr>
        <w:overflowPunct w:val="0"/>
        <w:autoSpaceDE w:val="0"/>
        <w:autoSpaceDN w:val="0"/>
        <w:adjustRightInd w:val="0"/>
        <w:ind w:firstLine="708"/>
        <w:jc w:val="both"/>
        <w:textAlignment w:val="baseline"/>
        <w:rPr>
          <w:b/>
          <w:sz w:val="28"/>
          <w:szCs w:val="28"/>
        </w:rPr>
      </w:pPr>
      <w:r>
        <w:rPr>
          <w:sz w:val="28"/>
          <w:szCs w:val="28"/>
        </w:rPr>
        <w:t xml:space="preserve">В горепосочените видове дела участието на прокурора е по закон, т.е промяна в натовареността тук може да бъде постигната </w:t>
      </w:r>
      <w:r>
        <w:rPr>
          <w:b/>
          <w:sz w:val="28"/>
          <w:szCs w:val="28"/>
        </w:rPr>
        <w:t>само при промяна в законодателството.</w:t>
      </w:r>
    </w:p>
    <w:p w:rsidR="00FD1270" w:rsidRDefault="00FD1270" w:rsidP="00FD1270">
      <w:pPr>
        <w:pStyle w:val="af5"/>
        <w:ind w:firstLine="708"/>
        <w:jc w:val="both"/>
        <w:rPr>
          <w:rFonts w:ascii="Times New Roman" w:hAnsi="Times New Roman" w:cs="Times New Roman"/>
          <w:b/>
          <w:sz w:val="28"/>
          <w:szCs w:val="28"/>
          <w:lang w:val="en-US"/>
        </w:rPr>
      </w:pPr>
      <w:r>
        <w:rPr>
          <w:rFonts w:ascii="Times New Roman" w:hAnsi="Times New Roman" w:cs="Times New Roman"/>
          <w:b/>
          <w:sz w:val="28"/>
          <w:szCs w:val="28"/>
        </w:rPr>
        <w:t>3.Дейност на ОП – Варна и районна прокуратура Варна по надзора за законност.</w:t>
      </w:r>
    </w:p>
    <w:p w:rsidR="00FD1270" w:rsidRDefault="00FD1270" w:rsidP="00FD1270">
      <w:pPr>
        <w:pStyle w:val="af5"/>
        <w:ind w:firstLine="708"/>
        <w:jc w:val="both"/>
        <w:rPr>
          <w:rFonts w:ascii="Times New Roman" w:hAnsi="Times New Roman" w:cs="Times New Roman"/>
          <w:b/>
          <w:sz w:val="28"/>
          <w:szCs w:val="28"/>
        </w:rPr>
      </w:pPr>
      <w:r>
        <w:rPr>
          <w:rFonts w:ascii="Times New Roman" w:hAnsi="Times New Roman" w:cs="Times New Roman"/>
          <w:sz w:val="28"/>
          <w:szCs w:val="28"/>
        </w:rPr>
        <w:t>През отчетната 202</w:t>
      </w:r>
      <w:r>
        <w:rPr>
          <w:rFonts w:ascii="Times New Roman" w:hAnsi="Times New Roman" w:cs="Times New Roman"/>
          <w:sz w:val="28"/>
          <w:szCs w:val="28"/>
          <w:lang w:val="en-US"/>
        </w:rPr>
        <w:t>3</w:t>
      </w:r>
      <w:r>
        <w:rPr>
          <w:rFonts w:ascii="Times New Roman" w:hAnsi="Times New Roman" w:cs="Times New Roman"/>
          <w:sz w:val="28"/>
          <w:szCs w:val="28"/>
        </w:rPr>
        <w:t xml:space="preserve">г. общо за района на ОП – Варна </w:t>
      </w:r>
      <w:r>
        <w:rPr>
          <w:rFonts w:ascii="Times New Roman" w:hAnsi="Times New Roman" w:cs="Times New Roman"/>
          <w:b/>
          <w:sz w:val="28"/>
          <w:szCs w:val="28"/>
        </w:rPr>
        <w:t xml:space="preserve">получените и образувани преписки по надзора за законност  са общо 401, от които </w:t>
      </w:r>
      <w:r>
        <w:rPr>
          <w:rFonts w:ascii="Times New Roman" w:hAnsi="Times New Roman" w:cs="Times New Roman"/>
          <w:b/>
          <w:sz w:val="28"/>
          <w:szCs w:val="28"/>
          <w:lang w:val="en-US"/>
        </w:rPr>
        <w:t>71</w:t>
      </w:r>
      <w:r>
        <w:rPr>
          <w:rFonts w:ascii="Times New Roman" w:hAnsi="Times New Roman" w:cs="Times New Roman"/>
          <w:b/>
          <w:sz w:val="28"/>
          <w:szCs w:val="28"/>
        </w:rPr>
        <w:t xml:space="preserve"> за ОП  Варна</w:t>
      </w:r>
      <w:r>
        <w:rPr>
          <w:rFonts w:ascii="Times New Roman" w:hAnsi="Times New Roman" w:cs="Times New Roman"/>
          <w:sz w:val="28"/>
          <w:szCs w:val="28"/>
        </w:rPr>
        <w:t>, 330</w:t>
      </w:r>
      <w:r>
        <w:rPr>
          <w:rFonts w:ascii="Times New Roman" w:hAnsi="Times New Roman" w:cs="Times New Roman"/>
          <w:b/>
          <w:sz w:val="28"/>
          <w:szCs w:val="28"/>
        </w:rPr>
        <w:t xml:space="preserve"> </w:t>
      </w:r>
      <w:r>
        <w:rPr>
          <w:rFonts w:ascii="Times New Roman" w:hAnsi="Times New Roman" w:cs="Times New Roman"/>
          <w:sz w:val="28"/>
          <w:szCs w:val="28"/>
        </w:rPr>
        <w:t>– за РП – Варна.</w:t>
      </w:r>
    </w:p>
    <w:p w:rsidR="00FD1270" w:rsidRDefault="00FD1270" w:rsidP="00FD1270">
      <w:pPr>
        <w:ind w:firstLine="709"/>
        <w:jc w:val="both"/>
        <w:rPr>
          <w:b/>
          <w:sz w:val="28"/>
          <w:szCs w:val="28"/>
        </w:rPr>
      </w:pPr>
      <w:r>
        <w:rPr>
          <w:b/>
          <w:sz w:val="28"/>
          <w:szCs w:val="28"/>
        </w:rPr>
        <w:t>Изразени в проценти</w:t>
      </w:r>
      <w:r>
        <w:rPr>
          <w:sz w:val="28"/>
          <w:szCs w:val="28"/>
        </w:rPr>
        <w:t xml:space="preserve">, тези показатели са както следва: </w:t>
      </w:r>
      <w:r>
        <w:rPr>
          <w:b/>
          <w:sz w:val="28"/>
          <w:szCs w:val="28"/>
        </w:rPr>
        <w:t>образуваните преписки</w:t>
      </w:r>
      <w:r>
        <w:rPr>
          <w:sz w:val="28"/>
          <w:szCs w:val="28"/>
        </w:rPr>
        <w:t xml:space="preserve"> по надзора за законност </w:t>
      </w:r>
      <w:r>
        <w:rPr>
          <w:b/>
          <w:bCs/>
          <w:sz w:val="28"/>
          <w:szCs w:val="28"/>
        </w:rPr>
        <w:t>общо за района на ОП – Варна</w:t>
      </w:r>
      <w:r>
        <w:rPr>
          <w:sz w:val="28"/>
          <w:szCs w:val="28"/>
        </w:rPr>
        <w:t xml:space="preserve"> </w:t>
      </w:r>
      <w:r>
        <w:rPr>
          <w:b/>
          <w:sz w:val="28"/>
          <w:szCs w:val="28"/>
        </w:rPr>
        <w:t>през 2023г</w:t>
      </w:r>
      <w:r>
        <w:rPr>
          <w:sz w:val="28"/>
          <w:szCs w:val="28"/>
        </w:rPr>
        <w:t xml:space="preserve">. </w:t>
      </w:r>
      <w:r>
        <w:rPr>
          <w:b/>
          <w:sz w:val="28"/>
          <w:szCs w:val="28"/>
        </w:rPr>
        <w:t>са намалели с  15,40%</w:t>
      </w:r>
      <w:r>
        <w:rPr>
          <w:sz w:val="28"/>
          <w:szCs w:val="28"/>
        </w:rPr>
        <w:t xml:space="preserve"> спрямо 2022г. и с </w:t>
      </w:r>
      <w:r>
        <w:rPr>
          <w:b/>
          <w:sz w:val="28"/>
          <w:szCs w:val="28"/>
        </w:rPr>
        <w:t>6,53%</w:t>
      </w:r>
      <w:r>
        <w:rPr>
          <w:sz w:val="28"/>
          <w:szCs w:val="28"/>
        </w:rPr>
        <w:t xml:space="preserve"> спрямо </w:t>
      </w:r>
      <w:r>
        <w:rPr>
          <w:b/>
          <w:sz w:val="28"/>
          <w:szCs w:val="28"/>
        </w:rPr>
        <w:t>2021г.</w:t>
      </w:r>
      <w:r>
        <w:rPr>
          <w:sz w:val="28"/>
          <w:szCs w:val="28"/>
        </w:rPr>
        <w:t xml:space="preserve"> </w:t>
      </w:r>
    </w:p>
    <w:p w:rsidR="00FD1270" w:rsidRDefault="00FD1270" w:rsidP="00FD1270">
      <w:pPr>
        <w:ind w:firstLine="709"/>
        <w:jc w:val="both"/>
        <w:rPr>
          <w:sz w:val="28"/>
          <w:szCs w:val="28"/>
        </w:rPr>
      </w:pPr>
      <w:r>
        <w:rPr>
          <w:b/>
          <w:sz w:val="28"/>
          <w:szCs w:val="28"/>
        </w:rPr>
        <w:t>През отчетната 202</w:t>
      </w:r>
      <w:r>
        <w:rPr>
          <w:b/>
          <w:sz w:val="28"/>
          <w:szCs w:val="28"/>
          <w:lang w:val="en-US"/>
        </w:rPr>
        <w:t>3</w:t>
      </w:r>
      <w:r>
        <w:rPr>
          <w:sz w:val="28"/>
          <w:szCs w:val="28"/>
        </w:rPr>
        <w:t xml:space="preserve"> г. се наблюдава </w:t>
      </w:r>
      <w:r>
        <w:rPr>
          <w:b/>
          <w:sz w:val="28"/>
          <w:szCs w:val="28"/>
        </w:rPr>
        <w:t>намаление</w:t>
      </w:r>
      <w:r>
        <w:rPr>
          <w:sz w:val="28"/>
          <w:szCs w:val="28"/>
        </w:rPr>
        <w:t xml:space="preserve"> на </w:t>
      </w:r>
      <w:r>
        <w:rPr>
          <w:b/>
          <w:sz w:val="28"/>
          <w:szCs w:val="28"/>
        </w:rPr>
        <w:t>преписките на ОП –Варна</w:t>
      </w:r>
      <w:r>
        <w:rPr>
          <w:sz w:val="28"/>
          <w:szCs w:val="28"/>
        </w:rPr>
        <w:t xml:space="preserve"> </w:t>
      </w:r>
      <w:r>
        <w:rPr>
          <w:b/>
          <w:sz w:val="28"/>
          <w:szCs w:val="28"/>
        </w:rPr>
        <w:t>с 33,02%</w:t>
      </w:r>
      <w:r>
        <w:rPr>
          <w:sz w:val="28"/>
          <w:szCs w:val="28"/>
        </w:rPr>
        <w:t xml:space="preserve"> спрямо 2022г. и </w:t>
      </w:r>
      <w:r>
        <w:rPr>
          <w:b/>
          <w:sz w:val="28"/>
          <w:szCs w:val="28"/>
        </w:rPr>
        <w:t>намаление с 32,38</w:t>
      </w:r>
      <w:r w:rsidR="00704100">
        <w:rPr>
          <w:b/>
          <w:sz w:val="28"/>
          <w:szCs w:val="28"/>
        </w:rPr>
        <w:t>%</w:t>
      </w:r>
      <w:r>
        <w:rPr>
          <w:sz w:val="28"/>
          <w:szCs w:val="28"/>
        </w:rPr>
        <w:t xml:space="preserve"> спрямо 2021г.</w:t>
      </w:r>
    </w:p>
    <w:p w:rsidR="00FD1270" w:rsidRDefault="00FD1270" w:rsidP="00FD1270">
      <w:pPr>
        <w:ind w:firstLine="709"/>
        <w:jc w:val="both"/>
        <w:rPr>
          <w:sz w:val="28"/>
          <w:szCs w:val="28"/>
        </w:rPr>
      </w:pPr>
      <w:r>
        <w:rPr>
          <w:sz w:val="28"/>
          <w:szCs w:val="28"/>
        </w:rPr>
        <w:t xml:space="preserve">През отчетната 2023г. броят на проверените </w:t>
      </w:r>
      <w:r>
        <w:rPr>
          <w:b/>
          <w:sz w:val="28"/>
          <w:szCs w:val="28"/>
        </w:rPr>
        <w:t>административни актове</w:t>
      </w:r>
      <w:r>
        <w:rPr>
          <w:sz w:val="28"/>
          <w:szCs w:val="28"/>
        </w:rPr>
        <w:t xml:space="preserve"> общо за </w:t>
      </w:r>
      <w:r>
        <w:rPr>
          <w:b/>
          <w:sz w:val="28"/>
          <w:szCs w:val="28"/>
        </w:rPr>
        <w:t>района на ОП – Варна е 3159, от които – 44 за ОП – Варна и</w:t>
      </w:r>
      <w:r>
        <w:rPr>
          <w:sz w:val="28"/>
          <w:szCs w:val="28"/>
        </w:rPr>
        <w:t xml:space="preserve"> </w:t>
      </w:r>
      <w:r>
        <w:rPr>
          <w:b/>
          <w:sz w:val="28"/>
          <w:szCs w:val="28"/>
        </w:rPr>
        <w:t>3115 –</w:t>
      </w:r>
      <w:r>
        <w:rPr>
          <w:sz w:val="28"/>
          <w:szCs w:val="28"/>
        </w:rPr>
        <w:t xml:space="preserve"> за РП – Варна.</w:t>
      </w:r>
    </w:p>
    <w:p w:rsidR="00FD1270" w:rsidRDefault="00FD1270" w:rsidP="00FD1270">
      <w:pPr>
        <w:ind w:firstLine="709"/>
        <w:jc w:val="both"/>
        <w:rPr>
          <w:sz w:val="28"/>
          <w:szCs w:val="28"/>
        </w:rPr>
      </w:pPr>
      <w:r>
        <w:rPr>
          <w:b/>
          <w:sz w:val="28"/>
          <w:szCs w:val="28"/>
        </w:rPr>
        <w:t>Изразени в проценти</w:t>
      </w:r>
      <w:r>
        <w:rPr>
          <w:sz w:val="28"/>
          <w:szCs w:val="28"/>
        </w:rPr>
        <w:t>, тези показатели са както следва:</w:t>
      </w:r>
    </w:p>
    <w:p w:rsidR="00FD1270" w:rsidRDefault="00FD1270" w:rsidP="00FD1270">
      <w:pPr>
        <w:ind w:firstLine="709"/>
        <w:jc w:val="both"/>
        <w:rPr>
          <w:sz w:val="28"/>
          <w:szCs w:val="28"/>
        </w:rPr>
      </w:pPr>
      <w:r>
        <w:rPr>
          <w:sz w:val="28"/>
          <w:szCs w:val="28"/>
        </w:rPr>
        <w:t xml:space="preserve">Броят на проверените административни актове </w:t>
      </w:r>
      <w:r>
        <w:rPr>
          <w:b/>
          <w:bCs/>
          <w:sz w:val="28"/>
          <w:szCs w:val="28"/>
        </w:rPr>
        <w:t>общо за района на ОП – Варн</w:t>
      </w:r>
      <w:r>
        <w:rPr>
          <w:sz w:val="28"/>
          <w:szCs w:val="28"/>
        </w:rPr>
        <w:t xml:space="preserve">а </w:t>
      </w:r>
      <w:r>
        <w:rPr>
          <w:b/>
          <w:sz w:val="28"/>
          <w:szCs w:val="28"/>
        </w:rPr>
        <w:t>през 2023г</w:t>
      </w:r>
      <w:r>
        <w:rPr>
          <w:sz w:val="28"/>
          <w:szCs w:val="28"/>
        </w:rPr>
        <w:t>. бележи незначително намаление</w:t>
      </w:r>
      <w:r>
        <w:rPr>
          <w:b/>
          <w:sz w:val="28"/>
          <w:szCs w:val="28"/>
        </w:rPr>
        <w:t xml:space="preserve"> с 1,34</w:t>
      </w:r>
      <w:r w:rsidR="00704100">
        <w:rPr>
          <w:b/>
          <w:sz w:val="28"/>
          <w:szCs w:val="28"/>
        </w:rPr>
        <w:t>%</w:t>
      </w:r>
      <w:r>
        <w:rPr>
          <w:sz w:val="28"/>
          <w:szCs w:val="28"/>
        </w:rPr>
        <w:t xml:space="preserve"> спрямо 2022г. и намаление </w:t>
      </w:r>
      <w:r>
        <w:rPr>
          <w:b/>
          <w:sz w:val="28"/>
          <w:szCs w:val="28"/>
        </w:rPr>
        <w:t>с 25,51</w:t>
      </w:r>
      <w:r>
        <w:rPr>
          <w:b/>
          <w:bCs/>
          <w:sz w:val="28"/>
          <w:szCs w:val="28"/>
        </w:rPr>
        <w:t>%</w:t>
      </w:r>
      <w:r>
        <w:rPr>
          <w:b/>
          <w:sz w:val="28"/>
          <w:szCs w:val="28"/>
        </w:rPr>
        <w:t xml:space="preserve"> спрямо 2021г.</w:t>
      </w:r>
      <w:r>
        <w:rPr>
          <w:sz w:val="28"/>
          <w:szCs w:val="28"/>
        </w:rPr>
        <w:t xml:space="preserve"> </w:t>
      </w:r>
    </w:p>
    <w:p w:rsidR="00FD1270" w:rsidRDefault="00FD1270" w:rsidP="00FD1270">
      <w:pPr>
        <w:ind w:firstLine="709"/>
        <w:jc w:val="both"/>
        <w:rPr>
          <w:sz w:val="28"/>
          <w:szCs w:val="28"/>
        </w:rPr>
      </w:pPr>
      <w:r>
        <w:rPr>
          <w:b/>
          <w:sz w:val="28"/>
          <w:szCs w:val="28"/>
        </w:rPr>
        <w:t>За ОП – Варна</w:t>
      </w:r>
      <w:r>
        <w:rPr>
          <w:sz w:val="28"/>
          <w:szCs w:val="28"/>
        </w:rPr>
        <w:t xml:space="preserve"> по този показател се наблюдава </w:t>
      </w:r>
      <w:r>
        <w:rPr>
          <w:b/>
          <w:sz w:val="28"/>
          <w:szCs w:val="28"/>
        </w:rPr>
        <w:t>увеличение от 57,14%</w:t>
      </w:r>
      <w:r>
        <w:rPr>
          <w:sz w:val="28"/>
          <w:szCs w:val="28"/>
        </w:rPr>
        <w:t xml:space="preserve"> спрямо 2022г </w:t>
      </w:r>
      <w:r>
        <w:rPr>
          <w:b/>
          <w:sz w:val="28"/>
          <w:szCs w:val="28"/>
        </w:rPr>
        <w:t>и намаление с 8,33%</w:t>
      </w:r>
      <w:r>
        <w:rPr>
          <w:sz w:val="28"/>
          <w:szCs w:val="28"/>
        </w:rPr>
        <w:t xml:space="preserve"> спрямо 2021г.</w:t>
      </w:r>
    </w:p>
    <w:p w:rsidR="00FD1270" w:rsidRDefault="00FD1270" w:rsidP="00FD1270">
      <w:pPr>
        <w:ind w:firstLine="709"/>
        <w:jc w:val="both"/>
        <w:rPr>
          <w:b/>
          <w:bCs/>
          <w:sz w:val="28"/>
          <w:szCs w:val="28"/>
        </w:rPr>
      </w:pPr>
      <w:r>
        <w:rPr>
          <w:b/>
          <w:sz w:val="28"/>
          <w:szCs w:val="28"/>
        </w:rPr>
        <w:t>През отчетната 2023г</w:t>
      </w:r>
      <w:r>
        <w:rPr>
          <w:sz w:val="28"/>
          <w:szCs w:val="28"/>
        </w:rPr>
        <w:t xml:space="preserve">. броят на подадените и разгледани </w:t>
      </w:r>
      <w:r>
        <w:rPr>
          <w:b/>
          <w:bCs/>
          <w:sz w:val="28"/>
          <w:szCs w:val="28"/>
        </w:rPr>
        <w:t>Предложения по чл.145 ал.1 т.6 от ЗСВ</w:t>
      </w:r>
      <w:r>
        <w:rPr>
          <w:sz w:val="28"/>
          <w:szCs w:val="28"/>
        </w:rPr>
        <w:t xml:space="preserve"> общо за района на ОП – Варна са </w:t>
      </w:r>
      <w:r>
        <w:rPr>
          <w:b/>
          <w:sz w:val="28"/>
          <w:szCs w:val="28"/>
        </w:rPr>
        <w:t>7</w:t>
      </w:r>
      <w:r>
        <w:rPr>
          <w:b/>
          <w:bCs/>
          <w:sz w:val="28"/>
          <w:szCs w:val="28"/>
        </w:rPr>
        <w:t>,</w:t>
      </w:r>
      <w:r>
        <w:rPr>
          <w:sz w:val="28"/>
          <w:szCs w:val="28"/>
        </w:rPr>
        <w:t xml:space="preserve"> подадени от</w:t>
      </w:r>
      <w:r>
        <w:rPr>
          <w:b/>
          <w:sz w:val="28"/>
          <w:szCs w:val="28"/>
        </w:rPr>
        <w:t xml:space="preserve"> ОП – Варна е 1</w:t>
      </w:r>
      <w:r>
        <w:rPr>
          <w:sz w:val="28"/>
          <w:szCs w:val="28"/>
        </w:rPr>
        <w:t>, от РП – Варна - 6.</w:t>
      </w:r>
    </w:p>
    <w:p w:rsidR="00FD1270" w:rsidRDefault="00FD1270" w:rsidP="00FD1270">
      <w:pPr>
        <w:ind w:firstLine="709"/>
        <w:jc w:val="both"/>
        <w:rPr>
          <w:sz w:val="28"/>
          <w:szCs w:val="28"/>
        </w:rPr>
      </w:pPr>
      <w:r>
        <w:rPr>
          <w:b/>
          <w:sz w:val="28"/>
          <w:szCs w:val="28"/>
        </w:rPr>
        <w:t>За ОП – Варна</w:t>
      </w:r>
      <w:r>
        <w:rPr>
          <w:sz w:val="28"/>
          <w:szCs w:val="28"/>
        </w:rPr>
        <w:t xml:space="preserve"> по този показател се наблюдава </w:t>
      </w:r>
      <w:r>
        <w:rPr>
          <w:b/>
          <w:sz w:val="28"/>
          <w:szCs w:val="28"/>
        </w:rPr>
        <w:t>намаление с 88,89%</w:t>
      </w:r>
      <w:r>
        <w:rPr>
          <w:sz w:val="28"/>
          <w:szCs w:val="28"/>
        </w:rPr>
        <w:t xml:space="preserve"> спрямо 2022г </w:t>
      </w:r>
      <w:r>
        <w:rPr>
          <w:b/>
          <w:sz w:val="28"/>
          <w:szCs w:val="28"/>
        </w:rPr>
        <w:t>и намаление с 94,12%</w:t>
      </w:r>
      <w:r>
        <w:rPr>
          <w:sz w:val="28"/>
          <w:szCs w:val="28"/>
        </w:rPr>
        <w:t xml:space="preserve"> спрямо 2021г.</w:t>
      </w:r>
    </w:p>
    <w:p w:rsidR="00FD1270" w:rsidRDefault="00FD1270" w:rsidP="00FD1270">
      <w:pPr>
        <w:ind w:firstLine="709"/>
        <w:jc w:val="both"/>
        <w:rPr>
          <w:bCs/>
          <w:sz w:val="28"/>
          <w:szCs w:val="28"/>
        </w:rPr>
      </w:pPr>
      <w:r>
        <w:rPr>
          <w:bCs/>
          <w:sz w:val="28"/>
          <w:szCs w:val="28"/>
        </w:rPr>
        <w:t xml:space="preserve">Изразено в проценти, по този показател </w:t>
      </w:r>
      <w:r>
        <w:rPr>
          <w:b/>
          <w:bCs/>
          <w:sz w:val="28"/>
          <w:szCs w:val="28"/>
        </w:rPr>
        <w:t>общо за района на ОП</w:t>
      </w:r>
      <w:r>
        <w:rPr>
          <w:bCs/>
          <w:sz w:val="28"/>
          <w:szCs w:val="28"/>
        </w:rPr>
        <w:t xml:space="preserve"> – Варна се наблюдава </w:t>
      </w:r>
      <w:r>
        <w:rPr>
          <w:b/>
          <w:bCs/>
          <w:sz w:val="28"/>
          <w:szCs w:val="28"/>
        </w:rPr>
        <w:t>намаление с 68,18%</w:t>
      </w:r>
      <w:r>
        <w:rPr>
          <w:bCs/>
          <w:sz w:val="28"/>
          <w:szCs w:val="28"/>
        </w:rPr>
        <w:t xml:space="preserve"> спрямо 2022г. и намаление с </w:t>
      </w:r>
      <w:r>
        <w:rPr>
          <w:b/>
          <w:bCs/>
          <w:sz w:val="28"/>
          <w:szCs w:val="28"/>
        </w:rPr>
        <w:t>81,58</w:t>
      </w:r>
      <w:r w:rsidR="00704100">
        <w:rPr>
          <w:b/>
          <w:bCs/>
          <w:sz w:val="28"/>
          <w:szCs w:val="28"/>
        </w:rPr>
        <w:t>%</w:t>
      </w:r>
      <w:r>
        <w:rPr>
          <w:bCs/>
          <w:sz w:val="28"/>
          <w:szCs w:val="28"/>
        </w:rPr>
        <w:t xml:space="preserve"> спрямо 2021г. </w:t>
      </w:r>
    </w:p>
    <w:p w:rsidR="00FD1270" w:rsidRDefault="00FD1270" w:rsidP="00FD1270">
      <w:pPr>
        <w:ind w:firstLine="709"/>
        <w:jc w:val="both"/>
        <w:rPr>
          <w:sz w:val="28"/>
          <w:szCs w:val="28"/>
          <w:lang w:val="en-US"/>
        </w:rPr>
      </w:pPr>
      <w:r>
        <w:rPr>
          <w:b/>
          <w:bCs/>
          <w:sz w:val="28"/>
          <w:szCs w:val="28"/>
        </w:rPr>
        <w:lastRenderedPageBreak/>
        <w:t xml:space="preserve">ОП – Варна </w:t>
      </w:r>
      <w:r>
        <w:rPr>
          <w:sz w:val="28"/>
          <w:szCs w:val="28"/>
        </w:rPr>
        <w:t xml:space="preserve">не е изготвяла предложения за възобновяване на административни производства по реда на чл. 102 във </w:t>
      </w:r>
      <w:proofErr w:type="spellStart"/>
      <w:r>
        <w:rPr>
          <w:sz w:val="28"/>
          <w:szCs w:val="28"/>
        </w:rPr>
        <w:t>вр</w:t>
      </w:r>
      <w:proofErr w:type="spellEnd"/>
      <w:r>
        <w:rPr>
          <w:sz w:val="28"/>
          <w:szCs w:val="28"/>
        </w:rPr>
        <w:t>. с чл. 99, т.1 от АПК през 2023г., както и през предходните 8 години.</w:t>
      </w:r>
    </w:p>
    <w:p w:rsidR="00FD1270" w:rsidRPr="00757155" w:rsidRDefault="00FD1270" w:rsidP="00757155">
      <w:pPr>
        <w:ind w:left="5" w:firstLine="704"/>
        <w:contextualSpacing/>
        <w:jc w:val="both"/>
        <w:rPr>
          <w:sz w:val="28"/>
          <w:szCs w:val="28"/>
        </w:rPr>
      </w:pPr>
      <w:r>
        <w:rPr>
          <w:b/>
          <w:spacing w:val="-4"/>
          <w:sz w:val="28"/>
          <w:szCs w:val="28"/>
        </w:rPr>
        <w:t xml:space="preserve">Приоритети и проблеми </w:t>
      </w:r>
      <w:r>
        <w:rPr>
          <w:b/>
          <w:spacing w:val="1"/>
          <w:sz w:val="28"/>
          <w:szCs w:val="28"/>
        </w:rPr>
        <w:t xml:space="preserve">в дейността на надзора за законност в районна прокуратура – </w:t>
      </w:r>
      <w:r>
        <w:rPr>
          <w:b/>
          <w:spacing w:val="-6"/>
          <w:sz w:val="28"/>
          <w:szCs w:val="28"/>
        </w:rPr>
        <w:t xml:space="preserve">Варна </w:t>
      </w:r>
      <w:r>
        <w:rPr>
          <w:spacing w:val="-6"/>
          <w:sz w:val="28"/>
          <w:szCs w:val="28"/>
        </w:rPr>
        <w:t xml:space="preserve">- </w:t>
      </w:r>
      <w:r>
        <w:rPr>
          <w:sz w:val="28"/>
          <w:szCs w:val="28"/>
        </w:rPr>
        <w:t xml:space="preserve">Приоритетите в дейността на Надзора за законност са в насока на продължаване на осъществяването на надзор върху контролните органи.   </w:t>
      </w:r>
    </w:p>
    <w:p w:rsidR="00FD1270" w:rsidRPr="00757155" w:rsidRDefault="00FD1270" w:rsidP="00757155">
      <w:pPr>
        <w:ind w:left="5" w:firstLine="704"/>
        <w:contextualSpacing/>
        <w:jc w:val="both"/>
        <w:rPr>
          <w:sz w:val="28"/>
          <w:szCs w:val="28"/>
        </w:rPr>
      </w:pPr>
      <w:r w:rsidRPr="00757155">
        <w:rPr>
          <w:sz w:val="28"/>
          <w:szCs w:val="28"/>
        </w:rPr>
        <w:t xml:space="preserve">През отчетната година по надзора продължиха да се извършват и проверки на наредбите на общинските съвети като по всички констатирани несъответствия със законите се подадоха протести до административния съд. </w:t>
      </w:r>
    </w:p>
    <w:p w:rsidR="00FD1270" w:rsidRPr="00757155" w:rsidRDefault="00FD1270" w:rsidP="00757155">
      <w:pPr>
        <w:shd w:val="clear" w:color="auto" w:fill="FFFFFF"/>
        <w:ind w:left="5" w:right="14" w:firstLine="710"/>
        <w:contextualSpacing/>
        <w:jc w:val="both"/>
        <w:rPr>
          <w:sz w:val="28"/>
          <w:szCs w:val="28"/>
        </w:rPr>
      </w:pPr>
      <w:r w:rsidRPr="00757155">
        <w:rPr>
          <w:sz w:val="28"/>
          <w:szCs w:val="28"/>
        </w:rPr>
        <w:t>В тази връзка са и предвидените планови задачи на ОП – Варна и  районната прокуратура.</w:t>
      </w:r>
    </w:p>
    <w:p w:rsidR="00FD1270" w:rsidRPr="00757155" w:rsidRDefault="00FD1270" w:rsidP="00757155">
      <w:pPr>
        <w:contextualSpacing/>
        <w:jc w:val="both"/>
        <w:rPr>
          <w:b/>
          <w:bCs/>
          <w:sz w:val="28"/>
          <w:szCs w:val="28"/>
        </w:rPr>
      </w:pPr>
      <w:r w:rsidRPr="00757155">
        <w:rPr>
          <w:spacing w:val="-5"/>
          <w:sz w:val="28"/>
          <w:szCs w:val="28"/>
          <w:lang w:val="en-US"/>
        </w:rPr>
        <w:t xml:space="preserve"> </w:t>
      </w:r>
      <w:r w:rsidRPr="00757155">
        <w:rPr>
          <w:spacing w:val="-5"/>
          <w:sz w:val="28"/>
          <w:szCs w:val="28"/>
        </w:rPr>
        <w:tab/>
        <w:t xml:space="preserve">Проблемите в дейността на надзора </w:t>
      </w:r>
      <w:r w:rsidRPr="00757155">
        <w:rPr>
          <w:spacing w:val="-1"/>
          <w:sz w:val="28"/>
          <w:szCs w:val="28"/>
        </w:rPr>
        <w:t xml:space="preserve">се състоят във високата натовареност на прокурорите от надзора. Всеки от прокурорите в надзора осъществява дейността си едновременно с текущата си работа, която включва решаване на преписки и досъдебни производства, ръководство и надзор по проверки и наказателни производства, явяване в съдебни заседания и подготовка за тях. </w:t>
      </w:r>
      <w:r w:rsidRPr="00757155">
        <w:rPr>
          <w:b/>
          <w:bCs/>
          <w:sz w:val="28"/>
          <w:szCs w:val="28"/>
        </w:rPr>
        <w:t xml:space="preserve">   </w:t>
      </w:r>
    </w:p>
    <w:p w:rsidR="00E51B93" w:rsidRPr="00757155" w:rsidRDefault="00E51B93"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D320E8" w:rsidRPr="00757155" w:rsidRDefault="00D320E8"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D320E8" w:rsidRPr="00757155" w:rsidRDefault="00D320E8"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D320E8" w:rsidRPr="00757155" w:rsidRDefault="00D320E8"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D320E8" w:rsidRPr="00757155" w:rsidRDefault="00D320E8"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D320E8" w:rsidRPr="00757155" w:rsidRDefault="00D320E8"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D320E8" w:rsidRPr="00757155" w:rsidRDefault="00D320E8"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8B1FBB" w:rsidRPr="00757155" w:rsidRDefault="008B1FBB"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8B1FBB" w:rsidRPr="00757155" w:rsidRDefault="008B1FBB"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8B1FBB" w:rsidRPr="00757155" w:rsidRDefault="008B1FBB"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8B1FBB" w:rsidRPr="00757155" w:rsidRDefault="008B1FBB"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8B1FBB" w:rsidRPr="00757155" w:rsidRDefault="008B1FBB"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8B1FBB" w:rsidRPr="00757155" w:rsidRDefault="008B1FBB"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8B1FBB" w:rsidRPr="00757155" w:rsidRDefault="008B1FBB"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8B1FBB" w:rsidRPr="00757155" w:rsidRDefault="008B1FBB"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8B1FBB" w:rsidRPr="00757155" w:rsidRDefault="008B1FBB"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8B1FBB" w:rsidRPr="00757155" w:rsidRDefault="008B1FBB"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8B1FBB" w:rsidRPr="00757155" w:rsidRDefault="008B1FBB"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D320E8" w:rsidRPr="00757155" w:rsidRDefault="00D320E8"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5050C7" w:rsidRPr="00757155" w:rsidRDefault="005050C7"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5050C7" w:rsidRPr="00757155" w:rsidRDefault="005050C7"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5050C7" w:rsidRPr="00757155" w:rsidRDefault="005050C7"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5050C7" w:rsidRPr="00757155" w:rsidRDefault="005050C7"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5050C7" w:rsidRPr="00757155" w:rsidRDefault="005050C7"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5050C7" w:rsidRPr="00757155" w:rsidRDefault="005050C7"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rPr>
      </w:pPr>
    </w:p>
    <w:p w:rsidR="005050C7" w:rsidRPr="00757155" w:rsidRDefault="005050C7" w:rsidP="00757155">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p>
    <w:p w:rsidR="007A7CE7" w:rsidRPr="00757155" w:rsidRDefault="007A7CE7" w:rsidP="00757155">
      <w:pPr>
        <w:pStyle w:val="15"/>
        <w:keepNext/>
        <w:keepLines/>
        <w:spacing w:after="0" w:line="240" w:lineRule="auto"/>
        <w:ind w:firstLine="709"/>
        <w:contextualSpacing/>
        <w:rPr>
          <w:rStyle w:val="afb"/>
          <w:b/>
          <w:i w:val="0"/>
          <w:color w:val="5F497A" w:themeColor="accent4" w:themeShade="BF"/>
          <w:sz w:val="28"/>
          <w:szCs w:val="28"/>
          <w:lang w:val="en-US"/>
        </w:rPr>
      </w:pPr>
      <w:bookmarkStart w:id="90" w:name="bookmark4"/>
      <w:r w:rsidRPr="00757155">
        <w:rPr>
          <w:rStyle w:val="afb"/>
          <w:b/>
          <w:i w:val="0"/>
          <w:color w:val="5F497A" w:themeColor="accent4" w:themeShade="BF"/>
          <w:sz w:val="28"/>
          <w:szCs w:val="28"/>
        </w:rPr>
        <w:lastRenderedPageBreak/>
        <w:t>РАЗДЕЛ V</w:t>
      </w:r>
      <w:bookmarkEnd w:id="90"/>
    </w:p>
    <w:p w:rsidR="007A7CE7" w:rsidRPr="00757155" w:rsidRDefault="007A7CE7" w:rsidP="00757155">
      <w:pPr>
        <w:pStyle w:val="15"/>
        <w:keepNext/>
        <w:keepLines/>
        <w:spacing w:after="0" w:line="240" w:lineRule="auto"/>
        <w:ind w:firstLine="709"/>
        <w:contextualSpacing/>
        <w:rPr>
          <w:rStyle w:val="afb"/>
          <w:b/>
          <w:i w:val="0"/>
          <w:color w:val="5F497A" w:themeColor="accent4" w:themeShade="BF"/>
          <w:sz w:val="28"/>
          <w:szCs w:val="28"/>
          <w:lang w:val="en-US"/>
        </w:rPr>
      </w:pPr>
    </w:p>
    <w:p w:rsidR="007A7CE7" w:rsidRPr="00757155" w:rsidRDefault="007A7CE7" w:rsidP="00757155">
      <w:pPr>
        <w:pStyle w:val="13"/>
        <w:spacing w:after="0" w:line="240" w:lineRule="auto"/>
        <w:ind w:firstLine="709"/>
        <w:contextualSpacing/>
        <w:jc w:val="center"/>
        <w:rPr>
          <w:rStyle w:val="afb"/>
          <w:i w:val="0"/>
          <w:color w:val="5F497A" w:themeColor="accent4" w:themeShade="BF"/>
          <w:sz w:val="28"/>
          <w:szCs w:val="28"/>
        </w:rPr>
      </w:pPr>
      <w:r w:rsidRPr="00757155">
        <w:rPr>
          <w:rStyle w:val="afb"/>
          <w:i w:val="0"/>
          <w:color w:val="5F497A" w:themeColor="accent4" w:themeShade="BF"/>
          <w:sz w:val="28"/>
          <w:szCs w:val="28"/>
        </w:rPr>
        <w:t>ПРИОРИТЕТИ В ДЕЙНОСТТА НА ПРОКУРАТУРАТА</w:t>
      </w:r>
      <w:r w:rsidRPr="00757155">
        <w:rPr>
          <w:b/>
          <w:bCs/>
          <w:iCs/>
          <w:color w:val="5F497A" w:themeColor="accent4" w:themeShade="BF"/>
          <w:sz w:val="28"/>
          <w:szCs w:val="28"/>
        </w:rPr>
        <w:br/>
      </w:r>
      <w:r w:rsidRPr="00757155">
        <w:rPr>
          <w:rStyle w:val="afb"/>
          <w:i w:val="0"/>
          <w:color w:val="5F497A" w:themeColor="accent4" w:themeShade="BF"/>
          <w:sz w:val="28"/>
          <w:szCs w:val="28"/>
        </w:rPr>
        <w:t>И НА РАЗСЛЕДВАЩИТЕ ОРГАНИ</w:t>
      </w:r>
    </w:p>
    <w:p w:rsidR="007A7CE7" w:rsidRPr="00757155" w:rsidRDefault="007A7CE7" w:rsidP="00757155">
      <w:pPr>
        <w:pStyle w:val="a3"/>
        <w:ind w:left="0" w:firstLine="567"/>
        <w:jc w:val="both"/>
        <w:rPr>
          <w:b/>
          <w:sz w:val="28"/>
          <w:szCs w:val="28"/>
          <w:lang w:val="en-US"/>
        </w:rPr>
      </w:pPr>
    </w:p>
    <w:p w:rsidR="007A7CE7" w:rsidRPr="00757155" w:rsidRDefault="007A7CE7" w:rsidP="0075184E">
      <w:pPr>
        <w:ind w:firstLine="709"/>
        <w:contextualSpacing/>
        <w:jc w:val="both"/>
        <w:rPr>
          <w:sz w:val="28"/>
          <w:szCs w:val="28"/>
        </w:rPr>
      </w:pPr>
      <w:r w:rsidRPr="00757155">
        <w:rPr>
          <w:sz w:val="28"/>
          <w:szCs w:val="28"/>
        </w:rPr>
        <w:t xml:space="preserve">Основният приоритет на Окръжна прокуратура - Варна и през 2024 г. ще бъде насочен към защитата на правата и законните интереси на гражданите, повишаване на общественото доверие в институцията и оправдаване на очакванията за независим и безкомпромисен пазител на законността. </w:t>
      </w:r>
    </w:p>
    <w:p w:rsidR="007A7CE7" w:rsidRPr="00757155" w:rsidRDefault="007A7CE7" w:rsidP="0075184E">
      <w:pPr>
        <w:ind w:firstLine="709"/>
        <w:contextualSpacing/>
        <w:jc w:val="both"/>
        <w:rPr>
          <w:sz w:val="28"/>
          <w:szCs w:val="28"/>
        </w:rPr>
      </w:pPr>
      <w:r w:rsidRPr="00757155">
        <w:rPr>
          <w:sz w:val="28"/>
          <w:szCs w:val="28"/>
        </w:rPr>
        <w:t xml:space="preserve">В тази връзка следва да бъдат продължени и усъвършенствани  въведените през преходните години добри практики, а именно:   </w:t>
      </w:r>
    </w:p>
    <w:p w:rsidR="007A7CE7" w:rsidRPr="00757155" w:rsidRDefault="007A7CE7" w:rsidP="0075184E">
      <w:pPr>
        <w:numPr>
          <w:ilvl w:val="0"/>
          <w:numId w:val="26"/>
        </w:numPr>
        <w:ind w:left="0" w:firstLine="709"/>
        <w:contextualSpacing/>
        <w:jc w:val="both"/>
        <w:rPr>
          <w:sz w:val="28"/>
          <w:szCs w:val="28"/>
        </w:rPr>
      </w:pPr>
      <w:r w:rsidRPr="00757155">
        <w:rPr>
          <w:sz w:val="28"/>
          <w:szCs w:val="28"/>
        </w:rPr>
        <w:t>Срочно решаване на преписки и дела – създадената в това отношение организация в ОП – Варна за ежеседмично следене  на срочността на разследванията, проверките по ЗСВ и срокове за прилагане мерките за неотклонение и другите мерки за процесуална принуда дават отлични резултати.</w:t>
      </w:r>
    </w:p>
    <w:p w:rsidR="007A7CE7" w:rsidRPr="00757155" w:rsidRDefault="007A7CE7" w:rsidP="0075184E">
      <w:pPr>
        <w:numPr>
          <w:ilvl w:val="0"/>
          <w:numId w:val="26"/>
        </w:numPr>
        <w:ind w:left="0" w:firstLine="709"/>
        <w:contextualSpacing/>
        <w:jc w:val="both"/>
        <w:rPr>
          <w:sz w:val="28"/>
          <w:szCs w:val="28"/>
        </w:rPr>
      </w:pPr>
      <w:r w:rsidRPr="00757155">
        <w:rPr>
          <w:sz w:val="28"/>
          <w:szCs w:val="28"/>
        </w:rPr>
        <w:t xml:space="preserve">Засилване на прилагането на екипния принцип при разследване на дела за тежки престъпления и на дела от особен обществен интерес. </w:t>
      </w:r>
    </w:p>
    <w:p w:rsidR="007A7CE7" w:rsidRPr="00757155" w:rsidRDefault="007A7CE7" w:rsidP="0075184E">
      <w:pPr>
        <w:numPr>
          <w:ilvl w:val="0"/>
          <w:numId w:val="26"/>
        </w:numPr>
        <w:ind w:left="0" w:firstLine="709"/>
        <w:contextualSpacing/>
        <w:jc w:val="both"/>
        <w:rPr>
          <w:sz w:val="28"/>
          <w:szCs w:val="28"/>
        </w:rPr>
      </w:pPr>
      <w:r w:rsidRPr="00757155">
        <w:rPr>
          <w:sz w:val="28"/>
          <w:szCs w:val="28"/>
        </w:rPr>
        <w:t>Използване в максимална степен на ресурса на следователите за възлагането им на дела по реда на чл. 194 ал.1, т. 4 НПК.</w:t>
      </w:r>
    </w:p>
    <w:p w:rsidR="007A7CE7" w:rsidRPr="00757155" w:rsidRDefault="007A7CE7" w:rsidP="0075184E">
      <w:pPr>
        <w:numPr>
          <w:ilvl w:val="0"/>
          <w:numId w:val="26"/>
        </w:numPr>
        <w:ind w:left="0" w:firstLine="709"/>
        <w:contextualSpacing/>
        <w:jc w:val="both"/>
        <w:rPr>
          <w:sz w:val="28"/>
          <w:szCs w:val="28"/>
        </w:rPr>
      </w:pPr>
      <w:r w:rsidRPr="00757155">
        <w:rPr>
          <w:sz w:val="28"/>
          <w:szCs w:val="28"/>
        </w:rPr>
        <w:t xml:space="preserve">Доразвиване и подобряване на нивото на взаимодействие с органите на МВР, Агенция „Митници“, ГД „БОП“, ДАНС и разследващите органи. </w:t>
      </w:r>
    </w:p>
    <w:p w:rsidR="007A7CE7" w:rsidRPr="00757155" w:rsidRDefault="007A7CE7" w:rsidP="0075184E">
      <w:pPr>
        <w:numPr>
          <w:ilvl w:val="0"/>
          <w:numId w:val="26"/>
        </w:numPr>
        <w:ind w:left="0" w:firstLine="709"/>
        <w:contextualSpacing/>
        <w:jc w:val="both"/>
        <w:rPr>
          <w:sz w:val="28"/>
          <w:szCs w:val="28"/>
        </w:rPr>
      </w:pPr>
      <w:r w:rsidRPr="00757155">
        <w:rPr>
          <w:sz w:val="28"/>
          <w:szCs w:val="28"/>
        </w:rPr>
        <w:t xml:space="preserve"> Активна работата по делата за корупционни престъпления, за престъпления, свързани със злоупотреба със средства на ЕС, както и тези, свързани с прането на пари и данъчните престъпления;</w:t>
      </w:r>
    </w:p>
    <w:p w:rsidR="007A7CE7" w:rsidRPr="00757155" w:rsidRDefault="007A7CE7" w:rsidP="0075184E">
      <w:pPr>
        <w:numPr>
          <w:ilvl w:val="0"/>
          <w:numId w:val="26"/>
        </w:numPr>
        <w:ind w:left="0" w:firstLine="709"/>
        <w:contextualSpacing/>
        <w:jc w:val="both"/>
        <w:rPr>
          <w:sz w:val="28"/>
          <w:szCs w:val="28"/>
        </w:rPr>
      </w:pPr>
      <w:r w:rsidRPr="00757155">
        <w:rPr>
          <w:sz w:val="28"/>
          <w:szCs w:val="28"/>
        </w:rPr>
        <w:t xml:space="preserve">Активен мониторинг спрямо делата за престъпления с предмет наркотични вещества. </w:t>
      </w:r>
    </w:p>
    <w:p w:rsidR="007A7CE7" w:rsidRPr="00757155" w:rsidRDefault="007A7CE7" w:rsidP="0075184E">
      <w:pPr>
        <w:numPr>
          <w:ilvl w:val="0"/>
          <w:numId w:val="26"/>
        </w:numPr>
        <w:ind w:left="0" w:firstLine="709"/>
        <w:contextualSpacing/>
        <w:jc w:val="both"/>
        <w:rPr>
          <w:sz w:val="28"/>
          <w:szCs w:val="28"/>
        </w:rPr>
      </w:pPr>
      <w:r w:rsidRPr="00757155">
        <w:rPr>
          <w:sz w:val="28"/>
          <w:szCs w:val="28"/>
        </w:rPr>
        <w:t xml:space="preserve">Продължаване на засиления контрол на делата срещу едни и същи обвиняем, съгласно Споразумението между ПРБ и МВР за взаимодействие в тази връзка.  </w:t>
      </w:r>
    </w:p>
    <w:p w:rsidR="007A7CE7" w:rsidRPr="00757155" w:rsidRDefault="007A7CE7" w:rsidP="0075184E">
      <w:pPr>
        <w:numPr>
          <w:ilvl w:val="0"/>
          <w:numId w:val="26"/>
        </w:numPr>
        <w:ind w:left="0" w:firstLine="709"/>
        <w:contextualSpacing/>
        <w:jc w:val="both"/>
        <w:rPr>
          <w:sz w:val="28"/>
          <w:szCs w:val="28"/>
        </w:rPr>
      </w:pPr>
      <w:r w:rsidRPr="00757155">
        <w:rPr>
          <w:sz w:val="28"/>
          <w:szCs w:val="28"/>
        </w:rPr>
        <w:t xml:space="preserve">Оптимизиране на ефективността на деловодната дейност и отстраняване на затрудненията при работата с УИС на ПРБ, своевременно въвеждане на данните в УИС и правилно отчитане на натовареността на прокурорите. </w:t>
      </w:r>
    </w:p>
    <w:p w:rsidR="007A7CE7" w:rsidRPr="00757155" w:rsidRDefault="007A7CE7" w:rsidP="0075184E">
      <w:pPr>
        <w:numPr>
          <w:ilvl w:val="0"/>
          <w:numId w:val="26"/>
        </w:numPr>
        <w:ind w:left="0" w:firstLine="709"/>
        <w:contextualSpacing/>
        <w:jc w:val="both"/>
        <w:rPr>
          <w:sz w:val="28"/>
          <w:szCs w:val="28"/>
        </w:rPr>
      </w:pPr>
      <w:r w:rsidRPr="00757155">
        <w:rPr>
          <w:sz w:val="28"/>
          <w:szCs w:val="28"/>
        </w:rPr>
        <w:t>Участие в обучения, организирани от Националния институт на правосъдието и Върховна прокуратура.</w:t>
      </w:r>
    </w:p>
    <w:p w:rsidR="007A7CE7" w:rsidRPr="00757155" w:rsidRDefault="007A7CE7" w:rsidP="0075184E">
      <w:pPr>
        <w:numPr>
          <w:ilvl w:val="0"/>
          <w:numId w:val="26"/>
        </w:numPr>
        <w:ind w:left="0" w:firstLine="709"/>
        <w:contextualSpacing/>
        <w:jc w:val="both"/>
        <w:rPr>
          <w:sz w:val="28"/>
          <w:szCs w:val="28"/>
        </w:rPr>
      </w:pPr>
      <w:r w:rsidRPr="00757155">
        <w:rPr>
          <w:sz w:val="28"/>
          <w:szCs w:val="28"/>
        </w:rPr>
        <w:t>Взаимодействие с Регионалното управление по образованието за осъществяване на съвместни мероприятия сред подрастващите, за популяризиране на дейността на прокуратурата, както и в областите, представляващи заплаха за тях.</w:t>
      </w:r>
    </w:p>
    <w:p w:rsidR="007A7CE7" w:rsidRPr="00757155" w:rsidRDefault="007A7CE7" w:rsidP="0075184E">
      <w:pPr>
        <w:numPr>
          <w:ilvl w:val="0"/>
          <w:numId w:val="26"/>
        </w:numPr>
        <w:ind w:left="0" w:firstLine="709"/>
        <w:contextualSpacing/>
        <w:jc w:val="both"/>
        <w:rPr>
          <w:sz w:val="28"/>
          <w:szCs w:val="28"/>
        </w:rPr>
      </w:pPr>
      <w:r w:rsidRPr="00757155">
        <w:rPr>
          <w:sz w:val="28"/>
          <w:szCs w:val="28"/>
        </w:rPr>
        <w:t>Водене на ефикасна медийна политика, в съответствие с указанията на Главния прокурор, която трябва да повиши доверието на гражданите в прокуратурата и да снижи обществения праг на търпимост към корупцията, което и ще стимулира увеличаване на сигналите за извършени престъпления.</w:t>
      </w:r>
    </w:p>
    <w:p w:rsidR="007A7CE7" w:rsidRPr="00757155" w:rsidRDefault="007A7CE7" w:rsidP="0075184E">
      <w:pPr>
        <w:widowControl w:val="0"/>
        <w:ind w:firstLine="709"/>
        <w:contextualSpacing/>
        <w:jc w:val="both"/>
        <w:rPr>
          <w:sz w:val="28"/>
          <w:szCs w:val="28"/>
        </w:rPr>
      </w:pPr>
    </w:p>
    <w:p w:rsidR="007A7CE7" w:rsidRPr="00757155" w:rsidRDefault="007A7CE7" w:rsidP="0075184E">
      <w:pPr>
        <w:ind w:firstLine="709"/>
        <w:contextualSpacing/>
        <w:jc w:val="both"/>
        <w:rPr>
          <w:sz w:val="28"/>
          <w:szCs w:val="28"/>
        </w:rPr>
      </w:pPr>
      <w:r w:rsidRPr="00757155">
        <w:rPr>
          <w:sz w:val="28"/>
          <w:szCs w:val="28"/>
        </w:rPr>
        <w:lastRenderedPageBreak/>
        <w:t>Горепосочените приоритети са само основата, върху която следва да се надграждат добрите практики за подобряване на работата като цяло и постигане на още по-добри резултати и през настоящата 2024 г.</w:t>
      </w:r>
    </w:p>
    <w:p w:rsidR="007A7CE7" w:rsidRPr="007A7CE7" w:rsidRDefault="007A7CE7" w:rsidP="0075184E">
      <w:pPr>
        <w:pStyle w:val="13"/>
        <w:tabs>
          <w:tab w:val="left" w:pos="898"/>
        </w:tabs>
        <w:spacing w:after="0" w:line="240" w:lineRule="auto"/>
        <w:ind w:left="1429" w:firstLine="0"/>
        <w:contextualSpacing/>
        <w:jc w:val="both"/>
        <w:rPr>
          <w:rStyle w:val="afb"/>
          <w:b w:val="0"/>
          <w:i w:val="0"/>
          <w:color w:val="5F497A" w:themeColor="accent4" w:themeShade="BF"/>
          <w:sz w:val="28"/>
          <w:szCs w:val="28"/>
          <w:lang w:val="en-US"/>
        </w:rPr>
      </w:pPr>
      <w:bookmarkStart w:id="91" w:name="_GoBack"/>
      <w:bookmarkEnd w:id="91"/>
    </w:p>
    <w:sectPr w:rsidR="007A7CE7" w:rsidRPr="007A7CE7" w:rsidSect="0028241C">
      <w:footerReference w:type="default" r:id="rId40"/>
      <w:pgSz w:w="11906" w:h="16838"/>
      <w:pgMar w:top="993" w:right="991" w:bottom="1276"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01E" w:rsidRDefault="0069001E" w:rsidP="00BA030E">
      <w:r>
        <w:separator/>
      </w:r>
    </w:p>
  </w:endnote>
  <w:endnote w:type="continuationSeparator" w:id="0">
    <w:p w:rsidR="0069001E" w:rsidRDefault="0069001E" w:rsidP="00BA0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390192"/>
      <w:docPartObj>
        <w:docPartGallery w:val="Page Numbers (Bottom of Page)"/>
        <w:docPartUnique/>
      </w:docPartObj>
    </w:sdtPr>
    <w:sdtEndPr/>
    <w:sdtContent>
      <w:p w:rsidR="00EE1836" w:rsidRPr="00EE1836" w:rsidRDefault="00EE1836">
        <w:pPr>
          <w:pStyle w:val="ac"/>
          <w:jc w:val="right"/>
        </w:pPr>
        <w:r w:rsidRPr="00EE1836">
          <w:fldChar w:fldCharType="begin"/>
        </w:r>
        <w:r w:rsidRPr="00EE1836">
          <w:instrText>PAGE   \* MERGEFORMAT</w:instrText>
        </w:r>
        <w:r w:rsidRPr="00EE1836">
          <w:fldChar w:fldCharType="separate"/>
        </w:r>
        <w:r w:rsidR="0075184E">
          <w:rPr>
            <w:noProof/>
          </w:rPr>
          <w:t>92</w:t>
        </w:r>
        <w:r w:rsidRPr="00EE1836">
          <w:fldChar w:fldCharType="end"/>
        </w:r>
      </w:p>
    </w:sdtContent>
  </w:sdt>
  <w:p w:rsidR="00EE1836" w:rsidRPr="00EE1836" w:rsidRDefault="00EE183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01E" w:rsidRDefault="0069001E" w:rsidP="00BA030E">
      <w:r>
        <w:separator/>
      </w:r>
    </w:p>
  </w:footnote>
  <w:footnote w:type="continuationSeparator" w:id="0">
    <w:p w:rsidR="0069001E" w:rsidRDefault="0069001E" w:rsidP="00BA03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E2CD4D2"/>
    <w:lvl w:ilvl="0">
      <w:numFmt w:val="bullet"/>
      <w:lvlText w:val="*"/>
      <w:lvlJc w:val="left"/>
    </w:lvl>
  </w:abstractNum>
  <w:abstractNum w:abstractNumId="1">
    <w:nsid w:val="011650F0"/>
    <w:multiLevelType w:val="hybridMultilevel"/>
    <w:tmpl w:val="59BE59F2"/>
    <w:lvl w:ilvl="0" w:tplc="7772B18C">
      <w:start w:val="1"/>
      <w:numFmt w:val="bullet"/>
      <w:lvlText w:val=""/>
      <w:lvlJc w:val="left"/>
      <w:pPr>
        <w:tabs>
          <w:tab w:val="num" w:pos="1777"/>
        </w:tabs>
        <w:ind w:left="1777" w:hanging="360"/>
      </w:pPr>
      <w:rPr>
        <w:rFonts w:ascii="Symbol" w:hAnsi="Symbol" w:hint="default"/>
      </w:rPr>
    </w:lvl>
    <w:lvl w:ilvl="1" w:tplc="04020003">
      <w:start w:val="1"/>
      <w:numFmt w:val="bullet"/>
      <w:lvlText w:val="o"/>
      <w:lvlJc w:val="left"/>
      <w:pPr>
        <w:tabs>
          <w:tab w:val="num" w:pos="2149"/>
        </w:tabs>
        <w:ind w:left="2149" w:hanging="360"/>
      </w:pPr>
      <w:rPr>
        <w:rFonts w:ascii="Courier New" w:hAnsi="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2">
    <w:nsid w:val="01996F90"/>
    <w:multiLevelType w:val="hybridMultilevel"/>
    <w:tmpl w:val="6CEC2466"/>
    <w:lvl w:ilvl="0" w:tplc="0ED0BBDC">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
    <w:nsid w:val="0C276489"/>
    <w:multiLevelType w:val="hybridMultilevel"/>
    <w:tmpl w:val="882A2EBC"/>
    <w:lvl w:ilvl="0" w:tplc="04020001">
      <w:start w:val="1"/>
      <w:numFmt w:val="bullet"/>
      <w:lvlText w:val=""/>
      <w:lvlJc w:val="left"/>
      <w:pPr>
        <w:ind w:left="644" w:hanging="360"/>
      </w:pPr>
      <w:rPr>
        <w:rFonts w:ascii="Symbol" w:hAnsi="Symbol" w:hint="default"/>
      </w:rPr>
    </w:lvl>
    <w:lvl w:ilvl="1" w:tplc="04020003">
      <w:start w:val="1"/>
      <w:numFmt w:val="bullet"/>
      <w:lvlText w:val="o"/>
      <w:lvlJc w:val="left"/>
      <w:pPr>
        <w:ind w:left="1866" w:hanging="360"/>
      </w:pPr>
      <w:rPr>
        <w:rFonts w:ascii="Courier New" w:hAnsi="Courier New" w:cs="Courier New" w:hint="default"/>
      </w:rPr>
    </w:lvl>
    <w:lvl w:ilvl="2" w:tplc="04020005">
      <w:start w:val="1"/>
      <w:numFmt w:val="bullet"/>
      <w:lvlText w:val=""/>
      <w:lvlJc w:val="left"/>
      <w:pPr>
        <w:ind w:left="2586" w:hanging="360"/>
      </w:pPr>
      <w:rPr>
        <w:rFonts w:ascii="Wingdings" w:hAnsi="Wingdings" w:hint="default"/>
      </w:rPr>
    </w:lvl>
    <w:lvl w:ilvl="3" w:tplc="04020001">
      <w:start w:val="1"/>
      <w:numFmt w:val="bullet"/>
      <w:lvlText w:val=""/>
      <w:lvlJc w:val="left"/>
      <w:pPr>
        <w:ind w:left="3306" w:hanging="360"/>
      </w:pPr>
      <w:rPr>
        <w:rFonts w:ascii="Symbol" w:hAnsi="Symbol" w:hint="default"/>
      </w:rPr>
    </w:lvl>
    <w:lvl w:ilvl="4" w:tplc="04020003">
      <w:start w:val="1"/>
      <w:numFmt w:val="bullet"/>
      <w:lvlText w:val="o"/>
      <w:lvlJc w:val="left"/>
      <w:pPr>
        <w:ind w:left="4026" w:hanging="360"/>
      </w:pPr>
      <w:rPr>
        <w:rFonts w:ascii="Courier New" w:hAnsi="Courier New" w:cs="Courier New" w:hint="default"/>
      </w:rPr>
    </w:lvl>
    <w:lvl w:ilvl="5" w:tplc="04020005">
      <w:start w:val="1"/>
      <w:numFmt w:val="bullet"/>
      <w:lvlText w:val=""/>
      <w:lvlJc w:val="left"/>
      <w:pPr>
        <w:ind w:left="4746" w:hanging="360"/>
      </w:pPr>
      <w:rPr>
        <w:rFonts w:ascii="Wingdings" w:hAnsi="Wingdings" w:hint="default"/>
      </w:rPr>
    </w:lvl>
    <w:lvl w:ilvl="6" w:tplc="04020001">
      <w:start w:val="1"/>
      <w:numFmt w:val="bullet"/>
      <w:lvlText w:val=""/>
      <w:lvlJc w:val="left"/>
      <w:pPr>
        <w:ind w:left="5466" w:hanging="360"/>
      </w:pPr>
      <w:rPr>
        <w:rFonts w:ascii="Symbol" w:hAnsi="Symbol" w:hint="default"/>
      </w:rPr>
    </w:lvl>
    <w:lvl w:ilvl="7" w:tplc="04020003">
      <w:start w:val="1"/>
      <w:numFmt w:val="bullet"/>
      <w:lvlText w:val="o"/>
      <w:lvlJc w:val="left"/>
      <w:pPr>
        <w:ind w:left="6186" w:hanging="360"/>
      </w:pPr>
      <w:rPr>
        <w:rFonts w:ascii="Courier New" w:hAnsi="Courier New" w:cs="Courier New" w:hint="default"/>
      </w:rPr>
    </w:lvl>
    <w:lvl w:ilvl="8" w:tplc="04020005">
      <w:start w:val="1"/>
      <w:numFmt w:val="bullet"/>
      <w:lvlText w:val=""/>
      <w:lvlJc w:val="left"/>
      <w:pPr>
        <w:ind w:left="6906" w:hanging="360"/>
      </w:pPr>
      <w:rPr>
        <w:rFonts w:ascii="Wingdings" w:hAnsi="Wingdings" w:hint="default"/>
      </w:rPr>
    </w:lvl>
  </w:abstractNum>
  <w:abstractNum w:abstractNumId="4">
    <w:nsid w:val="15EF2719"/>
    <w:multiLevelType w:val="multilevel"/>
    <w:tmpl w:val="3A6C97C8"/>
    <w:lvl w:ilvl="0">
      <w:start w:val="2"/>
      <w:numFmt w:val="decimal"/>
      <w:lvlText w:val="%1."/>
      <w:lvlJc w:val="left"/>
      <w:pPr>
        <w:ind w:left="420" w:hanging="420"/>
      </w:pPr>
      <w:rPr>
        <w:rFonts w:hint="default"/>
        <w:b/>
      </w:rPr>
    </w:lvl>
    <w:lvl w:ilvl="1">
      <w:start w:val="7"/>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5">
    <w:nsid w:val="1C081317"/>
    <w:multiLevelType w:val="hybridMultilevel"/>
    <w:tmpl w:val="779C16A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DC720F0"/>
    <w:multiLevelType w:val="hybridMultilevel"/>
    <w:tmpl w:val="BEBCB19E"/>
    <w:lvl w:ilvl="0" w:tplc="0402000B">
      <w:start w:val="1"/>
      <w:numFmt w:val="bullet"/>
      <w:lvlText w:val=""/>
      <w:lvlJc w:val="left"/>
      <w:pPr>
        <w:ind w:left="1146" w:hanging="360"/>
      </w:pPr>
      <w:rPr>
        <w:rFonts w:ascii="Wingdings" w:hAnsi="Wingdings"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7">
    <w:nsid w:val="1E640C07"/>
    <w:multiLevelType w:val="hybridMultilevel"/>
    <w:tmpl w:val="59D4A80E"/>
    <w:lvl w:ilvl="0" w:tplc="0402000F">
      <w:start w:val="1"/>
      <w:numFmt w:val="decimal"/>
      <w:lvlText w:val="%1."/>
      <w:lvlJc w:val="left"/>
      <w:pPr>
        <w:ind w:left="1960" w:hanging="720"/>
      </w:pPr>
    </w:lvl>
    <w:lvl w:ilvl="1" w:tplc="04020019">
      <w:start w:val="1"/>
      <w:numFmt w:val="lowerLetter"/>
      <w:lvlText w:val="%2."/>
      <w:lvlJc w:val="left"/>
      <w:pPr>
        <w:ind w:left="2320" w:hanging="360"/>
      </w:pPr>
    </w:lvl>
    <w:lvl w:ilvl="2" w:tplc="0402001B">
      <w:start w:val="1"/>
      <w:numFmt w:val="lowerRoman"/>
      <w:lvlText w:val="%3."/>
      <w:lvlJc w:val="right"/>
      <w:pPr>
        <w:ind w:left="3040" w:hanging="180"/>
      </w:pPr>
    </w:lvl>
    <w:lvl w:ilvl="3" w:tplc="0402000F">
      <w:start w:val="1"/>
      <w:numFmt w:val="decimal"/>
      <w:lvlText w:val="%4."/>
      <w:lvlJc w:val="left"/>
      <w:pPr>
        <w:ind w:left="3760" w:hanging="360"/>
      </w:pPr>
    </w:lvl>
    <w:lvl w:ilvl="4" w:tplc="04020019">
      <w:start w:val="1"/>
      <w:numFmt w:val="lowerLetter"/>
      <w:lvlText w:val="%5."/>
      <w:lvlJc w:val="left"/>
      <w:pPr>
        <w:ind w:left="4480" w:hanging="360"/>
      </w:pPr>
    </w:lvl>
    <w:lvl w:ilvl="5" w:tplc="0402001B">
      <w:start w:val="1"/>
      <w:numFmt w:val="lowerRoman"/>
      <w:lvlText w:val="%6."/>
      <w:lvlJc w:val="right"/>
      <w:pPr>
        <w:ind w:left="5200" w:hanging="180"/>
      </w:pPr>
    </w:lvl>
    <w:lvl w:ilvl="6" w:tplc="0402000F">
      <w:start w:val="1"/>
      <w:numFmt w:val="decimal"/>
      <w:lvlText w:val="%7."/>
      <w:lvlJc w:val="left"/>
      <w:pPr>
        <w:ind w:left="5920" w:hanging="360"/>
      </w:pPr>
    </w:lvl>
    <w:lvl w:ilvl="7" w:tplc="04020019">
      <w:start w:val="1"/>
      <w:numFmt w:val="lowerLetter"/>
      <w:lvlText w:val="%8."/>
      <w:lvlJc w:val="left"/>
      <w:pPr>
        <w:ind w:left="6640" w:hanging="360"/>
      </w:pPr>
    </w:lvl>
    <w:lvl w:ilvl="8" w:tplc="0402001B">
      <w:start w:val="1"/>
      <w:numFmt w:val="lowerRoman"/>
      <w:lvlText w:val="%9."/>
      <w:lvlJc w:val="right"/>
      <w:pPr>
        <w:ind w:left="7360" w:hanging="180"/>
      </w:pPr>
    </w:lvl>
  </w:abstractNum>
  <w:abstractNum w:abstractNumId="8">
    <w:nsid w:val="1F937580"/>
    <w:multiLevelType w:val="hybridMultilevel"/>
    <w:tmpl w:val="ED9401DE"/>
    <w:lvl w:ilvl="0" w:tplc="0402000D">
      <w:start w:val="1"/>
      <w:numFmt w:val="bullet"/>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9">
    <w:nsid w:val="24E76D09"/>
    <w:multiLevelType w:val="hybridMultilevel"/>
    <w:tmpl w:val="AE44E2D6"/>
    <w:lvl w:ilvl="0" w:tplc="349A7E52">
      <w:numFmt w:val="bullet"/>
      <w:lvlText w:val="-"/>
      <w:lvlJc w:val="left"/>
      <w:pPr>
        <w:ind w:left="1069" w:hanging="360"/>
      </w:pPr>
      <w:rPr>
        <w:rFonts w:ascii="Times New Roman" w:eastAsia="Calibri" w:hAnsi="Times New Roman" w:cs="Times New Roman" w:hint="default"/>
      </w:rPr>
    </w:lvl>
    <w:lvl w:ilvl="1" w:tplc="04020003">
      <w:start w:val="1"/>
      <w:numFmt w:val="bullet"/>
      <w:lvlText w:val="o"/>
      <w:lvlJc w:val="left"/>
      <w:pPr>
        <w:ind w:left="1789" w:hanging="360"/>
      </w:pPr>
      <w:rPr>
        <w:rFonts w:ascii="Courier New" w:hAnsi="Courier New" w:cs="Courier New" w:hint="default"/>
      </w:rPr>
    </w:lvl>
    <w:lvl w:ilvl="2" w:tplc="04020005">
      <w:start w:val="1"/>
      <w:numFmt w:val="bullet"/>
      <w:lvlText w:val=""/>
      <w:lvlJc w:val="left"/>
      <w:pPr>
        <w:ind w:left="2509" w:hanging="360"/>
      </w:pPr>
      <w:rPr>
        <w:rFonts w:ascii="Wingdings" w:hAnsi="Wingdings" w:hint="default"/>
      </w:rPr>
    </w:lvl>
    <w:lvl w:ilvl="3" w:tplc="04020001">
      <w:start w:val="1"/>
      <w:numFmt w:val="bullet"/>
      <w:lvlText w:val=""/>
      <w:lvlJc w:val="left"/>
      <w:pPr>
        <w:ind w:left="3229" w:hanging="360"/>
      </w:pPr>
      <w:rPr>
        <w:rFonts w:ascii="Symbol" w:hAnsi="Symbol" w:hint="default"/>
      </w:rPr>
    </w:lvl>
    <w:lvl w:ilvl="4" w:tplc="04020003">
      <w:start w:val="1"/>
      <w:numFmt w:val="bullet"/>
      <w:lvlText w:val="o"/>
      <w:lvlJc w:val="left"/>
      <w:pPr>
        <w:ind w:left="3949" w:hanging="360"/>
      </w:pPr>
      <w:rPr>
        <w:rFonts w:ascii="Courier New" w:hAnsi="Courier New" w:cs="Courier New" w:hint="default"/>
      </w:rPr>
    </w:lvl>
    <w:lvl w:ilvl="5" w:tplc="04020005">
      <w:start w:val="1"/>
      <w:numFmt w:val="bullet"/>
      <w:lvlText w:val=""/>
      <w:lvlJc w:val="left"/>
      <w:pPr>
        <w:ind w:left="4669" w:hanging="360"/>
      </w:pPr>
      <w:rPr>
        <w:rFonts w:ascii="Wingdings" w:hAnsi="Wingdings" w:hint="default"/>
      </w:rPr>
    </w:lvl>
    <w:lvl w:ilvl="6" w:tplc="04020001">
      <w:start w:val="1"/>
      <w:numFmt w:val="bullet"/>
      <w:lvlText w:val=""/>
      <w:lvlJc w:val="left"/>
      <w:pPr>
        <w:ind w:left="5389" w:hanging="360"/>
      </w:pPr>
      <w:rPr>
        <w:rFonts w:ascii="Symbol" w:hAnsi="Symbol" w:hint="default"/>
      </w:rPr>
    </w:lvl>
    <w:lvl w:ilvl="7" w:tplc="04020003">
      <w:start w:val="1"/>
      <w:numFmt w:val="bullet"/>
      <w:lvlText w:val="o"/>
      <w:lvlJc w:val="left"/>
      <w:pPr>
        <w:ind w:left="6109" w:hanging="360"/>
      </w:pPr>
      <w:rPr>
        <w:rFonts w:ascii="Courier New" w:hAnsi="Courier New" w:cs="Courier New" w:hint="default"/>
      </w:rPr>
    </w:lvl>
    <w:lvl w:ilvl="8" w:tplc="04020005">
      <w:start w:val="1"/>
      <w:numFmt w:val="bullet"/>
      <w:lvlText w:val=""/>
      <w:lvlJc w:val="left"/>
      <w:pPr>
        <w:ind w:left="6829" w:hanging="360"/>
      </w:pPr>
      <w:rPr>
        <w:rFonts w:ascii="Wingdings" w:hAnsi="Wingdings" w:hint="default"/>
      </w:rPr>
    </w:lvl>
  </w:abstractNum>
  <w:abstractNum w:abstractNumId="10">
    <w:nsid w:val="25F862A1"/>
    <w:multiLevelType w:val="hybridMultilevel"/>
    <w:tmpl w:val="24A889CA"/>
    <w:lvl w:ilvl="0" w:tplc="0402000F">
      <w:start w:val="1"/>
      <w:numFmt w:val="decimal"/>
      <w:lvlText w:val="%1."/>
      <w:lvlJc w:val="left"/>
      <w:pPr>
        <w:ind w:left="1429" w:hanging="360"/>
      </w:pPr>
    </w:lvl>
    <w:lvl w:ilvl="1" w:tplc="04020019">
      <w:start w:val="1"/>
      <w:numFmt w:val="lowerLetter"/>
      <w:lvlText w:val="%2."/>
      <w:lvlJc w:val="left"/>
      <w:pPr>
        <w:ind w:left="2149" w:hanging="360"/>
      </w:pPr>
    </w:lvl>
    <w:lvl w:ilvl="2" w:tplc="0402001B">
      <w:start w:val="1"/>
      <w:numFmt w:val="lowerRoman"/>
      <w:lvlText w:val="%3."/>
      <w:lvlJc w:val="right"/>
      <w:pPr>
        <w:ind w:left="2869" w:hanging="180"/>
      </w:pPr>
    </w:lvl>
    <w:lvl w:ilvl="3" w:tplc="0402000F">
      <w:start w:val="1"/>
      <w:numFmt w:val="decimal"/>
      <w:lvlText w:val="%4."/>
      <w:lvlJc w:val="left"/>
      <w:pPr>
        <w:ind w:left="3589" w:hanging="360"/>
      </w:pPr>
    </w:lvl>
    <w:lvl w:ilvl="4" w:tplc="04020019">
      <w:start w:val="1"/>
      <w:numFmt w:val="lowerLetter"/>
      <w:lvlText w:val="%5."/>
      <w:lvlJc w:val="left"/>
      <w:pPr>
        <w:ind w:left="4309" w:hanging="360"/>
      </w:pPr>
    </w:lvl>
    <w:lvl w:ilvl="5" w:tplc="0402001B">
      <w:start w:val="1"/>
      <w:numFmt w:val="lowerRoman"/>
      <w:lvlText w:val="%6."/>
      <w:lvlJc w:val="right"/>
      <w:pPr>
        <w:ind w:left="5029" w:hanging="180"/>
      </w:pPr>
    </w:lvl>
    <w:lvl w:ilvl="6" w:tplc="0402000F">
      <w:start w:val="1"/>
      <w:numFmt w:val="decimal"/>
      <w:lvlText w:val="%7."/>
      <w:lvlJc w:val="left"/>
      <w:pPr>
        <w:ind w:left="5749" w:hanging="360"/>
      </w:pPr>
    </w:lvl>
    <w:lvl w:ilvl="7" w:tplc="04020019">
      <w:start w:val="1"/>
      <w:numFmt w:val="lowerLetter"/>
      <w:lvlText w:val="%8."/>
      <w:lvlJc w:val="left"/>
      <w:pPr>
        <w:ind w:left="6469" w:hanging="360"/>
      </w:pPr>
    </w:lvl>
    <w:lvl w:ilvl="8" w:tplc="0402001B">
      <w:start w:val="1"/>
      <w:numFmt w:val="lowerRoman"/>
      <w:lvlText w:val="%9."/>
      <w:lvlJc w:val="right"/>
      <w:pPr>
        <w:ind w:left="7189" w:hanging="180"/>
      </w:pPr>
    </w:lvl>
  </w:abstractNum>
  <w:abstractNum w:abstractNumId="11">
    <w:nsid w:val="2A98419F"/>
    <w:multiLevelType w:val="multilevel"/>
    <w:tmpl w:val="7BB8E9A8"/>
    <w:lvl w:ilvl="0">
      <w:start w:val="2"/>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2">
    <w:nsid w:val="2F2017CF"/>
    <w:multiLevelType w:val="hybridMultilevel"/>
    <w:tmpl w:val="4588F5C2"/>
    <w:lvl w:ilvl="0" w:tplc="0402000D">
      <w:start w:val="1"/>
      <w:numFmt w:val="bullet"/>
      <w:lvlText w:val=""/>
      <w:lvlJc w:val="left"/>
      <w:pPr>
        <w:ind w:left="2007" w:hanging="360"/>
      </w:pPr>
      <w:rPr>
        <w:rFonts w:ascii="Wingdings" w:hAnsi="Wingdings" w:hint="default"/>
      </w:rPr>
    </w:lvl>
    <w:lvl w:ilvl="1" w:tplc="04020003" w:tentative="1">
      <w:start w:val="1"/>
      <w:numFmt w:val="bullet"/>
      <w:lvlText w:val="o"/>
      <w:lvlJc w:val="left"/>
      <w:pPr>
        <w:ind w:left="2727" w:hanging="360"/>
      </w:pPr>
      <w:rPr>
        <w:rFonts w:ascii="Courier New" w:hAnsi="Courier New" w:cs="Courier New" w:hint="default"/>
      </w:rPr>
    </w:lvl>
    <w:lvl w:ilvl="2" w:tplc="04020005" w:tentative="1">
      <w:start w:val="1"/>
      <w:numFmt w:val="bullet"/>
      <w:lvlText w:val=""/>
      <w:lvlJc w:val="left"/>
      <w:pPr>
        <w:ind w:left="3447" w:hanging="360"/>
      </w:pPr>
      <w:rPr>
        <w:rFonts w:ascii="Wingdings" w:hAnsi="Wingdings" w:hint="default"/>
      </w:rPr>
    </w:lvl>
    <w:lvl w:ilvl="3" w:tplc="04020001" w:tentative="1">
      <w:start w:val="1"/>
      <w:numFmt w:val="bullet"/>
      <w:lvlText w:val=""/>
      <w:lvlJc w:val="left"/>
      <w:pPr>
        <w:ind w:left="4167" w:hanging="360"/>
      </w:pPr>
      <w:rPr>
        <w:rFonts w:ascii="Symbol" w:hAnsi="Symbol" w:hint="default"/>
      </w:rPr>
    </w:lvl>
    <w:lvl w:ilvl="4" w:tplc="04020003" w:tentative="1">
      <w:start w:val="1"/>
      <w:numFmt w:val="bullet"/>
      <w:lvlText w:val="o"/>
      <w:lvlJc w:val="left"/>
      <w:pPr>
        <w:ind w:left="4887" w:hanging="360"/>
      </w:pPr>
      <w:rPr>
        <w:rFonts w:ascii="Courier New" w:hAnsi="Courier New" w:cs="Courier New" w:hint="default"/>
      </w:rPr>
    </w:lvl>
    <w:lvl w:ilvl="5" w:tplc="04020005" w:tentative="1">
      <w:start w:val="1"/>
      <w:numFmt w:val="bullet"/>
      <w:lvlText w:val=""/>
      <w:lvlJc w:val="left"/>
      <w:pPr>
        <w:ind w:left="5607" w:hanging="360"/>
      </w:pPr>
      <w:rPr>
        <w:rFonts w:ascii="Wingdings" w:hAnsi="Wingdings" w:hint="default"/>
      </w:rPr>
    </w:lvl>
    <w:lvl w:ilvl="6" w:tplc="04020001" w:tentative="1">
      <w:start w:val="1"/>
      <w:numFmt w:val="bullet"/>
      <w:lvlText w:val=""/>
      <w:lvlJc w:val="left"/>
      <w:pPr>
        <w:ind w:left="6327" w:hanging="360"/>
      </w:pPr>
      <w:rPr>
        <w:rFonts w:ascii="Symbol" w:hAnsi="Symbol" w:hint="default"/>
      </w:rPr>
    </w:lvl>
    <w:lvl w:ilvl="7" w:tplc="04020003" w:tentative="1">
      <w:start w:val="1"/>
      <w:numFmt w:val="bullet"/>
      <w:lvlText w:val="o"/>
      <w:lvlJc w:val="left"/>
      <w:pPr>
        <w:ind w:left="7047" w:hanging="360"/>
      </w:pPr>
      <w:rPr>
        <w:rFonts w:ascii="Courier New" w:hAnsi="Courier New" w:cs="Courier New" w:hint="default"/>
      </w:rPr>
    </w:lvl>
    <w:lvl w:ilvl="8" w:tplc="04020005" w:tentative="1">
      <w:start w:val="1"/>
      <w:numFmt w:val="bullet"/>
      <w:lvlText w:val=""/>
      <w:lvlJc w:val="left"/>
      <w:pPr>
        <w:ind w:left="7767" w:hanging="360"/>
      </w:pPr>
      <w:rPr>
        <w:rFonts w:ascii="Wingdings" w:hAnsi="Wingdings" w:hint="default"/>
      </w:rPr>
    </w:lvl>
  </w:abstractNum>
  <w:abstractNum w:abstractNumId="13">
    <w:nsid w:val="34182C36"/>
    <w:multiLevelType w:val="hybridMultilevel"/>
    <w:tmpl w:val="6B365FC6"/>
    <w:lvl w:ilvl="0" w:tplc="EDBE331A">
      <w:start w:val="1"/>
      <w:numFmt w:val="upperRoman"/>
      <w:lvlText w:val="%1."/>
      <w:lvlJc w:val="left"/>
      <w:pPr>
        <w:ind w:left="1960" w:hanging="720"/>
      </w:pPr>
    </w:lvl>
    <w:lvl w:ilvl="1" w:tplc="04020019">
      <w:start w:val="1"/>
      <w:numFmt w:val="lowerLetter"/>
      <w:lvlText w:val="%2."/>
      <w:lvlJc w:val="left"/>
      <w:pPr>
        <w:ind w:left="2320" w:hanging="360"/>
      </w:pPr>
    </w:lvl>
    <w:lvl w:ilvl="2" w:tplc="0402001B">
      <w:start w:val="1"/>
      <w:numFmt w:val="lowerRoman"/>
      <w:lvlText w:val="%3."/>
      <w:lvlJc w:val="right"/>
      <w:pPr>
        <w:ind w:left="3040" w:hanging="180"/>
      </w:pPr>
    </w:lvl>
    <w:lvl w:ilvl="3" w:tplc="0402000F">
      <w:start w:val="1"/>
      <w:numFmt w:val="decimal"/>
      <w:lvlText w:val="%4."/>
      <w:lvlJc w:val="left"/>
      <w:pPr>
        <w:ind w:left="3760" w:hanging="360"/>
      </w:pPr>
    </w:lvl>
    <w:lvl w:ilvl="4" w:tplc="04020019">
      <w:start w:val="1"/>
      <w:numFmt w:val="lowerLetter"/>
      <w:lvlText w:val="%5."/>
      <w:lvlJc w:val="left"/>
      <w:pPr>
        <w:ind w:left="4480" w:hanging="360"/>
      </w:pPr>
    </w:lvl>
    <w:lvl w:ilvl="5" w:tplc="0402001B">
      <w:start w:val="1"/>
      <w:numFmt w:val="lowerRoman"/>
      <w:lvlText w:val="%6."/>
      <w:lvlJc w:val="right"/>
      <w:pPr>
        <w:ind w:left="5200" w:hanging="180"/>
      </w:pPr>
    </w:lvl>
    <w:lvl w:ilvl="6" w:tplc="0402000F">
      <w:start w:val="1"/>
      <w:numFmt w:val="decimal"/>
      <w:lvlText w:val="%7."/>
      <w:lvlJc w:val="left"/>
      <w:pPr>
        <w:ind w:left="5920" w:hanging="360"/>
      </w:pPr>
    </w:lvl>
    <w:lvl w:ilvl="7" w:tplc="04020019">
      <w:start w:val="1"/>
      <w:numFmt w:val="lowerLetter"/>
      <w:lvlText w:val="%8."/>
      <w:lvlJc w:val="left"/>
      <w:pPr>
        <w:ind w:left="6640" w:hanging="360"/>
      </w:pPr>
    </w:lvl>
    <w:lvl w:ilvl="8" w:tplc="0402001B">
      <w:start w:val="1"/>
      <w:numFmt w:val="lowerRoman"/>
      <w:lvlText w:val="%9."/>
      <w:lvlJc w:val="right"/>
      <w:pPr>
        <w:ind w:left="7360" w:hanging="180"/>
      </w:pPr>
    </w:lvl>
  </w:abstractNum>
  <w:abstractNum w:abstractNumId="14">
    <w:nsid w:val="360F2AAB"/>
    <w:multiLevelType w:val="hybridMultilevel"/>
    <w:tmpl w:val="F52C5A52"/>
    <w:lvl w:ilvl="0" w:tplc="BA5C0FB8">
      <w:start w:val="1"/>
      <w:numFmt w:val="bullet"/>
      <w:lvlText w:val=""/>
      <w:lvlJc w:val="left"/>
      <w:pPr>
        <w:ind w:left="1146" w:hanging="360"/>
      </w:pPr>
      <w:rPr>
        <w:rFonts w:ascii="Symbol" w:hAnsi="Symbol" w:hint="default"/>
        <w:color w:val="000000" w:themeColor="text1"/>
      </w:rPr>
    </w:lvl>
    <w:lvl w:ilvl="1" w:tplc="04020003">
      <w:start w:val="1"/>
      <w:numFmt w:val="bullet"/>
      <w:lvlText w:val="o"/>
      <w:lvlJc w:val="left"/>
      <w:pPr>
        <w:ind w:left="1866" w:hanging="360"/>
      </w:pPr>
      <w:rPr>
        <w:rFonts w:ascii="Courier New" w:hAnsi="Courier New" w:cs="Courier New" w:hint="default"/>
      </w:rPr>
    </w:lvl>
    <w:lvl w:ilvl="2" w:tplc="04020005">
      <w:start w:val="1"/>
      <w:numFmt w:val="bullet"/>
      <w:lvlText w:val=""/>
      <w:lvlJc w:val="left"/>
      <w:pPr>
        <w:ind w:left="2586" w:hanging="360"/>
      </w:pPr>
      <w:rPr>
        <w:rFonts w:ascii="Wingdings" w:hAnsi="Wingdings" w:hint="default"/>
      </w:rPr>
    </w:lvl>
    <w:lvl w:ilvl="3" w:tplc="04020001">
      <w:start w:val="1"/>
      <w:numFmt w:val="bullet"/>
      <w:lvlText w:val=""/>
      <w:lvlJc w:val="left"/>
      <w:pPr>
        <w:ind w:left="3306" w:hanging="360"/>
      </w:pPr>
      <w:rPr>
        <w:rFonts w:ascii="Symbol" w:hAnsi="Symbol" w:hint="default"/>
      </w:rPr>
    </w:lvl>
    <w:lvl w:ilvl="4" w:tplc="04020003">
      <w:start w:val="1"/>
      <w:numFmt w:val="bullet"/>
      <w:lvlText w:val="o"/>
      <w:lvlJc w:val="left"/>
      <w:pPr>
        <w:ind w:left="4026" w:hanging="360"/>
      </w:pPr>
      <w:rPr>
        <w:rFonts w:ascii="Courier New" w:hAnsi="Courier New" w:cs="Courier New" w:hint="default"/>
      </w:rPr>
    </w:lvl>
    <w:lvl w:ilvl="5" w:tplc="04020005">
      <w:start w:val="1"/>
      <w:numFmt w:val="bullet"/>
      <w:lvlText w:val=""/>
      <w:lvlJc w:val="left"/>
      <w:pPr>
        <w:ind w:left="4746" w:hanging="360"/>
      </w:pPr>
      <w:rPr>
        <w:rFonts w:ascii="Wingdings" w:hAnsi="Wingdings" w:hint="default"/>
      </w:rPr>
    </w:lvl>
    <w:lvl w:ilvl="6" w:tplc="04020001">
      <w:start w:val="1"/>
      <w:numFmt w:val="bullet"/>
      <w:lvlText w:val=""/>
      <w:lvlJc w:val="left"/>
      <w:pPr>
        <w:ind w:left="5466" w:hanging="360"/>
      </w:pPr>
      <w:rPr>
        <w:rFonts w:ascii="Symbol" w:hAnsi="Symbol" w:hint="default"/>
      </w:rPr>
    </w:lvl>
    <w:lvl w:ilvl="7" w:tplc="04020003">
      <w:start w:val="1"/>
      <w:numFmt w:val="bullet"/>
      <w:lvlText w:val="o"/>
      <w:lvlJc w:val="left"/>
      <w:pPr>
        <w:ind w:left="6186" w:hanging="360"/>
      </w:pPr>
      <w:rPr>
        <w:rFonts w:ascii="Courier New" w:hAnsi="Courier New" w:cs="Courier New" w:hint="default"/>
      </w:rPr>
    </w:lvl>
    <w:lvl w:ilvl="8" w:tplc="04020005">
      <w:start w:val="1"/>
      <w:numFmt w:val="bullet"/>
      <w:lvlText w:val=""/>
      <w:lvlJc w:val="left"/>
      <w:pPr>
        <w:ind w:left="6906" w:hanging="360"/>
      </w:pPr>
      <w:rPr>
        <w:rFonts w:ascii="Wingdings" w:hAnsi="Wingdings" w:hint="default"/>
      </w:rPr>
    </w:lvl>
  </w:abstractNum>
  <w:abstractNum w:abstractNumId="15">
    <w:nsid w:val="3B7B287F"/>
    <w:multiLevelType w:val="hybridMultilevel"/>
    <w:tmpl w:val="808CF77C"/>
    <w:lvl w:ilvl="0" w:tplc="0402000D">
      <w:start w:val="1"/>
      <w:numFmt w:val="bullet"/>
      <w:lvlText w:val=""/>
      <w:lvlJc w:val="left"/>
      <w:pPr>
        <w:ind w:left="1080" w:hanging="360"/>
      </w:pPr>
      <w:rPr>
        <w:rFonts w:ascii="Wingdings" w:hAnsi="Wingdings" w:cs="Wingdings"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16">
    <w:nsid w:val="4C9B1A43"/>
    <w:multiLevelType w:val="hybridMultilevel"/>
    <w:tmpl w:val="D0223B68"/>
    <w:lvl w:ilvl="0" w:tplc="D28E2F88">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17">
    <w:nsid w:val="57BA5625"/>
    <w:multiLevelType w:val="hybridMultilevel"/>
    <w:tmpl w:val="52423DBA"/>
    <w:lvl w:ilvl="0" w:tplc="B14C452C">
      <w:start w:val="3"/>
      <w:numFmt w:val="upperRoman"/>
      <w:lvlText w:val="%1."/>
      <w:lvlJc w:val="left"/>
      <w:pPr>
        <w:ind w:left="1429" w:hanging="720"/>
      </w:p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18">
    <w:nsid w:val="583542C7"/>
    <w:multiLevelType w:val="hybridMultilevel"/>
    <w:tmpl w:val="10DE99D6"/>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9">
    <w:nsid w:val="599327DA"/>
    <w:multiLevelType w:val="hybridMultilevel"/>
    <w:tmpl w:val="31D067EE"/>
    <w:lvl w:ilvl="0" w:tplc="04020009">
      <w:start w:val="1"/>
      <w:numFmt w:val="bullet"/>
      <w:lvlText w:val=""/>
      <w:lvlJc w:val="left"/>
      <w:pPr>
        <w:ind w:left="1637"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
    <w:nsid w:val="61E56349"/>
    <w:multiLevelType w:val="hybridMultilevel"/>
    <w:tmpl w:val="F61AEFD6"/>
    <w:lvl w:ilvl="0" w:tplc="D3B0B11C">
      <w:start w:val="1"/>
      <w:numFmt w:val="decimal"/>
      <w:lvlText w:val="%1."/>
      <w:lvlJc w:val="left"/>
      <w:pPr>
        <w:ind w:left="1069" w:hanging="360"/>
      </w:p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21">
    <w:nsid w:val="6CE6009C"/>
    <w:multiLevelType w:val="hybridMultilevel"/>
    <w:tmpl w:val="DBFCF28E"/>
    <w:lvl w:ilvl="0" w:tplc="C1462DBC">
      <w:start w:val="1"/>
      <w:numFmt w:val="upperRoman"/>
      <w:lvlText w:val="%1."/>
      <w:lvlJc w:val="left"/>
      <w:pPr>
        <w:ind w:left="1429" w:hanging="720"/>
      </w:p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22">
    <w:nsid w:val="74820130"/>
    <w:multiLevelType w:val="multilevel"/>
    <w:tmpl w:val="55B80E52"/>
    <w:lvl w:ilvl="0">
      <w:start w:val="1"/>
      <w:numFmt w:val="decimal"/>
      <w:lvlText w:val="%1."/>
      <w:lvlJc w:val="left"/>
      <w:pPr>
        <w:ind w:left="675" w:hanging="675"/>
      </w:pPr>
      <w:rPr>
        <w:rFonts w:hint="default"/>
      </w:rPr>
    </w:lvl>
    <w:lvl w:ilvl="1">
      <w:start w:val="1"/>
      <w:numFmt w:val="decimal"/>
      <w:lvlText w:val="%1.%2."/>
      <w:lvlJc w:val="left"/>
      <w:pPr>
        <w:ind w:left="1661" w:hanging="720"/>
      </w:pPr>
      <w:rPr>
        <w:rFonts w:hint="default"/>
      </w:rPr>
    </w:lvl>
    <w:lvl w:ilvl="2">
      <w:start w:val="2"/>
      <w:numFmt w:val="decimal"/>
      <w:lvlText w:val="%1.%2.%3."/>
      <w:lvlJc w:val="left"/>
      <w:pPr>
        <w:ind w:left="2602" w:hanging="720"/>
      </w:pPr>
      <w:rPr>
        <w:rFonts w:hint="default"/>
      </w:rPr>
    </w:lvl>
    <w:lvl w:ilvl="3">
      <w:start w:val="1"/>
      <w:numFmt w:val="decimal"/>
      <w:lvlText w:val="%1.%2.%3.%4."/>
      <w:lvlJc w:val="left"/>
      <w:pPr>
        <w:ind w:left="3903" w:hanging="1080"/>
      </w:pPr>
      <w:rPr>
        <w:rFonts w:hint="default"/>
      </w:rPr>
    </w:lvl>
    <w:lvl w:ilvl="4">
      <w:start w:val="1"/>
      <w:numFmt w:val="decimal"/>
      <w:lvlText w:val="%1.%2.%3.%4.%5."/>
      <w:lvlJc w:val="left"/>
      <w:pPr>
        <w:ind w:left="4844" w:hanging="1080"/>
      </w:pPr>
      <w:rPr>
        <w:rFonts w:hint="default"/>
      </w:rPr>
    </w:lvl>
    <w:lvl w:ilvl="5">
      <w:start w:val="1"/>
      <w:numFmt w:val="decimal"/>
      <w:lvlText w:val="%1.%2.%3.%4.%5.%6."/>
      <w:lvlJc w:val="left"/>
      <w:pPr>
        <w:ind w:left="6145" w:hanging="1440"/>
      </w:pPr>
      <w:rPr>
        <w:rFonts w:hint="default"/>
      </w:rPr>
    </w:lvl>
    <w:lvl w:ilvl="6">
      <w:start w:val="1"/>
      <w:numFmt w:val="decimal"/>
      <w:lvlText w:val="%1.%2.%3.%4.%5.%6.%7."/>
      <w:lvlJc w:val="left"/>
      <w:pPr>
        <w:ind w:left="7446" w:hanging="1800"/>
      </w:pPr>
      <w:rPr>
        <w:rFonts w:hint="default"/>
      </w:rPr>
    </w:lvl>
    <w:lvl w:ilvl="7">
      <w:start w:val="1"/>
      <w:numFmt w:val="decimal"/>
      <w:lvlText w:val="%1.%2.%3.%4.%5.%6.%7.%8."/>
      <w:lvlJc w:val="left"/>
      <w:pPr>
        <w:ind w:left="8387" w:hanging="1800"/>
      </w:pPr>
      <w:rPr>
        <w:rFonts w:hint="default"/>
      </w:rPr>
    </w:lvl>
    <w:lvl w:ilvl="8">
      <w:start w:val="1"/>
      <w:numFmt w:val="decimal"/>
      <w:lvlText w:val="%1.%2.%3.%4.%5.%6.%7.%8.%9."/>
      <w:lvlJc w:val="left"/>
      <w:pPr>
        <w:ind w:left="9688" w:hanging="2160"/>
      </w:pPr>
      <w:rPr>
        <w:rFonts w:hint="default"/>
      </w:rPr>
    </w:lvl>
  </w:abstractNum>
  <w:abstractNum w:abstractNumId="23">
    <w:nsid w:val="74C6110E"/>
    <w:multiLevelType w:val="hybridMultilevel"/>
    <w:tmpl w:val="831E902C"/>
    <w:lvl w:ilvl="0" w:tplc="C02AA232">
      <w:start w:val="2"/>
      <w:numFmt w:val="bullet"/>
      <w:lvlText w:val="-"/>
      <w:lvlJc w:val="left"/>
      <w:pPr>
        <w:ind w:left="1068" w:hanging="360"/>
      </w:pPr>
      <w:rPr>
        <w:rFonts w:ascii="Times New Roman" w:eastAsia="Times New Roman" w:hAnsi="Times New Roman"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24">
    <w:nsid w:val="76270ACE"/>
    <w:multiLevelType w:val="hybridMultilevel"/>
    <w:tmpl w:val="50BA502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5">
    <w:nsid w:val="77FD0570"/>
    <w:multiLevelType w:val="hybridMultilevel"/>
    <w:tmpl w:val="4FC6E66C"/>
    <w:lvl w:ilvl="0" w:tplc="201ADE8C">
      <w:numFmt w:val="bullet"/>
      <w:lvlText w:val="-"/>
      <w:lvlJc w:val="left"/>
      <w:pPr>
        <w:ind w:left="786" w:hanging="360"/>
      </w:pPr>
      <w:rPr>
        <w:rFonts w:ascii="Times New Roman" w:eastAsia="Times New Roman" w:hAnsi="Times New Roman" w:cs="Times New Roman"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num w:numId="1">
    <w:abstractNumId w:val="0"/>
    <w:lvlOverride w:ilvl="0">
      <w:lvl w:ilvl="0">
        <w:numFmt w:val="bullet"/>
        <w:lvlText w:val="-"/>
        <w:legacy w:legacy="1" w:legacySpace="0" w:legacyIndent="140"/>
        <w:lvlJc w:val="left"/>
        <w:pPr>
          <w:ind w:left="0" w:firstLine="0"/>
        </w:pPr>
        <w:rPr>
          <w:rFonts w:ascii="Times New Roman" w:hAnsi="Times New Roman" w:cs="Times New Roman" w:hint="default"/>
        </w:rPr>
      </w:lvl>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5"/>
  </w:num>
  <w:num w:numId="14">
    <w:abstractNumId w:val="3"/>
  </w:num>
  <w:num w:numId="15">
    <w:abstractNumId w:val="6"/>
  </w:num>
  <w:num w:numId="16">
    <w:abstractNumId w:val="8"/>
  </w:num>
  <w:num w:numId="17">
    <w:abstractNumId w:val="14"/>
  </w:num>
  <w:num w:numId="18">
    <w:abstractNumId w:val="18"/>
  </w:num>
  <w:num w:numId="19">
    <w:abstractNumId w:val="25"/>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
  </w:num>
  <w:num w:numId="23">
    <w:abstractNumId w:val="12"/>
  </w:num>
  <w:num w:numId="24">
    <w:abstractNumId w:val="24"/>
  </w:num>
  <w:num w:numId="25">
    <w:abstractNumId w:val="9"/>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CA6"/>
    <w:rsid w:val="000059A2"/>
    <w:rsid w:val="000071A0"/>
    <w:rsid w:val="00007DBB"/>
    <w:rsid w:val="00010418"/>
    <w:rsid w:val="00015578"/>
    <w:rsid w:val="00023F87"/>
    <w:rsid w:val="000344CB"/>
    <w:rsid w:val="00034DB2"/>
    <w:rsid w:val="0004450F"/>
    <w:rsid w:val="00056E3B"/>
    <w:rsid w:val="000570D9"/>
    <w:rsid w:val="00065911"/>
    <w:rsid w:val="000822E7"/>
    <w:rsid w:val="0008448B"/>
    <w:rsid w:val="000875E9"/>
    <w:rsid w:val="00087E58"/>
    <w:rsid w:val="000936CA"/>
    <w:rsid w:val="000A05E0"/>
    <w:rsid w:val="000A71F4"/>
    <w:rsid w:val="000C144E"/>
    <w:rsid w:val="000D2DDF"/>
    <w:rsid w:val="000F30B9"/>
    <w:rsid w:val="001200B9"/>
    <w:rsid w:val="00126551"/>
    <w:rsid w:val="00126A89"/>
    <w:rsid w:val="00130438"/>
    <w:rsid w:val="001470D6"/>
    <w:rsid w:val="0015083F"/>
    <w:rsid w:val="00153380"/>
    <w:rsid w:val="00161D31"/>
    <w:rsid w:val="00165AAE"/>
    <w:rsid w:val="00165BEB"/>
    <w:rsid w:val="0017465C"/>
    <w:rsid w:val="00177941"/>
    <w:rsid w:val="00181035"/>
    <w:rsid w:val="00182CF5"/>
    <w:rsid w:val="00182FBD"/>
    <w:rsid w:val="00192188"/>
    <w:rsid w:val="001A0232"/>
    <w:rsid w:val="001A3F6D"/>
    <w:rsid w:val="001B3CA6"/>
    <w:rsid w:val="001C0082"/>
    <w:rsid w:val="001C15C6"/>
    <w:rsid w:val="001C2DF4"/>
    <w:rsid w:val="001F2B13"/>
    <w:rsid w:val="001F50B7"/>
    <w:rsid w:val="00207F96"/>
    <w:rsid w:val="00216433"/>
    <w:rsid w:val="00234ADF"/>
    <w:rsid w:val="00237618"/>
    <w:rsid w:val="00241F86"/>
    <w:rsid w:val="00246C08"/>
    <w:rsid w:val="00270897"/>
    <w:rsid w:val="00272754"/>
    <w:rsid w:val="00274AE2"/>
    <w:rsid w:val="002752BE"/>
    <w:rsid w:val="00275A13"/>
    <w:rsid w:val="00276207"/>
    <w:rsid w:val="0027769D"/>
    <w:rsid w:val="0028241C"/>
    <w:rsid w:val="00287342"/>
    <w:rsid w:val="0029067E"/>
    <w:rsid w:val="002925EA"/>
    <w:rsid w:val="002B07C7"/>
    <w:rsid w:val="002B4675"/>
    <w:rsid w:val="002B75E5"/>
    <w:rsid w:val="002D1C1F"/>
    <w:rsid w:val="002E1C4E"/>
    <w:rsid w:val="002E30E5"/>
    <w:rsid w:val="002E3B48"/>
    <w:rsid w:val="002E5D52"/>
    <w:rsid w:val="002F0DCD"/>
    <w:rsid w:val="002F685B"/>
    <w:rsid w:val="002F69F9"/>
    <w:rsid w:val="00304B23"/>
    <w:rsid w:val="003058D6"/>
    <w:rsid w:val="00307CE6"/>
    <w:rsid w:val="003118BF"/>
    <w:rsid w:val="00311C39"/>
    <w:rsid w:val="00315176"/>
    <w:rsid w:val="00330C67"/>
    <w:rsid w:val="00332857"/>
    <w:rsid w:val="00334153"/>
    <w:rsid w:val="00345FB8"/>
    <w:rsid w:val="0035500B"/>
    <w:rsid w:val="00360389"/>
    <w:rsid w:val="00367142"/>
    <w:rsid w:val="00387BAC"/>
    <w:rsid w:val="00390845"/>
    <w:rsid w:val="003935F0"/>
    <w:rsid w:val="003A2899"/>
    <w:rsid w:val="003B3D58"/>
    <w:rsid w:val="003C03F3"/>
    <w:rsid w:val="003C119A"/>
    <w:rsid w:val="003C50FE"/>
    <w:rsid w:val="003C7B49"/>
    <w:rsid w:val="003D776E"/>
    <w:rsid w:val="003E3928"/>
    <w:rsid w:val="003E441F"/>
    <w:rsid w:val="003F001D"/>
    <w:rsid w:val="00400AFB"/>
    <w:rsid w:val="0040758B"/>
    <w:rsid w:val="00417DCC"/>
    <w:rsid w:val="0044192B"/>
    <w:rsid w:val="00444BD6"/>
    <w:rsid w:val="0045002B"/>
    <w:rsid w:val="0046696C"/>
    <w:rsid w:val="004827F3"/>
    <w:rsid w:val="00484000"/>
    <w:rsid w:val="00484A2B"/>
    <w:rsid w:val="004904CF"/>
    <w:rsid w:val="004C6C4C"/>
    <w:rsid w:val="005050C7"/>
    <w:rsid w:val="00510880"/>
    <w:rsid w:val="00512CAE"/>
    <w:rsid w:val="0052331A"/>
    <w:rsid w:val="005268BC"/>
    <w:rsid w:val="00543F5E"/>
    <w:rsid w:val="00567584"/>
    <w:rsid w:val="00585ECB"/>
    <w:rsid w:val="0058701D"/>
    <w:rsid w:val="00587C55"/>
    <w:rsid w:val="005A4373"/>
    <w:rsid w:val="005A6C57"/>
    <w:rsid w:val="005B25F5"/>
    <w:rsid w:val="005B3611"/>
    <w:rsid w:val="005B7D33"/>
    <w:rsid w:val="005C0B7B"/>
    <w:rsid w:val="005E20D8"/>
    <w:rsid w:val="005E36E9"/>
    <w:rsid w:val="00604FBF"/>
    <w:rsid w:val="00612072"/>
    <w:rsid w:val="006218D1"/>
    <w:rsid w:val="00622436"/>
    <w:rsid w:val="006249AC"/>
    <w:rsid w:val="00635BE2"/>
    <w:rsid w:val="00642A46"/>
    <w:rsid w:val="0064643B"/>
    <w:rsid w:val="00647618"/>
    <w:rsid w:val="006539EA"/>
    <w:rsid w:val="00656924"/>
    <w:rsid w:val="00666BA6"/>
    <w:rsid w:val="006875DE"/>
    <w:rsid w:val="0069001E"/>
    <w:rsid w:val="00690EDC"/>
    <w:rsid w:val="00691AA1"/>
    <w:rsid w:val="00696D66"/>
    <w:rsid w:val="006973B2"/>
    <w:rsid w:val="006D6143"/>
    <w:rsid w:val="006D7857"/>
    <w:rsid w:val="006E7434"/>
    <w:rsid w:val="007017D8"/>
    <w:rsid w:val="00704100"/>
    <w:rsid w:val="00704528"/>
    <w:rsid w:val="00707B74"/>
    <w:rsid w:val="00713706"/>
    <w:rsid w:val="00716ABD"/>
    <w:rsid w:val="007310F1"/>
    <w:rsid w:val="00731A2E"/>
    <w:rsid w:val="00733E2C"/>
    <w:rsid w:val="00736CF7"/>
    <w:rsid w:val="0075184E"/>
    <w:rsid w:val="00757155"/>
    <w:rsid w:val="00760FB7"/>
    <w:rsid w:val="0076381C"/>
    <w:rsid w:val="00765A95"/>
    <w:rsid w:val="00770F7B"/>
    <w:rsid w:val="007833EF"/>
    <w:rsid w:val="00784C5F"/>
    <w:rsid w:val="007A3AF5"/>
    <w:rsid w:val="007A7CE7"/>
    <w:rsid w:val="007B3155"/>
    <w:rsid w:val="007B793F"/>
    <w:rsid w:val="007D06C1"/>
    <w:rsid w:val="007D4650"/>
    <w:rsid w:val="007D7241"/>
    <w:rsid w:val="007D73C3"/>
    <w:rsid w:val="007E39EE"/>
    <w:rsid w:val="007E5924"/>
    <w:rsid w:val="00810CFA"/>
    <w:rsid w:val="00815F26"/>
    <w:rsid w:val="0081632F"/>
    <w:rsid w:val="00824576"/>
    <w:rsid w:val="00824A73"/>
    <w:rsid w:val="0082659A"/>
    <w:rsid w:val="00842516"/>
    <w:rsid w:val="00857A80"/>
    <w:rsid w:val="00861539"/>
    <w:rsid w:val="00871BEA"/>
    <w:rsid w:val="00884F5C"/>
    <w:rsid w:val="00892557"/>
    <w:rsid w:val="008B1FBB"/>
    <w:rsid w:val="008E6116"/>
    <w:rsid w:val="008E6B18"/>
    <w:rsid w:val="008F43EB"/>
    <w:rsid w:val="0091010D"/>
    <w:rsid w:val="00922B37"/>
    <w:rsid w:val="00936D98"/>
    <w:rsid w:val="00943C1B"/>
    <w:rsid w:val="00954BDB"/>
    <w:rsid w:val="00970729"/>
    <w:rsid w:val="00973BBD"/>
    <w:rsid w:val="00976165"/>
    <w:rsid w:val="00980D1C"/>
    <w:rsid w:val="00983BAB"/>
    <w:rsid w:val="00995FAF"/>
    <w:rsid w:val="009A6A3A"/>
    <w:rsid w:val="009B2546"/>
    <w:rsid w:val="009C306F"/>
    <w:rsid w:val="009E1047"/>
    <w:rsid w:val="009E4B50"/>
    <w:rsid w:val="00A02247"/>
    <w:rsid w:val="00A324E1"/>
    <w:rsid w:val="00A41FA3"/>
    <w:rsid w:val="00A51FAD"/>
    <w:rsid w:val="00A614C4"/>
    <w:rsid w:val="00A64AAB"/>
    <w:rsid w:val="00A65EF9"/>
    <w:rsid w:val="00A712BB"/>
    <w:rsid w:val="00A776E7"/>
    <w:rsid w:val="00A80C99"/>
    <w:rsid w:val="00A91F5F"/>
    <w:rsid w:val="00AA4A77"/>
    <w:rsid w:val="00AA5AF1"/>
    <w:rsid w:val="00AC2706"/>
    <w:rsid w:val="00AC5BB1"/>
    <w:rsid w:val="00AD6B89"/>
    <w:rsid w:val="00AF34AD"/>
    <w:rsid w:val="00B15C75"/>
    <w:rsid w:val="00B23A1E"/>
    <w:rsid w:val="00B24A39"/>
    <w:rsid w:val="00B25A01"/>
    <w:rsid w:val="00B3027E"/>
    <w:rsid w:val="00B352AB"/>
    <w:rsid w:val="00B36FDD"/>
    <w:rsid w:val="00B657E3"/>
    <w:rsid w:val="00B66CAC"/>
    <w:rsid w:val="00B85641"/>
    <w:rsid w:val="00BA030E"/>
    <w:rsid w:val="00BA50DB"/>
    <w:rsid w:val="00BB261D"/>
    <w:rsid w:val="00BB38BC"/>
    <w:rsid w:val="00BE2A33"/>
    <w:rsid w:val="00BE40F2"/>
    <w:rsid w:val="00BE7428"/>
    <w:rsid w:val="00BF13C8"/>
    <w:rsid w:val="00C00AA4"/>
    <w:rsid w:val="00C1019B"/>
    <w:rsid w:val="00C10503"/>
    <w:rsid w:val="00C138FA"/>
    <w:rsid w:val="00C2378A"/>
    <w:rsid w:val="00C23A93"/>
    <w:rsid w:val="00C3204B"/>
    <w:rsid w:val="00C41751"/>
    <w:rsid w:val="00C527A0"/>
    <w:rsid w:val="00C629D2"/>
    <w:rsid w:val="00C6666F"/>
    <w:rsid w:val="00C775F3"/>
    <w:rsid w:val="00C8782D"/>
    <w:rsid w:val="00CB00D3"/>
    <w:rsid w:val="00CB1C05"/>
    <w:rsid w:val="00CB1C65"/>
    <w:rsid w:val="00CB549C"/>
    <w:rsid w:val="00CB5A2C"/>
    <w:rsid w:val="00CC7029"/>
    <w:rsid w:val="00CD64D3"/>
    <w:rsid w:val="00CF2A36"/>
    <w:rsid w:val="00CF5FA7"/>
    <w:rsid w:val="00D02600"/>
    <w:rsid w:val="00D206D8"/>
    <w:rsid w:val="00D2578F"/>
    <w:rsid w:val="00D270FE"/>
    <w:rsid w:val="00D320E8"/>
    <w:rsid w:val="00D34169"/>
    <w:rsid w:val="00D44455"/>
    <w:rsid w:val="00D47BC0"/>
    <w:rsid w:val="00D52B18"/>
    <w:rsid w:val="00D53C49"/>
    <w:rsid w:val="00D60693"/>
    <w:rsid w:val="00D63AA4"/>
    <w:rsid w:val="00D67DF9"/>
    <w:rsid w:val="00D71B21"/>
    <w:rsid w:val="00D757D3"/>
    <w:rsid w:val="00D774A4"/>
    <w:rsid w:val="00D80644"/>
    <w:rsid w:val="00D8439D"/>
    <w:rsid w:val="00D90FA1"/>
    <w:rsid w:val="00D966CA"/>
    <w:rsid w:val="00DA0CF8"/>
    <w:rsid w:val="00DB6552"/>
    <w:rsid w:val="00DC49E1"/>
    <w:rsid w:val="00DD31E9"/>
    <w:rsid w:val="00DF484C"/>
    <w:rsid w:val="00DF5887"/>
    <w:rsid w:val="00E002DE"/>
    <w:rsid w:val="00E17ABD"/>
    <w:rsid w:val="00E24C0E"/>
    <w:rsid w:val="00E31183"/>
    <w:rsid w:val="00E35298"/>
    <w:rsid w:val="00E42500"/>
    <w:rsid w:val="00E46B1E"/>
    <w:rsid w:val="00E51B93"/>
    <w:rsid w:val="00E5590F"/>
    <w:rsid w:val="00E61EBB"/>
    <w:rsid w:val="00E63280"/>
    <w:rsid w:val="00E75FDC"/>
    <w:rsid w:val="00E85C9C"/>
    <w:rsid w:val="00EA6AE7"/>
    <w:rsid w:val="00EB1CBC"/>
    <w:rsid w:val="00EB2026"/>
    <w:rsid w:val="00EB7F5F"/>
    <w:rsid w:val="00ED4680"/>
    <w:rsid w:val="00EE1836"/>
    <w:rsid w:val="00F0020F"/>
    <w:rsid w:val="00F164D9"/>
    <w:rsid w:val="00F24528"/>
    <w:rsid w:val="00F25126"/>
    <w:rsid w:val="00F47820"/>
    <w:rsid w:val="00F67F61"/>
    <w:rsid w:val="00F71113"/>
    <w:rsid w:val="00F7168B"/>
    <w:rsid w:val="00F77989"/>
    <w:rsid w:val="00F858D8"/>
    <w:rsid w:val="00F92DFD"/>
    <w:rsid w:val="00F9753A"/>
    <w:rsid w:val="00FA08E3"/>
    <w:rsid w:val="00FA2227"/>
    <w:rsid w:val="00FB24A7"/>
    <w:rsid w:val="00FC5821"/>
    <w:rsid w:val="00FC5F9D"/>
    <w:rsid w:val="00FD0EB3"/>
    <w:rsid w:val="00FD1270"/>
    <w:rsid w:val="00FE5F56"/>
    <w:rsid w:val="00FF2EC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CA6"/>
    <w:pPr>
      <w:spacing w:after="0" w:line="240" w:lineRule="auto"/>
    </w:pPr>
    <w:rPr>
      <w:rFonts w:ascii="Times New Roman" w:eastAsia="Times New Roman" w:hAnsi="Times New Roman" w:cs="Times New Roman"/>
      <w:sz w:val="24"/>
      <w:szCs w:val="24"/>
      <w:lang w:eastAsia="bg-BG"/>
    </w:rPr>
  </w:style>
  <w:style w:type="paragraph" w:styleId="1">
    <w:name w:val="heading 1"/>
    <w:basedOn w:val="a"/>
    <w:next w:val="a"/>
    <w:link w:val="10"/>
    <w:qFormat/>
    <w:rsid w:val="00BE2A33"/>
    <w:pPr>
      <w:keepNext/>
      <w:keepLines/>
      <w:spacing w:before="480" w:line="276" w:lineRule="auto"/>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BE2A33"/>
    <w:pPr>
      <w:keepNext/>
      <w:keepLines/>
      <w:spacing w:before="200" w:line="276" w:lineRule="auto"/>
      <w:jc w:val="both"/>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543F5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43F5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BE2A33"/>
    <w:rPr>
      <w:rFonts w:asciiTheme="majorHAnsi" w:eastAsiaTheme="majorEastAsia" w:hAnsiTheme="majorHAnsi" w:cstheme="majorBidi"/>
      <w:b/>
      <w:bCs/>
      <w:color w:val="365F91" w:themeColor="accent1" w:themeShade="BF"/>
      <w:sz w:val="28"/>
      <w:szCs w:val="28"/>
    </w:rPr>
  </w:style>
  <w:style w:type="character" w:customStyle="1" w:styleId="20">
    <w:name w:val="Заглавие 2 Знак"/>
    <w:basedOn w:val="a0"/>
    <w:link w:val="2"/>
    <w:uiPriority w:val="9"/>
    <w:rsid w:val="00BE2A33"/>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1B3CA6"/>
    <w:pPr>
      <w:ind w:left="720"/>
      <w:contextualSpacing/>
    </w:pPr>
  </w:style>
  <w:style w:type="table" w:styleId="a4">
    <w:name w:val="Table Grid"/>
    <w:basedOn w:val="a1"/>
    <w:uiPriority w:val="59"/>
    <w:rsid w:val="001B3CA6"/>
    <w:pPr>
      <w:spacing w:after="0" w:line="240" w:lineRule="auto"/>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B3CA6"/>
    <w:rPr>
      <w:rFonts w:ascii="Tahoma" w:hAnsi="Tahoma" w:cs="Tahoma"/>
      <w:sz w:val="16"/>
      <w:szCs w:val="16"/>
    </w:rPr>
  </w:style>
  <w:style w:type="character" w:customStyle="1" w:styleId="a6">
    <w:name w:val="Изнесен текст Знак"/>
    <w:basedOn w:val="a0"/>
    <w:link w:val="a5"/>
    <w:uiPriority w:val="99"/>
    <w:semiHidden/>
    <w:rsid w:val="001B3CA6"/>
    <w:rPr>
      <w:rFonts w:ascii="Tahoma" w:eastAsia="Times New Roman" w:hAnsi="Tahoma" w:cs="Tahoma"/>
      <w:sz w:val="16"/>
      <w:szCs w:val="16"/>
      <w:lang w:eastAsia="bg-BG"/>
    </w:rPr>
  </w:style>
  <w:style w:type="character" w:customStyle="1" w:styleId="FontStyle20">
    <w:name w:val="Font Style20"/>
    <w:rsid w:val="00BE2A33"/>
    <w:rPr>
      <w:rFonts w:ascii="Times New Roman" w:hAnsi="Times New Roman" w:cs="Times New Roman" w:hint="default"/>
      <w:sz w:val="28"/>
      <w:szCs w:val="28"/>
    </w:rPr>
  </w:style>
  <w:style w:type="character" w:customStyle="1" w:styleId="hl">
    <w:name w:val="hl"/>
    <w:basedOn w:val="a0"/>
    <w:rsid w:val="00BA030E"/>
  </w:style>
  <w:style w:type="character" w:styleId="a7">
    <w:name w:val="Emphasis"/>
    <w:basedOn w:val="a0"/>
    <w:qFormat/>
    <w:rsid w:val="00BA030E"/>
    <w:rPr>
      <w:i/>
      <w:iCs/>
    </w:rPr>
  </w:style>
  <w:style w:type="paragraph" w:styleId="a8">
    <w:name w:val="Body Text Indent"/>
    <w:basedOn w:val="a"/>
    <w:link w:val="a9"/>
    <w:rsid w:val="00BA030E"/>
    <w:pPr>
      <w:ind w:firstLine="851"/>
    </w:pPr>
    <w:rPr>
      <w:sz w:val="28"/>
      <w:szCs w:val="20"/>
      <w:lang w:eastAsia="en-US"/>
    </w:rPr>
  </w:style>
  <w:style w:type="character" w:customStyle="1" w:styleId="a9">
    <w:name w:val="Основен текст с отстъп Знак"/>
    <w:basedOn w:val="a0"/>
    <w:link w:val="a8"/>
    <w:rsid w:val="00BA030E"/>
    <w:rPr>
      <w:rFonts w:ascii="Times New Roman" w:eastAsia="Times New Roman" w:hAnsi="Times New Roman" w:cs="Times New Roman"/>
      <w:sz w:val="28"/>
      <w:szCs w:val="20"/>
    </w:rPr>
  </w:style>
  <w:style w:type="character" w:customStyle="1" w:styleId="FontStyle43">
    <w:name w:val="Font Style43"/>
    <w:basedOn w:val="a0"/>
    <w:rsid w:val="00BA030E"/>
    <w:rPr>
      <w:rFonts w:ascii="Times New Roman" w:hAnsi="Times New Roman" w:cs="Times New Roman"/>
      <w:b/>
      <w:bCs/>
      <w:sz w:val="22"/>
      <w:szCs w:val="22"/>
    </w:rPr>
  </w:style>
  <w:style w:type="paragraph" w:customStyle="1" w:styleId="Style6">
    <w:name w:val="Style6"/>
    <w:basedOn w:val="a"/>
    <w:rsid w:val="00BA030E"/>
    <w:pPr>
      <w:widowControl w:val="0"/>
      <w:autoSpaceDE w:val="0"/>
      <w:autoSpaceDN w:val="0"/>
      <w:adjustRightInd w:val="0"/>
      <w:spacing w:line="274" w:lineRule="exact"/>
      <w:ind w:firstLine="667"/>
      <w:jc w:val="both"/>
    </w:pPr>
  </w:style>
  <w:style w:type="paragraph" w:styleId="aa">
    <w:name w:val="header"/>
    <w:basedOn w:val="a"/>
    <w:link w:val="ab"/>
    <w:uiPriority w:val="99"/>
    <w:unhideWhenUsed/>
    <w:rsid w:val="00BA030E"/>
    <w:pPr>
      <w:tabs>
        <w:tab w:val="center" w:pos="4536"/>
        <w:tab w:val="right" w:pos="9072"/>
      </w:tabs>
    </w:pPr>
  </w:style>
  <w:style w:type="character" w:customStyle="1" w:styleId="ab">
    <w:name w:val="Горен колонтитул Знак"/>
    <w:basedOn w:val="a0"/>
    <w:link w:val="aa"/>
    <w:uiPriority w:val="99"/>
    <w:rsid w:val="00BA030E"/>
    <w:rPr>
      <w:rFonts w:ascii="Times New Roman" w:eastAsia="Times New Roman" w:hAnsi="Times New Roman" w:cs="Times New Roman"/>
      <w:sz w:val="24"/>
      <w:szCs w:val="24"/>
      <w:lang w:eastAsia="bg-BG"/>
    </w:rPr>
  </w:style>
  <w:style w:type="paragraph" w:styleId="ac">
    <w:name w:val="footer"/>
    <w:basedOn w:val="a"/>
    <w:link w:val="ad"/>
    <w:uiPriority w:val="99"/>
    <w:unhideWhenUsed/>
    <w:rsid w:val="00BA030E"/>
    <w:pPr>
      <w:tabs>
        <w:tab w:val="center" w:pos="4536"/>
        <w:tab w:val="right" w:pos="9072"/>
      </w:tabs>
    </w:pPr>
  </w:style>
  <w:style w:type="character" w:customStyle="1" w:styleId="ad">
    <w:name w:val="Долен колонтитул Знак"/>
    <w:basedOn w:val="a0"/>
    <w:link w:val="ac"/>
    <w:uiPriority w:val="99"/>
    <w:rsid w:val="00BA030E"/>
    <w:rPr>
      <w:rFonts w:ascii="Times New Roman" w:eastAsia="Times New Roman" w:hAnsi="Times New Roman" w:cs="Times New Roman"/>
      <w:sz w:val="24"/>
      <w:szCs w:val="24"/>
      <w:lang w:eastAsia="bg-BG"/>
    </w:rPr>
  </w:style>
  <w:style w:type="table" w:styleId="-5">
    <w:name w:val="Light List Accent 5"/>
    <w:basedOn w:val="a1"/>
    <w:uiPriority w:val="99"/>
    <w:rsid w:val="00EA6AE7"/>
    <w:pPr>
      <w:spacing w:after="0" w:line="240" w:lineRule="auto"/>
    </w:pPr>
    <w:rPr>
      <w:rFonts w:ascii="Calibri" w:eastAsia="Times New Roman" w:hAnsi="Calibri" w:cs="Calibri"/>
      <w:sz w:val="20"/>
      <w:szCs w:val="20"/>
      <w:lang w:eastAsia="bg-BG"/>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
    <w:name w:val="Light Grid Accent 1"/>
    <w:basedOn w:val="a1"/>
    <w:uiPriority w:val="99"/>
    <w:rsid w:val="00EA6AE7"/>
    <w:pPr>
      <w:spacing w:after="0" w:line="240" w:lineRule="auto"/>
    </w:pPr>
    <w:rPr>
      <w:rFonts w:ascii="Calibri" w:eastAsia="Times New Roman" w:hAnsi="Calibri" w:cs="Calibri"/>
      <w:sz w:val="20"/>
      <w:szCs w:val="20"/>
      <w:lan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ae">
    <w:name w:val="page number"/>
    <w:basedOn w:val="a0"/>
    <w:uiPriority w:val="99"/>
    <w:rsid w:val="00EA6AE7"/>
  </w:style>
  <w:style w:type="paragraph" w:styleId="af">
    <w:name w:val="Body Text"/>
    <w:basedOn w:val="a"/>
    <w:link w:val="af0"/>
    <w:uiPriority w:val="99"/>
    <w:semiHidden/>
    <w:unhideWhenUsed/>
    <w:rsid w:val="00EA6AE7"/>
    <w:pPr>
      <w:spacing w:after="120" w:line="276" w:lineRule="auto"/>
    </w:pPr>
    <w:rPr>
      <w:rFonts w:ascii="Calibri" w:hAnsi="Calibri" w:cs="Calibri"/>
      <w:sz w:val="22"/>
      <w:szCs w:val="22"/>
    </w:rPr>
  </w:style>
  <w:style w:type="character" w:customStyle="1" w:styleId="af0">
    <w:name w:val="Основен текст Знак"/>
    <w:basedOn w:val="a0"/>
    <w:link w:val="af"/>
    <w:uiPriority w:val="99"/>
    <w:semiHidden/>
    <w:rsid w:val="00EA6AE7"/>
    <w:rPr>
      <w:rFonts w:ascii="Calibri" w:eastAsia="Times New Roman" w:hAnsi="Calibri" w:cs="Calibri"/>
      <w:lang w:eastAsia="bg-BG"/>
    </w:rPr>
  </w:style>
  <w:style w:type="paragraph" w:styleId="af1">
    <w:name w:val="Body Text First Indent"/>
    <w:basedOn w:val="af"/>
    <w:link w:val="af2"/>
    <w:uiPriority w:val="99"/>
    <w:semiHidden/>
    <w:unhideWhenUsed/>
    <w:rsid w:val="00EA6AE7"/>
    <w:pPr>
      <w:ind w:firstLine="210"/>
    </w:pPr>
  </w:style>
  <w:style w:type="character" w:customStyle="1" w:styleId="af2">
    <w:name w:val="Основен текст отстъп първи ред Знак"/>
    <w:basedOn w:val="af0"/>
    <w:link w:val="af1"/>
    <w:uiPriority w:val="99"/>
    <w:semiHidden/>
    <w:rsid w:val="00EA6AE7"/>
    <w:rPr>
      <w:rFonts w:ascii="Calibri" w:eastAsia="Times New Roman" w:hAnsi="Calibri" w:cs="Calibri"/>
      <w:lang w:eastAsia="bg-BG"/>
    </w:rPr>
  </w:style>
  <w:style w:type="paragraph" w:customStyle="1" w:styleId="11">
    <w:name w:val="Списък на абзаци1"/>
    <w:basedOn w:val="a"/>
    <w:rsid w:val="00EA6AE7"/>
    <w:pPr>
      <w:ind w:left="720"/>
    </w:pPr>
    <w:rPr>
      <w:rFonts w:ascii="Calibri" w:hAnsi="Calibri" w:cs="Calibri"/>
      <w:sz w:val="22"/>
      <w:szCs w:val="22"/>
      <w:lang w:eastAsia="en-US"/>
    </w:rPr>
  </w:style>
  <w:style w:type="paragraph" w:styleId="af3">
    <w:name w:val="TOC Heading"/>
    <w:basedOn w:val="1"/>
    <w:next w:val="a"/>
    <w:uiPriority w:val="39"/>
    <w:semiHidden/>
    <w:unhideWhenUsed/>
    <w:qFormat/>
    <w:rsid w:val="00332857"/>
    <w:pPr>
      <w:jc w:val="left"/>
      <w:outlineLvl w:val="9"/>
    </w:pPr>
    <w:rPr>
      <w:lang w:eastAsia="bg-BG"/>
    </w:rPr>
  </w:style>
  <w:style w:type="paragraph" w:styleId="12">
    <w:name w:val="toc 1"/>
    <w:basedOn w:val="a"/>
    <w:next w:val="a"/>
    <w:autoRedefine/>
    <w:uiPriority w:val="39"/>
    <w:unhideWhenUsed/>
    <w:qFormat/>
    <w:rsid w:val="00FB24A7"/>
    <w:pPr>
      <w:tabs>
        <w:tab w:val="right" w:leader="dot" w:pos="9488"/>
      </w:tabs>
      <w:spacing w:after="100"/>
      <w:jc w:val="center"/>
    </w:pPr>
    <w:rPr>
      <w:b/>
      <w:sz w:val="28"/>
      <w:szCs w:val="28"/>
    </w:rPr>
  </w:style>
  <w:style w:type="character" w:styleId="af4">
    <w:name w:val="Hyperlink"/>
    <w:basedOn w:val="a0"/>
    <w:uiPriority w:val="99"/>
    <w:unhideWhenUsed/>
    <w:rsid w:val="00332857"/>
    <w:rPr>
      <w:color w:val="0000FF" w:themeColor="hyperlink"/>
      <w:u w:val="single"/>
    </w:rPr>
  </w:style>
  <w:style w:type="paragraph" w:styleId="21">
    <w:name w:val="toc 2"/>
    <w:basedOn w:val="a"/>
    <w:next w:val="a"/>
    <w:autoRedefine/>
    <w:uiPriority w:val="39"/>
    <w:unhideWhenUsed/>
    <w:qFormat/>
    <w:rsid w:val="00332857"/>
    <w:pPr>
      <w:spacing w:after="100" w:line="276" w:lineRule="auto"/>
      <w:ind w:left="220"/>
    </w:pPr>
    <w:rPr>
      <w:rFonts w:asciiTheme="minorHAnsi" w:eastAsiaTheme="minorEastAsia" w:hAnsiTheme="minorHAnsi" w:cstheme="minorBidi"/>
      <w:sz w:val="22"/>
      <w:szCs w:val="22"/>
    </w:rPr>
  </w:style>
  <w:style w:type="paragraph" w:styleId="31">
    <w:name w:val="toc 3"/>
    <w:basedOn w:val="a"/>
    <w:next w:val="a"/>
    <w:autoRedefine/>
    <w:uiPriority w:val="39"/>
    <w:unhideWhenUsed/>
    <w:qFormat/>
    <w:rsid w:val="00332857"/>
    <w:pPr>
      <w:spacing w:after="100" w:line="276" w:lineRule="auto"/>
      <w:ind w:left="440"/>
    </w:pPr>
    <w:rPr>
      <w:rFonts w:asciiTheme="minorHAnsi" w:eastAsiaTheme="minorEastAsia" w:hAnsiTheme="minorHAnsi" w:cstheme="minorBidi"/>
      <w:sz w:val="22"/>
      <w:szCs w:val="22"/>
    </w:rPr>
  </w:style>
  <w:style w:type="character" w:customStyle="1" w:styleId="30">
    <w:name w:val="Заглавие 3 Знак"/>
    <w:basedOn w:val="a0"/>
    <w:link w:val="3"/>
    <w:uiPriority w:val="9"/>
    <w:rsid w:val="00543F5E"/>
    <w:rPr>
      <w:rFonts w:asciiTheme="majorHAnsi" w:eastAsiaTheme="majorEastAsia" w:hAnsiTheme="majorHAnsi" w:cstheme="majorBidi"/>
      <w:b/>
      <w:bCs/>
      <w:color w:val="4F81BD" w:themeColor="accent1"/>
      <w:sz w:val="24"/>
      <w:szCs w:val="24"/>
      <w:lang w:eastAsia="bg-BG"/>
    </w:rPr>
  </w:style>
  <w:style w:type="character" w:customStyle="1" w:styleId="40">
    <w:name w:val="Заглавие 4 Знак"/>
    <w:basedOn w:val="a0"/>
    <w:link w:val="4"/>
    <w:uiPriority w:val="9"/>
    <w:semiHidden/>
    <w:rsid w:val="00543F5E"/>
    <w:rPr>
      <w:rFonts w:asciiTheme="majorHAnsi" w:eastAsiaTheme="majorEastAsia" w:hAnsiTheme="majorHAnsi" w:cstheme="majorBidi"/>
      <w:b/>
      <w:bCs/>
      <w:i/>
      <w:iCs/>
      <w:color w:val="4F81BD" w:themeColor="accent1"/>
      <w:sz w:val="24"/>
      <w:szCs w:val="24"/>
      <w:lang w:eastAsia="bg-BG"/>
    </w:rPr>
  </w:style>
  <w:style w:type="paragraph" w:styleId="41">
    <w:name w:val="toc 4"/>
    <w:basedOn w:val="a"/>
    <w:next w:val="a"/>
    <w:autoRedefine/>
    <w:uiPriority w:val="39"/>
    <w:unhideWhenUsed/>
    <w:rsid w:val="00216433"/>
    <w:pPr>
      <w:spacing w:after="100"/>
      <w:ind w:left="720"/>
    </w:pPr>
  </w:style>
  <w:style w:type="character" w:customStyle="1" w:styleId="FontStyle73">
    <w:name w:val="Font Style73"/>
    <w:rsid w:val="006249AC"/>
    <w:rPr>
      <w:rFonts w:ascii="MS Reference Sans Serif" w:hAnsi="MS Reference Sans Serif" w:cs="MS Reference Sans Serif"/>
      <w:sz w:val="16"/>
      <w:szCs w:val="16"/>
    </w:rPr>
  </w:style>
  <w:style w:type="paragraph" w:styleId="af5">
    <w:name w:val="No Spacing"/>
    <w:uiPriority w:val="1"/>
    <w:qFormat/>
    <w:rsid w:val="005C0B7B"/>
    <w:pPr>
      <w:spacing w:after="0" w:line="240" w:lineRule="auto"/>
    </w:pPr>
    <w:rPr>
      <w:rFonts w:ascii="Calibri" w:eastAsia="Calibri" w:hAnsi="Calibri" w:cs="Calibri"/>
    </w:rPr>
  </w:style>
  <w:style w:type="character" w:customStyle="1" w:styleId="FontStyle227">
    <w:name w:val="Font Style227"/>
    <w:basedOn w:val="a0"/>
    <w:uiPriority w:val="99"/>
    <w:rsid w:val="005C0B7B"/>
    <w:rPr>
      <w:rFonts w:ascii="Times New Roman" w:hAnsi="Times New Roman" w:cs="Times New Roman" w:hint="default"/>
      <w:sz w:val="20"/>
      <w:szCs w:val="20"/>
    </w:rPr>
  </w:style>
  <w:style w:type="character" w:customStyle="1" w:styleId="FontStyle28">
    <w:name w:val="Font Style28"/>
    <w:basedOn w:val="a0"/>
    <w:uiPriority w:val="99"/>
    <w:rsid w:val="0081632F"/>
    <w:rPr>
      <w:rFonts w:ascii="Arial" w:hAnsi="Arial" w:cs="Arial"/>
      <w:sz w:val="26"/>
      <w:szCs w:val="26"/>
    </w:rPr>
  </w:style>
  <w:style w:type="paragraph" w:customStyle="1" w:styleId="22">
    <w:name w:val="Стил2"/>
    <w:basedOn w:val="2"/>
    <w:link w:val="23"/>
    <w:qFormat/>
    <w:rsid w:val="003935F0"/>
    <w:pPr>
      <w:shd w:val="clear" w:color="auto" w:fill="E5B8B7" w:themeFill="accent2" w:themeFillTint="66"/>
    </w:pPr>
    <w:rPr>
      <w:rFonts w:ascii="Times New Roman" w:hAnsi="Times New Roman" w:cs="Times New Roman"/>
      <w:sz w:val="28"/>
      <w:szCs w:val="28"/>
    </w:rPr>
  </w:style>
  <w:style w:type="character" w:customStyle="1" w:styleId="23">
    <w:name w:val="Стил2 Знак"/>
    <w:basedOn w:val="20"/>
    <w:link w:val="22"/>
    <w:rsid w:val="003935F0"/>
    <w:rPr>
      <w:rFonts w:ascii="Times New Roman" w:eastAsiaTheme="majorEastAsia" w:hAnsi="Times New Roman" w:cs="Times New Roman"/>
      <w:b/>
      <w:bCs/>
      <w:color w:val="4F81BD" w:themeColor="accent1"/>
      <w:sz w:val="28"/>
      <w:szCs w:val="28"/>
      <w:shd w:val="clear" w:color="auto" w:fill="E5B8B7" w:themeFill="accent2" w:themeFillTint="66"/>
    </w:rPr>
  </w:style>
  <w:style w:type="paragraph" w:customStyle="1" w:styleId="af6">
    <w:name w:val="Фигура"/>
    <w:basedOn w:val="a"/>
    <w:link w:val="af7"/>
    <w:qFormat/>
    <w:rsid w:val="003935F0"/>
    <w:pPr>
      <w:spacing w:line="276" w:lineRule="auto"/>
      <w:jc w:val="center"/>
    </w:pPr>
    <w:rPr>
      <w:rFonts w:eastAsia="Calibri"/>
      <w:i/>
      <w:color w:val="0D0D0D"/>
      <w:lang w:eastAsia="en-US"/>
    </w:rPr>
  </w:style>
  <w:style w:type="paragraph" w:customStyle="1" w:styleId="af8">
    <w:name w:val="Заглавието"/>
    <w:basedOn w:val="22"/>
    <w:link w:val="af9"/>
    <w:qFormat/>
    <w:rsid w:val="003935F0"/>
    <w:pPr>
      <w:spacing w:after="200"/>
      <w:ind w:firstLine="567"/>
    </w:pPr>
    <w:rPr>
      <w:rFonts w:eastAsia="Times New Roman"/>
    </w:rPr>
  </w:style>
  <w:style w:type="character" w:customStyle="1" w:styleId="af7">
    <w:name w:val="Фигура Знак"/>
    <w:basedOn w:val="a0"/>
    <w:link w:val="af6"/>
    <w:rsid w:val="003935F0"/>
    <w:rPr>
      <w:rFonts w:ascii="Times New Roman" w:eastAsia="Calibri" w:hAnsi="Times New Roman" w:cs="Times New Roman"/>
      <w:i/>
      <w:color w:val="0D0D0D"/>
      <w:sz w:val="24"/>
      <w:szCs w:val="24"/>
    </w:rPr>
  </w:style>
  <w:style w:type="character" w:customStyle="1" w:styleId="af9">
    <w:name w:val="Заглавието Знак"/>
    <w:basedOn w:val="23"/>
    <w:link w:val="af8"/>
    <w:rsid w:val="003935F0"/>
    <w:rPr>
      <w:rFonts w:ascii="Times New Roman" w:eastAsia="Times New Roman" w:hAnsi="Times New Roman" w:cs="Times New Roman"/>
      <w:b/>
      <w:bCs/>
      <w:color w:val="4F81BD" w:themeColor="accent1"/>
      <w:sz w:val="28"/>
      <w:szCs w:val="28"/>
      <w:shd w:val="clear" w:color="auto" w:fill="E5B8B7" w:themeFill="accent2" w:themeFillTint="66"/>
    </w:rPr>
  </w:style>
  <w:style w:type="character" w:customStyle="1" w:styleId="afa">
    <w:name w:val="Основен текст_"/>
    <w:basedOn w:val="a0"/>
    <w:link w:val="13"/>
    <w:locked/>
    <w:rsid w:val="00E51B93"/>
    <w:rPr>
      <w:rFonts w:ascii="Times New Roman" w:eastAsia="Times New Roman" w:hAnsi="Times New Roman" w:cs="Times New Roman"/>
    </w:rPr>
  </w:style>
  <w:style w:type="paragraph" w:customStyle="1" w:styleId="13">
    <w:name w:val="Основен текст1"/>
    <w:basedOn w:val="a"/>
    <w:link w:val="afa"/>
    <w:rsid w:val="00E51B93"/>
    <w:pPr>
      <w:widowControl w:val="0"/>
      <w:spacing w:after="140" w:line="276" w:lineRule="auto"/>
      <w:ind w:firstLine="400"/>
    </w:pPr>
    <w:rPr>
      <w:sz w:val="22"/>
      <w:szCs w:val="22"/>
      <w:lang w:eastAsia="en-US"/>
    </w:rPr>
  </w:style>
  <w:style w:type="character" w:customStyle="1" w:styleId="32">
    <w:name w:val="Основен текст (3)_"/>
    <w:basedOn w:val="a0"/>
    <w:link w:val="33"/>
    <w:locked/>
    <w:rsid w:val="00E51B93"/>
    <w:rPr>
      <w:rFonts w:ascii="Times New Roman" w:eastAsia="Times New Roman" w:hAnsi="Times New Roman" w:cs="Times New Roman"/>
      <w:sz w:val="18"/>
      <w:szCs w:val="18"/>
    </w:rPr>
  </w:style>
  <w:style w:type="paragraph" w:customStyle="1" w:styleId="33">
    <w:name w:val="Основен текст (3)"/>
    <w:basedOn w:val="a"/>
    <w:link w:val="32"/>
    <w:rsid w:val="00E51B93"/>
    <w:pPr>
      <w:widowControl w:val="0"/>
      <w:ind w:firstLine="520"/>
    </w:pPr>
    <w:rPr>
      <w:sz w:val="18"/>
      <w:szCs w:val="18"/>
      <w:lang w:eastAsia="en-US"/>
    </w:rPr>
  </w:style>
  <w:style w:type="character" w:customStyle="1" w:styleId="14">
    <w:name w:val="Заглавие #1_"/>
    <w:basedOn w:val="a0"/>
    <w:link w:val="15"/>
    <w:locked/>
    <w:rsid w:val="00E51B93"/>
    <w:rPr>
      <w:rFonts w:ascii="Times New Roman" w:eastAsia="Times New Roman" w:hAnsi="Times New Roman" w:cs="Times New Roman"/>
      <w:b/>
      <w:bCs/>
    </w:rPr>
  </w:style>
  <w:style w:type="paragraph" w:customStyle="1" w:styleId="15">
    <w:name w:val="Заглавие #1"/>
    <w:basedOn w:val="a"/>
    <w:link w:val="14"/>
    <w:rsid w:val="00E51B93"/>
    <w:pPr>
      <w:widowControl w:val="0"/>
      <w:spacing w:after="60" w:line="264" w:lineRule="auto"/>
      <w:jc w:val="center"/>
      <w:outlineLvl w:val="0"/>
    </w:pPr>
    <w:rPr>
      <w:b/>
      <w:bCs/>
      <w:sz w:val="22"/>
      <w:szCs w:val="22"/>
      <w:lang w:eastAsia="en-US"/>
    </w:rPr>
  </w:style>
  <w:style w:type="character" w:styleId="afb">
    <w:name w:val="Intense Emphasis"/>
    <w:basedOn w:val="a0"/>
    <w:uiPriority w:val="21"/>
    <w:qFormat/>
    <w:rsid w:val="00E51B93"/>
    <w:rPr>
      <w:b/>
      <w:bCs/>
      <w:i/>
      <w:iCs/>
      <w:color w:val="4F81BD" w:themeColor="accent1"/>
    </w:rPr>
  </w:style>
  <w:style w:type="paragraph" w:customStyle="1" w:styleId="Style2">
    <w:name w:val="Style2"/>
    <w:basedOn w:val="a"/>
    <w:rsid w:val="00F67F61"/>
    <w:pPr>
      <w:widowControl w:val="0"/>
      <w:autoSpaceDE w:val="0"/>
      <w:autoSpaceDN w:val="0"/>
      <w:adjustRightInd w:val="0"/>
    </w:pPr>
    <w:rPr>
      <w:rFonts w:ascii="Arial Unicode MS" w:eastAsia="Arial Unicode MS" w:hAnsi="Calibri" w:cs="Arial Unicode MS"/>
    </w:rPr>
  </w:style>
  <w:style w:type="character" w:customStyle="1" w:styleId="FontStyle13">
    <w:name w:val="Font Style13"/>
    <w:uiPriority w:val="99"/>
    <w:rsid w:val="00F67F61"/>
    <w:rPr>
      <w:rFonts w:ascii="Arial" w:hAnsi="Arial" w:cs="Arial"/>
      <w:sz w:val="26"/>
      <w:szCs w:val="26"/>
    </w:rPr>
  </w:style>
  <w:style w:type="character" w:customStyle="1" w:styleId="24">
    <w:name w:val="Основен текст (2)"/>
    <w:basedOn w:val="a0"/>
    <w:rsid w:val="00D47BC0"/>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bg-BG" w:eastAsia="bg-BG" w:bidi="bg-BG"/>
    </w:rPr>
  </w:style>
  <w:style w:type="table" w:customStyle="1" w:styleId="16">
    <w:name w:val="Мрежа в таблица1"/>
    <w:basedOn w:val="a1"/>
    <w:next w:val="a4"/>
    <w:uiPriority w:val="59"/>
    <w:rsid w:val="00733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Мрежа в таблица2"/>
    <w:basedOn w:val="a1"/>
    <w:uiPriority w:val="59"/>
    <w:rsid w:val="00733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uiPriority w:val="59"/>
    <w:rsid w:val="00733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Мрежа в таблица3"/>
    <w:basedOn w:val="a1"/>
    <w:uiPriority w:val="59"/>
    <w:rsid w:val="00733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Мрежа в таблица4"/>
    <w:basedOn w:val="a1"/>
    <w:uiPriority w:val="59"/>
    <w:rsid w:val="00733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semiHidden/>
    <w:unhideWhenUsed/>
    <w:rsid w:val="007A7CE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CA6"/>
    <w:pPr>
      <w:spacing w:after="0" w:line="240" w:lineRule="auto"/>
    </w:pPr>
    <w:rPr>
      <w:rFonts w:ascii="Times New Roman" w:eastAsia="Times New Roman" w:hAnsi="Times New Roman" w:cs="Times New Roman"/>
      <w:sz w:val="24"/>
      <w:szCs w:val="24"/>
      <w:lang w:eastAsia="bg-BG"/>
    </w:rPr>
  </w:style>
  <w:style w:type="paragraph" w:styleId="1">
    <w:name w:val="heading 1"/>
    <w:basedOn w:val="a"/>
    <w:next w:val="a"/>
    <w:link w:val="10"/>
    <w:qFormat/>
    <w:rsid w:val="00BE2A33"/>
    <w:pPr>
      <w:keepNext/>
      <w:keepLines/>
      <w:spacing w:before="480" w:line="276" w:lineRule="auto"/>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BE2A33"/>
    <w:pPr>
      <w:keepNext/>
      <w:keepLines/>
      <w:spacing w:before="200" w:line="276" w:lineRule="auto"/>
      <w:jc w:val="both"/>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543F5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43F5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BE2A33"/>
    <w:rPr>
      <w:rFonts w:asciiTheme="majorHAnsi" w:eastAsiaTheme="majorEastAsia" w:hAnsiTheme="majorHAnsi" w:cstheme="majorBidi"/>
      <w:b/>
      <w:bCs/>
      <w:color w:val="365F91" w:themeColor="accent1" w:themeShade="BF"/>
      <w:sz w:val="28"/>
      <w:szCs w:val="28"/>
    </w:rPr>
  </w:style>
  <w:style w:type="character" w:customStyle="1" w:styleId="20">
    <w:name w:val="Заглавие 2 Знак"/>
    <w:basedOn w:val="a0"/>
    <w:link w:val="2"/>
    <w:uiPriority w:val="9"/>
    <w:rsid w:val="00BE2A33"/>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1B3CA6"/>
    <w:pPr>
      <w:ind w:left="720"/>
      <w:contextualSpacing/>
    </w:pPr>
  </w:style>
  <w:style w:type="table" w:styleId="a4">
    <w:name w:val="Table Grid"/>
    <w:basedOn w:val="a1"/>
    <w:uiPriority w:val="59"/>
    <w:rsid w:val="001B3CA6"/>
    <w:pPr>
      <w:spacing w:after="0" w:line="240" w:lineRule="auto"/>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B3CA6"/>
    <w:rPr>
      <w:rFonts w:ascii="Tahoma" w:hAnsi="Tahoma" w:cs="Tahoma"/>
      <w:sz w:val="16"/>
      <w:szCs w:val="16"/>
    </w:rPr>
  </w:style>
  <w:style w:type="character" w:customStyle="1" w:styleId="a6">
    <w:name w:val="Изнесен текст Знак"/>
    <w:basedOn w:val="a0"/>
    <w:link w:val="a5"/>
    <w:uiPriority w:val="99"/>
    <w:semiHidden/>
    <w:rsid w:val="001B3CA6"/>
    <w:rPr>
      <w:rFonts w:ascii="Tahoma" w:eastAsia="Times New Roman" w:hAnsi="Tahoma" w:cs="Tahoma"/>
      <w:sz w:val="16"/>
      <w:szCs w:val="16"/>
      <w:lang w:eastAsia="bg-BG"/>
    </w:rPr>
  </w:style>
  <w:style w:type="character" w:customStyle="1" w:styleId="FontStyle20">
    <w:name w:val="Font Style20"/>
    <w:rsid w:val="00BE2A33"/>
    <w:rPr>
      <w:rFonts w:ascii="Times New Roman" w:hAnsi="Times New Roman" w:cs="Times New Roman" w:hint="default"/>
      <w:sz w:val="28"/>
      <w:szCs w:val="28"/>
    </w:rPr>
  </w:style>
  <w:style w:type="character" w:customStyle="1" w:styleId="hl">
    <w:name w:val="hl"/>
    <w:basedOn w:val="a0"/>
    <w:rsid w:val="00BA030E"/>
  </w:style>
  <w:style w:type="character" w:styleId="a7">
    <w:name w:val="Emphasis"/>
    <w:basedOn w:val="a0"/>
    <w:qFormat/>
    <w:rsid w:val="00BA030E"/>
    <w:rPr>
      <w:i/>
      <w:iCs/>
    </w:rPr>
  </w:style>
  <w:style w:type="paragraph" w:styleId="a8">
    <w:name w:val="Body Text Indent"/>
    <w:basedOn w:val="a"/>
    <w:link w:val="a9"/>
    <w:rsid w:val="00BA030E"/>
    <w:pPr>
      <w:ind w:firstLine="851"/>
    </w:pPr>
    <w:rPr>
      <w:sz w:val="28"/>
      <w:szCs w:val="20"/>
      <w:lang w:eastAsia="en-US"/>
    </w:rPr>
  </w:style>
  <w:style w:type="character" w:customStyle="1" w:styleId="a9">
    <w:name w:val="Основен текст с отстъп Знак"/>
    <w:basedOn w:val="a0"/>
    <w:link w:val="a8"/>
    <w:rsid w:val="00BA030E"/>
    <w:rPr>
      <w:rFonts w:ascii="Times New Roman" w:eastAsia="Times New Roman" w:hAnsi="Times New Roman" w:cs="Times New Roman"/>
      <w:sz w:val="28"/>
      <w:szCs w:val="20"/>
    </w:rPr>
  </w:style>
  <w:style w:type="character" w:customStyle="1" w:styleId="FontStyle43">
    <w:name w:val="Font Style43"/>
    <w:basedOn w:val="a0"/>
    <w:rsid w:val="00BA030E"/>
    <w:rPr>
      <w:rFonts w:ascii="Times New Roman" w:hAnsi="Times New Roman" w:cs="Times New Roman"/>
      <w:b/>
      <w:bCs/>
      <w:sz w:val="22"/>
      <w:szCs w:val="22"/>
    </w:rPr>
  </w:style>
  <w:style w:type="paragraph" w:customStyle="1" w:styleId="Style6">
    <w:name w:val="Style6"/>
    <w:basedOn w:val="a"/>
    <w:rsid w:val="00BA030E"/>
    <w:pPr>
      <w:widowControl w:val="0"/>
      <w:autoSpaceDE w:val="0"/>
      <w:autoSpaceDN w:val="0"/>
      <w:adjustRightInd w:val="0"/>
      <w:spacing w:line="274" w:lineRule="exact"/>
      <w:ind w:firstLine="667"/>
      <w:jc w:val="both"/>
    </w:pPr>
  </w:style>
  <w:style w:type="paragraph" w:styleId="aa">
    <w:name w:val="header"/>
    <w:basedOn w:val="a"/>
    <w:link w:val="ab"/>
    <w:uiPriority w:val="99"/>
    <w:unhideWhenUsed/>
    <w:rsid w:val="00BA030E"/>
    <w:pPr>
      <w:tabs>
        <w:tab w:val="center" w:pos="4536"/>
        <w:tab w:val="right" w:pos="9072"/>
      </w:tabs>
    </w:pPr>
  </w:style>
  <w:style w:type="character" w:customStyle="1" w:styleId="ab">
    <w:name w:val="Горен колонтитул Знак"/>
    <w:basedOn w:val="a0"/>
    <w:link w:val="aa"/>
    <w:uiPriority w:val="99"/>
    <w:rsid w:val="00BA030E"/>
    <w:rPr>
      <w:rFonts w:ascii="Times New Roman" w:eastAsia="Times New Roman" w:hAnsi="Times New Roman" w:cs="Times New Roman"/>
      <w:sz w:val="24"/>
      <w:szCs w:val="24"/>
      <w:lang w:eastAsia="bg-BG"/>
    </w:rPr>
  </w:style>
  <w:style w:type="paragraph" w:styleId="ac">
    <w:name w:val="footer"/>
    <w:basedOn w:val="a"/>
    <w:link w:val="ad"/>
    <w:uiPriority w:val="99"/>
    <w:unhideWhenUsed/>
    <w:rsid w:val="00BA030E"/>
    <w:pPr>
      <w:tabs>
        <w:tab w:val="center" w:pos="4536"/>
        <w:tab w:val="right" w:pos="9072"/>
      </w:tabs>
    </w:pPr>
  </w:style>
  <w:style w:type="character" w:customStyle="1" w:styleId="ad">
    <w:name w:val="Долен колонтитул Знак"/>
    <w:basedOn w:val="a0"/>
    <w:link w:val="ac"/>
    <w:uiPriority w:val="99"/>
    <w:rsid w:val="00BA030E"/>
    <w:rPr>
      <w:rFonts w:ascii="Times New Roman" w:eastAsia="Times New Roman" w:hAnsi="Times New Roman" w:cs="Times New Roman"/>
      <w:sz w:val="24"/>
      <w:szCs w:val="24"/>
      <w:lang w:eastAsia="bg-BG"/>
    </w:rPr>
  </w:style>
  <w:style w:type="table" w:styleId="-5">
    <w:name w:val="Light List Accent 5"/>
    <w:basedOn w:val="a1"/>
    <w:uiPriority w:val="99"/>
    <w:rsid w:val="00EA6AE7"/>
    <w:pPr>
      <w:spacing w:after="0" w:line="240" w:lineRule="auto"/>
    </w:pPr>
    <w:rPr>
      <w:rFonts w:ascii="Calibri" w:eastAsia="Times New Roman" w:hAnsi="Calibri" w:cs="Calibri"/>
      <w:sz w:val="20"/>
      <w:szCs w:val="20"/>
      <w:lang w:eastAsia="bg-BG"/>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
    <w:name w:val="Light Grid Accent 1"/>
    <w:basedOn w:val="a1"/>
    <w:uiPriority w:val="99"/>
    <w:rsid w:val="00EA6AE7"/>
    <w:pPr>
      <w:spacing w:after="0" w:line="240" w:lineRule="auto"/>
    </w:pPr>
    <w:rPr>
      <w:rFonts w:ascii="Calibri" w:eastAsia="Times New Roman" w:hAnsi="Calibri" w:cs="Calibri"/>
      <w:sz w:val="20"/>
      <w:szCs w:val="20"/>
      <w:lan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ae">
    <w:name w:val="page number"/>
    <w:basedOn w:val="a0"/>
    <w:uiPriority w:val="99"/>
    <w:rsid w:val="00EA6AE7"/>
  </w:style>
  <w:style w:type="paragraph" w:styleId="af">
    <w:name w:val="Body Text"/>
    <w:basedOn w:val="a"/>
    <w:link w:val="af0"/>
    <w:uiPriority w:val="99"/>
    <w:semiHidden/>
    <w:unhideWhenUsed/>
    <w:rsid w:val="00EA6AE7"/>
    <w:pPr>
      <w:spacing w:after="120" w:line="276" w:lineRule="auto"/>
    </w:pPr>
    <w:rPr>
      <w:rFonts w:ascii="Calibri" w:hAnsi="Calibri" w:cs="Calibri"/>
      <w:sz w:val="22"/>
      <w:szCs w:val="22"/>
    </w:rPr>
  </w:style>
  <w:style w:type="character" w:customStyle="1" w:styleId="af0">
    <w:name w:val="Основен текст Знак"/>
    <w:basedOn w:val="a0"/>
    <w:link w:val="af"/>
    <w:uiPriority w:val="99"/>
    <w:semiHidden/>
    <w:rsid w:val="00EA6AE7"/>
    <w:rPr>
      <w:rFonts w:ascii="Calibri" w:eastAsia="Times New Roman" w:hAnsi="Calibri" w:cs="Calibri"/>
      <w:lang w:eastAsia="bg-BG"/>
    </w:rPr>
  </w:style>
  <w:style w:type="paragraph" w:styleId="af1">
    <w:name w:val="Body Text First Indent"/>
    <w:basedOn w:val="af"/>
    <w:link w:val="af2"/>
    <w:uiPriority w:val="99"/>
    <w:semiHidden/>
    <w:unhideWhenUsed/>
    <w:rsid w:val="00EA6AE7"/>
    <w:pPr>
      <w:ind w:firstLine="210"/>
    </w:pPr>
  </w:style>
  <w:style w:type="character" w:customStyle="1" w:styleId="af2">
    <w:name w:val="Основен текст отстъп първи ред Знак"/>
    <w:basedOn w:val="af0"/>
    <w:link w:val="af1"/>
    <w:uiPriority w:val="99"/>
    <w:semiHidden/>
    <w:rsid w:val="00EA6AE7"/>
    <w:rPr>
      <w:rFonts w:ascii="Calibri" w:eastAsia="Times New Roman" w:hAnsi="Calibri" w:cs="Calibri"/>
      <w:lang w:eastAsia="bg-BG"/>
    </w:rPr>
  </w:style>
  <w:style w:type="paragraph" w:customStyle="1" w:styleId="11">
    <w:name w:val="Списък на абзаци1"/>
    <w:basedOn w:val="a"/>
    <w:rsid w:val="00EA6AE7"/>
    <w:pPr>
      <w:ind w:left="720"/>
    </w:pPr>
    <w:rPr>
      <w:rFonts w:ascii="Calibri" w:hAnsi="Calibri" w:cs="Calibri"/>
      <w:sz w:val="22"/>
      <w:szCs w:val="22"/>
      <w:lang w:eastAsia="en-US"/>
    </w:rPr>
  </w:style>
  <w:style w:type="paragraph" w:styleId="af3">
    <w:name w:val="TOC Heading"/>
    <w:basedOn w:val="1"/>
    <w:next w:val="a"/>
    <w:uiPriority w:val="39"/>
    <w:semiHidden/>
    <w:unhideWhenUsed/>
    <w:qFormat/>
    <w:rsid w:val="00332857"/>
    <w:pPr>
      <w:jc w:val="left"/>
      <w:outlineLvl w:val="9"/>
    </w:pPr>
    <w:rPr>
      <w:lang w:eastAsia="bg-BG"/>
    </w:rPr>
  </w:style>
  <w:style w:type="paragraph" w:styleId="12">
    <w:name w:val="toc 1"/>
    <w:basedOn w:val="a"/>
    <w:next w:val="a"/>
    <w:autoRedefine/>
    <w:uiPriority w:val="39"/>
    <w:unhideWhenUsed/>
    <w:qFormat/>
    <w:rsid w:val="00FB24A7"/>
    <w:pPr>
      <w:tabs>
        <w:tab w:val="right" w:leader="dot" w:pos="9488"/>
      </w:tabs>
      <w:spacing w:after="100"/>
      <w:jc w:val="center"/>
    </w:pPr>
    <w:rPr>
      <w:b/>
      <w:sz w:val="28"/>
      <w:szCs w:val="28"/>
    </w:rPr>
  </w:style>
  <w:style w:type="character" w:styleId="af4">
    <w:name w:val="Hyperlink"/>
    <w:basedOn w:val="a0"/>
    <w:uiPriority w:val="99"/>
    <w:unhideWhenUsed/>
    <w:rsid w:val="00332857"/>
    <w:rPr>
      <w:color w:val="0000FF" w:themeColor="hyperlink"/>
      <w:u w:val="single"/>
    </w:rPr>
  </w:style>
  <w:style w:type="paragraph" w:styleId="21">
    <w:name w:val="toc 2"/>
    <w:basedOn w:val="a"/>
    <w:next w:val="a"/>
    <w:autoRedefine/>
    <w:uiPriority w:val="39"/>
    <w:unhideWhenUsed/>
    <w:qFormat/>
    <w:rsid w:val="00332857"/>
    <w:pPr>
      <w:spacing w:after="100" w:line="276" w:lineRule="auto"/>
      <w:ind w:left="220"/>
    </w:pPr>
    <w:rPr>
      <w:rFonts w:asciiTheme="minorHAnsi" w:eastAsiaTheme="minorEastAsia" w:hAnsiTheme="minorHAnsi" w:cstheme="minorBidi"/>
      <w:sz w:val="22"/>
      <w:szCs w:val="22"/>
    </w:rPr>
  </w:style>
  <w:style w:type="paragraph" w:styleId="31">
    <w:name w:val="toc 3"/>
    <w:basedOn w:val="a"/>
    <w:next w:val="a"/>
    <w:autoRedefine/>
    <w:uiPriority w:val="39"/>
    <w:unhideWhenUsed/>
    <w:qFormat/>
    <w:rsid w:val="00332857"/>
    <w:pPr>
      <w:spacing w:after="100" w:line="276" w:lineRule="auto"/>
      <w:ind w:left="440"/>
    </w:pPr>
    <w:rPr>
      <w:rFonts w:asciiTheme="minorHAnsi" w:eastAsiaTheme="minorEastAsia" w:hAnsiTheme="minorHAnsi" w:cstheme="minorBidi"/>
      <w:sz w:val="22"/>
      <w:szCs w:val="22"/>
    </w:rPr>
  </w:style>
  <w:style w:type="character" w:customStyle="1" w:styleId="30">
    <w:name w:val="Заглавие 3 Знак"/>
    <w:basedOn w:val="a0"/>
    <w:link w:val="3"/>
    <w:uiPriority w:val="9"/>
    <w:rsid w:val="00543F5E"/>
    <w:rPr>
      <w:rFonts w:asciiTheme="majorHAnsi" w:eastAsiaTheme="majorEastAsia" w:hAnsiTheme="majorHAnsi" w:cstheme="majorBidi"/>
      <w:b/>
      <w:bCs/>
      <w:color w:val="4F81BD" w:themeColor="accent1"/>
      <w:sz w:val="24"/>
      <w:szCs w:val="24"/>
      <w:lang w:eastAsia="bg-BG"/>
    </w:rPr>
  </w:style>
  <w:style w:type="character" w:customStyle="1" w:styleId="40">
    <w:name w:val="Заглавие 4 Знак"/>
    <w:basedOn w:val="a0"/>
    <w:link w:val="4"/>
    <w:uiPriority w:val="9"/>
    <w:semiHidden/>
    <w:rsid w:val="00543F5E"/>
    <w:rPr>
      <w:rFonts w:asciiTheme="majorHAnsi" w:eastAsiaTheme="majorEastAsia" w:hAnsiTheme="majorHAnsi" w:cstheme="majorBidi"/>
      <w:b/>
      <w:bCs/>
      <w:i/>
      <w:iCs/>
      <w:color w:val="4F81BD" w:themeColor="accent1"/>
      <w:sz w:val="24"/>
      <w:szCs w:val="24"/>
      <w:lang w:eastAsia="bg-BG"/>
    </w:rPr>
  </w:style>
  <w:style w:type="paragraph" w:styleId="41">
    <w:name w:val="toc 4"/>
    <w:basedOn w:val="a"/>
    <w:next w:val="a"/>
    <w:autoRedefine/>
    <w:uiPriority w:val="39"/>
    <w:unhideWhenUsed/>
    <w:rsid w:val="00216433"/>
    <w:pPr>
      <w:spacing w:after="100"/>
      <w:ind w:left="720"/>
    </w:pPr>
  </w:style>
  <w:style w:type="character" w:customStyle="1" w:styleId="FontStyle73">
    <w:name w:val="Font Style73"/>
    <w:rsid w:val="006249AC"/>
    <w:rPr>
      <w:rFonts w:ascii="MS Reference Sans Serif" w:hAnsi="MS Reference Sans Serif" w:cs="MS Reference Sans Serif"/>
      <w:sz w:val="16"/>
      <w:szCs w:val="16"/>
    </w:rPr>
  </w:style>
  <w:style w:type="paragraph" w:styleId="af5">
    <w:name w:val="No Spacing"/>
    <w:uiPriority w:val="1"/>
    <w:qFormat/>
    <w:rsid w:val="005C0B7B"/>
    <w:pPr>
      <w:spacing w:after="0" w:line="240" w:lineRule="auto"/>
    </w:pPr>
    <w:rPr>
      <w:rFonts w:ascii="Calibri" w:eastAsia="Calibri" w:hAnsi="Calibri" w:cs="Calibri"/>
    </w:rPr>
  </w:style>
  <w:style w:type="character" w:customStyle="1" w:styleId="FontStyle227">
    <w:name w:val="Font Style227"/>
    <w:basedOn w:val="a0"/>
    <w:uiPriority w:val="99"/>
    <w:rsid w:val="005C0B7B"/>
    <w:rPr>
      <w:rFonts w:ascii="Times New Roman" w:hAnsi="Times New Roman" w:cs="Times New Roman" w:hint="default"/>
      <w:sz w:val="20"/>
      <w:szCs w:val="20"/>
    </w:rPr>
  </w:style>
  <w:style w:type="character" w:customStyle="1" w:styleId="FontStyle28">
    <w:name w:val="Font Style28"/>
    <w:basedOn w:val="a0"/>
    <w:uiPriority w:val="99"/>
    <w:rsid w:val="0081632F"/>
    <w:rPr>
      <w:rFonts w:ascii="Arial" w:hAnsi="Arial" w:cs="Arial"/>
      <w:sz w:val="26"/>
      <w:szCs w:val="26"/>
    </w:rPr>
  </w:style>
  <w:style w:type="paragraph" w:customStyle="1" w:styleId="22">
    <w:name w:val="Стил2"/>
    <w:basedOn w:val="2"/>
    <w:link w:val="23"/>
    <w:qFormat/>
    <w:rsid w:val="003935F0"/>
    <w:pPr>
      <w:shd w:val="clear" w:color="auto" w:fill="E5B8B7" w:themeFill="accent2" w:themeFillTint="66"/>
    </w:pPr>
    <w:rPr>
      <w:rFonts w:ascii="Times New Roman" w:hAnsi="Times New Roman" w:cs="Times New Roman"/>
      <w:sz w:val="28"/>
      <w:szCs w:val="28"/>
    </w:rPr>
  </w:style>
  <w:style w:type="character" w:customStyle="1" w:styleId="23">
    <w:name w:val="Стил2 Знак"/>
    <w:basedOn w:val="20"/>
    <w:link w:val="22"/>
    <w:rsid w:val="003935F0"/>
    <w:rPr>
      <w:rFonts w:ascii="Times New Roman" w:eastAsiaTheme="majorEastAsia" w:hAnsi="Times New Roman" w:cs="Times New Roman"/>
      <w:b/>
      <w:bCs/>
      <w:color w:val="4F81BD" w:themeColor="accent1"/>
      <w:sz w:val="28"/>
      <w:szCs w:val="28"/>
      <w:shd w:val="clear" w:color="auto" w:fill="E5B8B7" w:themeFill="accent2" w:themeFillTint="66"/>
    </w:rPr>
  </w:style>
  <w:style w:type="paragraph" w:customStyle="1" w:styleId="af6">
    <w:name w:val="Фигура"/>
    <w:basedOn w:val="a"/>
    <w:link w:val="af7"/>
    <w:qFormat/>
    <w:rsid w:val="003935F0"/>
    <w:pPr>
      <w:spacing w:line="276" w:lineRule="auto"/>
      <w:jc w:val="center"/>
    </w:pPr>
    <w:rPr>
      <w:rFonts w:eastAsia="Calibri"/>
      <w:i/>
      <w:color w:val="0D0D0D"/>
      <w:lang w:eastAsia="en-US"/>
    </w:rPr>
  </w:style>
  <w:style w:type="paragraph" w:customStyle="1" w:styleId="af8">
    <w:name w:val="Заглавието"/>
    <w:basedOn w:val="22"/>
    <w:link w:val="af9"/>
    <w:qFormat/>
    <w:rsid w:val="003935F0"/>
    <w:pPr>
      <w:spacing w:after="200"/>
      <w:ind w:firstLine="567"/>
    </w:pPr>
    <w:rPr>
      <w:rFonts w:eastAsia="Times New Roman"/>
    </w:rPr>
  </w:style>
  <w:style w:type="character" w:customStyle="1" w:styleId="af7">
    <w:name w:val="Фигура Знак"/>
    <w:basedOn w:val="a0"/>
    <w:link w:val="af6"/>
    <w:rsid w:val="003935F0"/>
    <w:rPr>
      <w:rFonts w:ascii="Times New Roman" w:eastAsia="Calibri" w:hAnsi="Times New Roman" w:cs="Times New Roman"/>
      <w:i/>
      <w:color w:val="0D0D0D"/>
      <w:sz w:val="24"/>
      <w:szCs w:val="24"/>
    </w:rPr>
  </w:style>
  <w:style w:type="character" w:customStyle="1" w:styleId="af9">
    <w:name w:val="Заглавието Знак"/>
    <w:basedOn w:val="23"/>
    <w:link w:val="af8"/>
    <w:rsid w:val="003935F0"/>
    <w:rPr>
      <w:rFonts w:ascii="Times New Roman" w:eastAsia="Times New Roman" w:hAnsi="Times New Roman" w:cs="Times New Roman"/>
      <w:b/>
      <w:bCs/>
      <w:color w:val="4F81BD" w:themeColor="accent1"/>
      <w:sz w:val="28"/>
      <w:szCs w:val="28"/>
      <w:shd w:val="clear" w:color="auto" w:fill="E5B8B7" w:themeFill="accent2" w:themeFillTint="66"/>
    </w:rPr>
  </w:style>
  <w:style w:type="character" w:customStyle="1" w:styleId="afa">
    <w:name w:val="Основен текст_"/>
    <w:basedOn w:val="a0"/>
    <w:link w:val="13"/>
    <w:locked/>
    <w:rsid w:val="00E51B93"/>
    <w:rPr>
      <w:rFonts w:ascii="Times New Roman" w:eastAsia="Times New Roman" w:hAnsi="Times New Roman" w:cs="Times New Roman"/>
    </w:rPr>
  </w:style>
  <w:style w:type="paragraph" w:customStyle="1" w:styleId="13">
    <w:name w:val="Основен текст1"/>
    <w:basedOn w:val="a"/>
    <w:link w:val="afa"/>
    <w:rsid w:val="00E51B93"/>
    <w:pPr>
      <w:widowControl w:val="0"/>
      <w:spacing w:after="140" w:line="276" w:lineRule="auto"/>
      <w:ind w:firstLine="400"/>
    </w:pPr>
    <w:rPr>
      <w:sz w:val="22"/>
      <w:szCs w:val="22"/>
      <w:lang w:eastAsia="en-US"/>
    </w:rPr>
  </w:style>
  <w:style w:type="character" w:customStyle="1" w:styleId="32">
    <w:name w:val="Основен текст (3)_"/>
    <w:basedOn w:val="a0"/>
    <w:link w:val="33"/>
    <w:locked/>
    <w:rsid w:val="00E51B93"/>
    <w:rPr>
      <w:rFonts w:ascii="Times New Roman" w:eastAsia="Times New Roman" w:hAnsi="Times New Roman" w:cs="Times New Roman"/>
      <w:sz w:val="18"/>
      <w:szCs w:val="18"/>
    </w:rPr>
  </w:style>
  <w:style w:type="paragraph" w:customStyle="1" w:styleId="33">
    <w:name w:val="Основен текст (3)"/>
    <w:basedOn w:val="a"/>
    <w:link w:val="32"/>
    <w:rsid w:val="00E51B93"/>
    <w:pPr>
      <w:widowControl w:val="0"/>
      <w:ind w:firstLine="520"/>
    </w:pPr>
    <w:rPr>
      <w:sz w:val="18"/>
      <w:szCs w:val="18"/>
      <w:lang w:eastAsia="en-US"/>
    </w:rPr>
  </w:style>
  <w:style w:type="character" w:customStyle="1" w:styleId="14">
    <w:name w:val="Заглавие #1_"/>
    <w:basedOn w:val="a0"/>
    <w:link w:val="15"/>
    <w:locked/>
    <w:rsid w:val="00E51B93"/>
    <w:rPr>
      <w:rFonts w:ascii="Times New Roman" w:eastAsia="Times New Roman" w:hAnsi="Times New Roman" w:cs="Times New Roman"/>
      <w:b/>
      <w:bCs/>
    </w:rPr>
  </w:style>
  <w:style w:type="paragraph" w:customStyle="1" w:styleId="15">
    <w:name w:val="Заглавие #1"/>
    <w:basedOn w:val="a"/>
    <w:link w:val="14"/>
    <w:rsid w:val="00E51B93"/>
    <w:pPr>
      <w:widowControl w:val="0"/>
      <w:spacing w:after="60" w:line="264" w:lineRule="auto"/>
      <w:jc w:val="center"/>
      <w:outlineLvl w:val="0"/>
    </w:pPr>
    <w:rPr>
      <w:b/>
      <w:bCs/>
      <w:sz w:val="22"/>
      <w:szCs w:val="22"/>
      <w:lang w:eastAsia="en-US"/>
    </w:rPr>
  </w:style>
  <w:style w:type="character" w:styleId="afb">
    <w:name w:val="Intense Emphasis"/>
    <w:basedOn w:val="a0"/>
    <w:uiPriority w:val="21"/>
    <w:qFormat/>
    <w:rsid w:val="00E51B93"/>
    <w:rPr>
      <w:b/>
      <w:bCs/>
      <w:i/>
      <w:iCs/>
      <w:color w:val="4F81BD" w:themeColor="accent1"/>
    </w:rPr>
  </w:style>
  <w:style w:type="paragraph" w:customStyle="1" w:styleId="Style2">
    <w:name w:val="Style2"/>
    <w:basedOn w:val="a"/>
    <w:rsid w:val="00F67F61"/>
    <w:pPr>
      <w:widowControl w:val="0"/>
      <w:autoSpaceDE w:val="0"/>
      <w:autoSpaceDN w:val="0"/>
      <w:adjustRightInd w:val="0"/>
    </w:pPr>
    <w:rPr>
      <w:rFonts w:ascii="Arial Unicode MS" w:eastAsia="Arial Unicode MS" w:hAnsi="Calibri" w:cs="Arial Unicode MS"/>
    </w:rPr>
  </w:style>
  <w:style w:type="character" w:customStyle="1" w:styleId="FontStyle13">
    <w:name w:val="Font Style13"/>
    <w:uiPriority w:val="99"/>
    <w:rsid w:val="00F67F61"/>
    <w:rPr>
      <w:rFonts w:ascii="Arial" w:hAnsi="Arial" w:cs="Arial"/>
      <w:sz w:val="26"/>
      <w:szCs w:val="26"/>
    </w:rPr>
  </w:style>
  <w:style w:type="character" w:customStyle="1" w:styleId="24">
    <w:name w:val="Основен текст (2)"/>
    <w:basedOn w:val="a0"/>
    <w:rsid w:val="00D47BC0"/>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bg-BG" w:eastAsia="bg-BG" w:bidi="bg-BG"/>
    </w:rPr>
  </w:style>
  <w:style w:type="table" w:customStyle="1" w:styleId="16">
    <w:name w:val="Мрежа в таблица1"/>
    <w:basedOn w:val="a1"/>
    <w:next w:val="a4"/>
    <w:uiPriority w:val="59"/>
    <w:rsid w:val="00733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Мрежа в таблица2"/>
    <w:basedOn w:val="a1"/>
    <w:uiPriority w:val="59"/>
    <w:rsid w:val="00733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uiPriority w:val="59"/>
    <w:rsid w:val="00733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Мрежа в таблица3"/>
    <w:basedOn w:val="a1"/>
    <w:uiPriority w:val="59"/>
    <w:rsid w:val="00733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Мрежа в таблица4"/>
    <w:basedOn w:val="a1"/>
    <w:uiPriority w:val="59"/>
    <w:rsid w:val="00733E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semiHidden/>
    <w:unhideWhenUsed/>
    <w:rsid w:val="007A7C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3061">
      <w:bodyDiv w:val="1"/>
      <w:marLeft w:val="0"/>
      <w:marRight w:val="0"/>
      <w:marTop w:val="0"/>
      <w:marBottom w:val="0"/>
      <w:divBdr>
        <w:top w:val="none" w:sz="0" w:space="0" w:color="auto"/>
        <w:left w:val="none" w:sz="0" w:space="0" w:color="auto"/>
        <w:bottom w:val="none" w:sz="0" w:space="0" w:color="auto"/>
        <w:right w:val="none" w:sz="0" w:space="0" w:color="auto"/>
      </w:divBdr>
    </w:div>
    <w:div w:id="70548812">
      <w:bodyDiv w:val="1"/>
      <w:marLeft w:val="0"/>
      <w:marRight w:val="0"/>
      <w:marTop w:val="0"/>
      <w:marBottom w:val="0"/>
      <w:divBdr>
        <w:top w:val="none" w:sz="0" w:space="0" w:color="auto"/>
        <w:left w:val="none" w:sz="0" w:space="0" w:color="auto"/>
        <w:bottom w:val="none" w:sz="0" w:space="0" w:color="auto"/>
        <w:right w:val="none" w:sz="0" w:space="0" w:color="auto"/>
      </w:divBdr>
    </w:div>
    <w:div w:id="142351649">
      <w:bodyDiv w:val="1"/>
      <w:marLeft w:val="0"/>
      <w:marRight w:val="0"/>
      <w:marTop w:val="0"/>
      <w:marBottom w:val="0"/>
      <w:divBdr>
        <w:top w:val="none" w:sz="0" w:space="0" w:color="auto"/>
        <w:left w:val="none" w:sz="0" w:space="0" w:color="auto"/>
        <w:bottom w:val="none" w:sz="0" w:space="0" w:color="auto"/>
        <w:right w:val="none" w:sz="0" w:space="0" w:color="auto"/>
      </w:divBdr>
    </w:div>
    <w:div w:id="148637095">
      <w:bodyDiv w:val="1"/>
      <w:marLeft w:val="0"/>
      <w:marRight w:val="0"/>
      <w:marTop w:val="0"/>
      <w:marBottom w:val="0"/>
      <w:divBdr>
        <w:top w:val="none" w:sz="0" w:space="0" w:color="auto"/>
        <w:left w:val="none" w:sz="0" w:space="0" w:color="auto"/>
        <w:bottom w:val="none" w:sz="0" w:space="0" w:color="auto"/>
        <w:right w:val="none" w:sz="0" w:space="0" w:color="auto"/>
      </w:divBdr>
    </w:div>
    <w:div w:id="209852614">
      <w:bodyDiv w:val="1"/>
      <w:marLeft w:val="0"/>
      <w:marRight w:val="0"/>
      <w:marTop w:val="0"/>
      <w:marBottom w:val="0"/>
      <w:divBdr>
        <w:top w:val="none" w:sz="0" w:space="0" w:color="auto"/>
        <w:left w:val="none" w:sz="0" w:space="0" w:color="auto"/>
        <w:bottom w:val="none" w:sz="0" w:space="0" w:color="auto"/>
        <w:right w:val="none" w:sz="0" w:space="0" w:color="auto"/>
      </w:divBdr>
    </w:div>
    <w:div w:id="216943321">
      <w:bodyDiv w:val="1"/>
      <w:marLeft w:val="0"/>
      <w:marRight w:val="0"/>
      <w:marTop w:val="0"/>
      <w:marBottom w:val="0"/>
      <w:divBdr>
        <w:top w:val="none" w:sz="0" w:space="0" w:color="auto"/>
        <w:left w:val="none" w:sz="0" w:space="0" w:color="auto"/>
        <w:bottom w:val="none" w:sz="0" w:space="0" w:color="auto"/>
        <w:right w:val="none" w:sz="0" w:space="0" w:color="auto"/>
      </w:divBdr>
    </w:div>
    <w:div w:id="297614246">
      <w:bodyDiv w:val="1"/>
      <w:marLeft w:val="0"/>
      <w:marRight w:val="0"/>
      <w:marTop w:val="0"/>
      <w:marBottom w:val="0"/>
      <w:divBdr>
        <w:top w:val="none" w:sz="0" w:space="0" w:color="auto"/>
        <w:left w:val="none" w:sz="0" w:space="0" w:color="auto"/>
        <w:bottom w:val="none" w:sz="0" w:space="0" w:color="auto"/>
        <w:right w:val="none" w:sz="0" w:space="0" w:color="auto"/>
      </w:divBdr>
    </w:div>
    <w:div w:id="308826212">
      <w:bodyDiv w:val="1"/>
      <w:marLeft w:val="0"/>
      <w:marRight w:val="0"/>
      <w:marTop w:val="0"/>
      <w:marBottom w:val="0"/>
      <w:divBdr>
        <w:top w:val="none" w:sz="0" w:space="0" w:color="auto"/>
        <w:left w:val="none" w:sz="0" w:space="0" w:color="auto"/>
        <w:bottom w:val="none" w:sz="0" w:space="0" w:color="auto"/>
        <w:right w:val="none" w:sz="0" w:space="0" w:color="auto"/>
      </w:divBdr>
    </w:div>
    <w:div w:id="351687529">
      <w:bodyDiv w:val="1"/>
      <w:marLeft w:val="0"/>
      <w:marRight w:val="0"/>
      <w:marTop w:val="0"/>
      <w:marBottom w:val="0"/>
      <w:divBdr>
        <w:top w:val="none" w:sz="0" w:space="0" w:color="auto"/>
        <w:left w:val="none" w:sz="0" w:space="0" w:color="auto"/>
        <w:bottom w:val="none" w:sz="0" w:space="0" w:color="auto"/>
        <w:right w:val="none" w:sz="0" w:space="0" w:color="auto"/>
      </w:divBdr>
    </w:div>
    <w:div w:id="384182704">
      <w:bodyDiv w:val="1"/>
      <w:marLeft w:val="0"/>
      <w:marRight w:val="0"/>
      <w:marTop w:val="0"/>
      <w:marBottom w:val="0"/>
      <w:divBdr>
        <w:top w:val="none" w:sz="0" w:space="0" w:color="auto"/>
        <w:left w:val="none" w:sz="0" w:space="0" w:color="auto"/>
        <w:bottom w:val="none" w:sz="0" w:space="0" w:color="auto"/>
        <w:right w:val="none" w:sz="0" w:space="0" w:color="auto"/>
      </w:divBdr>
    </w:div>
    <w:div w:id="516970929">
      <w:bodyDiv w:val="1"/>
      <w:marLeft w:val="0"/>
      <w:marRight w:val="0"/>
      <w:marTop w:val="0"/>
      <w:marBottom w:val="0"/>
      <w:divBdr>
        <w:top w:val="none" w:sz="0" w:space="0" w:color="auto"/>
        <w:left w:val="none" w:sz="0" w:space="0" w:color="auto"/>
        <w:bottom w:val="none" w:sz="0" w:space="0" w:color="auto"/>
        <w:right w:val="none" w:sz="0" w:space="0" w:color="auto"/>
      </w:divBdr>
    </w:div>
    <w:div w:id="536504756">
      <w:bodyDiv w:val="1"/>
      <w:marLeft w:val="0"/>
      <w:marRight w:val="0"/>
      <w:marTop w:val="0"/>
      <w:marBottom w:val="0"/>
      <w:divBdr>
        <w:top w:val="none" w:sz="0" w:space="0" w:color="auto"/>
        <w:left w:val="none" w:sz="0" w:space="0" w:color="auto"/>
        <w:bottom w:val="none" w:sz="0" w:space="0" w:color="auto"/>
        <w:right w:val="none" w:sz="0" w:space="0" w:color="auto"/>
      </w:divBdr>
    </w:div>
    <w:div w:id="617226309">
      <w:bodyDiv w:val="1"/>
      <w:marLeft w:val="0"/>
      <w:marRight w:val="0"/>
      <w:marTop w:val="0"/>
      <w:marBottom w:val="0"/>
      <w:divBdr>
        <w:top w:val="none" w:sz="0" w:space="0" w:color="auto"/>
        <w:left w:val="none" w:sz="0" w:space="0" w:color="auto"/>
        <w:bottom w:val="none" w:sz="0" w:space="0" w:color="auto"/>
        <w:right w:val="none" w:sz="0" w:space="0" w:color="auto"/>
      </w:divBdr>
    </w:div>
    <w:div w:id="617613362">
      <w:bodyDiv w:val="1"/>
      <w:marLeft w:val="0"/>
      <w:marRight w:val="0"/>
      <w:marTop w:val="0"/>
      <w:marBottom w:val="0"/>
      <w:divBdr>
        <w:top w:val="none" w:sz="0" w:space="0" w:color="auto"/>
        <w:left w:val="none" w:sz="0" w:space="0" w:color="auto"/>
        <w:bottom w:val="none" w:sz="0" w:space="0" w:color="auto"/>
        <w:right w:val="none" w:sz="0" w:space="0" w:color="auto"/>
      </w:divBdr>
    </w:div>
    <w:div w:id="817306531">
      <w:bodyDiv w:val="1"/>
      <w:marLeft w:val="0"/>
      <w:marRight w:val="0"/>
      <w:marTop w:val="0"/>
      <w:marBottom w:val="0"/>
      <w:divBdr>
        <w:top w:val="none" w:sz="0" w:space="0" w:color="auto"/>
        <w:left w:val="none" w:sz="0" w:space="0" w:color="auto"/>
        <w:bottom w:val="none" w:sz="0" w:space="0" w:color="auto"/>
        <w:right w:val="none" w:sz="0" w:space="0" w:color="auto"/>
      </w:divBdr>
    </w:div>
    <w:div w:id="848254740">
      <w:bodyDiv w:val="1"/>
      <w:marLeft w:val="0"/>
      <w:marRight w:val="0"/>
      <w:marTop w:val="0"/>
      <w:marBottom w:val="0"/>
      <w:divBdr>
        <w:top w:val="none" w:sz="0" w:space="0" w:color="auto"/>
        <w:left w:val="none" w:sz="0" w:space="0" w:color="auto"/>
        <w:bottom w:val="none" w:sz="0" w:space="0" w:color="auto"/>
        <w:right w:val="none" w:sz="0" w:space="0" w:color="auto"/>
      </w:divBdr>
    </w:div>
    <w:div w:id="892614424">
      <w:bodyDiv w:val="1"/>
      <w:marLeft w:val="0"/>
      <w:marRight w:val="0"/>
      <w:marTop w:val="0"/>
      <w:marBottom w:val="0"/>
      <w:divBdr>
        <w:top w:val="none" w:sz="0" w:space="0" w:color="auto"/>
        <w:left w:val="none" w:sz="0" w:space="0" w:color="auto"/>
        <w:bottom w:val="none" w:sz="0" w:space="0" w:color="auto"/>
        <w:right w:val="none" w:sz="0" w:space="0" w:color="auto"/>
      </w:divBdr>
    </w:div>
    <w:div w:id="915363139">
      <w:bodyDiv w:val="1"/>
      <w:marLeft w:val="0"/>
      <w:marRight w:val="0"/>
      <w:marTop w:val="0"/>
      <w:marBottom w:val="0"/>
      <w:divBdr>
        <w:top w:val="none" w:sz="0" w:space="0" w:color="auto"/>
        <w:left w:val="none" w:sz="0" w:space="0" w:color="auto"/>
        <w:bottom w:val="none" w:sz="0" w:space="0" w:color="auto"/>
        <w:right w:val="none" w:sz="0" w:space="0" w:color="auto"/>
      </w:divBdr>
    </w:div>
    <w:div w:id="998575700">
      <w:bodyDiv w:val="1"/>
      <w:marLeft w:val="0"/>
      <w:marRight w:val="0"/>
      <w:marTop w:val="0"/>
      <w:marBottom w:val="0"/>
      <w:divBdr>
        <w:top w:val="none" w:sz="0" w:space="0" w:color="auto"/>
        <w:left w:val="none" w:sz="0" w:space="0" w:color="auto"/>
        <w:bottom w:val="none" w:sz="0" w:space="0" w:color="auto"/>
        <w:right w:val="none" w:sz="0" w:space="0" w:color="auto"/>
      </w:divBdr>
    </w:div>
    <w:div w:id="1037702379">
      <w:bodyDiv w:val="1"/>
      <w:marLeft w:val="0"/>
      <w:marRight w:val="0"/>
      <w:marTop w:val="0"/>
      <w:marBottom w:val="0"/>
      <w:divBdr>
        <w:top w:val="none" w:sz="0" w:space="0" w:color="auto"/>
        <w:left w:val="none" w:sz="0" w:space="0" w:color="auto"/>
        <w:bottom w:val="none" w:sz="0" w:space="0" w:color="auto"/>
        <w:right w:val="none" w:sz="0" w:space="0" w:color="auto"/>
      </w:divBdr>
    </w:div>
    <w:div w:id="1144005173">
      <w:bodyDiv w:val="1"/>
      <w:marLeft w:val="0"/>
      <w:marRight w:val="0"/>
      <w:marTop w:val="0"/>
      <w:marBottom w:val="0"/>
      <w:divBdr>
        <w:top w:val="none" w:sz="0" w:space="0" w:color="auto"/>
        <w:left w:val="none" w:sz="0" w:space="0" w:color="auto"/>
        <w:bottom w:val="none" w:sz="0" w:space="0" w:color="auto"/>
        <w:right w:val="none" w:sz="0" w:space="0" w:color="auto"/>
      </w:divBdr>
    </w:div>
    <w:div w:id="1152796510">
      <w:bodyDiv w:val="1"/>
      <w:marLeft w:val="0"/>
      <w:marRight w:val="0"/>
      <w:marTop w:val="0"/>
      <w:marBottom w:val="0"/>
      <w:divBdr>
        <w:top w:val="none" w:sz="0" w:space="0" w:color="auto"/>
        <w:left w:val="none" w:sz="0" w:space="0" w:color="auto"/>
        <w:bottom w:val="none" w:sz="0" w:space="0" w:color="auto"/>
        <w:right w:val="none" w:sz="0" w:space="0" w:color="auto"/>
      </w:divBdr>
    </w:div>
    <w:div w:id="1168251662">
      <w:bodyDiv w:val="1"/>
      <w:marLeft w:val="0"/>
      <w:marRight w:val="0"/>
      <w:marTop w:val="0"/>
      <w:marBottom w:val="0"/>
      <w:divBdr>
        <w:top w:val="none" w:sz="0" w:space="0" w:color="auto"/>
        <w:left w:val="none" w:sz="0" w:space="0" w:color="auto"/>
        <w:bottom w:val="none" w:sz="0" w:space="0" w:color="auto"/>
        <w:right w:val="none" w:sz="0" w:space="0" w:color="auto"/>
      </w:divBdr>
    </w:div>
    <w:div w:id="1192644237">
      <w:bodyDiv w:val="1"/>
      <w:marLeft w:val="0"/>
      <w:marRight w:val="0"/>
      <w:marTop w:val="0"/>
      <w:marBottom w:val="0"/>
      <w:divBdr>
        <w:top w:val="none" w:sz="0" w:space="0" w:color="auto"/>
        <w:left w:val="none" w:sz="0" w:space="0" w:color="auto"/>
        <w:bottom w:val="none" w:sz="0" w:space="0" w:color="auto"/>
        <w:right w:val="none" w:sz="0" w:space="0" w:color="auto"/>
      </w:divBdr>
    </w:div>
    <w:div w:id="1316642358">
      <w:bodyDiv w:val="1"/>
      <w:marLeft w:val="0"/>
      <w:marRight w:val="0"/>
      <w:marTop w:val="0"/>
      <w:marBottom w:val="0"/>
      <w:divBdr>
        <w:top w:val="none" w:sz="0" w:space="0" w:color="auto"/>
        <w:left w:val="none" w:sz="0" w:space="0" w:color="auto"/>
        <w:bottom w:val="none" w:sz="0" w:space="0" w:color="auto"/>
        <w:right w:val="none" w:sz="0" w:space="0" w:color="auto"/>
      </w:divBdr>
    </w:div>
    <w:div w:id="1419328572">
      <w:bodyDiv w:val="1"/>
      <w:marLeft w:val="0"/>
      <w:marRight w:val="0"/>
      <w:marTop w:val="0"/>
      <w:marBottom w:val="0"/>
      <w:divBdr>
        <w:top w:val="none" w:sz="0" w:space="0" w:color="auto"/>
        <w:left w:val="none" w:sz="0" w:space="0" w:color="auto"/>
        <w:bottom w:val="none" w:sz="0" w:space="0" w:color="auto"/>
        <w:right w:val="none" w:sz="0" w:space="0" w:color="auto"/>
      </w:divBdr>
    </w:div>
    <w:div w:id="1467815562">
      <w:bodyDiv w:val="1"/>
      <w:marLeft w:val="0"/>
      <w:marRight w:val="0"/>
      <w:marTop w:val="0"/>
      <w:marBottom w:val="0"/>
      <w:divBdr>
        <w:top w:val="none" w:sz="0" w:space="0" w:color="auto"/>
        <w:left w:val="none" w:sz="0" w:space="0" w:color="auto"/>
        <w:bottom w:val="none" w:sz="0" w:space="0" w:color="auto"/>
        <w:right w:val="none" w:sz="0" w:space="0" w:color="auto"/>
      </w:divBdr>
    </w:div>
    <w:div w:id="1496847020">
      <w:bodyDiv w:val="1"/>
      <w:marLeft w:val="0"/>
      <w:marRight w:val="0"/>
      <w:marTop w:val="0"/>
      <w:marBottom w:val="0"/>
      <w:divBdr>
        <w:top w:val="none" w:sz="0" w:space="0" w:color="auto"/>
        <w:left w:val="none" w:sz="0" w:space="0" w:color="auto"/>
        <w:bottom w:val="none" w:sz="0" w:space="0" w:color="auto"/>
        <w:right w:val="none" w:sz="0" w:space="0" w:color="auto"/>
      </w:divBdr>
    </w:div>
    <w:div w:id="1843011061">
      <w:bodyDiv w:val="1"/>
      <w:marLeft w:val="0"/>
      <w:marRight w:val="0"/>
      <w:marTop w:val="0"/>
      <w:marBottom w:val="0"/>
      <w:divBdr>
        <w:top w:val="none" w:sz="0" w:space="0" w:color="auto"/>
        <w:left w:val="none" w:sz="0" w:space="0" w:color="auto"/>
        <w:bottom w:val="none" w:sz="0" w:space="0" w:color="auto"/>
        <w:right w:val="none" w:sz="0" w:space="0" w:color="auto"/>
      </w:divBdr>
    </w:div>
    <w:div w:id="1904608063">
      <w:bodyDiv w:val="1"/>
      <w:marLeft w:val="0"/>
      <w:marRight w:val="0"/>
      <w:marTop w:val="0"/>
      <w:marBottom w:val="0"/>
      <w:divBdr>
        <w:top w:val="none" w:sz="0" w:space="0" w:color="auto"/>
        <w:left w:val="none" w:sz="0" w:space="0" w:color="auto"/>
        <w:bottom w:val="none" w:sz="0" w:space="0" w:color="auto"/>
        <w:right w:val="none" w:sz="0" w:space="0" w:color="auto"/>
      </w:divBdr>
    </w:div>
    <w:div w:id="2118675219">
      <w:bodyDiv w:val="1"/>
      <w:marLeft w:val="0"/>
      <w:marRight w:val="0"/>
      <w:marTop w:val="0"/>
      <w:marBottom w:val="0"/>
      <w:divBdr>
        <w:top w:val="none" w:sz="0" w:space="0" w:color="auto"/>
        <w:left w:val="none" w:sz="0" w:space="0" w:color="auto"/>
        <w:bottom w:val="none" w:sz="0" w:space="0" w:color="auto"/>
        <w:right w:val="none" w:sz="0" w:space="0" w:color="auto"/>
      </w:divBdr>
    </w:div>
    <w:div w:id="212310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image" Target="media/image4.png"/><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image" Target="media/image2.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image" Target="../media/image1.jpeg"/></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b="1"/>
            </a:pPr>
            <a:r>
              <a:rPr lang="bg-BG" sz="1400" b="1"/>
              <a:t>Преписки на производство</a:t>
            </a:r>
          </a:p>
        </c:rich>
      </c:tx>
      <c:layout>
        <c:manualLayout>
          <c:xMode val="edge"/>
          <c:yMode val="edge"/>
          <c:x val="0.28510802206296593"/>
          <c:y val="0"/>
        </c:manualLayout>
      </c:layout>
      <c:overlay val="1"/>
      <c:spPr>
        <a:ln cmpd="thickThin"/>
      </c:spPr>
    </c:title>
    <c:autoTitleDeleted val="0"/>
    <c:plotArea>
      <c:layout>
        <c:manualLayout>
          <c:layoutTarget val="inner"/>
          <c:xMode val="edge"/>
          <c:yMode val="edge"/>
          <c:x val="0.1066401682159131"/>
          <c:y val="0.11640933617651061"/>
          <c:w val="0.84488351141462004"/>
          <c:h val="0.80307764032972928"/>
        </c:manualLayout>
      </c:layout>
      <c:lineChart>
        <c:grouping val="standard"/>
        <c:varyColors val="0"/>
        <c:ser>
          <c:idx val="0"/>
          <c:order val="0"/>
          <c:tx>
            <c:strRef>
              <c:f>Лист1!$B$1</c:f>
              <c:strCache>
                <c:ptCount val="1"/>
                <c:pt idx="0">
                  <c:v>Преписки на производство</c:v>
                </c:pt>
              </c:strCache>
            </c:strRef>
          </c:tx>
          <c:dLbls>
            <c:dLbl>
              <c:idx val="0"/>
              <c:layout>
                <c:manualLayout>
                  <c:x val="-4.7276881244127919E-2"/>
                  <c:y val="4.2287674880399938E-2"/>
                </c:manualLayout>
              </c:layout>
              <c:showLegendKey val="0"/>
              <c:showVal val="1"/>
              <c:showCatName val="0"/>
              <c:showSerName val="0"/>
              <c:showPercent val="0"/>
              <c:showBubbleSize val="0"/>
            </c:dLbl>
            <c:dLbl>
              <c:idx val="1"/>
              <c:layout>
                <c:manualLayout>
                  <c:x val="-4.9476597917653249E-2"/>
                  <c:y val="-3.9188733767158888E-2"/>
                </c:manualLayout>
              </c:layout>
              <c:showLegendKey val="0"/>
              <c:showVal val="1"/>
              <c:showCatName val="0"/>
              <c:showSerName val="0"/>
              <c:showPercent val="0"/>
              <c:showBubbleSize val="0"/>
            </c:dLbl>
            <c:dLbl>
              <c:idx val="2"/>
              <c:layout>
                <c:manualLayout>
                  <c:x val="-8.9485377902659161E-2"/>
                  <c:y val="7.5822855329363203E-3"/>
                </c:manualLayout>
              </c:layout>
              <c:showLegendKey val="0"/>
              <c:showVal val="1"/>
              <c:showCatName val="0"/>
              <c:showSerName val="0"/>
              <c:showPercent val="0"/>
              <c:showBubbleSize val="0"/>
            </c:dLbl>
            <c:dLbl>
              <c:idx val="3"/>
              <c:layout>
                <c:manualLayout>
                  <c:x val="-4.911750866913938E-2"/>
                  <c:y val="-3.2134073908861263E-2"/>
                </c:manualLayout>
              </c:layout>
              <c:showLegendKey val="0"/>
              <c:showVal val="1"/>
              <c:showCatName val="0"/>
              <c:showSerName val="0"/>
              <c:showPercent val="0"/>
              <c:showBubbleSize val="0"/>
            </c:dLbl>
            <c:dLbl>
              <c:idx val="4"/>
              <c:layout>
                <c:manualLayout>
                  <c:x val="-6.3795155262267492E-2"/>
                  <c:y val="3.2806870334762275E-2"/>
                </c:manualLayout>
              </c:layout>
              <c:showLegendKey val="0"/>
              <c:showVal val="1"/>
              <c:showCatName val="0"/>
              <c:showSerName val="0"/>
              <c:showPercent val="0"/>
              <c:showBubbleSize val="0"/>
            </c:dLbl>
            <c:dLbl>
              <c:idx val="5"/>
              <c:layout>
                <c:manualLayout>
                  <c:x val="-4.658904831739713E-2"/>
                  <c:y val="-3.9453774783422928E-2"/>
                </c:manualLayout>
              </c:layout>
              <c:showLegendKey val="0"/>
              <c:showVal val="1"/>
              <c:showCatName val="0"/>
              <c:showSerName val="0"/>
              <c:showPercent val="0"/>
              <c:showBubbleSize val="0"/>
            </c:dLbl>
            <c:dLbl>
              <c:idx val="6"/>
              <c:layout>
                <c:manualLayout>
                  <c:x val="-4.6511498526638266E-2"/>
                  <c:y val="3.343520668286553E-2"/>
                </c:manualLayout>
              </c:layout>
              <c:showLegendKey val="0"/>
              <c:showVal val="1"/>
              <c:showCatName val="0"/>
              <c:showSerName val="0"/>
              <c:showPercent val="0"/>
              <c:showBubbleSize val="0"/>
            </c:dLbl>
            <c:dLbl>
              <c:idx val="7"/>
              <c:layout>
                <c:manualLayout>
                  <c:x val="-3.0963267694699641E-2"/>
                  <c:y val="-4.8962490799761144E-2"/>
                </c:manualLayout>
              </c:layout>
              <c:showLegendKey val="0"/>
              <c:showVal val="1"/>
              <c:showCatName val="0"/>
              <c:showSerName val="0"/>
              <c:showPercent val="0"/>
              <c:showBubbleSize val="0"/>
            </c:dLbl>
            <c:dLbl>
              <c:idx val="8"/>
              <c:layout>
                <c:manualLayout>
                  <c:x val="-4.8611111111111112E-2"/>
                  <c:y val="5.9523809523809521E-2"/>
                </c:manualLayout>
              </c:layout>
              <c:showLegendKey val="0"/>
              <c:showVal val="1"/>
              <c:showCatName val="0"/>
              <c:showSerName val="0"/>
              <c:showPercent val="0"/>
              <c:showBubbleSize val="0"/>
            </c:dLbl>
            <c:dLbl>
              <c:idx val="9"/>
              <c:layout>
                <c:manualLayout>
                  <c:x val="-3.4722222222222224E-2"/>
                  <c:y val="-7.1437326884314784E-2"/>
                </c:manualLayout>
              </c:layout>
              <c:showLegendKey val="0"/>
              <c:showVal val="1"/>
              <c:showCatName val="0"/>
              <c:showSerName val="0"/>
              <c:showPercent val="0"/>
              <c:showBubbleSize val="0"/>
            </c:dLbl>
            <c:dLbl>
              <c:idx val="10"/>
              <c:layout>
                <c:manualLayout>
                  <c:x val="-2.2986629936432981E-2"/>
                  <c:y val="3.978300091992478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2013 г.</c:v>
                </c:pt>
                <c:pt idx="1">
                  <c:v>2014 г.</c:v>
                </c:pt>
                <c:pt idx="2">
                  <c:v>2015 г.</c:v>
                </c:pt>
                <c:pt idx="3">
                  <c:v>2016 г.</c:v>
                </c:pt>
                <c:pt idx="4">
                  <c:v>2017 г.</c:v>
                </c:pt>
                <c:pt idx="5">
                  <c:v>2018 г.</c:v>
                </c:pt>
                <c:pt idx="6">
                  <c:v>2019 г.</c:v>
                </c:pt>
                <c:pt idx="7">
                  <c:v>2020 г.</c:v>
                </c:pt>
                <c:pt idx="8">
                  <c:v>2021 г.</c:v>
                </c:pt>
                <c:pt idx="9">
                  <c:v>2022 г.</c:v>
                </c:pt>
                <c:pt idx="10">
                  <c:v>2023 г.</c:v>
                </c:pt>
              </c:strCache>
            </c:strRef>
          </c:cat>
          <c:val>
            <c:numRef>
              <c:f>Лист1!$B$2:$B$12</c:f>
              <c:numCache>
                <c:formatCode>General</c:formatCode>
                <c:ptCount val="11"/>
                <c:pt idx="0">
                  <c:v>19876</c:v>
                </c:pt>
                <c:pt idx="1">
                  <c:v>27504</c:v>
                </c:pt>
                <c:pt idx="2">
                  <c:v>23008</c:v>
                </c:pt>
                <c:pt idx="3">
                  <c:v>23224</c:v>
                </c:pt>
                <c:pt idx="4">
                  <c:v>21185</c:v>
                </c:pt>
                <c:pt idx="5">
                  <c:v>20213</c:v>
                </c:pt>
                <c:pt idx="6">
                  <c:v>19919</c:v>
                </c:pt>
                <c:pt idx="7">
                  <c:v>18849</c:v>
                </c:pt>
                <c:pt idx="8">
                  <c:v>18282</c:v>
                </c:pt>
                <c:pt idx="9">
                  <c:v>17083</c:v>
                </c:pt>
                <c:pt idx="10">
                  <c:v>17664</c:v>
                </c:pt>
              </c:numCache>
            </c:numRef>
          </c:val>
          <c:smooth val="0"/>
        </c:ser>
        <c:dLbls>
          <c:showLegendKey val="0"/>
          <c:showVal val="0"/>
          <c:showCatName val="0"/>
          <c:showSerName val="0"/>
          <c:showPercent val="0"/>
          <c:showBubbleSize val="0"/>
        </c:dLbls>
        <c:marker val="1"/>
        <c:smooth val="0"/>
        <c:axId val="341420544"/>
        <c:axId val="251758272"/>
      </c:lineChart>
      <c:catAx>
        <c:axId val="341420544"/>
        <c:scaling>
          <c:orientation val="minMax"/>
        </c:scaling>
        <c:delete val="0"/>
        <c:axPos val="b"/>
        <c:majorTickMark val="out"/>
        <c:minorTickMark val="none"/>
        <c:tickLblPos val="nextTo"/>
        <c:crossAx val="251758272"/>
        <c:crosses val="autoZero"/>
        <c:auto val="1"/>
        <c:lblAlgn val="ctr"/>
        <c:lblOffset val="100"/>
        <c:noMultiLvlLbl val="0"/>
      </c:catAx>
      <c:valAx>
        <c:axId val="251758272"/>
        <c:scaling>
          <c:orientation val="minMax"/>
        </c:scaling>
        <c:delete val="0"/>
        <c:axPos val="l"/>
        <c:majorGridlines/>
        <c:numFmt formatCode="General" sourceLinked="1"/>
        <c:majorTickMark val="out"/>
        <c:minorTickMark val="none"/>
        <c:tickLblPos val="nextTo"/>
        <c:crossAx val="341420544"/>
        <c:crosses val="autoZero"/>
        <c:crossBetween val="between"/>
      </c:valAx>
      <c:spPr>
        <a:noFill/>
        <a:ln>
          <a:noFill/>
        </a:ln>
      </c:spPr>
    </c:plotArea>
    <c:plotVisOnly val="1"/>
    <c:dispBlanksAs val="zero"/>
    <c:showDLblsOverMax val="0"/>
  </c:chart>
  <c:spPr>
    <a:noFill/>
    <a:ln cmpd="thickThi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a:effectLst>
      <a:glow rad="139700">
        <a:schemeClr val="accent3">
          <a:lumMod val="40000"/>
          <a:lumOff val="60000"/>
          <a:alpha val="40000"/>
        </a:schemeClr>
      </a:glow>
      <a:innerShdw blurRad="558800" dist="1130300" dir="18900000">
        <a:schemeClr val="tx2">
          <a:lumMod val="60000"/>
          <a:lumOff val="40000"/>
          <a:alpha val="26000"/>
        </a:schemeClr>
      </a:innerShdw>
    </a:effectLst>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1.0417389927566922E-2"/>
          <c:y val="2.2086100969222418E-2"/>
          <c:w val="0.98204023485961889"/>
          <c:h val="0.87998154076894231"/>
        </c:manualLayout>
      </c:layout>
      <c:bar3DChart>
        <c:barDir val="col"/>
        <c:grouping val="standard"/>
        <c:varyColors val="0"/>
        <c:ser>
          <c:idx val="0"/>
          <c:order val="0"/>
          <c:tx>
            <c:strRef>
              <c:f>Лист1!$B$1</c:f>
              <c:strCache>
                <c:ptCount val="1"/>
                <c:pt idx="0">
                  <c:v>Неуважени</c:v>
                </c:pt>
              </c:strCache>
            </c:strRef>
          </c:tx>
          <c:invertIfNegative val="0"/>
          <c:dLbls>
            <c:dLbl>
              <c:idx val="0"/>
              <c:layout>
                <c:manualLayout>
                  <c:x val="1.1907483168725662E-2"/>
                  <c:y val="7.887569456217039E-2"/>
                </c:manualLayout>
              </c:layout>
              <c:showLegendKey val="0"/>
              <c:showVal val="1"/>
              <c:showCatName val="0"/>
              <c:showSerName val="0"/>
              <c:showPercent val="0"/>
              <c:showBubbleSize val="0"/>
            </c:dLbl>
            <c:dLbl>
              <c:idx val="1"/>
              <c:layout>
                <c:manualLayout>
                  <c:x val="9.5259865349806155E-3"/>
                  <c:y val="7.3472117690081912E-2"/>
                </c:manualLayout>
              </c:layout>
              <c:showLegendKey val="0"/>
              <c:showVal val="1"/>
              <c:showCatName val="0"/>
              <c:showSerName val="0"/>
              <c:showPercent val="0"/>
              <c:showBubbleSize val="0"/>
            </c:dLbl>
            <c:dLbl>
              <c:idx val="2"/>
              <c:layout>
                <c:manualLayout>
                  <c:x val="4.7629932674902644E-3"/>
                  <c:y val="7.8126538617637367E-2"/>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Лист1!$B$2:$B$4</c:f>
              <c:numCache>
                <c:formatCode>General</c:formatCode>
                <c:ptCount val="3"/>
                <c:pt idx="0">
                  <c:v>20</c:v>
                </c:pt>
                <c:pt idx="1">
                  <c:v>21</c:v>
                </c:pt>
                <c:pt idx="2">
                  <c:v>23</c:v>
                </c:pt>
              </c:numCache>
            </c:numRef>
          </c:val>
        </c:ser>
        <c:ser>
          <c:idx val="1"/>
          <c:order val="1"/>
          <c:tx>
            <c:strRef>
              <c:f>Лист1!$C$1</c:f>
              <c:strCache>
                <c:ptCount val="1"/>
                <c:pt idx="0">
                  <c:v>Уважени</c:v>
                </c:pt>
              </c:strCache>
            </c:strRef>
          </c:tx>
          <c:invertIfNegative val="0"/>
          <c:dLbls>
            <c:dLbl>
              <c:idx val="0"/>
              <c:layout>
                <c:manualLayout>
                  <c:x val="2.3814966337450884E-3"/>
                  <c:y val="0.22391305774949694"/>
                </c:manualLayout>
              </c:layout>
              <c:showLegendKey val="0"/>
              <c:showVal val="1"/>
              <c:showCatName val="0"/>
              <c:showSerName val="0"/>
              <c:showPercent val="0"/>
              <c:showBubbleSize val="0"/>
            </c:dLbl>
            <c:dLbl>
              <c:idx val="1"/>
              <c:layout>
                <c:manualLayout>
                  <c:x val="7.1443707069363096E-3"/>
                  <c:y val="0.31309697126505581"/>
                </c:manualLayout>
              </c:layout>
              <c:showLegendKey val="0"/>
              <c:showVal val="1"/>
              <c:showCatName val="0"/>
              <c:showSerName val="0"/>
              <c:showPercent val="0"/>
              <c:showBubbleSize val="0"/>
            </c:dLbl>
            <c:dLbl>
              <c:idx val="2"/>
              <c:layout>
                <c:manualLayout>
                  <c:x val="7.144489901235309E-3"/>
                  <c:y val="0.33046614160530974"/>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Лист1!$C$2:$C$4</c:f>
              <c:numCache>
                <c:formatCode>General</c:formatCode>
                <c:ptCount val="3"/>
                <c:pt idx="0">
                  <c:v>106</c:v>
                </c:pt>
                <c:pt idx="1">
                  <c:v>147</c:v>
                </c:pt>
                <c:pt idx="2">
                  <c:v>157</c:v>
                </c:pt>
              </c:numCache>
            </c:numRef>
          </c:val>
        </c:ser>
        <c:ser>
          <c:idx val="2"/>
          <c:order val="2"/>
          <c:tx>
            <c:strRef>
              <c:f>Лист1!$D$1</c:f>
              <c:strCache>
                <c:ptCount val="1"/>
                <c:pt idx="0">
                  <c:v>Внесени искания по чл.64 от НПК</c:v>
                </c:pt>
              </c:strCache>
            </c:strRef>
          </c:tx>
          <c:invertIfNegative val="0"/>
          <c:dLbls>
            <c:dLbl>
              <c:idx val="0"/>
              <c:layout>
                <c:manualLayout>
                  <c:x val="9.5259865349805288E-3"/>
                  <c:y val="4.6544526986663348E-3"/>
                </c:manualLayout>
              </c:layout>
              <c:showLegendKey val="0"/>
              <c:showVal val="1"/>
              <c:showCatName val="0"/>
              <c:showSerName val="0"/>
              <c:showPercent val="0"/>
              <c:showBubbleSize val="0"/>
            </c:dLbl>
            <c:dLbl>
              <c:idx val="1"/>
              <c:layout>
                <c:manualLayout>
                  <c:x val="9.5259865349804854E-3"/>
                  <c:y val="0"/>
                </c:manualLayout>
              </c:layout>
              <c:showLegendKey val="0"/>
              <c:showVal val="1"/>
              <c:showCatName val="0"/>
              <c:showSerName val="0"/>
              <c:showPercent val="0"/>
              <c:showBubbleSize val="0"/>
            </c:dLbl>
            <c:dLbl>
              <c:idx val="2"/>
              <c:layout>
                <c:manualLayout>
                  <c:x val="9.5259865349805288E-3"/>
                  <c:y val="0"/>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Лист1!$D$2:$D$4</c:f>
              <c:numCache>
                <c:formatCode>General</c:formatCode>
                <c:ptCount val="3"/>
                <c:pt idx="0">
                  <c:v>129</c:v>
                </c:pt>
                <c:pt idx="1">
                  <c:v>169</c:v>
                </c:pt>
                <c:pt idx="2">
                  <c:v>181</c:v>
                </c:pt>
              </c:numCache>
            </c:numRef>
          </c:val>
        </c:ser>
        <c:dLbls>
          <c:showLegendKey val="0"/>
          <c:showVal val="0"/>
          <c:showCatName val="0"/>
          <c:showSerName val="0"/>
          <c:showPercent val="0"/>
          <c:showBubbleSize val="0"/>
        </c:dLbls>
        <c:gapWidth val="150"/>
        <c:shape val="pyramid"/>
        <c:axId val="47069696"/>
        <c:axId val="46168256"/>
        <c:axId val="159008640"/>
      </c:bar3DChart>
      <c:catAx>
        <c:axId val="47069696"/>
        <c:scaling>
          <c:orientation val="minMax"/>
        </c:scaling>
        <c:delete val="0"/>
        <c:axPos val="b"/>
        <c:majorTickMark val="out"/>
        <c:minorTickMark val="none"/>
        <c:tickLblPos val="nextTo"/>
        <c:crossAx val="46168256"/>
        <c:crosses val="autoZero"/>
        <c:auto val="1"/>
        <c:lblAlgn val="ctr"/>
        <c:lblOffset val="100"/>
        <c:noMultiLvlLbl val="0"/>
      </c:catAx>
      <c:valAx>
        <c:axId val="46168256"/>
        <c:scaling>
          <c:orientation val="minMax"/>
        </c:scaling>
        <c:delete val="1"/>
        <c:axPos val="l"/>
        <c:majorGridlines/>
        <c:numFmt formatCode="General" sourceLinked="0"/>
        <c:majorTickMark val="out"/>
        <c:minorTickMark val="none"/>
        <c:tickLblPos val="nextTo"/>
        <c:crossAx val="47069696"/>
        <c:crosses val="autoZero"/>
        <c:crossBetween val="between"/>
      </c:valAx>
      <c:serAx>
        <c:axId val="159008640"/>
        <c:scaling>
          <c:orientation val="minMax"/>
        </c:scaling>
        <c:delete val="1"/>
        <c:axPos val="b"/>
        <c:majorTickMark val="out"/>
        <c:minorTickMark val="none"/>
        <c:tickLblPos val="nextTo"/>
        <c:crossAx val="46168256"/>
        <c:crosses val="autoZero"/>
      </c:serAx>
      <c:spPr>
        <a:pattFill prst="pct20">
          <a:fgClr>
            <a:sysClr val="window" lastClr="FFFFFF">
              <a:lumMod val="85000"/>
            </a:sysClr>
          </a:fgClr>
          <a:bgClr>
            <a:sysClr val="window" lastClr="FFFFFF"/>
          </a:bgClr>
        </a:pattFill>
      </c:spPr>
    </c:plotArea>
    <c:legend>
      <c:legendPos val="r"/>
      <c:layout>
        <c:manualLayout>
          <c:xMode val="edge"/>
          <c:yMode val="edge"/>
          <c:x val="0"/>
          <c:y val="0.20123315591137708"/>
          <c:w val="0.20094956083889437"/>
          <c:h val="0.58412208592779358"/>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Продължителност на разследването</a:t>
            </a:r>
          </a:p>
        </c:rich>
      </c:tx>
      <c:overlay val="0"/>
    </c:title>
    <c:autoTitleDeleted val="0"/>
    <c:view3D>
      <c:rotX val="0"/>
      <c:rotY val="20"/>
      <c:rAngAx val="0"/>
      <c:perspective val="0"/>
    </c:view3D>
    <c:floor>
      <c:thickness val="0"/>
    </c:floor>
    <c:sideWall>
      <c:thickness val="0"/>
      <c:spPr>
        <a:pattFill prst="pct10">
          <a:fgClr>
            <a:sysClr val="window" lastClr="FFFFFF">
              <a:lumMod val="85000"/>
            </a:sysClr>
          </a:fgClr>
          <a:bgClr>
            <a:sysClr val="window" lastClr="FFFFFF"/>
          </a:bgClr>
        </a:pattFill>
      </c:spPr>
    </c:sideWall>
    <c:backWall>
      <c:thickness val="0"/>
      <c:spPr>
        <a:pattFill prst="pct10">
          <a:fgClr>
            <a:sysClr val="window" lastClr="FFFFFF">
              <a:lumMod val="85000"/>
            </a:sysClr>
          </a:fgClr>
          <a:bgClr>
            <a:sysClr val="window" lastClr="FFFFFF"/>
          </a:bgClr>
        </a:pattFill>
      </c:spPr>
    </c:backWall>
    <c:plotArea>
      <c:layout>
        <c:manualLayout>
          <c:layoutTarget val="inner"/>
          <c:xMode val="edge"/>
          <c:yMode val="edge"/>
          <c:x val="7.2907553222505499E-6"/>
          <c:y val="0.11493565781977946"/>
          <c:w val="0.99999270671228613"/>
          <c:h val="0.80319518038441429"/>
        </c:manualLayout>
      </c:layout>
      <c:bar3DChart>
        <c:barDir val="bar"/>
        <c:grouping val="clustered"/>
        <c:varyColors val="0"/>
        <c:ser>
          <c:idx val="0"/>
          <c:order val="0"/>
          <c:tx>
            <c:strRef>
              <c:f>Лист1!$B$1</c:f>
              <c:strCache>
                <c:ptCount val="1"/>
                <c:pt idx="0">
                  <c:v>до 8 месеца </c:v>
                </c:pt>
              </c:strCache>
            </c:strRef>
          </c:tx>
          <c:invertIfNegative val="0"/>
          <c:dLbls>
            <c:dLbl>
              <c:idx val="0"/>
              <c:layout>
                <c:manualLayout>
                  <c:x val="9.3214129483814526E-3"/>
                  <c:y val="-1.1768969219756622E-2"/>
                </c:manualLayout>
              </c:layout>
              <c:showLegendKey val="0"/>
              <c:showVal val="1"/>
              <c:showCatName val="0"/>
              <c:showSerName val="0"/>
              <c:showPercent val="0"/>
              <c:showBubbleSize val="0"/>
            </c:dLbl>
            <c:dLbl>
              <c:idx val="1"/>
              <c:layout>
                <c:manualLayout>
                  <c:x val="1.1781496062992126E-2"/>
                  <c:y val="-1.6542889525173059E-2"/>
                </c:manualLayout>
              </c:layout>
              <c:showLegendKey val="0"/>
              <c:showVal val="1"/>
              <c:showCatName val="0"/>
              <c:showSerName val="0"/>
              <c:showPercent val="0"/>
              <c:showBubbleSize val="0"/>
            </c:dLbl>
            <c:dLbl>
              <c:idx val="2"/>
              <c:layout>
                <c:manualLayout>
                  <c:x val="6.285724701079032E-3"/>
                  <c:y val="-2.4308041040324853E-3"/>
                </c:manualLayout>
              </c:layout>
              <c:showLegendKey val="0"/>
              <c:showVal val="1"/>
              <c:showCatName val="0"/>
              <c:showSerName val="0"/>
              <c:showPercent val="0"/>
              <c:showBubbleSize val="0"/>
            </c:dLbl>
            <c:dLbl>
              <c:idx val="3"/>
              <c:layout>
                <c:manualLayout>
                  <c:x val="7.6385061242344704E-2"/>
                  <c:y val="0.12689389326943912"/>
                </c:manualLayout>
              </c:layout>
              <c:showLegendKey val="0"/>
              <c:showVal val="1"/>
              <c:showCatName val="0"/>
              <c:showSerName val="0"/>
              <c:showPercent val="0"/>
              <c:showBubbleSize val="0"/>
            </c:dLbl>
            <c:dLbl>
              <c:idx val="4"/>
              <c:layout>
                <c:manualLayout>
                  <c:x val="7.407407407407407E-2"/>
                  <c:y val="0.13085449766672475"/>
                </c:manualLayout>
              </c:layout>
              <c:showLegendKey val="0"/>
              <c:showVal val="1"/>
              <c:showCatName val="0"/>
              <c:showSerName val="0"/>
              <c:showPercent val="0"/>
              <c:showBubbleSize val="0"/>
            </c:dLbl>
            <c:dLbl>
              <c:idx val="5"/>
              <c:layout>
                <c:manualLayout>
                  <c:x val="6.7129629629629636E-2"/>
                  <c:y val="0.13493562183518515"/>
                </c:manualLayout>
              </c:layout>
              <c:showLegendKey val="0"/>
              <c:showVal val="1"/>
              <c:showCatName val="0"/>
              <c:showSerName val="0"/>
              <c:showPercent val="0"/>
              <c:showBubbleSize val="0"/>
            </c:dLbl>
            <c:dLbl>
              <c:idx val="6"/>
              <c:layout>
                <c:manualLayout>
                  <c:x val="6.0185185185185182E-2"/>
                  <c:y val="0.13878507328288989"/>
                </c:manualLayout>
              </c:layout>
              <c:showLegendKey val="0"/>
              <c:showVal val="1"/>
              <c:showCatName val="0"/>
              <c:showSerName val="0"/>
              <c:showPercent val="0"/>
              <c:showBubbleSize val="0"/>
            </c:dLbl>
            <c:dLbl>
              <c:idx val="7"/>
              <c:layout>
                <c:manualLayout>
                  <c:x val="6.0185185185185182E-2"/>
                  <c:y val="0.14665776961590582"/>
                </c:manualLayout>
              </c:layout>
              <c:showLegendKey val="0"/>
              <c:showVal val="1"/>
              <c:showCatName val="0"/>
              <c:showSerName val="0"/>
              <c:showPercent val="0"/>
              <c:showBubbleSize val="0"/>
            </c:dLbl>
            <c:dLbl>
              <c:idx val="8"/>
              <c:layout>
                <c:manualLayout>
                  <c:x val="5.5555555555555552E-2"/>
                  <c:y val="0.1427503610909724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Лист1!$B$2:$B$4</c:f>
              <c:numCache>
                <c:formatCode>General</c:formatCode>
                <c:ptCount val="3"/>
                <c:pt idx="0">
                  <c:v>2274</c:v>
                </c:pt>
                <c:pt idx="1">
                  <c:v>2357</c:v>
                </c:pt>
                <c:pt idx="2">
                  <c:v>2331</c:v>
                </c:pt>
              </c:numCache>
            </c:numRef>
          </c:val>
        </c:ser>
        <c:ser>
          <c:idx val="1"/>
          <c:order val="1"/>
          <c:tx>
            <c:strRef>
              <c:f>Лист1!$C$1</c:f>
              <c:strCache>
                <c:ptCount val="1"/>
                <c:pt idx="0">
                  <c:v>до 1 година</c:v>
                </c:pt>
              </c:strCache>
            </c:strRef>
          </c:tx>
          <c:invertIfNegative val="0"/>
          <c:dLbls>
            <c:dLbl>
              <c:idx val="3"/>
              <c:layout>
                <c:manualLayout>
                  <c:x val="5.5572871099445989E-2"/>
                  <c:y val="4.3615043615043612E-2"/>
                </c:manualLayout>
              </c:layout>
              <c:showLegendKey val="0"/>
              <c:showVal val="1"/>
              <c:showCatName val="0"/>
              <c:showSerName val="0"/>
              <c:showPercent val="0"/>
              <c:showBubbleSize val="0"/>
            </c:dLbl>
            <c:dLbl>
              <c:idx val="4"/>
              <c:layout>
                <c:manualLayout>
                  <c:x val="6.0185185185185182E-2"/>
                  <c:y val="3.172230246466054E-2"/>
                </c:manualLayout>
              </c:layout>
              <c:showLegendKey val="0"/>
              <c:showVal val="1"/>
              <c:showCatName val="0"/>
              <c:showSerName val="0"/>
              <c:showPercent val="0"/>
              <c:showBubbleSize val="0"/>
            </c:dLbl>
            <c:dLbl>
              <c:idx val="5"/>
              <c:layout>
                <c:manualLayout>
                  <c:x val="6.4814814814814811E-2"/>
                  <c:y val="5.9479317121238516E-2"/>
                </c:manualLayout>
              </c:layout>
              <c:showLegendKey val="0"/>
              <c:showVal val="1"/>
              <c:showCatName val="0"/>
              <c:showSerName val="0"/>
              <c:showPercent val="0"/>
              <c:showBubbleSize val="0"/>
            </c:dLbl>
            <c:dLbl>
              <c:idx val="6"/>
              <c:layout>
                <c:manualLayout>
                  <c:x val="5.3240740740740741E-2"/>
                  <c:y val="3.1746031746031744E-2"/>
                </c:manualLayout>
              </c:layout>
              <c:showLegendKey val="0"/>
              <c:showVal val="1"/>
              <c:showCatName val="0"/>
              <c:showSerName val="0"/>
              <c:showPercent val="0"/>
              <c:showBubbleSize val="0"/>
            </c:dLbl>
            <c:dLbl>
              <c:idx val="7"/>
              <c:layout>
                <c:manualLayout>
                  <c:x val="5.5555555555555552E-2"/>
                  <c:y val="4.7332164399021492E-2"/>
                </c:manualLayout>
              </c:layout>
              <c:showLegendKey val="0"/>
              <c:showVal val="1"/>
              <c:showCatName val="0"/>
              <c:showSerName val="0"/>
              <c:showPercent val="0"/>
              <c:showBubbleSize val="0"/>
            </c:dLbl>
            <c:dLbl>
              <c:idx val="8"/>
              <c:layout>
                <c:manualLayout>
                  <c:x val="5.0925925925925923E-2"/>
                  <c:y val="6.74960674960674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Лист1!$C$2:$C$4</c:f>
              <c:numCache>
                <c:formatCode>General</c:formatCode>
                <c:ptCount val="3"/>
                <c:pt idx="0">
                  <c:v>547</c:v>
                </c:pt>
                <c:pt idx="1">
                  <c:v>552</c:v>
                </c:pt>
                <c:pt idx="2">
                  <c:v>517</c:v>
                </c:pt>
              </c:numCache>
            </c:numRef>
          </c:val>
        </c:ser>
        <c:ser>
          <c:idx val="2"/>
          <c:order val="2"/>
          <c:tx>
            <c:strRef>
              <c:f>Лист1!$D$1</c:f>
              <c:strCache>
                <c:ptCount val="1"/>
                <c:pt idx="0">
                  <c:v>над 1 година </c:v>
                </c:pt>
              </c:strCache>
            </c:strRef>
          </c:tx>
          <c:invertIfNegative val="0"/>
          <c:cat>
            <c:strRef>
              <c:f>Лист1!$A$2:$A$4</c:f>
              <c:strCache>
                <c:ptCount val="3"/>
                <c:pt idx="0">
                  <c:v>2021 г.</c:v>
                </c:pt>
                <c:pt idx="1">
                  <c:v>2022 г.</c:v>
                </c:pt>
                <c:pt idx="2">
                  <c:v>2023 г.</c:v>
                </c:pt>
              </c:strCache>
            </c:strRef>
          </c:cat>
          <c:val>
            <c:numRef>
              <c:f>Лист1!$D$2:$D$4</c:f>
              <c:numCache>
                <c:formatCode>General</c:formatCode>
                <c:ptCount val="3"/>
                <c:pt idx="0">
                  <c:v>819</c:v>
                </c:pt>
                <c:pt idx="1">
                  <c:v>765</c:v>
                </c:pt>
                <c:pt idx="2">
                  <c:v>763</c:v>
                </c:pt>
              </c:numCache>
            </c:numRef>
          </c:val>
        </c:ser>
        <c:ser>
          <c:idx val="3"/>
          <c:order val="3"/>
          <c:tx>
            <c:strRef>
              <c:f>Лист1!$E$1</c:f>
              <c:strCache>
                <c:ptCount val="1"/>
                <c:pt idx="0">
                  <c:v>над 2 години</c:v>
                </c:pt>
              </c:strCache>
            </c:strRef>
          </c:tx>
          <c:invertIfNegative val="0"/>
          <c:cat>
            <c:strRef>
              <c:f>Лист1!$A$2:$A$4</c:f>
              <c:strCache>
                <c:ptCount val="3"/>
                <c:pt idx="0">
                  <c:v>2021 г.</c:v>
                </c:pt>
                <c:pt idx="1">
                  <c:v>2022 г.</c:v>
                </c:pt>
                <c:pt idx="2">
                  <c:v>2023 г.</c:v>
                </c:pt>
              </c:strCache>
            </c:strRef>
          </c:cat>
          <c:val>
            <c:numRef>
              <c:f>Лист1!$E$2:$E$4</c:f>
              <c:numCache>
                <c:formatCode>General</c:formatCode>
                <c:ptCount val="3"/>
                <c:pt idx="0">
                  <c:v>680</c:v>
                </c:pt>
                <c:pt idx="1">
                  <c:v>647</c:v>
                </c:pt>
                <c:pt idx="2">
                  <c:v>628</c:v>
                </c:pt>
              </c:numCache>
            </c:numRef>
          </c:val>
        </c:ser>
        <c:dLbls>
          <c:showLegendKey val="0"/>
          <c:showVal val="1"/>
          <c:showCatName val="0"/>
          <c:showSerName val="0"/>
          <c:showPercent val="0"/>
          <c:showBubbleSize val="0"/>
        </c:dLbls>
        <c:gapWidth val="150"/>
        <c:shape val="cylinder"/>
        <c:axId val="47198720"/>
        <c:axId val="69716224"/>
        <c:axId val="0"/>
      </c:bar3DChart>
      <c:catAx>
        <c:axId val="47198720"/>
        <c:scaling>
          <c:orientation val="minMax"/>
        </c:scaling>
        <c:delete val="0"/>
        <c:axPos val="l"/>
        <c:majorTickMark val="none"/>
        <c:minorTickMark val="none"/>
        <c:tickLblPos val="nextTo"/>
        <c:crossAx val="69716224"/>
        <c:crosses val="autoZero"/>
        <c:auto val="1"/>
        <c:lblAlgn val="ctr"/>
        <c:lblOffset val="100"/>
        <c:noMultiLvlLbl val="0"/>
      </c:catAx>
      <c:valAx>
        <c:axId val="69716224"/>
        <c:scaling>
          <c:orientation val="minMax"/>
        </c:scaling>
        <c:delete val="1"/>
        <c:axPos val="b"/>
        <c:numFmt formatCode="General" sourceLinked="1"/>
        <c:majorTickMark val="out"/>
        <c:minorTickMark val="none"/>
        <c:tickLblPos val="none"/>
        <c:crossAx val="47198720"/>
        <c:crosses val="autoZero"/>
        <c:crossBetween val="between"/>
      </c:valAx>
    </c:plotArea>
    <c:legend>
      <c:legendPos val="b"/>
      <c:layout>
        <c:manualLayout>
          <c:xMode val="edge"/>
          <c:yMode val="edge"/>
          <c:x val="0"/>
          <c:y val="0.92771623717489859"/>
          <c:w val="0.72452808216997133"/>
          <c:h val="6.830184470567241E-2"/>
        </c:manualLayout>
      </c:layout>
      <c:overlay val="1"/>
    </c:legend>
    <c:plotVisOnly val="1"/>
    <c:dispBlanksAs val="gap"/>
    <c:showDLblsOverMax val="0"/>
  </c:chart>
  <c:spPr>
    <a:noFill/>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effectLst/>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Прекратени ДП</c:v>
                </c:pt>
              </c:strCache>
            </c:strRef>
          </c:tx>
          <c:invertIfNegative val="0"/>
          <c:dLbls>
            <c:dLbl>
              <c:idx val="0"/>
              <c:layout>
                <c:manualLayout>
                  <c:x val="1.2950448727949822E-2"/>
                  <c:y val="0.34395626597167711"/>
                </c:manualLayout>
              </c:layout>
              <c:spPr/>
              <c:txPr>
                <a:bodyPr/>
                <a:lstStyle/>
                <a:p>
                  <a:pPr>
                    <a:defRPr b="1"/>
                  </a:pPr>
                  <a:endParaRPr lang="bg-BG"/>
                </a:p>
              </c:txPr>
              <c:showLegendKey val="0"/>
              <c:showVal val="1"/>
              <c:showCatName val="0"/>
              <c:showSerName val="0"/>
              <c:showPercent val="0"/>
              <c:showBubbleSize val="0"/>
            </c:dLbl>
            <c:dLbl>
              <c:idx val="1"/>
              <c:layout>
                <c:manualLayout>
                  <c:x val="6.475224363974871E-3"/>
                  <c:y val="0.33209570507610214"/>
                </c:manualLayout>
              </c:layout>
              <c:spPr/>
              <c:txPr>
                <a:bodyPr/>
                <a:lstStyle/>
                <a:p>
                  <a:pPr>
                    <a:defRPr b="1"/>
                  </a:pPr>
                  <a:endParaRPr lang="bg-BG"/>
                </a:p>
              </c:txPr>
              <c:showLegendKey val="0"/>
              <c:showVal val="1"/>
              <c:showCatName val="0"/>
              <c:showSerName val="0"/>
              <c:showPercent val="0"/>
              <c:showBubbleSize val="0"/>
            </c:dLbl>
            <c:dLbl>
              <c:idx val="2"/>
              <c:layout>
                <c:manualLayout>
                  <c:x val="1.0792040606624852E-2"/>
                  <c:y val="0.32418866447905198"/>
                </c:manualLayout>
              </c:layout>
              <c:spPr/>
              <c:txPr>
                <a:bodyPr/>
                <a:lstStyle/>
                <a:p>
                  <a:pPr>
                    <a:defRPr b="1"/>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Лист1!$B$2:$B$4</c:f>
              <c:numCache>
                <c:formatCode>General</c:formatCode>
                <c:ptCount val="3"/>
                <c:pt idx="0">
                  <c:v>2643</c:v>
                </c:pt>
                <c:pt idx="1">
                  <c:v>2500</c:v>
                </c:pt>
                <c:pt idx="2">
                  <c:v>2438</c:v>
                </c:pt>
              </c:numCache>
            </c:numRef>
          </c:val>
        </c:ser>
        <c:ser>
          <c:idx val="1"/>
          <c:order val="1"/>
          <c:tx>
            <c:strRef>
              <c:f>Лист1!$C$1</c:f>
              <c:strCache>
                <c:ptCount val="1"/>
                <c:pt idx="0">
                  <c:v>Спрени ДП</c:v>
                </c:pt>
              </c:strCache>
            </c:strRef>
          </c:tx>
          <c:invertIfNegative val="0"/>
          <c:dLbls>
            <c:txPr>
              <a:bodyPr/>
              <a:lstStyle/>
              <a:p>
                <a:pPr>
                  <a:defRPr b="1"/>
                </a:pPr>
                <a:endParaRPr lang="bg-BG"/>
              </a:p>
            </c:txPr>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Лист1!$C$2:$C$4</c:f>
              <c:numCache>
                <c:formatCode>General</c:formatCode>
                <c:ptCount val="3"/>
                <c:pt idx="0">
                  <c:v>4002</c:v>
                </c:pt>
                <c:pt idx="1">
                  <c:v>3821</c:v>
                </c:pt>
                <c:pt idx="2">
                  <c:v>3791</c:v>
                </c:pt>
              </c:numCache>
            </c:numRef>
          </c:val>
        </c:ser>
        <c:ser>
          <c:idx val="2"/>
          <c:order val="2"/>
          <c:tx>
            <c:strRef>
              <c:f>Лист1!$D$1</c:f>
              <c:strCache>
                <c:ptCount val="1"/>
                <c:pt idx="0">
                  <c:v>Внесени в съда</c:v>
                </c:pt>
              </c:strCache>
            </c:strRef>
          </c:tx>
          <c:invertIfNegative val="0"/>
          <c:dLbls>
            <c:dLbl>
              <c:idx val="0"/>
              <c:layout>
                <c:manualLayout>
                  <c:x val="1.0792040606624852E-2"/>
                  <c:y val="0.17395489313510112"/>
                </c:manualLayout>
              </c:layout>
              <c:showLegendKey val="0"/>
              <c:showVal val="1"/>
              <c:showCatName val="0"/>
              <c:showSerName val="0"/>
              <c:showPercent val="0"/>
              <c:showBubbleSize val="0"/>
            </c:dLbl>
            <c:dLbl>
              <c:idx val="1"/>
              <c:layout>
                <c:manualLayout>
                  <c:x val="1.0792040606624772E-2"/>
                  <c:y val="0.19372249462772617"/>
                </c:manualLayout>
              </c:layout>
              <c:showLegendKey val="0"/>
              <c:showVal val="1"/>
              <c:showCatName val="0"/>
              <c:showSerName val="0"/>
              <c:showPercent val="0"/>
              <c:showBubbleSize val="0"/>
            </c:dLbl>
            <c:dLbl>
              <c:idx val="2"/>
              <c:layout>
                <c:manualLayout>
                  <c:x val="1.2950448727949822E-2"/>
                  <c:y val="0.22139713671740144"/>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Лист1!$D$2:$D$4</c:f>
              <c:numCache>
                <c:formatCode>General</c:formatCode>
                <c:ptCount val="3"/>
                <c:pt idx="0">
                  <c:v>1677</c:v>
                </c:pt>
                <c:pt idx="1">
                  <c:v>1821</c:v>
                </c:pt>
                <c:pt idx="2">
                  <c:v>1801</c:v>
                </c:pt>
              </c:numCache>
            </c:numRef>
          </c:val>
        </c:ser>
        <c:dLbls>
          <c:showLegendKey val="0"/>
          <c:showVal val="0"/>
          <c:showCatName val="0"/>
          <c:showSerName val="0"/>
          <c:showPercent val="0"/>
          <c:showBubbleSize val="0"/>
        </c:dLbls>
        <c:gapWidth val="150"/>
        <c:shape val="cone"/>
        <c:axId val="47200768"/>
        <c:axId val="69718528"/>
        <c:axId val="214417408"/>
      </c:bar3DChart>
      <c:catAx>
        <c:axId val="47200768"/>
        <c:scaling>
          <c:orientation val="minMax"/>
        </c:scaling>
        <c:delete val="0"/>
        <c:axPos val="b"/>
        <c:majorTickMark val="out"/>
        <c:minorTickMark val="none"/>
        <c:tickLblPos val="nextTo"/>
        <c:crossAx val="69718528"/>
        <c:crosses val="autoZero"/>
        <c:auto val="1"/>
        <c:lblAlgn val="ctr"/>
        <c:lblOffset val="100"/>
        <c:noMultiLvlLbl val="0"/>
      </c:catAx>
      <c:valAx>
        <c:axId val="69718528"/>
        <c:scaling>
          <c:orientation val="minMax"/>
        </c:scaling>
        <c:delete val="0"/>
        <c:axPos val="l"/>
        <c:majorGridlines/>
        <c:numFmt formatCode="General" sourceLinked="1"/>
        <c:majorTickMark val="out"/>
        <c:minorTickMark val="none"/>
        <c:tickLblPos val="nextTo"/>
        <c:crossAx val="47200768"/>
        <c:crosses val="autoZero"/>
        <c:crossBetween val="between"/>
      </c:valAx>
      <c:serAx>
        <c:axId val="214417408"/>
        <c:scaling>
          <c:orientation val="minMax"/>
        </c:scaling>
        <c:delete val="1"/>
        <c:axPos val="b"/>
        <c:majorTickMark val="out"/>
        <c:minorTickMark val="none"/>
        <c:tickLblPos val="nextTo"/>
        <c:crossAx val="69718528"/>
        <c:crosses val="autoZero"/>
      </c:ser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rAngAx val="1"/>
    </c:view3D>
    <c:floor>
      <c:thickness val="0"/>
    </c:floor>
    <c:sideWall>
      <c:thickness val="0"/>
    </c:sideWall>
    <c:backWall>
      <c:thickness val="0"/>
    </c:backWall>
    <c:plotArea>
      <c:layout>
        <c:manualLayout>
          <c:layoutTarget val="inner"/>
          <c:xMode val="edge"/>
          <c:yMode val="edge"/>
          <c:x val="8.0562678520061548E-2"/>
          <c:y val="4.7948692226471044E-2"/>
          <c:w val="0.89940319540594338"/>
          <c:h val="0.681403046776211"/>
        </c:manualLayout>
      </c:layout>
      <c:bar3DChart>
        <c:barDir val="col"/>
        <c:grouping val="standard"/>
        <c:varyColors val="0"/>
        <c:ser>
          <c:idx val="0"/>
          <c:order val="0"/>
          <c:tx>
            <c:strRef>
              <c:f>Лист1!$B$1</c:f>
              <c:strCache>
                <c:ptCount val="1"/>
                <c:pt idx="0">
                  <c:v>2021</c:v>
                </c:pt>
              </c:strCache>
            </c:strRef>
          </c:tx>
          <c:invertIfNegative val="0"/>
          <c:dLbls>
            <c:dLbl>
              <c:idx val="3"/>
              <c:layout>
                <c:manualLayout>
                  <c:x val="1.7896048267192145E-2"/>
                  <c:y val="2.173090973801420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Обв. акт</c:v>
                </c:pt>
                <c:pt idx="1">
                  <c:v>Споразумения</c:v>
                </c:pt>
                <c:pt idx="2">
                  <c:v>Предложения по чл.78А</c:v>
                </c:pt>
                <c:pt idx="3">
                  <c:v>Внесени в съда дела</c:v>
                </c:pt>
              </c:strCache>
            </c:strRef>
          </c:cat>
          <c:val>
            <c:numRef>
              <c:f>Лист1!$B$2:$B$5</c:f>
              <c:numCache>
                <c:formatCode>General</c:formatCode>
                <c:ptCount val="4"/>
                <c:pt idx="0">
                  <c:v>1081</c:v>
                </c:pt>
                <c:pt idx="1">
                  <c:v>386</c:v>
                </c:pt>
                <c:pt idx="2">
                  <c:v>213</c:v>
                </c:pt>
                <c:pt idx="3">
                  <c:v>1677</c:v>
                </c:pt>
              </c:numCache>
            </c:numRef>
          </c:val>
        </c:ser>
        <c:ser>
          <c:idx val="1"/>
          <c:order val="1"/>
          <c:tx>
            <c:strRef>
              <c:f>Лист1!$C$1</c:f>
              <c:strCache>
                <c:ptCount val="1"/>
                <c:pt idx="0">
                  <c:v>2022</c:v>
                </c:pt>
              </c:strCache>
            </c:strRef>
          </c:tx>
          <c:invertIfNegative val="0"/>
          <c:dLbls>
            <c:dLbl>
              <c:idx val="0"/>
              <c:layout>
                <c:manualLayout>
                  <c:x val="1.3422036200394172E-2"/>
                  <c:y val="2.1730909738014205E-2"/>
                </c:manualLayout>
              </c:layout>
              <c:showLegendKey val="0"/>
              <c:showVal val="1"/>
              <c:showCatName val="0"/>
              <c:showSerName val="0"/>
              <c:showPercent val="0"/>
              <c:showBubbleSize val="0"/>
            </c:dLbl>
            <c:dLbl>
              <c:idx val="3"/>
              <c:layout>
                <c:manualLayout>
                  <c:x val="1.3422036200394172E-2"/>
                  <c:y val="2.716363717251775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Обв. акт</c:v>
                </c:pt>
                <c:pt idx="1">
                  <c:v>Споразумения</c:v>
                </c:pt>
                <c:pt idx="2">
                  <c:v>Предложения по чл.78А</c:v>
                </c:pt>
                <c:pt idx="3">
                  <c:v>Внесени в съда дела</c:v>
                </c:pt>
              </c:strCache>
            </c:strRef>
          </c:cat>
          <c:val>
            <c:numRef>
              <c:f>Лист1!$C$2:$C$5</c:f>
              <c:numCache>
                <c:formatCode>General</c:formatCode>
                <c:ptCount val="4"/>
                <c:pt idx="0">
                  <c:v>1172</c:v>
                </c:pt>
                <c:pt idx="1">
                  <c:v>466</c:v>
                </c:pt>
                <c:pt idx="2">
                  <c:v>192</c:v>
                </c:pt>
                <c:pt idx="3">
                  <c:v>1821</c:v>
                </c:pt>
              </c:numCache>
            </c:numRef>
          </c:val>
        </c:ser>
        <c:ser>
          <c:idx val="2"/>
          <c:order val="2"/>
          <c:tx>
            <c:strRef>
              <c:f>Лист1!$D$1</c:f>
              <c:strCache>
                <c:ptCount val="1"/>
                <c:pt idx="0">
                  <c:v>2023</c:v>
                </c:pt>
              </c:strCache>
            </c:strRef>
          </c:tx>
          <c:invertIfNegative val="0"/>
          <c:dLbls>
            <c:dLbl>
              <c:idx val="0"/>
              <c:layout>
                <c:manualLayout>
                  <c:x val="1.7896048267192145E-2"/>
                  <c:y val="0"/>
                </c:manualLayout>
              </c:layout>
              <c:showLegendKey val="0"/>
              <c:showVal val="1"/>
              <c:showCatName val="0"/>
              <c:showSerName val="0"/>
              <c:showPercent val="0"/>
              <c:showBubbleSize val="0"/>
            </c:dLbl>
            <c:dLbl>
              <c:idx val="3"/>
              <c:layout>
                <c:manualLayout>
                  <c:x val="1.5659042233793198E-2"/>
                  <c:y val="5.432727434503551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Обв. акт</c:v>
                </c:pt>
                <c:pt idx="1">
                  <c:v>Споразумения</c:v>
                </c:pt>
                <c:pt idx="2">
                  <c:v>Предложения по чл.78А</c:v>
                </c:pt>
                <c:pt idx="3">
                  <c:v>Внесени в съда дела</c:v>
                </c:pt>
              </c:strCache>
            </c:strRef>
          </c:cat>
          <c:val>
            <c:numRef>
              <c:f>Лист1!$D$2:$D$5</c:f>
              <c:numCache>
                <c:formatCode>General</c:formatCode>
                <c:ptCount val="4"/>
                <c:pt idx="0">
                  <c:v>1225</c:v>
                </c:pt>
                <c:pt idx="1">
                  <c:v>454</c:v>
                </c:pt>
                <c:pt idx="2">
                  <c:v>145</c:v>
                </c:pt>
                <c:pt idx="3">
                  <c:v>1801</c:v>
                </c:pt>
              </c:numCache>
            </c:numRef>
          </c:val>
        </c:ser>
        <c:dLbls>
          <c:showLegendKey val="0"/>
          <c:showVal val="0"/>
          <c:showCatName val="0"/>
          <c:showSerName val="0"/>
          <c:showPercent val="0"/>
          <c:showBubbleSize val="0"/>
        </c:dLbls>
        <c:gapWidth val="150"/>
        <c:shape val="cone"/>
        <c:axId val="159182848"/>
        <c:axId val="69720256"/>
        <c:axId val="159006720"/>
      </c:bar3DChart>
      <c:catAx>
        <c:axId val="159182848"/>
        <c:scaling>
          <c:orientation val="minMax"/>
        </c:scaling>
        <c:delete val="0"/>
        <c:axPos val="b"/>
        <c:majorTickMark val="out"/>
        <c:minorTickMark val="none"/>
        <c:tickLblPos val="nextTo"/>
        <c:crossAx val="69720256"/>
        <c:crosses val="autoZero"/>
        <c:auto val="1"/>
        <c:lblAlgn val="ctr"/>
        <c:lblOffset val="100"/>
        <c:noMultiLvlLbl val="0"/>
      </c:catAx>
      <c:valAx>
        <c:axId val="69720256"/>
        <c:scaling>
          <c:orientation val="minMax"/>
        </c:scaling>
        <c:delete val="0"/>
        <c:axPos val="l"/>
        <c:majorGridlines/>
        <c:numFmt formatCode="General" sourceLinked="1"/>
        <c:majorTickMark val="out"/>
        <c:minorTickMark val="none"/>
        <c:tickLblPos val="nextTo"/>
        <c:crossAx val="159182848"/>
        <c:crosses val="autoZero"/>
        <c:crossBetween val="between"/>
      </c:valAx>
      <c:serAx>
        <c:axId val="159006720"/>
        <c:scaling>
          <c:orientation val="minMax"/>
        </c:scaling>
        <c:delete val="1"/>
        <c:axPos val="b"/>
        <c:majorTickMark val="out"/>
        <c:minorTickMark val="none"/>
        <c:tickLblPos val="nextTo"/>
        <c:crossAx val="69720256"/>
        <c:crosses val="autoZero"/>
      </c:serAx>
    </c:plotArea>
    <c:legend>
      <c:legendPos val="r"/>
      <c:layout>
        <c:manualLayout>
          <c:xMode val="edge"/>
          <c:yMode val="edge"/>
          <c:x val="0.51655527559410741"/>
          <c:y val="0.91567393341683234"/>
          <c:w val="0.46270012906229208"/>
          <c:h val="8.3014365297398723E-2"/>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2345300530813297E-2"/>
          <c:y val="2.4216347956505437E-2"/>
          <c:w val="0.757033326382752"/>
          <c:h val="0.82891317537372666"/>
        </c:manualLayout>
      </c:layout>
      <c:bar3DChart>
        <c:barDir val="col"/>
        <c:grouping val="standard"/>
        <c:varyColors val="0"/>
        <c:ser>
          <c:idx val="0"/>
          <c:order val="0"/>
          <c:tx>
            <c:strRef>
              <c:f>Лист1!$B$1</c:f>
              <c:strCache>
                <c:ptCount val="1"/>
                <c:pt idx="0">
                  <c:v>Общо спрени</c:v>
                </c:pt>
              </c:strCache>
            </c:strRef>
          </c:tx>
          <c:invertIfNegative val="0"/>
          <c:dLbls>
            <c:dLbl>
              <c:idx val="0"/>
              <c:layout>
                <c:manualLayout>
                  <c:x val="1.3770995190957591E-2"/>
                  <c:y val="0.4100506827242828"/>
                </c:manualLayout>
              </c:layout>
              <c:spPr/>
              <c:txPr>
                <a:bodyPr/>
                <a:lstStyle/>
                <a:p>
                  <a:pPr>
                    <a:defRPr b="1"/>
                  </a:pPr>
                  <a:endParaRPr lang="bg-BG"/>
                </a:p>
              </c:txPr>
              <c:showLegendKey val="0"/>
              <c:showVal val="1"/>
              <c:showCatName val="0"/>
              <c:showSerName val="0"/>
              <c:showPercent val="0"/>
              <c:showBubbleSize val="0"/>
            </c:dLbl>
            <c:dLbl>
              <c:idx val="1"/>
              <c:layout>
                <c:manualLayout>
                  <c:x val="1.3462538666696673E-2"/>
                  <c:y val="0.41611886859173286"/>
                </c:manualLayout>
              </c:layout>
              <c:spPr/>
              <c:txPr>
                <a:bodyPr/>
                <a:lstStyle/>
                <a:p>
                  <a:pPr>
                    <a:defRPr b="1"/>
                  </a:pPr>
                  <a:endParaRPr lang="bg-BG"/>
                </a:p>
              </c:txPr>
              <c:showLegendKey val="0"/>
              <c:showVal val="1"/>
              <c:showCatName val="0"/>
              <c:showSerName val="0"/>
              <c:showPercent val="0"/>
              <c:showBubbleSize val="0"/>
            </c:dLbl>
            <c:dLbl>
              <c:idx val="2"/>
              <c:layout>
                <c:manualLayout>
                  <c:x val="9.2816620114112361E-3"/>
                  <c:y val="0.41593759546436782"/>
                </c:manualLayout>
              </c:layout>
              <c:spPr/>
              <c:txPr>
                <a:bodyPr/>
                <a:lstStyle/>
                <a:p>
                  <a:pPr>
                    <a:defRPr b="1"/>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2021</c:v>
                </c:pt>
                <c:pt idx="1">
                  <c:v>2022</c:v>
                </c:pt>
                <c:pt idx="2">
                  <c:v>2023</c:v>
                </c:pt>
              </c:numCache>
            </c:numRef>
          </c:cat>
          <c:val>
            <c:numRef>
              <c:f>Лист1!$B$2:$B$4</c:f>
              <c:numCache>
                <c:formatCode>General</c:formatCode>
                <c:ptCount val="3"/>
                <c:pt idx="0">
                  <c:v>4002</c:v>
                </c:pt>
                <c:pt idx="1">
                  <c:v>3821</c:v>
                </c:pt>
                <c:pt idx="2">
                  <c:v>3791</c:v>
                </c:pt>
              </c:numCache>
            </c:numRef>
          </c:val>
        </c:ser>
        <c:ser>
          <c:idx val="1"/>
          <c:order val="1"/>
          <c:tx>
            <c:strRef>
              <c:f>Лист1!$C$1</c:f>
              <c:strCache>
                <c:ptCount val="1"/>
                <c:pt idx="0">
                  <c:v>От тях-поради неразкриване на извършителя</c:v>
                </c:pt>
              </c:strCache>
            </c:strRef>
          </c:tx>
          <c:invertIfNegative val="0"/>
          <c:dLbls>
            <c:txPr>
              <a:bodyPr/>
              <a:lstStyle/>
              <a:p>
                <a:pPr>
                  <a:defRPr b="1"/>
                </a:pPr>
                <a:endParaRPr lang="bg-BG"/>
              </a:p>
            </c:txPr>
            <c:showLegendKey val="0"/>
            <c:showVal val="1"/>
            <c:showCatName val="0"/>
            <c:showSerName val="0"/>
            <c:showPercent val="0"/>
            <c:showBubbleSize val="0"/>
            <c:showLeaderLines val="0"/>
          </c:dLbls>
          <c:cat>
            <c:numRef>
              <c:f>Лист1!$A$2:$A$4</c:f>
              <c:numCache>
                <c:formatCode>General</c:formatCode>
                <c:ptCount val="3"/>
                <c:pt idx="0">
                  <c:v>2021</c:v>
                </c:pt>
                <c:pt idx="1">
                  <c:v>2022</c:v>
                </c:pt>
                <c:pt idx="2">
                  <c:v>2023</c:v>
                </c:pt>
              </c:numCache>
            </c:numRef>
          </c:cat>
          <c:val>
            <c:numRef>
              <c:f>Лист1!$C$2:$C$4</c:f>
              <c:numCache>
                <c:formatCode>General</c:formatCode>
                <c:ptCount val="3"/>
                <c:pt idx="0">
                  <c:v>3393</c:v>
                </c:pt>
                <c:pt idx="1">
                  <c:v>3344</c:v>
                </c:pt>
                <c:pt idx="2">
                  <c:v>3343</c:v>
                </c:pt>
              </c:numCache>
            </c:numRef>
          </c:val>
        </c:ser>
        <c:ser>
          <c:idx val="2"/>
          <c:order val="2"/>
          <c:tx>
            <c:strRef>
              <c:f>Лист1!$D$1</c:f>
              <c:strCache>
                <c:ptCount val="1"/>
                <c:pt idx="0">
                  <c:v>Спрени на други основания</c:v>
                </c:pt>
              </c:strCache>
            </c:strRef>
          </c:tx>
          <c:invertIfNegative val="0"/>
          <c:dLbls>
            <c:dLbl>
              <c:idx val="0"/>
              <c:layout>
                <c:manualLayout>
                  <c:x val="6.5910135940952415E-3"/>
                  <c:y val="0"/>
                </c:manualLayout>
              </c:layout>
              <c:showLegendKey val="0"/>
              <c:showVal val="1"/>
              <c:showCatName val="0"/>
              <c:showSerName val="0"/>
              <c:showPercent val="0"/>
              <c:showBubbleSize val="0"/>
            </c:dLbl>
            <c:dLbl>
              <c:idx val="1"/>
              <c:layout>
                <c:manualLayout>
                  <c:x val="1.9773040782285846E-2"/>
                  <c:y val="4.6029469008394761E-3"/>
                </c:manualLayout>
              </c:layout>
              <c:showLegendKey val="0"/>
              <c:showVal val="1"/>
              <c:showCatName val="0"/>
              <c:showSerName val="0"/>
              <c:showPercent val="0"/>
              <c:showBubbleSize val="0"/>
            </c:dLbl>
            <c:dLbl>
              <c:idx val="2"/>
              <c:layout>
                <c:manualLayout>
                  <c:x val="3.2955067970476412E-2"/>
                  <c:y val="9.2058938016788671E-3"/>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numRef>
              <c:f>Лист1!$A$2:$A$4</c:f>
              <c:numCache>
                <c:formatCode>General</c:formatCode>
                <c:ptCount val="3"/>
                <c:pt idx="0">
                  <c:v>2021</c:v>
                </c:pt>
                <c:pt idx="1">
                  <c:v>2022</c:v>
                </c:pt>
                <c:pt idx="2">
                  <c:v>2023</c:v>
                </c:pt>
              </c:numCache>
            </c:numRef>
          </c:cat>
          <c:val>
            <c:numRef>
              <c:f>Лист1!$D$2:$D$4</c:f>
              <c:numCache>
                <c:formatCode>General</c:formatCode>
                <c:ptCount val="3"/>
                <c:pt idx="0">
                  <c:v>609</c:v>
                </c:pt>
                <c:pt idx="1">
                  <c:v>477</c:v>
                </c:pt>
                <c:pt idx="2">
                  <c:v>448</c:v>
                </c:pt>
              </c:numCache>
            </c:numRef>
          </c:val>
        </c:ser>
        <c:dLbls>
          <c:showLegendKey val="0"/>
          <c:showVal val="0"/>
          <c:showCatName val="0"/>
          <c:showSerName val="0"/>
          <c:showPercent val="0"/>
          <c:showBubbleSize val="0"/>
        </c:dLbls>
        <c:gapWidth val="150"/>
        <c:shape val="cone"/>
        <c:axId val="159184896"/>
        <c:axId val="69719104"/>
        <c:axId val="159007360"/>
      </c:bar3DChart>
      <c:catAx>
        <c:axId val="159184896"/>
        <c:scaling>
          <c:orientation val="minMax"/>
        </c:scaling>
        <c:delete val="0"/>
        <c:axPos val="b"/>
        <c:numFmt formatCode="General" sourceLinked="1"/>
        <c:majorTickMark val="out"/>
        <c:minorTickMark val="none"/>
        <c:tickLblPos val="nextTo"/>
        <c:crossAx val="69719104"/>
        <c:crosses val="autoZero"/>
        <c:auto val="1"/>
        <c:lblAlgn val="ctr"/>
        <c:lblOffset val="100"/>
        <c:noMultiLvlLbl val="0"/>
      </c:catAx>
      <c:valAx>
        <c:axId val="69719104"/>
        <c:scaling>
          <c:orientation val="minMax"/>
        </c:scaling>
        <c:delete val="0"/>
        <c:axPos val="l"/>
        <c:majorGridlines/>
        <c:numFmt formatCode="General" sourceLinked="1"/>
        <c:majorTickMark val="out"/>
        <c:minorTickMark val="none"/>
        <c:tickLblPos val="nextTo"/>
        <c:crossAx val="159184896"/>
        <c:crosses val="autoZero"/>
        <c:crossBetween val="between"/>
      </c:valAx>
      <c:serAx>
        <c:axId val="159007360"/>
        <c:scaling>
          <c:orientation val="minMax"/>
        </c:scaling>
        <c:delete val="1"/>
        <c:axPos val="b"/>
        <c:majorTickMark val="out"/>
        <c:minorTickMark val="none"/>
        <c:tickLblPos val="nextTo"/>
        <c:crossAx val="69719104"/>
        <c:crosses val="autoZero"/>
      </c:serAx>
      <c:spPr>
        <a:noFill/>
      </c:spPr>
    </c:plotArea>
    <c:legend>
      <c:legendPos val="r"/>
      <c:layout>
        <c:manualLayout>
          <c:xMode val="edge"/>
          <c:yMode val="edge"/>
          <c:x val="0.754610100849335"/>
          <c:y val="1.5545637674866671E-2"/>
          <c:w val="0.23221126949149551"/>
          <c:h val="0.98272718211719512"/>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30"/>
      <c:rAngAx val="0"/>
      <c:perspective val="30"/>
    </c:view3D>
    <c:floor>
      <c:thickness val="0"/>
    </c:floor>
    <c:sideWall>
      <c:thickness val="0"/>
    </c:sideWall>
    <c:backWall>
      <c:thickness val="0"/>
    </c:backWall>
    <c:plotArea>
      <c:layout>
        <c:manualLayout>
          <c:layoutTarget val="inner"/>
          <c:xMode val="edge"/>
          <c:yMode val="edge"/>
          <c:x val="8.677137244239426E-2"/>
          <c:y val="6.4701363549068566E-2"/>
          <c:w val="0.71667538298867184"/>
          <c:h val="0.7585629746330208"/>
        </c:manualLayout>
      </c:layout>
      <c:bar3DChart>
        <c:barDir val="col"/>
        <c:grouping val="standard"/>
        <c:varyColors val="0"/>
        <c:ser>
          <c:idx val="0"/>
          <c:order val="0"/>
          <c:tx>
            <c:strRef>
              <c:f>Лист1!$B$1</c:f>
              <c:strCache>
                <c:ptCount val="1"/>
                <c:pt idx="0">
                  <c:v>Общо прекратени, извън тези по давност</c:v>
                </c:pt>
              </c:strCache>
            </c:strRef>
          </c:tx>
          <c:invertIfNegative val="0"/>
          <c:dLbls>
            <c:dLbl>
              <c:idx val="0"/>
              <c:layout>
                <c:manualLayout>
                  <c:x val="1.655152550164888E-2"/>
                  <c:y val="0.13389885139185523"/>
                </c:manualLayout>
              </c:layout>
              <c:showLegendKey val="0"/>
              <c:showVal val="1"/>
              <c:showCatName val="0"/>
              <c:showSerName val="0"/>
              <c:showPercent val="0"/>
              <c:showBubbleSize val="0"/>
            </c:dLbl>
            <c:dLbl>
              <c:idx val="1"/>
              <c:layout>
                <c:manualLayout>
                  <c:x val="1.241364412623666E-2"/>
                  <c:y val="0.14824515689812534"/>
                </c:manualLayout>
              </c:layout>
              <c:showLegendKey val="0"/>
              <c:showVal val="1"/>
              <c:showCatName val="0"/>
              <c:showSerName val="0"/>
              <c:showPercent val="0"/>
              <c:showBubbleSize val="0"/>
            </c:dLbl>
            <c:dLbl>
              <c:idx val="2"/>
              <c:layout>
                <c:manualLayout>
                  <c:x val="1.4482584813942771E-2"/>
                  <c:y val="0.14346305506270202"/>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numRef>
              <c:f>Лист1!$A$2:$A$4</c:f>
              <c:numCache>
                <c:formatCode>General</c:formatCode>
                <c:ptCount val="3"/>
                <c:pt idx="0">
                  <c:v>2021</c:v>
                </c:pt>
                <c:pt idx="1">
                  <c:v>2022</c:v>
                </c:pt>
                <c:pt idx="2">
                  <c:v>2023</c:v>
                </c:pt>
              </c:numCache>
            </c:numRef>
          </c:cat>
          <c:val>
            <c:numRef>
              <c:f>Лист1!$B$2:$B$4</c:f>
              <c:numCache>
                <c:formatCode>General</c:formatCode>
                <c:ptCount val="3"/>
                <c:pt idx="0">
                  <c:v>2643</c:v>
                </c:pt>
                <c:pt idx="1">
                  <c:v>2500</c:v>
                </c:pt>
                <c:pt idx="2">
                  <c:v>2438</c:v>
                </c:pt>
              </c:numCache>
            </c:numRef>
          </c:val>
        </c:ser>
        <c:ser>
          <c:idx val="1"/>
          <c:order val="1"/>
          <c:tx>
            <c:strRef>
              <c:f>Лист1!$C$1</c:f>
              <c:strCache>
                <c:ptCount val="1"/>
                <c:pt idx="0">
                  <c:v>с/у ИИ</c:v>
                </c:pt>
              </c:strCache>
            </c:strRef>
          </c:tx>
          <c:invertIfNegative val="0"/>
          <c:cat>
            <c:numRef>
              <c:f>Лист1!$A$2:$A$4</c:f>
              <c:numCache>
                <c:formatCode>General</c:formatCode>
                <c:ptCount val="3"/>
                <c:pt idx="0">
                  <c:v>2021</c:v>
                </c:pt>
                <c:pt idx="1">
                  <c:v>2022</c:v>
                </c:pt>
                <c:pt idx="2">
                  <c:v>2023</c:v>
                </c:pt>
              </c:numCache>
            </c:numRef>
          </c:cat>
          <c:val>
            <c:numRef>
              <c:f>Лист1!$C$2:$C$4</c:f>
              <c:numCache>
                <c:formatCode>General</c:formatCode>
                <c:ptCount val="3"/>
                <c:pt idx="0">
                  <c:v>202</c:v>
                </c:pt>
                <c:pt idx="1">
                  <c:v>162</c:v>
                </c:pt>
                <c:pt idx="2">
                  <c:v>161</c:v>
                </c:pt>
              </c:numCache>
            </c:numRef>
          </c:val>
        </c:ser>
        <c:ser>
          <c:idx val="2"/>
          <c:order val="2"/>
          <c:tx>
            <c:strRef>
              <c:f>Лист1!$D$1</c:f>
              <c:strCache>
                <c:ptCount val="1"/>
                <c:pt idx="0">
                  <c:v>с/уНИ</c:v>
                </c:pt>
              </c:strCache>
            </c:strRef>
          </c:tx>
          <c:invertIfNegative val="0"/>
          <c:cat>
            <c:numRef>
              <c:f>Лист1!$A$2:$A$4</c:f>
              <c:numCache>
                <c:formatCode>General</c:formatCode>
                <c:ptCount val="3"/>
                <c:pt idx="0">
                  <c:v>2021</c:v>
                </c:pt>
                <c:pt idx="1">
                  <c:v>2022</c:v>
                </c:pt>
                <c:pt idx="2">
                  <c:v>2023</c:v>
                </c:pt>
              </c:numCache>
            </c:numRef>
          </c:cat>
          <c:val>
            <c:numRef>
              <c:f>Лист1!$D$2:$D$4</c:f>
              <c:numCache>
                <c:formatCode>General</c:formatCode>
                <c:ptCount val="3"/>
                <c:pt idx="0">
                  <c:v>2441</c:v>
                </c:pt>
                <c:pt idx="1">
                  <c:v>2338</c:v>
                </c:pt>
                <c:pt idx="2">
                  <c:v>2277</c:v>
                </c:pt>
              </c:numCache>
            </c:numRef>
          </c:val>
        </c:ser>
        <c:ser>
          <c:idx val="3"/>
          <c:order val="3"/>
          <c:tx>
            <c:strRef>
              <c:f>Лист1!$E$1</c:f>
              <c:strCache>
                <c:ptCount val="1"/>
                <c:pt idx="0">
                  <c:v>Прекратени по давност</c:v>
                </c:pt>
              </c:strCache>
            </c:strRef>
          </c:tx>
          <c:invertIfNegative val="0"/>
          <c:dLbls>
            <c:dLbl>
              <c:idx val="0"/>
              <c:layout>
                <c:manualLayout>
                  <c:x val="1.0344703438530551E-2"/>
                  <c:y val="5.2603120189657321E-2"/>
                </c:manualLayout>
              </c:layout>
              <c:showLegendKey val="0"/>
              <c:showVal val="1"/>
              <c:showCatName val="0"/>
              <c:showSerName val="0"/>
              <c:showPercent val="0"/>
              <c:showBubbleSize val="0"/>
            </c:dLbl>
            <c:dLbl>
              <c:idx val="1"/>
              <c:layout>
                <c:manualLayout>
                  <c:x val="8.2757627508244398E-3"/>
                  <c:y val="0.29170821196082741"/>
                </c:manualLayout>
              </c:layout>
              <c:showLegendKey val="0"/>
              <c:showVal val="1"/>
              <c:showCatName val="0"/>
              <c:showSerName val="0"/>
              <c:showPercent val="0"/>
              <c:showBubbleSize val="0"/>
            </c:dLbl>
            <c:dLbl>
              <c:idx val="2"/>
              <c:layout>
                <c:manualLayout>
                  <c:x val="1.0344703438530551E-2"/>
                  <c:y val="0.34431133215048476"/>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numRef>
              <c:f>Лист1!$A$2:$A$4</c:f>
              <c:numCache>
                <c:formatCode>General</c:formatCode>
                <c:ptCount val="3"/>
                <c:pt idx="0">
                  <c:v>2021</c:v>
                </c:pt>
                <c:pt idx="1">
                  <c:v>2022</c:v>
                </c:pt>
                <c:pt idx="2">
                  <c:v>2023</c:v>
                </c:pt>
              </c:numCache>
            </c:numRef>
          </c:cat>
          <c:val>
            <c:numRef>
              <c:f>Лист1!$E$2:$E$4</c:f>
              <c:numCache>
                <c:formatCode>General</c:formatCode>
                <c:ptCount val="3"/>
                <c:pt idx="0">
                  <c:v>1837</c:v>
                </c:pt>
                <c:pt idx="1">
                  <c:v>8249</c:v>
                </c:pt>
                <c:pt idx="2">
                  <c:v>8956</c:v>
                </c:pt>
              </c:numCache>
            </c:numRef>
          </c:val>
        </c:ser>
        <c:ser>
          <c:idx val="4"/>
          <c:order val="4"/>
          <c:tx>
            <c:strRef>
              <c:f>Лист1!$F$1</c:f>
              <c:strCache>
                <c:ptCount val="1"/>
                <c:pt idx="0">
                  <c:v>Общо прекратени, вкл. по давност 2023 год.</c:v>
                </c:pt>
              </c:strCache>
            </c:strRef>
          </c:tx>
          <c:invertIfNegative val="0"/>
          <c:dLbls>
            <c:dLbl>
              <c:idx val="1"/>
              <c:layout>
                <c:manualLayout>
                  <c:x val="9.2592592592592587E-3"/>
                  <c:y val="1.1918380676832629E-2"/>
                </c:manualLayout>
              </c:layout>
              <c:showLegendKey val="0"/>
              <c:showVal val="1"/>
              <c:showCatName val="0"/>
              <c:showSerName val="0"/>
              <c:showPercent val="0"/>
              <c:showBubbleSize val="0"/>
            </c:dLbl>
            <c:dLbl>
              <c:idx val="2"/>
              <c:layout>
                <c:manualLayout>
                  <c:x val="2.3148148148148147E-2"/>
                  <c:y val="3.5755142030497913E-2"/>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numRef>
              <c:f>Лист1!$A$2:$A$4</c:f>
              <c:numCache>
                <c:formatCode>General</c:formatCode>
                <c:ptCount val="3"/>
                <c:pt idx="0">
                  <c:v>2021</c:v>
                </c:pt>
                <c:pt idx="1">
                  <c:v>2022</c:v>
                </c:pt>
                <c:pt idx="2">
                  <c:v>2023</c:v>
                </c:pt>
              </c:numCache>
            </c:numRef>
          </c:cat>
          <c:val>
            <c:numRef>
              <c:f>Лист1!$F$2:$F$4</c:f>
              <c:numCache>
                <c:formatCode>General</c:formatCode>
                <c:ptCount val="3"/>
                <c:pt idx="0">
                  <c:v>4480</c:v>
                </c:pt>
                <c:pt idx="1">
                  <c:v>10749</c:v>
                </c:pt>
                <c:pt idx="2">
                  <c:v>11394</c:v>
                </c:pt>
              </c:numCache>
            </c:numRef>
          </c:val>
        </c:ser>
        <c:dLbls>
          <c:showLegendKey val="0"/>
          <c:showVal val="0"/>
          <c:showCatName val="0"/>
          <c:showSerName val="0"/>
          <c:showPercent val="0"/>
          <c:showBubbleSize val="0"/>
        </c:dLbls>
        <c:gapWidth val="150"/>
        <c:shape val="cone"/>
        <c:axId val="159867392"/>
        <c:axId val="69721408"/>
        <c:axId val="159846400"/>
      </c:bar3DChart>
      <c:catAx>
        <c:axId val="159867392"/>
        <c:scaling>
          <c:orientation val="minMax"/>
        </c:scaling>
        <c:delete val="0"/>
        <c:axPos val="b"/>
        <c:numFmt formatCode="General" sourceLinked="1"/>
        <c:majorTickMark val="out"/>
        <c:minorTickMark val="none"/>
        <c:tickLblPos val="nextTo"/>
        <c:crossAx val="69721408"/>
        <c:crosses val="autoZero"/>
        <c:auto val="1"/>
        <c:lblAlgn val="ctr"/>
        <c:lblOffset val="100"/>
        <c:noMultiLvlLbl val="0"/>
      </c:catAx>
      <c:valAx>
        <c:axId val="69721408"/>
        <c:scaling>
          <c:orientation val="minMax"/>
        </c:scaling>
        <c:delete val="0"/>
        <c:axPos val="l"/>
        <c:majorGridlines/>
        <c:numFmt formatCode="General" sourceLinked="1"/>
        <c:majorTickMark val="out"/>
        <c:minorTickMark val="none"/>
        <c:tickLblPos val="nextTo"/>
        <c:crossAx val="159867392"/>
        <c:crosses val="autoZero"/>
        <c:crossBetween val="between"/>
      </c:valAx>
      <c:serAx>
        <c:axId val="159846400"/>
        <c:scaling>
          <c:orientation val="minMax"/>
        </c:scaling>
        <c:delete val="1"/>
        <c:axPos val="b"/>
        <c:majorTickMark val="out"/>
        <c:minorTickMark val="none"/>
        <c:tickLblPos val="nextTo"/>
        <c:crossAx val="69721408"/>
        <c:crosses val="autoZero"/>
      </c:serAx>
    </c:plotArea>
    <c:legend>
      <c:legendPos val="r"/>
      <c:layout>
        <c:manualLayout>
          <c:xMode val="edge"/>
          <c:yMode val="edge"/>
          <c:x val="0.77077880303472868"/>
          <c:y val="2.6311726768022122E-2"/>
          <c:w val="0.213276506429111"/>
          <c:h val="0.94249219564914499"/>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8832932341790604E-2"/>
          <c:y val="4.4057617797775277E-2"/>
          <c:w val="0.77185112277631962"/>
          <c:h val="0.85670903062219617"/>
        </c:manualLayout>
      </c:layout>
      <c:bar3DChart>
        <c:barDir val="col"/>
        <c:grouping val="clustered"/>
        <c:varyColors val="0"/>
        <c:ser>
          <c:idx val="0"/>
          <c:order val="0"/>
          <c:tx>
            <c:strRef>
              <c:f>Лист1!$B$1</c:f>
              <c:strCache>
                <c:ptCount val="1"/>
                <c:pt idx="0">
                  <c:v>2021 г.</c:v>
                </c:pt>
              </c:strCache>
            </c:strRef>
          </c:tx>
          <c:invertIfNegative val="0"/>
          <c:dLbls>
            <c:dLbl>
              <c:idx val="1"/>
              <c:layout>
                <c:manualLayout>
                  <c:x val="-2.5462962962963007E-2"/>
                  <c:y val="-3.963330146025346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Лист1!$B$2:$B$4</c:f>
              <c:numCache>
                <c:formatCode>General</c:formatCode>
                <c:ptCount val="3"/>
                <c:pt idx="0">
                  <c:v>151</c:v>
                </c:pt>
                <c:pt idx="1">
                  <c:v>1529</c:v>
                </c:pt>
                <c:pt idx="2">
                  <c:v>1680</c:v>
                </c:pt>
              </c:numCache>
            </c:numRef>
          </c:val>
        </c:ser>
        <c:ser>
          <c:idx val="1"/>
          <c:order val="1"/>
          <c:tx>
            <c:strRef>
              <c:f>Лист1!$C$1</c:f>
              <c:strCache>
                <c:ptCount val="1"/>
                <c:pt idx="0">
                  <c:v>2022 г.</c:v>
                </c:pt>
              </c:strCache>
            </c:strRef>
          </c:tx>
          <c:invertIfNegative val="0"/>
          <c:dLbls>
            <c:dLbl>
              <c:idx val="2"/>
              <c:layout>
                <c:manualLayout>
                  <c:x val="9.2592592592591737E-3"/>
                  <c:y val="-1.98166569143748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Лист1!$C$2:$C$4</c:f>
              <c:numCache>
                <c:formatCode>General</c:formatCode>
                <c:ptCount val="3"/>
                <c:pt idx="0">
                  <c:v>139</c:v>
                </c:pt>
                <c:pt idx="1">
                  <c:v>1691</c:v>
                </c:pt>
                <c:pt idx="2">
                  <c:v>1830</c:v>
                </c:pt>
              </c:numCache>
            </c:numRef>
          </c:val>
        </c:ser>
        <c:ser>
          <c:idx val="2"/>
          <c:order val="2"/>
          <c:tx>
            <c:strRef>
              <c:f>Лист1!$D$1</c:f>
              <c:strCache>
                <c:ptCount val="1"/>
                <c:pt idx="0">
                  <c:v>2023 г.</c:v>
                </c:pt>
              </c:strCache>
            </c:strRef>
          </c:tx>
          <c:invertIfNegative val="0"/>
          <c:dLbls>
            <c:dLbl>
              <c:idx val="2"/>
              <c:layout>
                <c:manualLayout>
                  <c:x val="-8.4875562720133283E-17"/>
                  <c:y val="-1.98166507301265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Лист1!$D$2:$D$4</c:f>
              <c:numCache>
                <c:formatCode>General</c:formatCode>
                <c:ptCount val="3"/>
                <c:pt idx="0">
                  <c:v>167</c:v>
                </c:pt>
                <c:pt idx="1">
                  <c:v>1657</c:v>
                </c:pt>
                <c:pt idx="2">
                  <c:v>1824</c:v>
                </c:pt>
              </c:numCache>
            </c:numRef>
          </c:val>
        </c:ser>
        <c:dLbls>
          <c:showLegendKey val="0"/>
          <c:showVal val="0"/>
          <c:showCatName val="0"/>
          <c:showSerName val="0"/>
          <c:showPercent val="0"/>
          <c:showBubbleSize val="0"/>
        </c:dLbls>
        <c:gapWidth val="150"/>
        <c:shape val="box"/>
        <c:axId val="46717440"/>
        <c:axId val="159534464"/>
        <c:axId val="0"/>
      </c:bar3DChart>
      <c:catAx>
        <c:axId val="46717440"/>
        <c:scaling>
          <c:orientation val="minMax"/>
        </c:scaling>
        <c:delete val="0"/>
        <c:axPos val="b"/>
        <c:majorTickMark val="out"/>
        <c:minorTickMark val="none"/>
        <c:tickLblPos val="nextTo"/>
        <c:crossAx val="159534464"/>
        <c:crosses val="autoZero"/>
        <c:auto val="1"/>
        <c:lblAlgn val="ctr"/>
        <c:lblOffset val="100"/>
        <c:noMultiLvlLbl val="0"/>
      </c:catAx>
      <c:valAx>
        <c:axId val="159534464"/>
        <c:scaling>
          <c:orientation val="minMax"/>
        </c:scaling>
        <c:delete val="0"/>
        <c:axPos val="l"/>
        <c:majorGridlines/>
        <c:numFmt formatCode="General" sourceLinked="1"/>
        <c:majorTickMark val="out"/>
        <c:minorTickMark val="none"/>
        <c:tickLblPos val="nextTo"/>
        <c:crossAx val="46717440"/>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8832932341790604E-2"/>
          <c:y val="4.4057617797775277E-2"/>
          <c:w val="0.77185112277631962"/>
          <c:h val="0.85670903062219617"/>
        </c:manualLayout>
      </c:layout>
      <c:bar3DChart>
        <c:barDir val="col"/>
        <c:grouping val="clustered"/>
        <c:varyColors val="0"/>
        <c:ser>
          <c:idx val="0"/>
          <c:order val="0"/>
          <c:tx>
            <c:strRef>
              <c:f>Лист1!$B$1</c:f>
              <c:strCache>
                <c:ptCount val="1"/>
                <c:pt idx="0">
                  <c:v>2021 г.</c:v>
                </c:pt>
              </c:strCache>
            </c:strRef>
          </c:tx>
          <c:invertIfNegative val="0"/>
          <c:dLbls>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Лист1!$B$2:$B$4</c:f>
              <c:numCache>
                <c:formatCode>General</c:formatCode>
                <c:ptCount val="3"/>
                <c:pt idx="0">
                  <c:v>101</c:v>
                </c:pt>
                <c:pt idx="1">
                  <c:v>980</c:v>
                </c:pt>
                <c:pt idx="2">
                  <c:v>1081</c:v>
                </c:pt>
              </c:numCache>
            </c:numRef>
          </c:val>
        </c:ser>
        <c:ser>
          <c:idx val="1"/>
          <c:order val="1"/>
          <c:tx>
            <c:strRef>
              <c:f>Лист1!$C$1</c:f>
              <c:strCache>
                <c:ptCount val="1"/>
                <c:pt idx="0">
                  <c:v>2022 г.</c:v>
                </c:pt>
              </c:strCache>
            </c:strRef>
          </c:tx>
          <c:invertIfNegative val="0"/>
          <c:dLbls>
            <c:dLbl>
              <c:idx val="1"/>
              <c:layout>
                <c:manualLayout>
                  <c:x val="-1.8518518518518517E-2"/>
                  <c:y val="0"/>
                </c:manualLayout>
              </c:layout>
              <c:showLegendKey val="0"/>
              <c:showVal val="1"/>
              <c:showCatName val="0"/>
              <c:showSerName val="0"/>
              <c:showPercent val="0"/>
              <c:showBubbleSize val="0"/>
            </c:dLbl>
            <c:dLbl>
              <c:idx val="2"/>
              <c:layout>
                <c:manualLayout>
                  <c:x val="1.1574074074074073E-2"/>
                  <c:y val="-1.188999043807593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Лист1!$C$2:$C$4</c:f>
              <c:numCache>
                <c:formatCode>General</c:formatCode>
                <c:ptCount val="3"/>
                <c:pt idx="0">
                  <c:v>84</c:v>
                </c:pt>
                <c:pt idx="1">
                  <c:v>1088</c:v>
                </c:pt>
                <c:pt idx="2">
                  <c:v>1172</c:v>
                </c:pt>
              </c:numCache>
            </c:numRef>
          </c:val>
        </c:ser>
        <c:ser>
          <c:idx val="2"/>
          <c:order val="2"/>
          <c:tx>
            <c:strRef>
              <c:f>Лист1!$D$1</c:f>
              <c:strCache>
                <c:ptCount val="1"/>
                <c:pt idx="0">
                  <c:v>2023 г.</c:v>
                </c:pt>
              </c:strCache>
            </c:strRef>
          </c:tx>
          <c:invertIfNegative val="0"/>
          <c:dLbls>
            <c:dLbl>
              <c:idx val="0"/>
              <c:layout>
                <c:manualLayout>
                  <c:x val="1.3888888888888888E-2"/>
                  <c:y val="-3.9633301460253101E-3"/>
                </c:manualLayout>
              </c:layout>
              <c:showLegendKey val="0"/>
              <c:showVal val="1"/>
              <c:showCatName val="0"/>
              <c:showSerName val="0"/>
              <c:showPercent val="0"/>
              <c:showBubbleSize val="0"/>
            </c:dLbl>
            <c:dLbl>
              <c:idx val="2"/>
              <c:layout>
                <c:manualLayout>
                  <c:x val="6.9444444444445291E-3"/>
                  <c:y val="-3.963330146025310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Лист1!$D$2:$D$4</c:f>
              <c:numCache>
                <c:formatCode>General</c:formatCode>
                <c:ptCount val="3"/>
                <c:pt idx="0">
                  <c:v>89</c:v>
                </c:pt>
                <c:pt idx="1">
                  <c:v>1136</c:v>
                </c:pt>
                <c:pt idx="2">
                  <c:v>1225</c:v>
                </c:pt>
              </c:numCache>
            </c:numRef>
          </c:val>
        </c:ser>
        <c:dLbls>
          <c:showLegendKey val="0"/>
          <c:showVal val="0"/>
          <c:showCatName val="0"/>
          <c:showSerName val="0"/>
          <c:showPercent val="0"/>
          <c:showBubbleSize val="0"/>
        </c:dLbls>
        <c:gapWidth val="150"/>
        <c:shape val="box"/>
        <c:axId val="46887936"/>
        <c:axId val="159536192"/>
        <c:axId val="0"/>
      </c:bar3DChart>
      <c:catAx>
        <c:axId val="46887936"/>
        <c:scaling>
          <c:orientation val="minMax"/>
        </c:scaling>
        <c:delete val="0"/>
        <c:axPos val="b"/>
        <c:majorTickMark val="out"/>
        <c:minorTickMark val="none"/>
        <c:tickLblPos val="nextTo"/>
        <c:crossAx val="159536192"/>
        <c:crosses val="autoZero"/>
        <c:auto val="1"/>
        <c:lblAlgn val="ctr"/>
        <c:lblOffset val="100"/>
        <c:noMultiLvlLbl val="0"/>
      </c:catAx>
      <c:valAx>
        <c:axId val="159536192"/>
        <c:scaling>
          <c:orientation val="minMax"/>
        </c:scaling>
        <c:delete val="0"/>
        <c:axPos val="l"/>
        <c:majorGridlines/>
        <c:numFmt formatCode="General" sourceLinked="1"/>
        <c:majorTickMark val="out"/>
        <c:minorTickMark val="none"/>
        <c:tickLblPos val="nextTo"/>
        <c:crossAx val="46887936"/>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8832932341790604E-2"/>
          <c:y val="4.4057617797775277E-2"/>
          <c:w val="0.77185112277631962"/>
          <c:h val="0.85670903062219617"/>
        </c:manualLayout>
      </c:layout>
      <c:bar3DChart>
        <c:barDir val="col"/>
        <c:grouping val="clustered"/>
        <c:varyColors val="0"/>
        <c:ser>
          <c:idx val="0"/>
          <c:order val="0"/>
          <c:tx>
            <c:strRef>
              <c:f>Лист1!$B$1</c:f>
              <c:strCache>
                <c:ptCount val="1"/>
                <c:pt idx="0">
                  <c:v>2021 г.</c:v>
                </c:pt>
              </c:strCache>
            </c:strRef>
          </c:tx>
          <c:invertIfNegative val="0"/>
          <c:dLbls>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Лист1!$B$2:$B$4</c:f>
              <c:numCache>
                <c:formatCode>General</c:formatCode>
                <c:ptCount val="3"/>
                <c:pt idx="0">
                  <c:v>48</c:v>
                </c:pt>
                <c:pt idx="1">
                  <c:v>338</c:v>
                </c:pt>
                <c:pt idx="2">
                  <c:v>386</c:v>
                </c:pt>
              </c:numCache>
            </c:numRef>
          </c:val>
        </c:ser>
        <c:ser>
          <c:idx val="1"/>
          <c:order val="1"/>
          <c:tx>
            <c:strRef>
              <c:f>Лист1!$C$1</c:f>
              <c:strCache>
                <c:ptCount val="1"/>
                <c:pt idx="0">
                  <c:v>2022 г.</c:v>
                </c:pt>
              </c:strCache>
            </c:strRef>
          </c:tx>
          <c:invertIfNegative val="0"/>
          <c:dLbls>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Лист1!$C$2:$C$4</c:f>
              <c:numCache>
                <c:formatCode>General</c:formatCode>
                <c:ptCount val="3"/>
                <c:pt idx="0">
                  <c:v>50</c:v>
                </c:pt>
                <c:pt idx="1">
                  <c:v>416</c:v>
                </c:pt>
                <c:pt idx="2">
                  <c:v>466</c:v>
                </c:pt>
              </c:numCache>
            </c:numRef>
          </c:val>
        </c:ser>
        <c:ser>
          <c:idx val="2"/>
          <c:order val="2"/>
          <c:tx>
            <c:strRef>
              <c:f>Лист1!$D$1</c:f>
              <c:strCache>
                <c:ptCount val="1"/>
                <c:pt idx="0">
                  <c:v>2023 г.</c:v>
                </c:pt>
              </c:strCache>
            </c:strRef>
          </c:tx>
          <c:invertIfNegative val="0"/>
          <c:dLbls>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Лист1!$D$2:$D$4</c:f>
              <c:numCache>
                <c:formatCode>General</c:formatCode>
                <c:ptCount val="3"/>
                <c:pt idx="0">
                  <c:v>78</c:v>
                </c:pt>
                <c:pt idx="1">
                  <c:v>376</c:v>
                </c:pt>
                <c:pt idx="2">
                  <c:v>454</c:v>
                </c:pt>
              </c:numCache>
            </c:numRef>
          </c:val>
        </c:ser>
        <c:dLbls>
          <c:showLegendKey val="0"/>
          <c:showVal val="0"/>
          <c:showCatName val="0"/>
          <c:showSerName val="0"/>
          <c:showPercent val="0"/>
          <c:showBubbleSize val="0"/>
        </c:dLbls>
        <c:gapWidth val="150"/>
        <c:shape val="box"/>
        <c:axId val="46890496"/>
        <c:axId val="159535040"/>
        <c:axId val="0"/>
      </c:bar3DChart>
      <c:catAx>
        <c:axId val="46890496"/>
        <c:scaling>
          <c:orientation val="minMax"/>
        </c:scaling>
        <c:delete val="0"/>
        <c:axPos val="b"/>
        <c:majorTickMark val="out"/>
        <c:minorTickMark val="none"/>
        <c:tickLblPos val="nextTo"/>
        <c:crossAx val="159535040"/>
        <c:crosses val="autoZero"/>
        <c:auto val="1"/>
        <c:lblAlgn val="ctr"/>
        <c:lblOffset val="100"/>
        <c:noMultiLvlLbl val="0"/>
      </c:catAx>
      <c:valAx>
        <c:axId val="159535040"/>
        <c:scaling>
          <c:orientation val="minMax"/>
        </c:scaling>
        <c:delete val="0"/>
        <c:axPos val="l"/>
        <c:majorGridlines/>
        <c:numFmt formatCode="General" sourceLinked="1"/>
        <c:majorTickMark val="out"/>
        <c:minorTickMark val="none"/>
        <c:tickLblPos val="nextTo"/>
        <c:crossAx val="46890496"/>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8832932341790604E-2"/>
          <c:y val="4.4057617797775277E-2"/>
          <c:w val="0.77185112277631962"/>
          <c:h val="0.85670903062219617"/>
        </c:manualLayout>
      </c:layout>
      <c:bar3DChart>
        <c:barDir val="col"/>
        <c:grouping val="clustered"/>
        <c:varyColors val="0"/>
        <c:ser>
          <c:idx val="0"/>
          <c:order val="0"/>
          <c:tx>
            <c:strRef>
              <c:f>Лист1!$B$1</c:f>
              <c:strCache>
                <c:ptCount val="1"/>
                <c:pt idx="0">
                  <c:v>2021 г.</c:v>
                </c:pt>
              </c:strCache>
            </c:strRef>
          </c:tx>
          <c:invertIfNegative val="0"/>
          <c:dLbls>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Лист1!$B$2:$B$4</c:f>
              <c:numCache>
                <c:formatCode>General</c:formatCode>
                <c:ptCount val="3"/>
                <c:pt idx="0">
                  <c:v>9</c:v>
                </c:pt>
                <c:pt idx="1">
                  <c:v>36</c:v>
                </c:pt>
                <c:pt idx="2">
                  <c:v>45</c:v>
                </c:pt>
              </c:numCache>
            </c:numRef>
          </c:val>
        </c:ser>
        <c:ser>
          <c:idx val="1"/>
          <c:order val="1"/>
          <c:tx>
            <c:strRef>
              <c:f>Лист1!$C$1</c:f>
              <c:strCache>
                <c:ptCount val="1"/>
                <c:pt idx="0">
                  <c:v>2022 г.</c:v>
                </c:pt>
              </c:strCache>
            </c:strRef>
          </c:tx>
          <c:invertIfNegative val="0"/>
          <c:dLbls>
            <c:dLbl>
              <c:idx val="1"/>
              <c:layout>
                <c:manualLayout>
                  <c:x val="1.3888888888888888E-2"/>
                  <c:y val="-3.9633301460253101E-3"/>
                </c:manualLayout>
              </c:layout>
              <c:showLegendKey val="0"/>
              <c:showVal val="1"/>
              <c:showCatName val="0"/>
              <c:showSerName val="0"/>
              <c:showPercent val="0"/>
              <c:showBubbleSize val="0"/>
            </c:dLbl>
            <c:dLbl>
              <c:idx val="2"/>
              <c:layout>
                <c:manualLayout>
                  <c:x val="1.3888888888888805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Лист1!$C$2:$C$4</c:f>
              <c:numCache>
                <c:formatCode>General</c:formatCode>
                <c:ptCount val="3"/>
                <c:pt idx="0">
                  <c:v>8</c:v>
                </c:pt>
                <c:pt idx="1">
                  <c:v>30</c:v>
                </c:pt>
                <c:pt idx="2">
                  <c:v>38</c:v>
                </c:pt>
              </c:numCache>
            </c:numRef>
          </c:val>
        </c:ser>
        <c:ser>
          <c:idx val="2"/>
          <c:order val="2"/>
          <c:tx>
            <c:strRef>
              <c:f>Лист1!$D$1</c:f>
              <c:strCache>
                <c:ptCount val="1"/>
                <c:pt idx="0">
                  <c:v>2023 г.</c:v>
                </c:pt>
              </c:strCache>
            </c:strRef>
          </c:tx>
          <c:invertIfNegative val="0"/>
          <c:dLbls>
            <c:dLbl>
              <c:idx val="0"/>
              <c:layout>
                <c:manualLayout>
                  <c:x val="1.3888888888888846E-2"/>
                  <c:y val="-3.9633301460252381E-3"/>
                </c:manualLayout>
              </c:layout>
              <c:showLegendKey val="0"/>
              <c:showVal val="1"/>
              <c:showCatName val="0"/>
              <c:showSerName val="0"/>
              <c:showPercent val="0"/>
              <c:showBubbleSize val="0"/>
            </c:dLbl>
            <c:dLbl>
              <c:idx val="1"/>
              <c:layout>
                <c:manualLayout>
                  <c:x val="2.3148148148148147E-2"/>
                  <c:y val="-1.9816650730126551E-2"/>
                </c:manualLayout>
              </c:layout>
              <c:showLegendKey val="0"/>
              <c:showVal val="1"/>
              <c:showCatName val="0"/>
              <c:showSerName val="0"/>
              <c:showPercent val="0"/>
              <c:showBubbleSize val="0"/>
            </c:dLbl>
            <c:dLbl>
              <c:idx val="2"/>
              <c:layout>
                <c:manualLayout>
                  <c:x val="2.0833333333333332E-2"/>
                  <c:y val="-1.188999043807593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Лист1!$D$2:$D$4</c:f>
              <c:numCache>
                <c:formatCode>General</c:formatCode>
                <c:ptCount val="3"/>
                <c:pt idx="0">
                  <c:v>13</c:v>
                </c:pt>
                <c:pt idx="1">
                  <c:v>43</c:v>
                </c:pt>
                <c:pt idx="2">
                  <c:v>56</c:v>
                </c:pt>
              </c:numCache>
            </c:numRef>
          </c:val>
        </c:ser>
        <c:dLbls>
          <c:showLegendKey val="0"/>
          <c:showVal val="0"/>
          <c:showCatName val="0"/>
          <c:showSerName val="0"/>
          <c:showPercent val="0"/>
          <c:showBubbleSize val="0"/>
        </c:dLbls>
        <c:gapWidth val="150"/>
        <c:shape val="box"/>
        <c:axId val="159183872"/>
        <c:axId val="159537344"/>
        <c:axId val="0"/>
      </c:bar3DChart>
      <c:catAx>
        <c:axId val="159183872"/>
        <c:scaling>
          <c:orientation val="minMax"/>
        </c:scaling>
        <c:delete val="0"/>
        <c:axPos val="b"/>
        <c:majorTickMark val="out"/>
        <c:minorTickMark val="none"/>
        <c:tickLblPos val="nextTo"/>
        <c:crossAx val="159537344"/>
        <c:crosses val="autoZero"/>
        <c:auto val="1"/>
        <c:lblAlgn val="ctr"/>
        <c:lblOffset val="100"/>
        <c:noMultiLvlLbl val="0"/>
      </c:catAx>
      <c:valAx>
        <c:axId val="159537344"/>
        <c:scaling>
          <c:orientation val="minMax"/>
        </c:scaling>
        <c:delete val="0"/>
        <c:axPos val="l"/>
        <c:majorGridlines/>
        <c:numFmt formatCode="General" sourceLinked="1"/>
        <c:majorTickMark val="out"/>
        <c:minorTickMark val="none"/>
        <c:tickLblPos val="nextTo"/>
        <c:crossAx val="15918387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b="1"/>
            </a:pPr>
            <a:r>
              <a:rPr lang="bg-BG" sz="2000" b="0"/>
              <a:t>Произнасяния</a:t>
            </a:r>
            <a:r>
              <a:rPr lang="bg-BG" sz="2000" b="0" baseline="0"/>
              <a:t> по инстанционни преписки</a:t>
            </a:r>
            <a:endParaRPr lang="bg-BG" sz="2000" b="0"/>
          </a:p>
        </c:rich>
      </c:tx>
      <c:layout>
        <c:manualLayout>
          <c:xMode val="edge"/>
          <c:yMode val="edge"/>
          <c:x val="0.22990294228739827"/>
          <c:y val="7.1815725415275478E-2"/>
        </c:manualLayout>
      </c:layout>
      <c:overlay val="1"/>
      <c:spPr>
        <a:ln cmpd="thickThin"/>
      </c:spPr>
    </c:title>
    <c:autoTitleDeleted val="0"/>
    <c:plotArea>
      <c:layout>
        <c:manualLayout>
          <c:layoutTarget val="inner"/>
          <c:xMode val="edge"/>
          <c:yMode val="edge"/>
          <c:x val="9.5198673082531354E-2"/>
          <c:y val="5.6935938563235151E-2"/>
          <c:w val="0.86884553740266646"/>
          <c:h val="0.84365259898068301"/>
        </c:manualLayout>
      </c:layout>
      <c:lineChart>
        <c:grouping val="standard"/>
        <c:varyColors val="0"/>
        <c:ser>
          <c:idx val="0"/>
          <c:order val="0"/>
          <c:tx>
            <c:strRef>
              <c:f>Лист1!$B$1</c:f>
              <c:strCache>
                <c:ptCount val="1"/>
                <c:pt idx="0">
                  <c:v>Преписки на производство</c:v>
                </c:pt>
              </c:strCache>
            </c:strRef>
          </c:tx>
          <c:dLbls>
            <c:dLbl>
              <c:idx val="0"/>
              <c:layout>
                <c:manualLayout>
                  <c:x val="-4.7690505309485064E-2"/>
                  <c:y val="4.1161380019406973E-2"/>
                </c:manualLayout>
              </c:layout>
              <c:showLegendKey val="0"/>
              <c:showVal val="1"/>
              <c:showCatName val="0"/>
              <c:showSerName val="0"/>
              <c:showPercent val="0"/>
              <c:showBubbleSize val="0"/>
            </c:dLbl>
            <c:dLbl>
              <c:idx val="1"/>
              <c:layout>
                <c:manualLayout>
                  <c:x val="-4.3784449305949338E-2"/>
                  <c:y val="-3.5502756659381254E-2"/>
                </c:manualLayout>
              </c:layout>
              <c:showLegendKey val="0"/>
              <c:showVal val="1"/>
              <c:showCatName val="0"/>
              <c:showSerName val="0"/>
              <c:showPercent val="0"/>
              <c:showBubbleSize val="0"/>
            </c:dLbl>
            <c:dLbl>
              <c:idx val="2"/>
              <c:layout>
                <c:manualLayout>
                  <c:x val="-8.6060069478312833E-3"/>
                  <c:y val="-2.9101648821904382E-2"/>
                </c:manualLayout>
              </c:layout>
              <c:showLegendKey val="0"/>
              <c:showVal val="1"/>
              <c:showCatName val="0"/>
              <c:showSerName val="0"/>
              <c:showPercent val="0"/>
              <c:showBubbleSize val="0"/>
            </c:dLbl>
            <c:dLbl>
              <c:idx val="3"/>
              <c:layout>
                <c:manualLayout>
                  <c:x val="-1.1247176192528092E-2"/>
                  <c:y val="-4.0811286089238848E-2"/>
                </c:manualLayout>
              </c:layout>
              <c:showLegendKey val="0"/>
              <c:showVal val="1"/>
              <c:showCatName val="0"/>
              <c:showSerName val="0"/>
              <c:showPercent val="0"/>
              <c:showBubbleSize val="0"/>
            </c:dLbl>
            <c:dLbl>
              <c:idx val="4"/>
              <c:layout>
                <c:manualLayout>
                  <c:x val="-4.8807928859638812E-2"/>
                  <c:y val="4.2980577427821583E-2"/>
                </c:manualLayout>
              </c:layout>
              <c:showLegendKey val="0"/>
              <c:showVal val="1"/>
              <c:showCatName val="0"/>
              <c:showSerName val="0"/>
              <c:showPercent val="0"/>
              <c:showBubbleSize val="0"/>
            </c:dLbl>
            <c:dLbl>
              <c:idx val="5"/>
              <c:layout>
                <c:manualLayout>
                  <c:x val="-4.0610903018565979E-2"/>
                  <c:y val="-4.243271583362461E-2"/>
                </c:manualLayout>
              </c:layout>
              <c:showLegendKey val="0"/>
              <c:showVal val="1"/>
              <c:showCatName val="0"/>
              <c:showSerName val="0"/>
              <c:showPercent val="0"/>
              <c:showBubbleSize val="0"/>
            </c:dLbl>
            <c:dLbl>
              <c:idx val="6"/>
              <c:layout>
                <c:manualLayout>
                  <c:x val="-3.3026672654821128E-2"/>
                  <c:y val="5.0186776951388457E-2"/>
                </c:manualLayout>
              </c:layout>
              <c:showLegendKey val="0"/>
              <c:showVal val="1"/>
              <c:showCatName val="0"/>
              <c:showSerName val="0"/>
              <c:showPercent val="0"/>
              <c:showBubbleSize val="0"/>
            </c:dLbl>
            <c:dLbl>
              <c:idx val="7"/>
              <c:layout>
                <c:manualLayout>
                  <c:x val="-4.684480354315812E-2"/>
                  <c:y val="-3.9671182300579075E-2"/>
                </c:manualLayout>
              </c:layout>
              <c:showLegendKey val="0"/>
              <c:showVal val="1"/>
              <c:showCatName val="0"/>
              <c:showSerName val="0"/>
              <c:showPercent val="0"/>
              <c:showBubbleSize val="0"/>
            </c:dLbl>
            <c:dLbl>
              <c:idx val="8"/>
              <c:layout>
                <c:manualLayout>
                  <c:x val="-3.7613184515547148E-2"/>
                  <c:y val="4.0394402910935434E-2"/>
                </c:manualLayout>
              </c:layout>
              <c:showLegendKey val="0"/>
              <c:showVal val="1"/>
              <c:showCatName val="0"/>
              <c:showSerName val="0"/>
              <c:showPercent val="0"/>
              <c:showBubbleSize val="0"/>
            </c:dLbl>
            <c:dLbl>
              <c:idx val="9"/>
              <c:layout>
                <c:manualLayout>
                  <c:x val="-5.0546133263590629E-2"/>
                  <c:y val="-4.2307580111543293E-2"/>
                </c:manualLayout>
              </c:layout>
              <c:showLegendKey val="0"/>
              <c:showVal val="1"/>
              <c:showCatName val="0"/>
              <c:showSerName val="0"/>
              <c:showPercent val="0"/>
              <c:showBubbleSize val="0"/>
            </c:dLbl>
            <c:dLbl>
              <c:idx val="10"/>
              <c:layout>
                <c:manualLayout>
                  <c:x val="-2.5878678750063274E-4"/>
                  <c:y val="1.003766334476931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2013 г.</c:v>
                </c:pt>
                <c:pt idx="1">
                  <c:v>2014 г.</c:v>
                </c:pt>
                <c:pt idx="2">
                  <c:v>2015 г.</c:v>
                </c:pt>
                <c:pt idx="3">
                  <c:v>2016 г.</c:v>
                </c:pt>
                <c:pt idx="4">
                  <c:v>2017 г.</c:v>
                </c:pt>
                <c:pt idx="5">
                  <c:v>2018 г.</c:v>
                </c:pt>
                <c:pt idx="6">
                  <c:v>2019 г.</c:v>
                </c:pt>
                <c:pt idx="7">
                  <c:v>2020 г.</c:v>
                </c:pt>
                <c:pt idx="8">
                  <c:v>2021 г.</c:v>
                </c:pt>
                <c:pt idx="9">
                  <c:v>2022 г.</c:v>
                </c:pt>
                <c:pt idx="10">
                  <c:v>2023 г.</c:v>
                </c:pt>
              </c:strCache>
            </c:strRef>
          </c:cat>
          <c:val>
            <c:numRef>
              <c:f>Лист1!$B$2:$B$12</c:f>
              <c:numCache>
                <c:formatCode>General</c:formatCode>
                <c:ptCount val="11"/>
                <c:pt idx="0">
                  <c:v>637</c:v>
                </c:pt>
                <c:pt idx="1">
                  <c:v>1032</c:v>
                </c:pt>
                <c:pt idx="2">
                  <c:v>718</c:v>
                </c:pt>
                <c:pt idx="3">
                  <c:v>542</c:v>
                </c:pt>
                <c:pt idx="4">
                  <c:v>509</c:v>
                </c:pt>
                <c:pt idx="5">
                  <c:v>662</c:v>
                </c:pt>
                <c:pt idx="6">
                  <c:v>536</c:v>
                </c:pt>
                <c:pt idx="7">
                  <c:v>720</c:v>
                </c:pt>
                <c:pt idx="8">
                  <c:v>664</c:v>
                </c:pt>
                <c:pt idx="9">
                  <c:v>850</c:v>
                </c:pt>
                <c:pt idx="10">
                  <c:v>937</c:v>
                </c:pt>
              </c:numCache>
            </c:numRef>
          </c:val>
          <c:smooth val="0"/>
        </c:ser>
        <c:dLbls>
          <c:showLegendKey val="0"/>
          <c:showVal val="0"/>
          <c:showCatName val="0"/>
          <c:showSerName val="0"/>
          <c:showPercent val="0"/>
          <c:showBubbleSize val="0"/>
        </c:dLbls>
        <c:marker val="1"/>
        <c:smooth val="0"/>
        <c:axId val="341421056"/>
        <c:axId val="251757120"/>
      </c:lineChart>
      <c:catAx>
        <c:axId val="341421056"/>
        <c:scaling>
          <c:orientation val="minMax"/>
        </c:scaling>
        <c:delete val="0"/>
        <c:axPos val="b"/>
        <c:majorTickMark val="out"/>
        <c:minorTickMark val="none"/>
        <c:tickLblPos val="nextTo"/>
        <c:crossAx val="251757120"/>
        <c:crosses val="autoZero"/>
        <c:auto val="1"/>
        <c:lblAlgn val="ctr"/>
        <c:lblOffset val="100"/>
        <c:noMultiLvlLbl val="0"/>
      </c:catAx>
      <c:valAx>
        <c:axId val="251757120"/>
        <c:scaling>
          <c:orientation val="minMax"/>
        </c:scaling>
        <c:delete val="0"/>
        <c:axPos val="l"/>
        <c:majorGridlines/>
        <c:numFmt formatCode="General" sourceLinked="1"/>
        <c:majorTickMark val="out"/>
        <c:minorTickMark val="none"/>
        <c:tickLblPos val="nextTo"/>
        <c:crossAx val="341421056"/>
        <c:crosses val="autoZero"/>
        <c:crossBetween val="between"/>
      </c:valAx>
      <c:spPr>
        <a:noFill/>
        <a:ln>
          <a:noFill/>
        </a:ln>
      </c:spPr>
    </c:plotArea>
    <c:plotVisOnly val="1"/>
    <c:dispBlanksAs val="zero"/>
    <c:showDLblsOverMax val="0"/>
  </c:chart>
  <c:spPr>
    <a:noFill/>
    <a:ln cmpd="thickThi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a:effectLst>
      <a:glow rad="139700">
        <a:schemeClr val="accent3">
          <a:lumMod val="40000"/>
          <a:lumOff val="60000"/>
          <a:alpha val="40000"/>
        </a:schemeClr>
      </a:glow>
      <a:innerShdw blurRad="558800" dist="1130300" dir="18900000">
        <a:schemeClr val="tx2">
          <a:lumMod val="60000"/>
          <a:lumOff val="40000"/>
          <a:alpha val="26000"/>
        </a:schemeClr>
      </a:innerShdw>
    </a:effectLst>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8832932341790604E-2"/>
          <c:y val="4.4057617797775277E-2"/>
          <c:w val="0.77185112277631962"/>
          <c:h val="0.85670903062219617"/>
        </c:manualLayout>
      </c:layout>
      <c:bar3DChart>
        <c:barDir val="col"/>
        <c:grouping val="clustered"/>
        <c:varyColors val="0"/>
        <c:ser>
          <c:idx val="0"/>
          <c:order val="0"/>
          <c:tx>
            <c:strRef>
              <c:f>Лист1!$B$1</c:f>
              <c:strCache>
                <c:ptCount val="1"/>
                <c:pt idx="0">
                  <c:v>2021 г.</c:v>
                </c:pt>
              </c:strCache>
            </c:strRef>
          </c:tx>
          <c:invertIfNegative val="0"/>
          <c:dLbls>
            <c:dLbl>
              <c:idx val="0"/>
              <c:layout>
                <c:manualLayout>
                  <c:x val="0"/>
                  <c:y val="-3.1706641168202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Лист1!$B$2:$B$4</c:f>
              <c:numCache>
                <c:formatCode>General</c:formatCode>
                <c:ptCount val="3"/>
                <c:pt idx="0">
                  <c:v>9</c:v>
                </c:pt>
                <c:pt idx="1">
                  <c:v>24</c:v>
                </c:pt>
                <c:pt idx="2">
                  <c:v>33</c:v>
                </c:pt>
              </c:numCache>
            </c:numRef>
          </c:val>
        </c:ser>
        <c:ser>
          <c:idx val="1"/>
          <c:order val="1"/>
          <c:tx>
            <c:strRef>
              <c:f>Лист1!$C$1</c:f>
              <c:strCache>
                <c:ptCount val="1"/>
                <c:pt idx="0">
                  <c:v>2022 г.</c:v>
                </c:pt>
              </c:strCache>
            </c:strRef>
          </c:tx>
          <c:invertIfNegative val="0"/>
          <c:dLbls>
            <c:dLbl>
              <c:idx val="0"/>
              <c:layout>
                <c:manualLayout>
                  <c:x val="1.1574074074074073E-2"/>
                  <c:y val="-3.1746031746031744E-2"/>
                </c:manualLayout>
              </c:layout>
              <c:showLegendKey val="0"/>
              <c:showVal val="1"/>
              <c:showCatName val="0"/>
              <c:showSerName val="0"/>
              <c:showPercent val="0"/>
              <c:showBubbleSize val="0"/>
            </c:dLbl>
            <c:dLbl>
              <c:idx val="1"/>
              <c:layout>
                <c:manualLayout>
                  <c:x val="2.0833333333333332E-2"/>
                  <c:y val="-3.963331382874975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Лист1!$C$2:$C$4</c:f>
              <c:numCache>
                <c:formatCode>General</c:formatCode>
                <c:ptCount val="3"/>
                <c:pt idx="0">
                  <c:v>8</c:v>
                </c:pt>
                <c:pt idx="1">
                  <c:v>21</c:v>
                </c:pt>
                <c:pt idx="2">
                  <c:v>29</c:v>
                </c:pt>
              </c:numCache>
            </c:numRef>
          </c:val>
        </c:ser>
        <c:ser>
          <c:idx val="2"/>
          <c:order val="2"/>
          <c:tx>
            <c:strRef>
              <c:f>Лист1!$D$1</c:f>
              <c:strCache>
                <c:ptCount val="1"/>
                <c:pt idx="0">
                  <c:v>2023 г.</c:v>
                </c:pt>
              </c:strCache>
            </c:strRef>
          </c:tx>
          <c:invertIfNegative val="0"/>
          <c:dLbls>
            <c:dLbl>
              <c:idx val="0"/>
              <c:layout>
                <c:manualLayout>
                  <c:x val="1.8518518518518517E-2"/>
                  <c:y val="-3.9633301460253101E-3"/>
                </c:manualLayout>
              </c:layout>
              <c:showLegendKey val="0"/>
              <c:showVal val="1"/>
              <c:showCatName val="0"/>
              <c:showSerName val="0"/>
              <c:showPercent val="0"/>
              <c:showBubbleSize val="0"/>
            </c:dLbl>
            <c:dLbl>
              <c:idx val="1"/>
              <c:layout>
                <c:manualLayout>
                  <c:x val="1.8518518518518517E-2"/>
                  <c:y val="-3.9633313828749753E-3"/>
                </c:manualLayout>
              </c:layout>
              <c:showLegendKey val="0"/>
              <c:showVal val="1"/>
              <c:showCatName val="0"/>
              <c:showSerName val="0"/>
              <c:showPercent val="0"/>
              <c:showBubbleSize val="0"/>
            </c:dLbl>
            <c:dLbl>
              <c:idx val="2"/>
              <c:layout>
                <c:manualLayout>
                  <c:x val="2.7777777777777776E-2"/>
                  <c:y val="-1.585332553149992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Лист1!$D$2:$D$4</c:f>
              <c:numCache>
                <c:formatCode>General</c:formatCode>
                <c:ptCount val="3"/>
                <c:pt idx="0">
                  <c:v>11</c:v>
                </c:pt>
                <c:pt idx="1">
                  <c:v>35</c:v>
                </c:pt>
                <c:pt idx="2">
                  <c:v>46</c:v>
                </c:pt>
              </c:numCache>
            </c:numRef>
          </c:val>
        </c:ser>
        <c:dLbls>
          <c:showLegendKey val="0"/>
          <c:showVal val="0"/>
          <c:showCatName val="0"/>
          <c:showSerName val="0"/>
          <c:showPercent val="0"/>
          <c:showBubbleSize val="0"/>
        </c:dLbls>
        <c:gapWidth val="150"/>
        <c:shape val="box"/>
        <c:axId val="159868928"/>
        <c:axId val="160114944"/>
        <c:axId val="0"/>
      </c:bar3DChart>
      <c:catAx>
        <c:axId val="159868928"/>
        <c:scaling>
          <c:orientation val="minMax"/>
        </c:scaling>
        <c:delete val="0"/>
        <c:axPos val="b"/>
        <c:majorTickMark val="out"/>
        <c:minorTickMark val="none"/>
        <c:tickLblPos val="nextTo"/>
        <c:crossAx val="160114944"/>
        <c:crosses val="autoZero"/>
        <c:auto val="1"/>
        <c:lblAlgn val="ctr"/>
        <c:lblOffset val="100"/>
        <c:noMultiLvlLbl val="0"/>
      </c:catAx>
      <c:valAx>
        <c:axId val="160114944"/>
        <c:scaling>
          <c:orientation val="minMax"/>
        </c:scaling>
        <c:delete val="0"/>
        <c:axPos val="l"/>
        <c:majorGridlines/>
        <c:numFmt formatCode="General" sourceLinked="1"/>
        <c:majorTickMark val="out"/>
        <c:minorTickMark val="none"/>
        <c:tickLblPos val="nextTo"/>
        <c:crossAx val="159868928"/>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8832932341790604E-2"/>
          <c:y val="4.4057617797775277E-2"/>
          <c:w val="0.77185112277631962"/>
          <c:h val="0.85670903062219617"/>
        </c:manualLayout>
      </c:layout>
      <c:bar3DChart>
        <c:barDir val="col"/>
        <c:grouping val="clustered"/>
        <c:varyColors val="0"/>
        <c:ser>
          <c:idx val="0"/>
          <c:order val="0"/>
          <c:tx>
            <c:strRef>
              <c:f>Лист1!$B$1</c:f>
              <c:strCache>
                <c:ptCount val="1"/>
                <c:pt idx="0">
                  <c:v>2021 г.</c:v>
                </c:pt>
              </c:strCache>
            </c:strRef>
          </c:tx>
          <c:invertIfNegative val="0"/>
          <c:dLbls>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Лист1!$B$2:$B$4</c:f>
              <c:numCache>
                <c:formatCode>General</c:formatCode>
                <c:ptCount val="3"/>
                <c:pt idx="0">
                  <c:v>0</c:v>
                </c:pt>
                <c:pt idx="1">
                  <c:v>9</c:v>
                </c:pt>
                <c:pt idx="2">
                  <c:v>9</c:v>
                </c:pt>
              </c:numCache>
            </c:numRef>
          </c:val>
        </c:ser>
        <c:ser>
          <c:idx val="1"/>
          <c:order val="1"/>
          <c:tx>
            <c:strRef>
              <c:f>Лист1!$C$1</c:f>
              <c:strCache>
                <c:ptCount val="1"/>
                <c:pt idx="0">
                  <c:v>2022 г.</c:v>
                </c:pt>
              </c:strCache>
            </c:strRef>
          </c:tx>
          <c:invertIfNegative val="0"/>
          <c:dLbls>
            <c:dLbl>
              <c:idx val="0"/>
              <c:layout>
                <c:manualLayout>
                  <c:x val="4.9526273395558351E-3"/>
                  <c:y val="-8.9547595572696362E-17"/>
                </c:manualLayout>
              </c:layout>
              <c:showLegendKey val="0"/>
              <c:showVal val="1"/>
              <c:showCatName val="0"/>
              <c:showSerName val="0"/>
              <c:showPercent val="0"/>
              <c:showBubbleSize val="0"/>
            </c:dLbl>
            <c:dLbl>
              <c:idx val="2"/>
              <c:layout>
                <c:manualLayout>
                  <c:x val="1.2381568348889588E-2"/>
                  <c:y val="-4.4773797786348181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Лист1!$C$2:$C$4</c:f>
              <c:numCache>
                <c:formatCode>General</c:formatCode>
                <c:ptCount val="3"/>
                <c:pt idx="0">
                  <c:v>5</c:v>
                </c:pt>
                <c:pt idx="1">
                  <c:v>7</c:v>
                </c:pt>
                <c:pt idx="2">
                  <c:v>12</c:v>
                </c:pt>
              </c:numCache>
            </c:numRef>
          </c:val>
        </c:ser>
        <c:ser>
          <c:idx val="2"/>
          <c:order val="2"/>
          <c:tx>
            <c:strRef>
              <c:f>Лист1!$D$1</c:f>
              <c:strCache>
                <c:ptCount val="1"/>
                <c:pt idx="0">
                  <c:v>2023 г.</c:v>
                </c:pt>
              </c:strCache>
            </c:strRef>
          </c:tx>
          <c:invertIfNegative val="0"/>
          <c:dLbls>
            <c:dLbl>
              <c:idx val="0"/>
              <c:layout>
                <c:manualLayout>
                  <c:x val="9.9052546791116702E-3"/>
                  <c:y val="-3.4191308254066417E-2"/>
                </c:manualLayout>
              </c:layout>
              <c:showLegendKey val="0"/>
              <c:showVal val="1"/>
              <c:showCatName val="0"/>
              <c:showSerName val="0"/>
              <c:showPercent val="0"/>
              <c:showBubbleSize val="0"/>
            </c:dLbl>
            <c:dLbl>
              <c:idx val="1"/>
              <c:layout>
                <c:manualLayout>
                  <c:x val="1.4857882018667506E-2"/>
                  <c:y val="-4.4773797786348181E-17"/>
                </c:manualLayout>
              </c:layout>
              <c:showLegendKey val="0"/>
              <c:showVal val="1"/>
              <c:showCatName val="0"/>
              <c:showSerName val="0"/>
              <c:showPercent val="0"/>
              <c:showBubbleSize val="0"/>
            </c:dLbl>
            <c:dLbl>
              <c:idx val="2"/>
              <c:layout>
                <c:manualLayout>
                  <c:x val="1.4857882018667596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ОП ВАРНА</c:v>
                </c:pt>
                <c:pt idx="1">
                  <c:v>РП ВАРНА</c:v>
                </c:pt>
                <c:pt idx="2">
                  <c:v>Общо за района на ОП Варна</c:v>
                </c:pt>
              </c:strCache>
            </c:strRef>
          </c:cat>
          <c:val>
            <c:numRef>
              <c:f>Лист1!$D$2:$D$4</c:f>
              <c:numCache>
                <c:formatCode>General</c:formatCode>
                <c:ptCount val="3"/>
                <c:pt idx="0">
                  <c:v>7</c:v>
                </c:pt>
                <c:pt idx="1">
                  <c:v>8</c:v>
                </c:pt>
                <c:pt idx="2">
                  <c:v>15</c:v>
                </c:pt>
              </c:numCache>
            </c:numRef>
          </c:val>
        </c:ser>
        <c:dLbls>
          <c:showLegendKey val="0"/>
          <c:showVal val="0"/>
          <c:showCatName val="0"/>
          <c:showSerName val="0"/>
          <c:showPercent val="0"/>
          <c:showBubbleSize val="0"/>
        </c:dLbls>
        <c:gapWidth val="150"/>
        <c:shape val="box"/>
        <c:axId val="160555008"/>
        <c:axId val="160116672"/>
        <c:axId val="0"/>
      </c:bar3DChart>
      <c:catAx>
        <c:axId val="160555008"/>
        <c:scaling>
          <c:orientation val="minMax"/>
        </c:scaling>
        <c:delete val="0"/>
        <c:axPos val="b"/>
        <c:majorTickMark val="out"/>
        <c:minorTickMark val="none"/>
        <c:tickLblPos val="nextTo"/>
        <c:crossAx val="160116672"/>
        <c:crosses val="autoZero"/>
        <c:auto val="1"/>
        <c:lblAlgn val="ctr"/>
        <c:lblOffset val="100"/>
        <c:noMultiLvlLbl val="0"/>
      </c:catAx>
      <c:valAx>
        <c:axId val="160116672"/>
        <c:scaling>
          <c:orientation val="minMax"/>
        </c:scaling>
        <c:delete val="0"/>
        <c:axPos val="l"/>
        <c:majorGridlines/>
        <c:numFmt formatCode="General" sourceLinked="1"/>
        <c:majorTickMark val="out"/>
        <c:minorTickMark val="none"/>
        <c:tickLblPos val="nextTo"/>
        <c:crossAx val="160555008"/>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Върнати</a:t>
            </a:r>
            <a:r>
              <a:rPr lang="bg-BG" baseline="0"/>
              <a:t> с окончателен акт дела</a:t>
            </a:r>
            <a:endParaRPr lang="bg-BG"/>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8150543000306782"/>
          <c:y val="0.16697444069491313"/>
          <c:w val="0.71849456999693218"/>
          <c:h val="0.44303368328958881"/>
        </c:manualLayout>
      </c:layout>
      <c:bar3DChart>
        <c:barDir val="col"/>
        <c:grouping val="clustered"/>
        <c:varyColors val="0"/>
        <c:ser>
          <c:idx val="0"/>
          <c:order val="0"/>
          <c:tx>
            <c:strRef>
              <c:f>Лист1!$B$1</c:f>
              <c:strCache>
                <c:ptCount val="1"/>
                <c:pt idx="0">
                  <c:v>РП ВАРНА</c:v>
                </c:pt>
              </c:strCache>
            </c:strRef>
          </c:tx>
          <c:invertIfNegative val="0"/>
          <c:dLbls>
            <c:dLbl>
              <c:idx val="2"/>
              <c:layout>
                <c:manualLayout>
                  <c:x val="1.038566470789214E-2"/>
                  <c:y val="-2.539527647857498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Лист1!$B$2:$B$4</c:f>
              <c:numCache>
                <c:formatCode>General</c:formatCode>
                <c:ptCount val="3"/>
                <c:pt idx="0">
                  <c:v>48</c:v>
                </c:pt>
                <c:pt idx="1">
                  <c:v>39</c:v>
                </c:pt>
                <c:pt idx="2">
                  <c:v>54</c:v>
                </c:pt>
              </c:numCache>
            </c:numRef>
          </c:val>
        </c:ser>
        <c:ser>
          <c:idx val="1"/>
          <c:order val="1"/>
          <c:tx>
            <c:strRef>
              <c:f>Лист1!$C$1</c:f>
              <c:strCache>
                <c:ptCount val="1"/>
                <c:pt idx="0">
                  <c:v>ОП ВАРНА</c:v>
                </c:pt>
              </c:strCache>
            </c:strRef>
          </c:tx>
          <c:invertIfNegative val="0"/>
          <c:dLbls>
            <c:dLbl>
              <c:idx val="0"/>
              <c:layout>
                <c:manualLayout>
                  <c:x val="6.2313988247352844E-3"/>
                  <c:y val="-1.4511586559185706E-2"/>
                </c:manualLayout>
              </c:layout>
              <c:showLegendKey val="0"/>
              <c:showVal val="1"/>
              <c:showCatName val="0"/>
              <c:showSerName val="0"/>
              <c:showPercent val="0"/>
              <c:showBubbleSize val="0"/>
            </c:dLbl>
            <c:dLbl>
              <c:idx val="1"/>
              <c:layout>
                <c:manualLayout>
                  <c:x val="6.7016312403664052E-3"/>
                  <c:y val="-4.0538646896575055E-3"/>
                </c:manualLayout>
              </c:layout>
              <c:showLegendKey val="0"/>
              <c:showVal val="1"/>
              <c:showCatName val="0"/>
              <c:showSerName val="0"/>
              <c:showPercent val="0"/>
              <c:showBubbleSize val="0"/>
            </c:dLbl>
            <c:dLbl>
              <c:idx val="2"/>
              <c:layout>
                <c:manualLayout>
                  <c:x val="6.7016312403664052E-3"/>
                  <c:y val="-4.0538646896575055E-3"/>
                </c:manualLayout>
              </c:layout>
              <c:showLegendKey val="0"/>
              <c:showVal val="1"/>
              <c:showCatName val="0"/>
              <c:showSerName val="0"/>
              <c:showPercent val="0"/>
              <c:showBubbleSize val="0"/>
            </c:dLbl>
            <c:dLbl>
              <c:idx val="3"/>
              <c:layout>
                <c:manualLayout>
                  <c:x val="4.4677541602442701E-3"/>
                  <c:y val="-4.053864689657505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Лист1!$C$2:$C$4</c:f>
              <c:numCache>
                <c:formatCode>General</c:formatCode>
                <c:ptCount val="3"/>
                <c:pt idx="0">
                  <c:v>9</c:v>
                </c:pt>
                <c:pt idx="1">
                  <c:v>13</c:v>
                </c:pt>
                <c:pt idx="2">
                  <c:v>19</c:v>
                </c:pt>
              </c:numCache>
            </c:numRef>
          </c:val>
        </c:ser>
        <c:ser>
          <c:idx val="2"/>
          <c:order val="2"/>
          <c:tx>
            <c:strRef>
              <c:f>Лист1!$D$1</c:f>
              <c:strCache>
                <c:ptCount val="1"/>
                <c:pt idx="0">
                  <c:v>общо за Окръжния район</c:v>
                </c:pt>
              </c:strCache>
            </c:strRef>
          </c:tx>
          <c:invertIfNegative val="0"/>
          <c:dLbls>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Лист1!$D$2:$D$4</c:f>
              <c:numCache>
                <c:formatCode>General</c:formatCode>
                <c:ptCount val="3"/>
                <c:pt idx="0">
                  <c:v>57</c:v>
                </c:pt>
                <c:pt idx="1">
                  <c:v>52</c:v>
                </c:pt>
                <c:pt idx="2">
                  <c:v>73</c:v>
                </c:pt>
              </c:numCache>
            </c:numRef>
          </c:val>
        </c:ser>
        <c:dLbls>
          <c:showLegendKey val="0"/>
          <c:showVal val="0"/>
          <c:showCatName val="0"/>
          <c:showSerName val="0"/>
          <c:showPercent val="0"/>
          <c:showBubbleSize val="0"/>
        </c:dLbls>
        <c:gapWidth val="150"/>
        <c:shape val="box"/>
        <c:axId val="160557056"/>
        <c:axId val="160115520"/>
        <c:axId val="0"/>
      </c:bar3DChart>
      <c:catAx>
        <c:axId val="160557056"/>
        <c:scaling>
          <c:orientation val="minMax"/>
        </c:scaling>
        <c:delete val="0"/>
        <c:axPos val="b"/>
        <c:majorTickMark val="none"/>
        <c:minorTickMark val="none"/>
        <c:tickLblPos val="nextTo"/>
        <c:crossAx val="160115520"/>
        <c:crosses val="autoZero"/>
        <c:auto val="1"/>
        <c:lblAlgn val="ctr"/>
        <c:lblOffset val="100"/>
        <c:noMultiLvlLbl val="0"/>
      </c:catAx>
      <c:valAx>
        <c:axId val="160115520"/>
        <c:scaling>
          <c:orientation val="minMax"/>
        </c:scaling>
        <c:delete val="0"/>
        <c:axPos val="l"/>
        <c:majorGridlines/>
        <c:numFmt formatCode="General" sourceLinked="1"/>
        <c:majorTickMark val="none"/>
        <c:minorTickMark val="none"/>
        <c:tickLblPos val="nextTo"/>
        <c:crossAx val="1605570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Брой</a:t>
            </a:r>
            <a:r>
              <a:rPr lang="bg-BG" baseline="0"/>
              <a:t> оправдателни присъди /влезли в сила по лица/</a:t>
            </a:r>
            <a:endParaRPr lang="bg-BG"/>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РП ВАРНА</c:v>
                </c:pt>
              </c:strCache>
            </c:strRef>
          </c:tx>
          <c:invertIfNegative val="0"/>
          <c:dLbls>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Лист1!$B$2:$B$4</c:f>
              <c:numCache>
                <c:formatCode>General</c:formatCode>
                <c:ptCount val="3"/>
                <c:pt idx="0">
                  <c:v>63</c:v>
                </c:pt>
                <c:pt idx="1">
                  <c:v>35</c:v>
                </c:pt>
                <c:pt idx="2">
                  <c:v>43</c:v>
                </c:pt>
              </c:numCache>
            </c:numRef>
          </c:val>
        </c:ser>
        <c:ser>
          <c:idx val="1"/>
          <c:order val="1"/>
          <c:tx>
            <c:strRef>
              <c:f>Лист1!$C$1</c:f>
              <c:strCache>
                <c:ptCount val="1"/>
                <c:pt idx="0">
                  <c:v>ОП ВАРНА</c:v>
                </c:pt>
              </c:strCache>
            </c:strRef>
          </c:tx>
          <c:invertIfNegative val="0"/>
          <c:dLbls>
            <c:dLbl>
              <c:idx val="0"/>
              <c:layout>
                <c:manualLayout>
                  <c:x val="6.8160264998523195E-3"/>
                  <c:y val="-4.0954411934954827E-3"/>
                </c:manualLayout>
              </c:layout>
              <c:showLegendKey val="0"/>
              <c:showVal val="1"/>
              <c:showCatName val="0"/>
              <c:showSerName val="0"/>
              <c:showPercent val="0"/>
              <c:showBubbleSize val="0"/>
            </c:dLbl>
            <c:dLbl>
              <c:idx val="1"/>
              <c:layout>
                <c:manualLayout>
                  <c:x val="1.1360044166420532E-2"/>
                  <c:y val="-4.0954411934953326E-3"/>
                </c:manualLayout>
              </c:layout>
              <c:showLegendKey val="0"/>
              <c:showVal val="1"/>
              <c:showCatName val="0"/>
              <c:showSerName val="0"/>
              <c:showPercent val="0"/>
              <c:showBubbleSize val="0"/>
            </c:dLbl>
            <c:dLbl>
              <c:idx val="2"/>
              <c:layout>
                <c:manualLayout>
                  <c:x val="6.8160264998523195E-3"/>
                  <c:y val="-4.0954411934954072E-3"/>
                </c:manualLayout>
              </c:layout>
              <c:showLegendKey val="0"/>
              <c:showVal val="1"/>
              <c:showCatName val="0"/>
              <c:showSerName val="0"/>
              <c:showPercent val="0"/>
              <c:showBubbleSize val="0"/>
            </c:dLbl>
            <c:dLbl>
              <c:idx val="3"/>
              <c:layout>
                <c:manualLayout>
                  <c:x val="6.8160264998523195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Лист1!$C$2:$C$4</c:f>
              <c:numCache>
                <c:formatCode>General</c:formatCode>
                <c:ptCount val="3"/>
                <c:pt idx="0">
                  <c:v>6</c:v>
                </c:pt>
                <c:pt idx="1">
                  <c:v>20</c:v>
                </c:pt>
                <c:pt idx="2">
                  <c:v>12</c:v>
                </c:pt>
              </c:numCache>
            </c:numRef>
          </c:val>
        </c:ser>
        <c:ser>
          <c:idx val="2"/>
          <c:order val="2"/>
          <c:tx>
            <c:strRef>
              <c:f>Лист1!$D$1</c:f>
              <c:strCache>
                <c:ptCount val="1"/>
                <c:pt idx="0">
                  <c:v>Общо за Окръжния район</c:v>
                </c:pt>
              </c:strCache>
            </c:strRef>
          </c:tx>
          <c:invertIfNegative val="0"/>
          <c:dLbls>
            <c:dLbl>
              <c:idx val="3"/>
              <c:layout>
                <c:manualLayout>
                  <c:x val="1.1360044166420532E-2"/>
                  <c:y val="3.7541110595594796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2021 г.</c:v>
                </c:pt>
                <c:pt idx="1">
                  <c:v>2022 г.</c:v>
                </c:pt>
                <c:pt idx="2">
                  <c:v>2023 г.</c:v>
                </c:pt>
              </c:strCache>
            </c:strRef>
          </c:cat>
          <c:val>
            <c:numRef>
              <c:f>Лист1!$D$2:$D$4</c:f>
              <c:numCache>
                <c:formatCode>General</c:formatCode>
                <c:ptCount val="3"/>
                <c:pt idx="0">
                  <c:v>69</c:v>
                </c:pt>
                <c:pt idx="1">
                  <c:v>55</c:v>
                </c:pt>
                <c:pt idx="2">
                  <c:v>55</c:v>
                </c:pt>
              </c:numCache>
            </c:numRef>
          </c:val>
        </c:ser>
        <c:dLbls>
          <c:showLegendKey val="0"/>
          <c:showVal val="0"/>
          <c:showCatName val="0"/>
          <c:showSerName val="0"/>
          <c:showPercent val="0"/>
          <c:showBubbleSize val="0"/>
        </c:dLbls>
        <c:gapWidth val="150"/>
        <c:shape val="box"/>
        <c:axId val="160375808"/>
        <c:axId val="46168832"/>
        <c:axId val="0"/>
      </c:bar3DChart>
      <c:catAx>
        <c:axId val="160375808"/>
        <c:scaling>
          <c:orientation val="minMax"/>
        </c:scaling>
        <c:delete val="0"/>
        <c:axPos val="b"/>
        <c:majorTickMark val="none"/>
        <c:minorTickMark val="none"/>
        <c:tickLblPos val="nextTo"/>
        <c:crossAx val="46168832"/>
        <c:crosses val="autoZero"/>
        <c:auto val="1"/>
        <c:lblAlgn val="ctr"/>
        <c:lblOffset val="100"/>
        <c:noMultiLvlLbl val="0"/>
      </c:catAx>
      <c:valAx>
        <c:axId val="46168832"/>
        <c:scaling>
          <c:orientation val="minMax"/>
        </c:scaling>
        <c:delete val="0"/>
        <c:axPos val="l"/>
        <c:majorGridlines/>
        <c:numFmt formatCode="General" sourceLinked="1"/>
        <c:majorTickMark val="none"/>
        <c:minorTickMark val="none"/>
        <c:tickLblPos val="nextTo"/>
        <c:crossAx val="1603758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rAngAx val="0"/>
      <c:perspective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invertIfNegative val="0"/>
          <c:dLbls>
            <c:dLbl>
              <c:idx val="0"/>
              <c:layout>
                <c:manualLayout>
                  <c:x val="-1.0488539641046912E-2"/>
                  <c:y val="1.0815952883938287E-2"/>
                </c:manualLayout>
              </c:layout>
              <c:showLegendKey val="0"/>
              <c:showVal val="1"/>
              <c:showCatName val="0"/>
              <c:showSerName val="0"/>
              <c:showPercent val="0"/>
              <c:showBubbleSize val="0"/>
            </c:dLbl>
            <c:dLbl>
              <c:idx val="1"/>
              <c:layout>
                <c:manualLayout>
                  <c:x val="-1.2980968472058402E-2"/>
                  <c:y val="-3.2520325203252032E-3"/>
                </c:manualLayout>
              </c:layout>
              <c:showLegendKey val="0"/>
              <c:showVal val="1"/>
              <c:showCatName val="0"/>
              <c:showSerName val="0"/>
              <c:showPercent val="0"/>
              <c:showBubbleSize val="0"/>
            </c:dLbl>
            <c:dLbl>
              <c:idx val="2"/>
              <c:layout>
                <c:manualLayout>
                  <c:x val="-9.9450094041888485E-3"/>
                  <c:y val="-1.6404839638947542E-2"/>
                </c:manualLayout>
              </c:layout>
              <c:showLegendKey val="0"/>
              <c:showVal val="1"/>
              <c:showCatName val="0"/>
              <c:showSerName val="0"/>
              <c:showPercent val="0"/>
              <c:showBubbleSize val="0"/>
            </c:dLbl>
            <c:dLbl>
              <c:idx val="3"/>
              <c:layout>
                <c:manualLayout>
                  <c:x val="-1.562753036437247E-2"/>
                  <c:y val="3.035144997119322E-3"/>
                </c:manualLayout>
              </c:layout>
              <c:showLegendKey val="0"/>
              <c:showVal val="1"/>
              <c:showCatName val="0"/>
              <c:showSerName val="0"/>
              <c:showPercent val="0"/>
              <c:showBubbleSize val="0"/>
            </c:dLbl>
            <c:dLbl>
              <c:idx val="4"/>
              <c:layout>
                <c:manualLayout>
                  <c:x val="-1.1189072013771484E-2"/>
                  <c:y val="9.1543435119396531E-4"/>
                </c:manualLayout>
              </c:layout>
              <c:showLegendKey val="0"/>
              <c:showVal val="1"/>
              <c:showCatName val="0"/>
              <c:showSerName val="0"/>
              <c:showPercent val="0"/>
              <c:showBubbleSize val="0"/>
            </c:dLbl>
            <c:dLbl>
              <c:idx val="5"/>
              <c:layout>
                <c:manualLayout>
                  <c:x val="-1.1365520099461178E-2"/>
                  <c:y val="-1.3489533320530055E-3"/>
                </c:manualLayout>
              </c:layout>
              <c:showLegendKey val="0"/>
              <c:showVal val="1"/>
              <c:showCatName val="0"/>
              <c:showSerName val="0"/>
              <c:showPercent val="0"/>
              <c:showBubbleSize val="0"/>
            </c:dLbl>
            <c:txPr>
              <a:bodyPr/>
              <a:lstStyle/>
              <a:p>
                <a:pPr>
                  <a:defRPr sz="1400" baseline="0"/>
                </a:pPr>
                <a:endParaRPr lang="bg-BG"/>
              </a:p>
            </c:txPr>
            <c:showLegendKey val="0"/>
            <c:showVal val="1"/>
            <c:showCatName val="0"/>
            <c:showSerName val="0"/>
            <c:showPercent val="0"/>
            <c:showBubbleSize val="0"/>
            <c:showLeaderLines val="0"/>
          </c:dLbls>
          <c:cat>
            <c:strRef>
              <c:f>Лист1!$A$2:$A$8</c:f>
              <c:strCache>
                <c:ptCount val="7"/>
                <c:pt idx="0">
                  <c:v>Наблюдавани ДП</c:v>
                </c:pt>
                <c:pt idx="1">
                  <c:v>Новообразувани ДП</c:v>
                </c:pt>
                <c:pt idx="2">
                  <c:v>Решени ДП*</c:v>
                </c:pt>
                <c:pt idx="3">
                  <c:v>Прокурорски актове, внесени в съда</c:v>
                </c:pt>
                <c:pt idx="4">
                  <c:v>Лица по внесени в съда прокурорски актове</c:v>
                </c:pt>
                <c:pt idx="5">
                  <c:v>Осъдени и санкционирани лица с влязъл в сила съдебен акт</c:v>
                </c:pt>
                <c:pt idx="6">
                  <c:v>Оправдани лица с влязъл в сила съдебен акт</c:v>
                </c:pt>
              </c:strCache>
            </c:strRef>
          </c:cat>
          <c:val>
            <c:numRef>
              <c:f>Лист1!$B$2:$B$8</c:f>
              <c:numCache>
                <c:formatCode>General</c:formatCode>
                <c:ptCount val="7"/>
                <c:pt idx="0">
                  <c:v>134</c:v>
                </c:pt>
                <c:pt idx="1">
                  <c:v>45</c:v>
                </c:pt>
                <c:pt idx="2">
                  <c:v>65</c:v>
                </c:pt>
                <c:pt idx="3">
                  <c:v>12</c:v>
                </c:pt>
                <c:pt idx="4">
                  <c:v>14</c:v>
                </c:pt>
                <c:pt idx="5">
                  <c:v>10</c:v>
                </c:pt>
                <c:pt idx="6">
                  <c:v>2</c:v>
                </c:pt>
              </c:numCache>
            </c:numRef>
          </c:val>
        </c:ser>
        <c:ser>
          <c:idx val="1"/>
          <c:order val="1"/>
          <c:tx>
            <c:strRef>
              <c:f>Лист1!$C$1</c:f>
              <c:strCache>
                <c:ptCount val="1"/>
                <c:pt idx="0">
                  <c:v>2022</c:v>
                </c:pt>
              </c:strCache>
            </c:strRef>
          </c:tx>
          <c:invertIfNegative val="0"/>
          <c:dLbls>
            <c:dLbl>
              <c:idx val="0"/>
              <c:layout>
                <c:manualLayout>
                  <c:x val="-6.022346902993401E-3"/>
                  <c:y val="-1.1177261378913016E-2"/>
                </c:manualLayout>
              </c:layout>
              <c:showLegendKey val="0"/>
              <c:showVal val="1"/>
              <c:showCatName val="0"/>
              <c:showSerName val="0"/>
              <c:showPercent val="0"/>
              <c:showBubbleSize val="0"/>
            </c:dLbl>
            <c:txPr>
              <a:bodyPr/>
              <a:lstStyle/>
              <a:p>
                <a:pPr>
                  <a:defRPr sz="1400" baseline="0"/>
                </a:pPr>
                <a:endParaRPr lang="bg-BG"/>
              </a:p>
            </c:txPr>
            <c:showLegendKey val="0"/>
            <c:showVal val="1"/>
            <c:showCatName val="0"/>
            <c:showSerName val="0"/>
            <c:showPercent val="0"/>
            <c:showBubbleSize val="0"/>
            <c:showLeaderLines val="0"/>
          </c:dLbls>
          <c:cat>
            <c:strRef>
              <c:f>Лист1!$A$2:$A$8</c:f>
              <c:strCache>
                <c:ptCount val="7"/>
                <c:pt idx="0">
                  <c:v>Наблюдавани ДП</c:v>
                </c:pt>
                <c:pt idx="1">
                  <c:v>Новообразувани ДП</c:v>
                </c:pt>
                <c:pt idx="2">
                  <c:v>Решени ДП*</c:v>
                </c:pt>
                <c:pt idx="3">
                  <c:v>Прокурорски актове, внесени в съда</c:v>
                </c:pt>
                <c:pt idx="4">
                  <c:v>Лица по внесени в съда прокурорски актове</c:v>
                </c:pt>
                <c:pt idx="5">
                  <c:v>Осъдени и санкционирани лица с влязъл в сила съдебен акт</c:v>
                </c:pt>
                <c:pt idx="6">
                  <c:v>Оправдани лица с влязъл в сила съдебен акт</c:v>
                </c:pt>
              </c:strCache>
            </c:strRef>
          </c:cat>
          <c:val>
            <c:numRef>
              <c:f>Лист1!$C$2:$C$8</c:f>
              <c:numCache>
                <c:formatCode>General</c:formatCode>
                <c:ptCount val="7"/>
                <c:pt idx="0">
                  <c:v>138</c:v>
                </c:pt>
                <c:pt idx="1">
                  <c:v>42</c:v>
                </c:pt>
                <c:pt idx="2">
                  <c:v>62</c:v>
                </c:pt>
                <c:pt idx="3">
                  <c:v>14</c:v>
                </c:pt>
                <c:pt idx="4">
                  <c:v>16</c:v>
                </c:pt>
                <c:pt idx="5">
                  <c:v>10</c:v>
                </c:pt>
                <c:pt idx="6">
                  <c:v>3</c:v>
                </c:pt>
              </c:numCache>
            </c:numRef>
          </c:val>
        </c:ser>
        <c:ser>
          <c:idx val="2"/>
          <c:order val="2"/>
          <c:tx>
            <c:strRef>
              <c:f>Лист1!$D$1</c:f>
              <c:strCache>
                <c:ptCount val="1"/>
                <c:pt idx="0">
                  <c:v>2023</c:v>
                </c:pt>
              </c:strCache>
            </c:strRef>
          </c:tx>
          <c:invertIfNegative val="0"/>
          <c:dLbls>
            <c:dLbl>
              <c:idx val="0"/>
              <c:layout>
                <c:manualLayout>
                  <c:x val="-9.5683636711402979E-4"/>
                  <c:y val="-6.5762755265347927E-3"/>
                </c:manualLayout>
              </c:layout>
              <c:showLegendKey val="0"/>
              <c:showVal val="1"/>
              <c:showCatName val="0"/>
              <c:showSerName val="0"/>
              <c:showPercent val="0"/>
              <c:showBubbleSize val="0"/>
            </c:dLbl>
            <c:dLbl>
              <c:idx val="1"/>
              <c:layout>
                <c:manualLayout>
                  <c:x val="1.4206700883037022E-3"/>
                  <c:y val="1.9752896741565842E-3"/>
                </c:manualLayout>
              </c:layout>
              <c:showLegendKey val="0"/>
              <c:showVal val="1"/>
              <c:showCatName val="0"/>
              <c:showSerName val="0"/>
              <c:showPercent val="0"/>
              <c:showBubbleSize val="0"/>
            </c:dLbl>
            <c:dLbl>
              <c:idx val="2"/>
              <c:layout>
                <c:manualLayout>
                  <c:x val="3.2683541075584919E-3"/>
                  <c:y val="-7.7810639523718068E-3"/>
                </c:manualLayout>
              </c:layout>
              <c:showLegendKey val="0"/>
              <c:showVal val="1"/>
              <c:showCatName val="0"/>
              <c:showSerName val="0"/>
              <c:showPercent val="0"/>
              <c:showBubbleSize val="0"/>
            </c:dLbl>
            <c:dLbl>
              <c:idx val="3"/>
              <c:layout>
                <c:manualLayout>
                  <c:x val="4.048582995951417E-3"/>
                  <c:y val="-4.2493310287433583E-2"/>
                </c:manualLayout>
              </c:layout>
              <c:showLegendKey val="0"/>
              <c:showVal val="1"/>
              <c:showCatName val="0"/>
              <c:showSerName val="0"/>
              <c:showPercent val="0"/>
              <c:showBubbleSize val="0"/>
            </c:dLbl>
            <c:dLbl>
              <c:idx val="4"/>
              <c:layout>
                <c:manualLayout>
                  <c:x val="2.4513054289265731E-3"/>
                  <c:y val="-3.2664746175020805E-2"/>
                </c:manualLayout>
              </c:layout>
              <c:showLegendKey val="0"/>
              <c:showVal val="1"/>
              <c:showCatName val="0"/>
              <c:showSerName val="0"/>
              <c:showPercent val="0"/>
              <c:showBubbleSize val="0"/>
            </c:dLbl>
            <c:dLbl>
              <c:idx val="5"/>
              <c:layout>
                <c:manualLayout>
                  <c:x val="1.2962797666486021E-2"/>
                  <c:y val="-7.8530183727034113E-3"/>
                </c:manualLayout>
              </c:layout>
              <c:showLegendKey val="0"/>
              <c:showVal val="1"/>
              <c:showCatName val="0"/>
              <c:showSerName val="0"/>
              <c:showPercent val="0"/>
              <c:showBubbleSize val="0"/>
            </c:dLbl>
            <c:txPr>
              <a:bodyPr/>
              <a:lstStyle/>
              <a:p>
                <a:pPr>
                  <a:defRPr sz="1400" baseline="0"/>
                </a:pPr>
                <a:endParaRPr lang="bg-BG"/>
              </a:p>
            </c:txPr>
            <c:showLegendKey val="0"/>
            <c:showVal val="1"/>
            <c:showCatName val="0"/>
            <c:showSerName val="0"/>
            <c:showPercent val="0"/>
            <c:showBubbleSize val="0"/>
            <c:showLeaderLines val="0"/>
          </c:dLbls>
          <c:cat>
            <c:strRef>
              <c:f>Лист1!$A$2:$A$8</c:f>
              <c:strCache>
                <c:ptCount val="7"/>
                <c:pt idx="0">
                  <c:v>Наблюдавани ДП</c:v>
                </c:pt>
                <c:pt idx="1">
                  <c:v>Новообразувани ДП</c:v>
                </c:pt>
                <c:pt idx="2">
                  <c:v>Решени ДП*</c:v>
                </c:pt>
                <c:pt idx="3">
                  <c:v>Прокурорски актове, внесени в съда</c:v>
                </c:pt>
                <c:pt idx="4">
                  <c:v>Лица по внесени в съда прокурорски актове</c:v>
                </c:pt>
                <c:pt idx="5">
                  <c:v>Осъдени и санкционирани лица с влязъл в сила съдебен акт</c:v>
                </c:pt>
                <c:pt idx="6">
                  <c:v>Оправдани лица с влязъл в сила съдебен акт</c:v>
                </c:pt>
              </c:strCache>
            </c:strRef>
          </c:cat>
          <c:val>
            <c:numRef>
              <c:f>Лист1!$D$2:$D$8</c:f>
              <c:numCache>
                <c:formatCode>General</c:formatCode>
                <c:ptCount val="7"/>
                <c:pt idx="0">
                  <c:v>168</c:v>
                </c:pt>
                <c:pt idx="1">
                  <c:v>68</c:v>
                </c:pt>
                <c:pt idx="2">
                  <c:v>78</c:v>
                </c:pt>
                <c:pt idx="3">
                  <c:v>17</c:v>
                </c:pt>
                <c:pt idx="4">
                  <c:v>20</c:v>
                </c:pt>
                <c:pt idx="5">
                  <c:v>15</c:v>
                </c:pt>
                <c:pt idx="6">
                  <c:v>1</c:v>
                </c:pt>
              </c:numCache>
            </c:numRef>
          </c:val>
        </c:ser>
        <c:dLbls>
          <c:showLegendKey val="0"/>
          <c:showVal val="0"/>
          <c:showCatName val="0"/>
          <c:showSerName val="0"/>
          <c:showPercent val="0"/>
          <c:showBubbleSize val="0"/>
        </c:dLbls>
        <c:gapWidth val="150"/>
        <c:shape val="box"/>
        <c:axId val="160799744"/>
        <c:axId val="160735808"/>
        <c:axId val="0"/>
      </c:bar3DChart>
      <c:catAx>
        <c:axId val="160799744"/>
        <c:scaling>
          <c:orientation val="minMax"/>
        </c:scaling>
        <c:delete val="0"/>
        <c:axPos val="b"/>
        <c:majorTickMark val="out"/>
        <c:minorTickMark val="none"/>
        <c:tickLblPos val="nextTo"/>
        <c:txPr>
          <a:bodyPr/>
          <a:lstStyle/>
          <a:p>
            <a:pPr>
              <a:defRPr sz="1100" baseline="0"/>
            </a:pPr>
            <a:endParaRPr lang="bg-BG"/>
          </a:p>
        </c:txPr>
        <c:crossAx val="160735808"/>
        <c:crosses val="autoZero"/>
        <c:auto val="1"/>
        <c:lblAlgn val="ctr"/>
        <c:lblOffset val="100"/>
        <c:noMultiLvlLbl val="0"/>
      </c:catAx>
      <c:valAx>
        <c:axId val="160735808"/>
        <c:scaling>
          <c:orientation val="minMax"/>
        </c:scaling>
        <c:delete val="0"/>
        <c:axPos val="l"/>
        <c:majorGridlines/>
        <c:numFmt formatCode="General" sourceLinked="1"/>
        <c:majorTickMark val="out"/>
        <c:minorTickMark val="none"/>
        <c:tickLblPos val="nextTo"/>
        <c:crossAx val="160799744"/>
        <c:crosses val="autoZero"/>
        <c:crossBetween val="between"/>
      </c:valAx>
    </c:plotArea>
    <c:legend>
      <c:legendPos val="r"/>
      <c:layout>
        <c:manualLayout>
          <c:xMode val="edge"/>
          <c:yMode val="edge"/>
          <c:x val="0.80385642207490449"/>
          <c:y val="0.65336124447858657"/>
          <c:w val="0.1755215339985336"/>
          <c:h val="0.29960053773766082"/>
        </c:manualLayout>
      </c:layout>
      <c:overlay val="0"/>
    </c:legend>
    <c:plotVisOnly val="1"/>
    <c:dispBlanksAs val="zero"/>
    <c:showDLblsOverMax val="0"/>
  </c:chart>
  <c:txPr>
    <a:bodyPr/>
    <a:lstStyle/>
    <a:p>
      <a:pPr>
        <a:defRPr sz="1800"/>
      </a:pPr>
      <a:endParaRPr lang="bg-BG"/>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rAngAx val="0"/>
      <c:perspective val="0"/>
    </c:view3D>
    <c:floor>
      <c:thickness val="0"/>
    </c:floor>
    <c:sideWall>
      <c:thickness val="0"/>
    </c:sideWall>
    <c:backWall>
      <c:thickness val="0"/>
    </c:backWall>
    <c:plotArea>
      <c:layout>
        <c:manualLayout>
          <c:layoutTarget val="inner"/>
          <c:xMode val="edge"/>
          <c:yMode val="edge"/>
          <c:x val="8.7051320142793598E-2"/>
          <c:y val="3.504630269714009E-2"/>
          <c:w val="0.80174064382410504"/>
          <c:h val="0.51788152570861312"/>
        </c:manualLayout>
      </c:layout>
      <c:bar3DChart>
        <c:barDir val="col"/>
        <c:grouping val="clustered"/>
        <c:varyColors val="0"/>
        <c:ser>
          <c:idx val="0"/>
          <c:order val="0"/>
          <c:tx>
            <c:strRef>
              <c:f>Лист1!$B$1</c:f>
              <c:strCache>
                <c:ptCount val="1"/>
                <c:pt idx="0">
                  <c:v>2021</c:v>
                </c:pt>
              </c:strCache>
            </c:strRef>
          </c:tx>
          <c:invertIfNegative val="0"/>
          <c:dLbls>
            <c:dLbl>
              <c:idx val="0"/>
              <c:layout>
                <c:manualLayout>
                  <c:x val="-1.6561394523951785E-2"/>
                  <c:y val="-2.19210920086918E-3"/>
                </c:manualLayout>
              </c:layout>
              <c:showLegendKey val="0"/>
              <c:showVal val="1"/>
              <c:showCatName val="0"/>
              <c:showSerName val="0"/>
              <c:showPercent val="0"/>
              <c:showBubbleSize val="0"/>
            </c:dLbl>
            <c:dLbl>
              <c:idx val="1"/>
              <c:layout>
                <c:manualLayout>
                  <c:x val="-2.1078138485029544E-2"/>
                  <c:y val="-4.0188204425034719E-17"/>
                </c:manualLayout>
              </c:layout>
              <c:showLegendKey val="0"/>
              <c:showVal val="1"/>
              <c:showCatName val="0"/>
              <c:showSerName val="0"/>
              <c:showPercent val="0"/>
              <c:showBubbleSize val="0"/>
            </c:dLbl>
            <c:dLbl>
              <c:idx val="2"/>
              <c:layout>
                <c:manualLayout>
                  <c:x val="-9.9448102185665695E-3"/>
                  <c:y val="-1.3152655205215039E-2"/>
                </c:manualLayout>
              </c:layout>
              <c:showLegendKey val="0"/>
              <c:showVal val="1"/>
              <c:showCatName val="0"/>
              <c:showSerName val="0"/>
              <c:showPercent val="0"/>
              <c:showBubbleSize val="0"/>
            </c:dLbl>
            <c:dLbl>
              <c:idx val="3"/>
              <c:layout>
                <c:manualLayout>
                  <c:x val="-1.5627558914890375E-2"/>
                  <c:y val="-1.972898280782262E-2"/>
                </c:manualLayout>
              </c:layout>
              <c:showLegendKey val="0"/>
              <c:showVal val="1"/>
              <c:showCatName val="0"/>
              <c:showSerName val="0"/>
              <c:showPercent val="0"/>
              <c:showBubbleSize val="0"/>
            </c:dLbl>
            <c:dLbl>
              <c:idx val="4"/>
              <c:layout>
                <c:manualLayout>
                  <c:x val="-2.1310307611214076E-2"/>
                  <c:y val="-1.534476440608434E-2"/>
                </c:manualLayout>
              </c:layout>
              <c:showLegendKey val="0"/>
              <c:showVal val="1"/>
              <c:showCatName val="0"/>
              <c:showSerName val="0"/>
              <c:showPercent val="0"/>
              <c:showBubbleSize val="0"/>
            </c:dLbl>
            <c:dLbl>
              <c:idx val="5"/>
              <c:layout>
                <c:manualLayout>
                  <c:x val="-1.1365497392647507E-2"/>
                  <c:y val="-2.411320120956098E-2"/>
                </c:manualLayout>
              </c:layout>
              <c:showLegendKey val="0"/>
              <c:showVal val="1"/>
              <c:showCatName val="0"/>
              <c:showSerName val="0"/>
              <c:showPercent val="0"/>
              <c:showBubbleSize val="0"/>
            </c:dLbl>
            <c:dLbl>
              <c:idx val="6"/>
              <c:spPr/>
              <c:txPr>
                <a:bodyPr rot="0" vert="horz"/>
                <a:lstStyle/>
                <a:p>
                  <a:pPr>
                    <a:defRPr/>
                  </a:pPr>
                  <a:endParaRPr lang="bg-BG"/>
                </a:p>
              </c:txPr>
              <c:showLegendKey val="0"/>
              <c:showVal val="1"/>
              <c:showCatName val="0"/>
              <c:showSerName val="0"/>
              <c:showPercent val="0"/>
              <c:showBubbleSize val="0"/>
            </c:dLbl>
            <c:txPr>
              <a:bodyPr rot="-5400000" vert="horz"/>
              <a:lstStyle/>
              <a:p>
                <a:pPr>
                  <a:defRPr/>
                </a:pPr>
                <a:endParaRPr lang="bg-BG"/>
              </a:p>
            </c:txPr>
            <c:showLegendKey val="0"/>
            <c:showVal val="1"/>
            <c:showCatName val="0"/>
            <c:showSerName val="0"/>
            <c:showPercent val="0"/>
            <c:showBubbleSize val="0"/>
            <c:showLeaderLines val="0"/>
          </c:dLbls>
          <c:cat>
            <c:strRef>
              <c:f>Лист1!$A$2:$A$8</c:f>
              <c:strCache>
                <c:ptCount val="7"/>
                <c:pt idx="0">
                  <c:v>Наблюдавани ДП</c:v>
                </c:pt>
                <c:pt idx="1">
                  <c:v>Новообразувани ДП</c:v>
                </c:pt>
                <c:pt idx="2">
                  <c:v>Решени ДП*</c:v>
                </c:pt>
                <c:pt idx="3">
                  <c:v>Прокурорски актове, внесени в съда</c:v>
                </c:pt>
                <c:pt idx="4">
                  <c:v>Лица по внесени в съда прокурорски актове</c:v>
                </c:pt>
                <c:pt idx="5">
                  <c:v>Осъдени и санкционирани лица с влязъл в сила съдебен акт</c:v>
                </c:pt>
                <c:pt idx="6">
                  <c:v>Оправдани лица с влязъл в сила съдебен акт</c:v>
                </c:pt>
              </c:strCache>
            </c:strRef>
          </c:cat>
          <c:val>
            <c:numRef>
              <c:f>Лист1!$B$2:$B$8</c:f>
              <c:numCache>
                <c:formatCode>General</c:formatCode>
                <c:ptCount val="7"/>
                <c:pt idx="0">
                  <c:v>900</c:v>
                </c:pt>
                <c:pt idx="1">
                  <c:v>546</c:v>
                </c:pt>
                <c:pt idx="2">
                  <c:v>697</c:v>
                </c:pt>
                <c:pt idx="3">
                  <c:v>233</c:v>
                </c:pt>
                <c:pt idx="4">
                  <c:v>237</c:v>
                </c:pt>
                <c:pt idx="5">
                  <c:v>214</c:v>
                </c:pt>
                <c:pt idx="6">
                  <c:v>5</c:v>
                </c:pt>
              </c:numCache>
            </c:numRef>
          </c:val>
        </c:ser>
        <c:ser>
          <c:idx val="1"/>
          <c:order val="1"/>
          <c:tx>
            <c:strRef>
              <c:f>Лист1!$C$1</c:f>
              <c:strCache>
                <c:ptCount val="1"/>
                <c:pt idx="0">
                  <c:v>2022</c:v>
                </c:pt>
              </c:strCache>
            </c:strRef>
          </c:tx>
          <c:invertIfNegative val="0"/>
          <c:dLbls>
            <c:dLbl>
              <c:idx val="0"/>
              <c:layout>
                <c:manualLayout>
                  <c:x val="-6.0223252814370397E-3"/>
                  <c:y val="-3.0689528812168521E-2"/>
                </c:manualLayout>
              </c:layout>
              <c:showLegendKey val="0"/>
              <c:showVal val="1"/>
              <c:showCatName val="0"/>
              <c:showSerName val="0"/>
              <c:showPercent val="0"/>
              <c:showBubbleSize val="0"/>
            </c:dLbl>
            <c:dLbl>
              <c:idx val="6"/>
              <c:spPr/>
              <c:txPr>
                <a:bodyPr rot="0" vert="horz"/>
                <a:lstStyle/>
                <a:p>
                  <a:pPr>
                    <a:defRPr/>
                  </a:pPr>
                  <a:endParaRPr lang="bg-BG"/>
                </a:p>
              </c:txPr>
              <c:showLegendKey val="0"/>
              <c:showVal val="1"/>
              <c:showCatName val="0"/>
              <c:showSerName val="0"/>
              <c:showPercent val="0"/>
              <c:showBubbleSize val="0"/>
            </c:dLbl>
            <c:txPr>
              <a:bodyPr rot="-5400000" vert="horz"/>
              <a:lstStyle/>
              <a:p>
                <a:pPr>
                  <a:defRPr/>
                </a:pPr>
                <a:endParaRPr lang="bg-BG"/>
              </a:p>
            </c:txPr>
            <c:showLegendKey val="0"/>
            <c:showVal val="1"/>
            <c:showCatName val="0"/>
            <c:showSerName val="0"/>
            <c:showPercent val="0"/>
            <c:showBubbleSize val="0"/>
            <c:showLeaderLines val="0"/>
          </c:dLbls>
          <c:cat>
            <c:strRef>
              <c:f>Лист1!$A$2:$A$8</c:f>
              <c:strCache>
                <c:ptCount val="7"/>
                <c:pt idx="0">
                  <c:v>Наблюдавани ДП</c:v>
                </c:pt>
                <c:pt idx="1">
                  <c:v>Новообразувани ДП</c:v>
                </c:pt>
                <c:pt idx="2">
                  <c:v>Решени ДП*</c:v>
                </c:pt>
                <c:pt idx="3">
                  <c:v>Прокурорски актове, внесени в съда</c:v>
                </c:pt>
                <c:pt idx="4">
                  <c:v>Лица по внесени в съда прокурорски актове</c:v>
                </c:pt>
                <c:pt idx="5">
                  <c:v>Осъдени и санкционирани лица с влязъл в сила съдебен акт</c:v>
                </c:pt>
                <c:pt idx="6">
                  <c:v>Оправдани лица с влязъл в сила съдебен акт</c:v>
                </c:pt>
              </c:strCache>
            </c:strRef>
          </c:cat>
          <c:val>
            <c:numRef>
              <c:f>Лист1!$C$2:$C$8</c:f>
              <c:numCache>
                <c:formatCode>General</c:formatCode>
                <c:ptCount val="7"/>
                <c:pt idx="0">
                  <c:v>963</c:v>
                </c:pt>
                <c:pt idx="1">
                  <c:v>650</c:v>
                </c:pt>
                <c:pt idx="2">
                  <c:v>695</c:v>
                </c:pt>
                <c:pt idx="3">
                  <c:v>300</c:v>
                </c:pt>
                <c:pt idx="4">
                  <c:v>312</c:v>
                </c:pt>
                <c:pt idx="5">
                  <c:v>283</c:v>
                </c:pt>
                <c:pt idx="6">
                  <c:v>5</c:v>
                </c:pt>
              </c:numCache>
            </c:numRef>
          </c:val>
        </c:ser>
        <c:ser>
          <c:idx val="2"/>
          <c:order val="2"/>
          <c:tx>
            <c:strRef>
              <c:f>Лист1!$D$1</c:f>
              <c:strCache>
                <c:ptCount val="1"/>
                <c:pt idx="0">
                  <c:v>2023</c:v>
                </c:pt>
              </c:strCache>
            </c:strRef>
          </c:tx>
          <c:invertIfNegative val="0"/>
          <c:dLbls>
            <c:dLbl>
              <c:idx val="0"/>
              <c:layout>
                <c:manualLayout>
                  <c:x val="2.1310307611214076E-2"/>
                  <c:y val="-6.5763276026075401E-3"/>
                </c:manualLayout>
              </c:layout>
              <c:showLegendKey val="0"/>
              <c:showVal val="1"/>
              <c:showCatName val="0"/>
              <c:showSerName val="0"/>
              <c:showPercent val="0"/>
              <c:showBubbleSize val="0"/>
            </c:dLbl>
            <c:dLbl>
              <c:idx val="1"/>
              <c:layout>
                <c:manualLayout>
                  <c:x val="1.4206871740809384E-3"/>
                  <c:y val="-1.753687360695344E-2"/>
                </c:manualLayout>
              </c:layout>
              <c:showLegendKey val="0"/>
              <c:showVal val="1"/>
              <c:showCatName val="0"/>
              <c:showSerName val="0"/>
              <c:showPercent val="0"/>
              <c:showBubbleSize val="0"/>
            </c:dLbl>
            <c:dLbl>
              <c:idx val="2"/>
              <c:layout>
                <c:manualLayout>
                  <c:x val="1.1365497392647507E-2"/>
                  <c:y val="-1.753687360695344E-2"/>
                </c:manualLayout>
              </c:layout>
              <c:showLegendKey val="0"/>
              <c:showVal val="1"/>
              <c:showCatName val="0"/>
              <c:showSerName val="0"/>
              <c:showPercent val="0"/>
              <c:showBubbleSize val="0"/>
            </c:dLbl>
            <c:dLbl>
              <c:idx val="3"/>
              <c:layout>
                <c:manualLayout>
                  <c:x val="0"/>
                  <c:y val="-1.972898280782262E-2"/>
                </c:manualLayout>
              </c:layout>
              <c:showLegendKey val="0"/>
              <c:showVal val="1"/>
              <c:showCatName val="0"/>
              <c:showSerName val="0"/>
              <c:showPercent val="0"/>
              <c:showBubbleSize val="0"/>
            </c:dLbl>
            <c:dLbl>
              <c:idx val="4"/>
              <c:layout>
                <c:manualLayout>
                  <c:x val="8.5241230444856302E-3"/>
                  <c:y val="-1.315265520521508E-2"/>
                </c:manualLayout>
              </c:layout>
              <c:showLegendKey val="0"/>
              <c:showVal val="1"/>
              <c:showCatName val="0"/>
              <c:showSerName val="0"/>
              <c:showPercent val="0"/>
              <c:showBubbleSize val="0"/>
            </c:dLbl>
            <c:dLbl>
              <c:idx val="5"/>
              <c:layout>
                <c:manualLayout>
                  <c:x val="2.8413743481618767E-3"/>
                  <c:y val="-2.411320120956098E-2"/>
                </c:manualLayout>
              </c:layout>
              <c:showLegendKey val="0"/>
              <c:showVal val="1"/>
              <c:showCatName val="0"/>
              <c:showSerName val="0"/>
              <c:showPercent val="0"/>
              <c:showBubbleSize val="0"/>
            </c:dLbl>
            <c:dLbl>
              <c:idx val="6"/>
              <c:spPr/>
              <c:txPr>
                <a:bodyPr rot="0" vert="horz"/>
                <a:lstStyle/>
                <a:p>
                  <a:pPr>
                    <a:defRPr/>
                  </a:pPr>
                  <a:endParaRPr lang="bg-BG"/>
                </a:p>
              </c:txPr>
              <c:showLegendKey val="0"/>
              <c:showVal val="1"/>
              <c:showCatName val="0"/>
              <c:showSerName val="0"/>
              <c:showPercent val="0"/>
              <c:showBubbleSize val="0"/>
            </c:dLbl>
            <c:txPr>
              <a:bodyPr rot="-5400000" vert="horz"/>
              <a:lstStyle/>
              <a:p>
                <a:pPr>
                  <a:defRPr/>
                </a:pPr>
                <a:endParaRPr lang="bg-BG"/>
              </a:p>
            </c:txPr>
            <c:showLegendKey val="0"/>
            <c:showVal val="1"/>
            <c:showCatName val="0"/>
            <c:showSerName val="0"/>
            <c:showPercent val="0"/>
            <c:showBubbleSize val="0"/>
            <c:showLeaderLines val="0"/>
          </c:dLbls>
          <c:cat>
            <c:strRef>
              <c:f>Лист1!$A$2:$A$8</c:f>
              <c:strCache>
                <c:ptCount val="7"/>
                <c:pt idx="0">
                  <c:v>Наблюдавани ДП</c:v>
                </c:pt>
                <c:pt idx="1">
                  <c:v>Новообразувани ДП</c:v>
                </c:pt>
                <c:pt idx="2">
                  <c:v>Решени ДП*</c:v>
                </c:pt>
                <c:pt idx="3">
                  <c:v>Прокурорски актове, внесени в съда</c:v>
                </c:pt>
                <c:pt idx="4">
                  <c:v>Лица по внесени в съда прокурорски актове</c:v>
                </c:pt>
                <c:pt idx="5">
                  <c:v>Осъдени и санкционирани лица с влязъл в сила съдебен акт</c:v>
                </c:pt>
                <c:pt idx="6">
                  <c:v>Оправдани лица с влязъл в сила съдебен акт</c:v>
                </c:pt>
              </c:strCache>
            </c:strRef>
          </c:cat>
          <c:val>
            <c:numRef>
              <c:f>Лист1!$D$2:$D$8</c:f>
              <c:numCache>
                <c:formatCode>General</c:formatCode>
                <c:ptCount val="7"/>
                <c:pt idx="0">
                  <c:v>1071</c:v>
                </c:pt>
                <c:pt idx="1">
                  <c:v>720</c:v>
                </c:pt>
                <c:pt idx="2">
                  <c:v>810</c:v>
                </c:pt>
                <c:pt idx="3">
                  <c:v>390</c:v>
                </c:pt>
                <c:pt idx="4">
                  <c:v>413</c:v>
                </c:pt>
                <c:pt idx="5">
                  <c:v>386</c:v>
                </c:pt>
                <c:pt idx="6">
                  <c:v>3</c:v>
                </c:pt>
              </c:numCache>
            </c:numRef>
          </c:val>
        </c:ser>
        <c:dLbls>
          <c:showLegendKey val="0"/>
          <c:showVal val="0"/>
          <c:showCatName val="0"/>
          <c:showSerName val="0"/>
          <c:showPercent val="0"/>
          <c:showBubbleSize val="0"/>
        </c:dLbls>
        <c:gapWidth val="150"/>
        <c:shape val="box"/>
        <c:axId val="160961536"/>
        <c:axId val="160117824"/>
        <c:axId val="0"/>
      </c:bar3DChart>
      <c:catAx>
        <c:axId val="160961536"/>
        <c:scaling>
          <c:orientation val="minMax"/>
        </c:scaling>
        <c:delete val="0"/>
        <c:axPos val="b"/>
        <c:majorTickMark val="out"/>
        <c:minorTickMark val="none"/>
        <c:tickLblPos val="nextTo"/>
        <c:txPr>
          <a:bodyPr/>
          <a:lstStyle/>
          <a:p>
            <a:pPr>
              <a:defRPr sz="1200" baseline="0"/>
            </a:pPr>
            <a:endParaRPr lang="bg-BG"/>
          </a:p>
        </c:txPr>
        <c:crossAx val="160117824"/>
        <c:crosses val="autoZero"/>
        <c:auto val="1"/>
        <c:lblAlgn val="ctr"/>
        <c:lblOffset val="100"/>
        <c:noMultiLvlLbl val="0"/>
      </c:catAx>
      <c:valAx>
        <c:axId val="160117824"/>
        <c:scaling>
          <c:orientation val="minMax"/>
        </c:scaling>
        <c:delete val="0"/>
        <c:axPos val="l"/>
        <c:majorGridlines/>
        <c:numFmt formatCode="General" sourceLinked="1"/>
        <c:majorTickMark val="out"/>
        <c:minorTickMark val="none"/>
        <c:tickLblPos val="nextTo"/>
        <c:crossAx val="160961536"/>
        <c:crosses val="autoZero"/>
        <c:crossBetween val="between"/>
      </c:valAx>
    </c:plotArea>
    <c:legend>
      <c:legendPos val="r"/>
      <c:layout>
        <c:manualLayout>
          <c:xMode val="edge"/>
          <c:yMode val="edge"/>
          <c:x val="0.82000174801560499"/>
          <c:y val="0.82935984388433248"/>
          <c:w val="0.15709463915396044"/>
          <c:h val="0.15306458876349299"/>
        </c:manualLayout>
      </c:layout>
      <c:overlay val="0"/>
    </c:legend>
    <c:plotVisOnly val="1"/>
    <c:dispBlanksAs val="zero"/>
    <c:showDLblsOverMax val="0"/>
  </c:chart>
  <c:txPr>
    <a:bodyPr/>
    <a:lstStyle/>
    <a:p>
      <a:pPr>
        <a:defRPr sz="1800"/>
      </a:pPr>
      <a:endParaRPr lang="bg-BG"/>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invertIfNegative val="0"/>
          <c:dLbls>
            <c:dLbl>
              <c:idx val="0"/>
              <c:layout>
                <c:manualLayout>
                  <c:x val="-3.1404884976614207E-2"/>
                  <c:y val="-2.525429394805039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Наблюдавани дела за наркотици от РП Варна</c:v>
                </c:pt>
              </c:strCache>
            </c:strRef>
          </c:cat>
          <c:val>
            <c:numRef>
              <c:f>Лист1!$B$2</c:f>
              <c:numCache>
                <c:formatCode>General</c:formatCode>
                <c:ptCount val="1"/>
                <c:pt idx="0">
                  <c:v>900</c:v>
                </c:pt>
              </c:numCache>
            </c:numRef>
          </c:val>
        </c:ser>
        <c:ser>
          <c:idx val="1"/>
          <c:order val="1"/>
          <c:tx>
            <c:strRef>
              <c:f>Лист1!$C$1</c:f>
              <c:strCache>
                <c:ptCount val="1"/>
                <c:pt idx="0">
                  <c:v>2022</c:v>
                </c:pt>
              </c:strCache>
            </c:strRef>
          </c:tx>
          <c:invertIfNegative val="0"/>
          <c:dLbls>
            <c:dLbl>
              <c:idx val="0"/>
              <c:layout>
                <c:manualLayout>
                  <c:x val="2.4871605408746719E-2"/>
                  <c:y val="-2.2448261287155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Наблюдавани дела за наркотици от РП Варна</c:v>
                </c:pt>
              </c:strCache>
            </c:strRef>
          </c:cat>
          <c:val>
            <c:numRef>
              <c:f>Лист1!$C$2</c:f>
              <c:numCache>
                <c:formatCode>General</c:formatCode>
                <c:ptCount val="1"/>
                <c:pt idx="0">
                  <c:v>842</c:v>
                </c:pt>
              </c:numCache>
            </c:numRef>
          </c:val>
        </c:ser>
        <c:ser>
          <c:idx val="2"/>
          <c:order val="2"/>
          <c:tx>
            <c:strRef>
              <c:f>Лист1!$D$1</c:f>
              <c:strCache>
                <c:ptCount val="1"/>
                <c:pt idx="0">
                  <c:v>2023</c:v>
                </c:pt>
              </c:strCache>
            </c:strRef>
          </c:tx>
          <c:invertIfNegative val="0"/>
          <c:dLbls>
            <c:dLbl>
              <c:idx val="0"/>
              <c:layout>
                <c:manualLayout>
                  <c:x val="4.6586243721515569E-2"/>
                  <c:y val="-3.08663592698393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Наблюдавани дела за наркотици от РП Варна</c:v>
                </c:pt>
              </c:strCache>
            </c:strRef>
          </c:cat>
          <c:val>
            <c:numRef>
              <c:f>Лист1!$D$2</c:f>
              <c:numCache>
                <c:formatCode>General</c:formatCode>
                <c:ptCount val="1"/>
                <c:pt idx="0">
                  <c:v>908</c:v>
                </c:pt>
              </c:numCache>
            </c:numRef>
          </c:val>
        </c:ser>
        <c:dLbls>
          <c:showLegendKey val="0"/>
          <c:showVal val="0"/>
          <c:showCatName val="0"/>
          <c:showSerName val="0"/>
          <c:showPercent val="0"/>
          <c:showBubbleSize val="0"/>
        </c:dLbls>
        <c:gapWidth val="150"/>
        <c:shape val="box"/>
        <c:axId val="160963584"/>
        <c:axId val="160736960"/>
        <c:axId val="0"/>
      </c:bar3DChart>
      <c:catAx>
        <c:axId val="160963584"/>
        <c:scaling>
          <c:orientation val="minMax"/>
        </c:scaling>
        <c:delete val="0"/>
        <c:axPos val="b"/>
        <c:majorTickMark val="out"/>
        <c:minorTickMark val="none"/>
        <c:tickLblPos val="nextTo"/>
        <c:crossAx val="160736960"/>
        <c:crosses val="autoZero"/>
        <c:auto val="1"/>
        <c:lblAlgn val="ctr"/>
        <c:lblOffset val="100"/>
        <c:noMultiLvlLbl val="0"/>
      </c:catAx>
      <c:valAx>
        <c:axId val="160736960"/>
        <c:scaling>
          <c:orientation val="minMax"/>
        </c:scaling>
        <c:delete val="0"/>
        <c:axPos val="l"/>
        <c:majorGridlines/>
        <c:numFmt formatCode="General" sourceLinked="1"/>
        <c:majorTickMark val="out"/>
        <c:minorTickMark val="none"/>
        <c:tickLblPos val="nextTo"/>
        <c:crossAx val="160963584"/>
        <c:crosses val="autoZero"/>
        <c:crossBetween val="between"/>
      </c:valAx>
    </c:plotArea>
    <c:legend>
      <c:legendPos val="r"/>
      <c:overlay val="0"/>
    </c:legend>
    <c:plotVisOnly val="1"/>
    <c:dispBlanksAs val="gap"/>
    <c:showDLblsOverMax val="0"/>
  </c:chart>
  <c:txPr>
    <a:bodyPr/>
    <a:lstStyle/>
    <a:p>
      <a:pPr>
        <a:defRPr sz="1800"/>
      </a:pPr>
      <a:endParaRPr lang="bg-BG"/>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Лист1!$B$1</c:f>
              <c:strCache>
                <c:ptCount val="1"/>
                <c:pt idx="0">
                  <c:v>ОБЕМ ПРОКУРОРСКА ДЕЙНОСТ</c:v>
                </c:pt>
              </c:strCache>
            </c:strRef>
          </c:tx>
          <c:dLbls>
            <c:dLbl>
              <c:idx val="0"/>
              <c:layout>
                <c:manualLayout>
                  <c:x val="-6.5652085967045887E-2"/>
                  <c:y val="0.11900370060209833"/>
                </c:manualLayout>
              </c:layout>
              <c:showLegendKey val="0"/>
              <c:showVal val="1"/>
              <c:showCatName val="0"/>
              <c:showSerName val="0"/>
              <c:showPercent val="0"/>
              <c:showBubbleSize val="0"/>
            </c:dLbl>
            <c:dLbl>
              <c:idx val="1"/>
              <c:layout>
                <c:manualLayout>
                  <c:x val="6.3424947145877377E-3"/>
                  <c:y val="6.6122988759091825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17636</c:v>
                </c:pt>
                <c:pt idx="1">
                  <c:v>18733</c:v>
                </c:pt>
                <c:pt idx="2">
                  <c:v>23544</c:v>
                </c:pt>
              </c:numCache>
            </c:numRef>
          </c:val>
          <c:smooth val="0"/>
          <c:extLst xmlns:c16r2="http://schemas.microsoft.com/office/drawing/2015/06/chart">
            <c:ext xmlns:c16="http://schemas.microsoft.com/office/drawing/2014/chart" uri="{C3380CC4-5D6E-409C-BE32-E72D297353CC}">
              <c16:uniqueId val="{00000000-3801-4F1B-98B0-22F9C234720A}"/>
            </c:ext>
          </c:extLst>
        </c:ser>
        <c:dLbls>
          <c:showLegendKey val="0"/>
          <c:showVal val="1"/>
          <c:showCatName val="0"/>
          <c:showSerName val="0"/>
          <c:showPercent val="0"/>
          <c:showBubbleSize val="0"/>
        </c:dLbls>
        <c:marker val="1"/>
        <c:smooth val="0"/>
        <c:axId val="160796672"/>
        <c:axId val="160737536"/>
      </c:lineChart>
      <c:valAx>
        <c:axId val="160737536"/>
        <c:scaling>
          <c:orientation val="minMax"/>
        </c:scaling>
        <c:delete val="1"/>
        <c:axPos val="l"/>
        <c:majorGridlines/>
        <c:numFmt formatCode="General" sourceLinked="1"/>
        <c:majorTickMark val="none"/>
        <c:minorTickMark val="none"/>
        <c:tickLblPos val="nextTo"/>
        <c:crossAx val="160796672"/>
        <c:crosses val="autoZero"/>
        <c:crossBetween val="between"/>
      </c:valAx>
      <c:catAx>
        <c:axId val="160796672"/>
        <c:scaling>
          <c:orientation val="minMax"/>
        </c:scaling>
        <c:delete val="0"/>
        <c:axPos val="b"/>
        <c:numFmt formatCode="General" sourceLinked="1"/>
        <c:majorTickMark val="none"/>
        <c:minorTickMark val="none"/>
        <c:tickLblPos val="nextTo"/>
        <c:crossAx val="160737536"/>
        <c:crosses val="autoZero"/>
        <c:auto val="1"/>
        <c:lblAlgn val="ctr"/>
        <c:lblOffset val="100"/>
        <c:noMultiLvlLbl val="0"/>
      </c:catAx>
    </c:plotArea>
    <c:legend>
      <c:legendPos val="t"/>
      <c:overlay val="0"/>
    </c:legend>
    <c:plotVisOnly val="1"/>
    <c:dispBlanksAs val="gap"/>
    <c:showDLblsOverMax val="0"/>
  </c:chart>
  <c:spPr>
    <a:solidFill>
      <a:schemeClr val="bg2">
        <a:lumMod val="90000"/>
      </a:schemeClr>
    </a:solidFill>
    <a:ln>
      <a:gradFill>
        <a:gsLst>
          <a:gs pos="0">
            <a:schemeClr val="bg2">
              <a:lumMod val="25000"/>
            </a:schemeClr>
          </a:gs>
          <a:gs pos="50000">
            <a:schemeClr val="accent1">
              <a:tint val="44500"/>
              <a:satMod val="160000"/>
            </a:schemeClr>
          </a:gs>
          <a:gs pos="100000">
            <a:schemeClr val="accent1">
              <a:tint val="23500"/>
              <a:satMod val="160000"/>
            </a:schemeClr>
          </a:gs>
        </a:gsLst>
        <a:lin ang="5400000" scaled="0"/>
      </a:gradFill>
    </a:ln>
    <a:effectLst>
      <a:glow rad="139700">
        <a:schemeClr val="accent3">
          <a:satMod val="175000"/>
          <a:alpha val="40000"/>
        </a:schemeClr>
      </a:glow>
    </a:effectLst>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bg-BG"/>
              <a:t>Дейност по администриране</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99109490405798"/>
          <c:y val="0.18294513432430071"/>
          <c:w val="0.78339098102650717"/>
          <c:h val="0.4548350495124705"/>
        </c:manualLayout>
      </c:layout>
      <c:bar3DChart>
        <c:barDir val="col"/>
        <c:grouping val="clustered"/>
        <c:varyColors val="0"/>
        <c:ser>
          <c:idx val="0"/>
          <c:order val="0"/>
          <c:tx>
            <c:strRef>
              <c:f>Лист1!$B$1</c:f>
              <c:strCache>
                <c:ptCount val="1"/>
                <c:pt idx="0">
                  <c:v>2021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Лист1!$A$2:$A$11</c:f>
              <c:strCache>
                <c:ptCount val="10"/>
                <c:pt idx="0">
                  <c:v>Дейност по администриране общо (брой)</c:v>
                </c:pt>
                <c:pt idx="1">
                  <c:v>Дейност по администриране  (бр. точки)</c:v>
                </c:pt>
                <c:pt idx="2">
                  <c:v>Произнасяне по дисциплинарни преписки</c:v>
                </c:pt>
                <c:pt idx="3">
                  <c:v>Организиране и провеждане на работни/обучителни съвещания</c:v>
                </c:pt>
                <c:pt idx="4">
                  <c:v>Участие в работни/обучителни съвещания, срещи, празници</c:v>
                </c:pt>
                <c:pt idx="5">
                  <c:v>Заповеди (без такива по кадрови въпроси и за командироване) и указания</c:v>
                </c:pt>
                <c:pt idx="6">
                  <c:v>Становища</c:v>
                </c:pt>
                <c:pt idx="7">
                  <c:v>Справки/ писма до други звена, институции и граждани</c:v>
                </c:pt>
                <c:pt idx="8">
                  <c:v>Изготвени вътрешни организационни актове</c:v>
                </c:pt>
                <c:pt idx="9">
                  <c:v>Контролна дейност на административния ръководител спряво прокурорите в прокуратурата и региона</c:v>
                </c:pt>
              </c:strCache>
            </c:strRef>
          </c:cat>
          <c:val>
            <c:numRef>
              <c:f>Лист1!$B$2:$B$11</c:f>
              <c:numCache>
                <c:formatCode>General</c:formatCode>
                <c:ptCount val="10"/>
                <c:pt idx="0">
                  <c:v>1853</c:v>
                </c:pt>
                <c:pt idx="1">
                  <c:v>808</c:v>
                </c:pt>
                <c:pt idx="2">
                  <c:v>7</c:v>
                </c:pt>
                <c:pt idx="3">
                  <c:v>5</c:v>
                </c:pt>
                <c:pt idx="4">
                  <c:v>14</c:v>
                </c:pt>
                <c:pt idx="5">
                  <c:v>278</c:v>
                </c:pt>
                <c:pt idx="6">
                  <c:v>7</c:v>
                </c:pt>
                <c:pt idx="7">
                  <c:v>1518</c:v>
                </c:pt>
                <c:pt idx="8">
                  <c:v>8</c:v>
                </c:pt>
                <c:pt idx="9">
                  <c:v>6</c:v>
                </c:pt>
              </c:numCache>
            </c:numRef>
          </c:val>
          <c:extLst xmlns:c16r2="http://schemas.microsoft.com/office/drawing/2015/06/chart">
            <c:ext xmlns:c16="http://schemas.microsoft.com/office/drawing/2014/chart" uri="{C3380CC4-5D6E-409C-BE32-E72D297353CC}">
              <c16:uniqueId val="{00000000-0CEE-4AD1-948A-4DFA776AE71F}"/>
            </c:ext>
          </c:extLst>
        </c:ser>
        <c:ser>
          <c:idx val="1"/>
          <c:order val="1"/>
          <c:tx>
            <c:strRef>
              <c:f>Лист1!$C$1</c:f>
              <c:strCache>
                <c:ptCount val="1"/>
                <c:pt idx="0">
                  <c:v>2022</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Лист1!$A$2:$A$11</c:f>
              <c:strCache>
                <c:ptCount val="10"/>
                <c:pt idx="0">
                  <c:v>Дейност по администриране общо (брой)</c:v>
                </c:pt>
                <c:pt idx="1">
                  <c:v>Дейност по администриране  (бр. точки)</c:v>
                </c:pt>
                <c:pt idx="2">
                  <c:v>Произнасяне по дисциплинарни преписки</c:v>
                </c:pt>
                <c:pt idx="3">
                  <c:v>Организиране и провеждане на работни/обучителни съвещания</c:v>
                </c:pt>
                <c:pt idx="4">
                  <c:v>Участие в работни/обучителни съвещания, срещи, празници</c:v>
                </c:pt>
                <c:pt idx="5">
                  <c:v>Заповеди (без такива по кадрови въпроси и за командироване) и указания</c:v>
                </c:pt>
                <c:pt idx="6">
                  <c:v>Становища</c:v>
                </c:pt>
                <c:pt idx="7">
                  <c:v>Справки/ писма до други звена, институции и граждани</c:v>
                </c:pt>
                <c:pt idx="8">
                  <c:v>Изготвени вътрешни организационни актове</c:v>
                </c:pt>
                <c:pt idx="9">
                  <c:v>Контролна дейност на административния ръководител спряво прокурорите в прокуратурата и региона</c:v>
                </c:pt>
              </c:strCache>
            </c:strRef>
          </c:cat>
          <c:val>
            <c:numRef>
              <c:f>Лист1!$C$2:$C$11</c:f>
              <c:numCache>
                <c:formatCode>General</c:formatCode>
                <c:ptCount val="10"/>
                <c:pt idx="0">
                  <c:v>2683</c:v>
                </c:pt>
                <c:pt idx="1">
                  <c:v>1091.0999999999999</c:v>
                </c:pt>
                <c:pt idx="2">
                  <c:v>4</c:v>
                </c:pt>
                <c:pt idx="3">
                  <c:v>10</c:v>
                </c:pt>
                <c:pt idx="4">
                  <c:v>36</c:v>
                </c:pt>
                <c:pt idx="5">
                  <c:v>301</c:v>
                </c:pt>
                <c:pt idx="6">
                  <c:v>11</c:v>
                </c:pt>
                <c:pt idx="7">
                  <c:v>2299</c:v>
                </c:pt>
                <c:pt idx="8">
                  <c:v>6</c:v>
                </c:pt>
                <c:pt idx="9">
                  <c:v>9</c:v>
                </c:pt>
              </c:numCache>
            </c:numRef>
          </c:val>
          <c:extLst xmlns:c16r2="http://schemas.microsoft.com/office/drawing/2015/06/chart">
            <c:ext xmlns:c16="http://schemas.microsoft.com/office/drawing/2014/chart" uri="{C3380CC4-5D6E-409C-BE32-E72D297353CC}">
              <c16:uniqueId val="{00000001-0CEE-4AD1-948A-4DFA776AE71F}"/>
            </c:ext>
          </c:extLst>
        </c:ser>
        <c:ser>
          <c:idx val="2"/>
          <c:order val="2"/>
          <c:tx>
            <c:strRef>
              <c:f>Лист1!$D$1</c:f>
              <c:strCache>
                <c:ptCount val="1"/>
                <c:pt idx="0">
                  <c:v>2023</c:v>
                </c:pt>
              </c:strCache>
            </c:strRef>
          </c:tx>
          <c:invertIfNegative val="0"/>
          <c:cat>
            <c:strRef>
              <c:f>Лист1!$A$2:$A$11</c:f>
              <c:strCache>
                <c:ptCount val="10"/>
                <c:pt idx="0">
                  <c:v>Дейност по администриране общо (брой)</c:v>
                </c:pt>
                <c:pt idx="1">
                  <c:v>Дейност по администриране  (бр. точки)</c:v>
                </c:pt>
                <c:pt idx="2">
                  <c:v>Произнасяне по дисциплинарни преписки</c:v>
                </c:pt>
                <c:pt idx="3">
                  <c:v>Организиране и провеждане на работни/обучителни съвещания</c:v>
                </c:pt>
                <c:pt idx="4">
                  <c:v>Участие в работни/обучителни съвещания, срещи, празници</c:v>
                </c:pt>
                <c:pt idx="5">
                  <c:v>Заповеди (без такива по кадрови въпроси и за командироване) и указания</c:v>
                </c:pt>
                <c:pt idx="6">
                  <c:v>Становища</c:v>
                </c:pt>
                <c:pt idx="7">
                  <c:v>Справки/ писма до други звена, институции и граждани</c:v>
                </c:pt>
                <c:pt idx="8">
                  <c:v>Изготвени вътрешни организационни актове</c:v>
                </c:pt>
                <c:pt idx="9">
                  <c:v>Контролна дейност на административния ръководител спряво прокурорите в прокуратурата и региона</c:v>
                </c:pt>
              </c:strCache>
            </c:strRef>
          </c:cat>
          <c:val>
            <c:numRef>
              <c:f>Лист1!$D$2:$D$11</c:f>
              <c:numCache>
                <c:formatCode>General</c:formatCode>
                <c:ptCount val="10"/>
                <c:pt idx="0">
                  <c:v>6412</c:v>
                </c:pt>
                <c:pt idx="1">
                  <c:v>2440.6</c:v>
                </c:pt>
                <c:pt idx="2">
                  <c:v>3</c:v>
                </c:pt>
                <c:pt idx="3">
                  <c:v>4</c:v>
                </c:pt>
                <c:pt idx="4">
                  <c:v>50</c:v>
                </c:pt>
                <c:pt idx="5">
                  <c:v>448</c:v>
                </c:pt>
                <c:pt idx="7">
                  <c:v>5393</c:v>
                </c:pt>
                <c:pt idx="8">
                  <c:v>10</c:v>
                </c:pt>
                <c:pt idx="9">
                  <c:v>434</c:v>
                </c:pt>
              </c:numCache>
            </c:numRef>
          </c:val>
        </c:ser>
        <c:dLbls>
          <c:showLegendKey val="0"/>
          <c:showVal val="1"/>
          <c:showCatName val="0"/>
          <c:showSerName val="0"/>
          <c:showPercent val="0"/>
          <c:showBubbleSize val="0"/>
        </c:dLbls>
        <c:gapWidth val="95"/>
        <c:shape val="box"/>
        <c:axId val="160909824"/>
        <c:axId val="160742720"/>
        <c:axId val="0"/>
      </c:bar3DChart>
      <c:catAx>
        <c:axId val="160909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bg-BG"/>
          </a:p>
        </c:txPr>
        <c:crossAx val="160742720"/>
        <c:crosses val="autoZero"/>
        <c:auto val="1"/>
        <c:lblAlgn val="ctr"/>
        <c:lblOffset val="100"/>
        <c:noMultiLvlLbl val="0"/>
      </c:catAx>
      <c:valAx>
        <c:axId val="1607427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crossAx val="1609098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b="1"/>
            </a:pPr>
            <a:r>
              <a:rPr lang="bg-BG" sz="1400" b="1"/>
              <a:t>Наблюдавани</a:t>
            </a:r>
            <a:r>
              <a:rPr lang="bg-BG" sz="1400" b="1" baseline="0"/>
              <a:t> ДП в периода 2013 г. - 2023 г.</a:t>
            </a:r>
            <a:endParaRPr lang="bg-BG" sz="1400" b="1"/>
          </a:p>
        </c:rich>
      </c:tx>
      <c:layout>
        <c:manualLayout>
          <c:xMode val="edge"/>
          <c:yMode val="edge"/>
          <c:x val="0.22540647593180205"/>
          <c:y val="0"/>
        </c:manualLayout>
      </c:layout>
      <c:overlay val="1"/>
      <c:spPr>
        <a:ln cmpd="thickThin"/>
      </c:spPr>
    </c:title>
    <c:autoTitleDeleted val="0"/>
    <c:plotArea>
      <c:layout>
        <c:manualLayout>
          <c:layoutTarget val="inner"/>
          <c:xMode val="edge"/>
          <c:yMode val="edge"/>
          <c:x val="9.5198673082531354E-2"/>
          <c:y val="8.693595800524935E-2"/>
          <c:w val="0.86884553740266646"/>
          <c:h val="0.81365249343832025"/>
        </c:manualLayout>
      </c:layout>
      <c:lineChart>
        <c:grouping val="standard"/>
        <c:varyColors val="0"/>
        <c:ser>
          <c:idx val="0"/>
          <c:order val="0"/>
          <c:tx>
            <c:strRef>
              <c:f>Лист1!$B$1</c:f>
              <c:strCache>
                <c:ptCount val="1"/>
                <c:pt idx="0">
                  <c:v>Преписки на производство</c:v>
                </c:pt>
              </c:strCache>
            </c:strRef>
          </c:tx>
          <c:dPt>
            <c:idx val="3"/>
            <c:marker>
              <c:symbol val="diamond"/>
              <c:size val="7"/>
            </c:marker>
            <c:bubble3D val="0"/>
          </c:dPt>
          <c:dLbls>
            <c:dLbl>
              <c:idx val="0"/>
              <c:layout>
                <c:manualLayout>
                  <c:x val="-6.2176848731233546E-2"/>
                  <c:y val="-4.9394948448371563E-2"/>
                </c:manualLayout>
              </c:layout>
              <c:showLegendKey val="0"/>
              <c:showVal val="1"/>
              <c:showCatName val="0"/>
              <c:showSerName val="0"/>
              <c:showPercent val="0"/>
              <c:showBubbleSize val="0"/>
            </c:dLbl>
            <c:dLbl>
              <c:idx val="1"/>
              <c:layout>
                <c:manualLayout>
                  <c:x val="-9.0795436842517563E-2"/>
                  <c:y val="2.3759893708234909E-2"/>
                </c:manualLayout>
              </c:layout>
              <c:showLegendKey val="0"/>
              <c:showVal val="1"/>
              <c:showCatName val="0"/>
              <c:showSerName val="0"/>
              <c:showPercent val="0"/>
              <c:showBubbleSize val="0"/>
            </c:dLbl>
            <c:dLbl>
              <c:idx val="2"/>
              <c:layout>
                <c:manualLayout>
                  <c:x val="-8.1703100365466366E-2"/>
                  <c:y val="6.0574803149606296E-2"/>
                </c:manualLayout>
              </c:layout>
              <c:showLegendKey val="0"/>
              <c:showVal val="1"/>
              <c:showCatName val="0"/>
              <c:showSerName val="0"/>
              <c:showPercent val="0"/>
              <c:showBubbleSize val="0"/>
            </c:dLbl>
            <c:dLbl>
              <c:idx val="3"/>
              <c:layout>
                <c:manualLayout>
                  <c:x val="-7.2898183380723375E-2"/>
                  <c:y val="-2.4079662519974076E-2"/>
                </c:manualLayout>
              </c:layout>
              <c:showLegendKey val="0"/>
              <c:showVal val="1"/>
              <c:showCatName val="0"/>
              <c:showSerName val="0"/>
              <c:showPercent val="0"/>
              <c:showBubbleSize val="0"/>
            </c:dLbl>
            <c:dLbl>
              <c:idx val="4"/>
              <c:layout>
                <c:manualLayout>
                  <c:x val="-4.0251190020895278E-2"/>
                  <c:y val="-6.3117161456628032E-2"/>
                </c:manualLayout>
              </c:layout>
              <c:showLegendKey val="0"/>
              <c:showVal val="1"/>
              <c:showCatName val="0"/>
              <c:showSerName val="0"/>
              <c:showPercent val="0"/>
              <c:showBubbleSize val="0"/>
            </c:dLbl>
            <c:dLbl>
              <c:idx val="5"/>
              <c:layout>
                <c:manualLayout>
                  <c:x val="-5.9008196609197615E-2"/>
                  <c:y val="4.5638506407310188E-2"/>
                </c:manualLayout>
              </c:layout>
              <c:showLegendKey val="0"/>
              <c:showVal val="1"/>
              <c:showCatName val="0"/>
              <c:showSerName val="0"/>
              <c:showPercent val="0"/>
              <c:showBubbleSize val="0"/>
            </c:dLbl>
            <c:dLbl>
              <c:idx val="6"/>
              <c:layout>
                <c:manualLayout>
                  <c:x val="-5.6467839282297982E-2"/>
                  <c:y val="-5.3170056420070305E-2"/>
                </c:manualLayout>
              </c:layout>
              <c:showLegendKey val="0"/>
              <c:showVal val="1"/>
              <c:showCatName val="0"/>
              <c:showSerName val="0"/>
              <c:showPercent val="0"/>
              <c:showBubbleSize val="0"/>
            </c:dLbl>
            <c:dLbl>
              <c:idx val="7"/>
              <c:layout>
                <c:manualLayout>
                  <c:x val="-3.7848220779631458E-2"/>
                  <c:y val="5.7704199475065616E-2"/>
                </c:manualLayout>
              </c:layout>
              <c:showLegendKey val="0"/>
              <c:showVal val="1"/>
              <c:showCatName val="0"/>
              <c:showSerName val="0"/>
              <c:showPercent val="0"/>
              <c:showBubbleSize val="0"/>
            </c:dLbl>
            <c:dLbl>
              <c:idx val="8"/>
              <c:layout>
                <c:manualLayout>
                  <c:x val="7.5086290614658976E-4"/>
                  <c:y val="4.4369835121692687E-5"/>
                </c:manualLayout>
              </c:layout>
              <c:showLegendKey val="0"/>
              <c:showVal val="1"/>
              <c:showCatName val="0"/>
              <c:showSerName val="0"/>
              <c:showPercent val="0"/>
              <c:showBubbleSize val="0"/>
            </c:dLbl>
            <c:dLbl>
              <c:idx val="9"/>
              <c:layout>
                <c:manualLayout>
                  <c:x val="-8.8820846810644519E-2"/>
                  <c:y val="-2.9161079637428085E-2"/>
                </c:manualLayout>
              </c:layout>
              <c:showLegendKey val="0"/>
              <c:showVal val="1"/>
              <c:showCatName val="0"/>
              <c:showSerName val="0"/>
              <c:showPercent val="0"/>
              <c:showBubbleSize val="0"/>
            </c:dLbl>
            <c:dLbl>
              <c:idx val="10"/>
              <c:layout>
                <c:manualLayout>
                  <c:x val="-1.9568265375236944E-3"/>
                  <c:y val="2.307017227123985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2013 г.</c:v>
                </c:pt>
                <c:pt idx="1">
                  <c:v>2014 г.</c:v>
                </c:pt>
                <c:pt idx="2">
                  <c:v>2015 г.</c:v>
                </c:pt>
                <c:pt idx="3">
                  <c:v>2016 г.</c:v>
                </c:pt>
                <c:pt idx="4">
                  <c:v>2017 г.</c:v>
                </c:pt>
                <c:pt idx="5">
                  <c:v>2018 г.</c:v>
                </c:pt>
                <c:pt idx="6">
                  <c:v>2019 г.</c:v>
                </c:pt>
                <c:pt idx="7">
                  <c:v>2020 г.</c:v>
                </c:pt>
                <c:pt idx="8">
                  <c:v>2021 г.</c:v>
                </c:pt>
                <c:pt idx="9">
                  <c:v>2022 г.</c:v>
                </c:pt>
                <c:pt idx="10">
                  <c:v>2023 г.</c:v>
                </c:pt>
              </c:strCache>
            </c:strRef>
          </c:cat>
          <c:val>
            <c:numRef>
              <c:f>Лист1!$B$2:$B$12</c:f>
              <c:numCache>
                <c:formatCode>General</c:formatCode>
                <c:ptCount val="11"/>
                <c:pt idx="0">
                  <c:v>21430</c:v>
                </c:pt>
                <c:pt idx="1">
                  <c:v>17355</c:v>
                </c:pt>
                <c:pt idx="2">
                  <c:v>14994</c:v>
                </c:pt>
                <c:pt idx="3">
                  <c:v>17002</c:v>
                </c:pt>
                <c:pt idx="4">
                  <c:v>19583</c:v>
                </c:pt>
                <c:pt idx="5">
                  <c:v>15686</c:v>
                </c:pt>
                <c:pt idx="6">
                  <c:v>16167</c:v>
                </c:pt>
                <c:pt idx="7">
                  <c:v>16953</c:v>
                </c:pt>
                <c:pt idx="8">
                  <c:v>15286</c:v>
                </c:pt>
                <c:pt idx="9">
                  <c:v>21583</c:v>
                </c:pt>
                <c:pt idx="10">
                  <c:v>22736</c:v>
                </c:pt>
              </c:numCache>
            </c:numRef>
          </c:val>
          <c:smooth val="0"/>
        </c:ser>
        <c:dLbls>
          <c:showLegendKey val="0"/>
          <c:showVal val="0"/>
          <c:showCatName val="0"/>
          <c:showSerName val="0"/>
          <c:showPercent val="0"/>
          <c:showBubbleSize val="0"/>
        </c:dLbls>
        <c:marker val="1"/>
        <c:smooth val="0"/>
        <c:axId val="341417984"/>
        <c:axId val="251761728"/>
      </c:lineChart>
      <c:catAx>
        <c:axId val="341417984"/>
        <c:scaling>
          <c:orientation val="minMax"/>
        </c:scaling>
        <c:delete val="0"/>
        <c:axPos val="b"/>
        <c:majorTickMark val="out"/>
        <c:minorTickMark val="none"/>
        <c:tickLblPos val="nextTo"/>
        <c:crossAx val="251761728"/>
        <c:crosses val="autoZero"/>
        <c:auto val="1"/>
        <c:lblAlgn val="ctr"/>
        <c:lblOffset val="100"/>
        <c:noMultiLvlLbl val="0"/>
      </c:catAx>
      <c:valAx>
        <c:axId val="251761728"/>
        <c:scaling>
          <c:orientation val="minMax"/>
        </c:scaling>
        <c:delete val="0"/>
        <c:axPos val="l"/>
        <c:majorGridlines/>
        <c:numFmt formatCode="General" sourceLinked="1"/>
        <c:majorTickMark val="out"/>
        <c:minorTickMark val="none"/>
        <c:tickLblPos val="nextTo"/>
        <c:crossAx val="341417984"/>
        <c:crosses val="autoZero"/>
        <c:crossBetween val="between"/>
      </c:valAx>
      <c:spPr>
        <a:noFill/>
        <a:ln w="25400">
          <a:noFill/>
        </a:ln>
      </c:spPr>
    </c:plotArea>
    <c:plotVisOnly val="1"/>
    <c:dispBlanksAs val="zero"/>
    <c:showDLblsOverMax val="0"/>
  </c:chart>
  <c:spPr>
    <a:noFill/>
    <a:ln cmpd="thickThi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a:effectLst>
      <a:glow rad="139700">
        <a:schemeClr val="accent3">
          <a:lumMod val="40000"/>
          <a:lumOff val="60000"/>
          <a:alpha val="40000"/>
        </a:schemeClr>
      </a:glow>
      <a:innerShdw blurRad="558800" dist="1130300" dir="18900000">
        <a:schemeClr val="tx2">
          <a:lumMod val="60000"/>
          <a:lumOff val="40000"/>
          <a:alpha val="26000"/>
        </a:schemeClr>
      </a:innerShdw>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b="1"/>
            </a:pPr>
            <a:r>
              <a:rPr lang="bg-BG" sz="1400" b="1"/>
              <a:t>Новообразувани</a:t>
            </a:r>
            <a:r>
              <a:rPr lang="bg-BG" sz="1400" b="1" baseline="0"/>
              <a:t> ДП в периода 2013 г. - 2023 г.</a:t>
            </a:r>
            <a:endParaRPr lang="bg-BG" sz="1400" b="1"/>
          </a:p>
        </c:rich>
      </c:tx>
      <c:layout>
        <c:manualLayout>
          <c:xMode val="edge"/>
          <c:yMode val="edge"/>
          <c:x val="0.19791505443262894"/>
          <c:y val="1.7601760176017601E-2"/>
        </c:manualLayout>
      </c:layout>
      <c:overlay val="1"/>
      <c:spPr>
        <a:ln cmpd="thickThin"/>
      </c:spPr>
    </c:title>
    <c:autoTitleDeleted val="0"/>
    <c:plotArea>
      <c:layout>
        <c:manualLayout>
          <c:layoutTarget val="inner"/>
          <c:xMode val="edge"/>
          <c:yMode val="edge"/>
          <c:x val="8.9959073699858311E-2"/>
          <c:y val="2.7297929611833669E-2"/>
          <c:w val="0.9029510603209997"/>
          <c:h val="0.86246372668762938"/>
        </c:manualLayout>
      </c:layout>
      <c:lineChart>
        <c:grouping val="standard"/>
        <c:varyColors val="0"/>
        <c:ser>
          <c:idx val="0"/>
          <c:order val="0"/>
          <c:tx>
            <c:strRef>
              <c:f>Лист1!$B$1</c:f>
              <c:strCache>
                <c:ptCount val="1"/>
                <c:pt idx="0">
                  <c:v>Преписки на производство</c:v>
                </c:pt>
              </c:strCache>
            </c:strRef>
          </c:tx>
          <c:dPt>
            <c:idx val="3"/>
            <c:marker>
              <c:symbol val="diamond"/>
              <c:size val="7"/>
            </c:marker>
            <c:bubble3D val="0"/>
          </c:dPt>
          <c:dLbls>
            <c:dLbl>
              <c:idx val="0"/>
              <c:layout>
                <c:manualLayout>
                  <c:x val="-6.6378935444014561E-2"/>
                  <c:y val="-4.0755313940955329E-2"/>
                </c:manualLayout>
              </c:layout>
              <c:showLegendKey val="0"/>
              <c:showVal val="1"/>
              <c:showCatName val="0"/>
              <c:showSerName val="0"/>
              <c:showPercent val="0"/>
              <c:showBubbleSize val="0"/>
            </c:dLbl>
            <c:dLbl>
              <c:idx val="1"/>
              <c:layout>
                <c:manualLayout>
                  <c:x val="-3.4396302871779583E-2"/>
                  <c:y val="-3.4532808398950128E-2"/>
                </c:manualLayout>
              </c:layout>
              <c:showLegendKey val="0"/>
              <c:showVal val="1"/>
              <c:showCatName val="0"/>
              <c:showSerName val="0"/>
              <c:showPercent val="0"/>
              <c:showBubbleSize val="0"/>
            </c:dLbl>
            <c:dLbl>
              <c:idx val="2"/>
              <c:layout>
                <c:manualLayout>
                  <c:x val="-8.1703100365466366E-2"/>
                  <c:y val="6.0574803149606296E-2"/>
                </c:manualLayout>
              </c:layout>
              <c:showLegendKey val="0"/>
              <c:showVal val="1"/>
              <c:showCatName val="0"/>
              <c:showSerName val="0"/>
              <c:showPercent val="0"/>
              <c:showBubbleSize val="0"/>
            </c:dLbl>
            <c:dLbl>
              <c:idx val="3"/>
              <c:layout>
                <c:manualLayout>
                  <c:x val="-4.0694901926107502E-2"/>
                  <c:y val="-5.4013012403670693E-2"/>
                </c:manualLayout>
              </c:layout>
              <c:showLegendKey val="0"/>
              <c:showVal val="1"/>
              <c:showCatName val="0"/>
              <c:showSerName val="0"/>
              <c:showPercent val="0"/>
              <c:showBubbleSize val="0"/>
            </c:dLbl>
            <c:dLbl>
              <c:idx val="4"/>
              <c:layout>
                <c:manualLayout>
                  <c:x val="-3.8598314370355893E-2"/>
                  <c:y val="7.0715578263416817E-2"/>
                </c:manualLayout>
              </c:layout>
              <c:showLegendKey val="0"/>
              <c:showVal val="1"/>
              <c:showCatName val="0"/>
              <c:showSerName val="0"/>
              <c:showPercent val="0"/>
              <c:showBubbleSize val="0"/>
            </c:dLbl>
            <c:dLbl>
              <c:idx val="5"/>
              <c:layout>
                <c:manualLayout>
                  <c:x val="-4.0960422115910208E-2"/>
                  <c:y val="-6.3174803149606329E-2"/>
                </c:manualLayout>
              </c:layout>
              <c:showLegendKey val="0"/>
              <c:showVal val="1"/>
              <c:showCatName val="0"/>
              <c:showSerName val="0"/>
              <c:showPercent val="0"/>
              <c:showBubbleSize val="0"/>
            </c:dLbl>
            <c:dLbl>
              <c:idx val="6"/>
              <c:layout>
                <c:manualLayout>
                  <c:x val="-5.009647906672688E-2"/>
                  <c:y val="6.3126684019771867E-2"/>
                </c:manualLayout>
              </c:layout>
              <c:showLegendKey val="0"/>
              <c:showVal val="1"/>
              <c:showCatName val="0"/>
              <c:showSerName val="0"/>
              <c:showPercent val="0"/>
              <c:showBubbleSize val="0"/>
            </c:dLbl>
            <c:dLbl>
              <c:idx val="7"/>
              <c:layout>
                <c:manualLayout>
                  <c:x val="-4.020744439055083E-2"/>
                  <c:y val="-6.1097805062011387E-2"/>
                </c:manualLayout>
              </c:layout>
              <c:showLegendKey val="0"/>
              <c:showVal val="1"/>
              <c:showCatName val="0"/>
              <c:showSerName val="0"/>
              <c:showPercent val="0"/>
              <c:showBubbleSize val="0"/>
            </c:dLbl>
            <c:dLbl>
              <c:idx val="8"/>
              <c:layout>
                <c:manualLayout>
                  <c:x val="-4.478144570170757E-2"/>
                  <c:y val="5.952556245437534E-2"/>
                </c:manualLayout>
              </c:layout>
              <c:showLegendKey val="0"/>
              <c:showVal val="1"/>
              <c:showCatName val="0"/>
              <c:showSerName val="0"/>
              <c:showPercent val="0"/>
              <c:showBubbleSize val="0"/>
            </c:dLbl>
            <c:dLbl>
              <c:idx val="9"/>
              <c:layout>
                <c:manualLayout>
                  <c:x val="-5.3448306930312335E-2"/>
                  <c:y val="-4.3838475458221414E-2"/>
                </c:manualLayout>
              </c:layout>
              <c:showLegendKey val="0"/>
              <c:showVal val="1"/>
              <c:showCatName val="0"/>
              <c:showSerName val="0"/>
              <c:showPercent val="0"/>
              <c:showBubbleSize val="0"/>
            </c:dLbl>
            <c:dLbl>
              <c:idx val="10"/>
              <c:layout>
                <c:manualLayout>
                  <c:x val="-8.2081978691195094E-3"/>
                  <c:y val="4.940645936023099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2013 г.</c:v>
                </c:pt>
                <c:pt idx="1">
                  <c:v>2014 г.</c:v>
                </c:pt>
                <c:pt idx="2">
                  <c:v>2015 г.</c:v>
                </c:pt>
                <c:pt idx="3">
                  <c:v>2016 г.</c:v>
                </c:pt>
                <c:pt idx="4">
                  <c:v>2017 г.</c:v>
                </c:pt>
                <c:pt idx="5">
                  <c:v>2018 г.</c:v>
                </c:pt>
                <c:pt idx="6">
                  <c:v>2019 г.</c:v>
                </c:pt>
                <c:pt idx="7">
                  <c:v>2020 г.</c:v>
                </c:pt>
                <c:pt idx="8">
                  <c:v>2021 г.</c:v>
                </c:pt>
                <c:pt idx="9">
                  <c:v>2022 г.</c:v>
                </c:pt>
                <c:pt idx="10">
                  <c:v>2023 г.</c:v>
                </c:pt>
              </c:strCache>
            </c:strRef>
          </c:cat>
          <c:val>
            <c:numRef>
              <c:f>Лист1!$B$2:$B$12</c:f>
              <c:numCache>
                <c:formatCode>General</c:formatCode>
                <c:ptCount val="11"/>
                <c:pt idx="0">
                  <c:v>10144</c:v>
                </c:pt>
                <c:pt idx="1">
                  <c:v>9178</c:v>
                </c:pt>
                <c:pt idx="2">
                  <c:v>8704</c:v>
                </c:pt>
                <c:pt idx="3">
                  <c:v>8272</c:v>
                </c:pt>
                <c:pt idx="4">
                  <c:v>8337</c:v>
                </c:pt>
                <c:pt idx="5">
                  <c:v>7859</c:v>
                </c:pt>
                <c:pt idx="6">
                  <c:v>8036</c:v>
                </c:pt>
                <c:pt idx="7">
                  <c:v>7665</c:v>
                </c:pt>
                <c:pt idx="8">
                  <c:v>7234</c:v>
                </c:pt>
                <c:pt idx="9">
                  <c:v>7884</c:v>
                </c:pt>
                <c:pt idx="10">
                  <c:v>7702</c:v>
                </c:pt>
              </c:numCache>
            </c:numRef>
          </c:val>
          <c:smooth val="0"/>
        </c:ser>
        <c:dLbls>
          <c:showLegendKey val="0"/>
          <c:showVal val="0"/>
          <c:showCatName val="0"/>
          <c:showSerName val="0"/>
          <c:showPercent val="0"/>
          <c:showBubbleSize val="0"/>
        </c:dLbls>
        <c:marker val="1"/>
        <c:smooth val="0"/>
        <c:axId val="46886912"/>
        <c:axId val="251760000"/>
      </c:lineChart>
      <c:catAx>
        <c:axId val="46886912"/>
        <c:scaling>
          <c:orientation val="minMax"/>
        </c:scaling>
        <c:delete val="0"/>
        <c:axPos val="b"/>
        <c:majorTickMark val="out"/>
        <c:minorTickMark val="none"/>
        <c:tickLblPos val="nextTo"/>
        <c:crossAx val="251760000"/>
        <c:crosses val="autoZero"/>
        <c:auto val="1"/>
        <c:lblAlgn val="ctr"/>
        <c:lblOffset val="100"/>
        <c:noMultiLvlLbl val="0"/>
      </c:catAx>
      <c:valAx>
        <c:axId val="251760000"/>
        <c:scaling>
          <c:orientation val="minMax"/>
        </c:scaling>
        <c:delete val="0"/>
        <c:axPos val="l"/>
        <c:majorGridlines/>
        <c:numFmt formatCode="General" sourceLinked="1"/>
        <c:majorTickMark val="out"/>
        <c:minorTickMark val="none"/>
        <c:tickLblPos val="nextTo"/>
        <c:crossAx val="46886912"/>
        <c:crosses val="autoZero"/>
        <c:crossBetween val="between"/>
      </c:valAx>
      <c:spPr>
        <a:noFill/>
        <a:ln w="25400">
          <a:noFill/>
        </a:ln>
      </c:spPr>
    </c:plotArea>
    <c:plotVisOnly val="1"/>
    <c:dispBlanksAs val="zero"/>
    <c:showDLblsOverMax val="0"/>
  </c:chart>
  <c:spPr>
    <a:noFill/>
    <a:ln cmpd="thickThi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a:effectLst>
      <a:glow rad="139700">
        <a:schemeClr val="accent3">
          <a:lumMod val="40000"/>
          <a:lumOff val="60000"/>
          <a:alpha val="40000"/>
        </a:schemeClr>
      </a:glow>
      <a:innerShdw blurRad="558800" dist="1130300" dir="18900000">
        <a:schemeClr val="tx2">
          <a:lumMod val="60000"/>
          <a:lumOff val="40000"/>
          <a:alpha val="26000"/>
        </a:schemeClr>
      </a:innerShdw>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80"/>
      <c:depthPercent val="100"/>
      <c:rAngAx val="1"/>
    </c:view3D>
    <c:floor>
      <c:thickness val="0"/>
    </c:floor>
    <c:sideWall>
      <c:thickness val="0"/>
      <c:spPr>
        <a:scene3d>
          <a:camera prst="orthographicFront"/>
          <a:lightRig rig="threePt" dir="t"/>
        </a:scene3d>
        <a:sp3d/>
      </c:spPr>
    </c:sideWall>
    <c:backWall>
      <c:thickness val="0"/>
    </c:backWall>
    <c:plotArea>
      <c:layout>
        <c:manualLayout>
          <c:layoutTarget val="inner"/>
          <c:xMode val="edge"/>
          <c:yMode val="edge"/>
          <c:x val="0.12131603267901371"/>
          <c:y val="0.10801659469985607"/>
          <c:w val="0.80569371536891243"/>
          <c:h val="0.75386232970878642"/>
        </c:manualLayout>
      </c:layout>
      <c:bar3DChart>
        <c:barDir val="bar"/>
        <c:grouping val="clustered"/>
        <c:varyColors val="0"/>
        <c:ser>
          <c:idx val="0"/>
          <c:order val="0"/>
          <c:tx>
            <c:strRef>
              <c:f>Лист1!$B$1</c:f>
              <c:strCache>
                <c:ptCount val="1"/>
                <c:pt idx="0">
                  <c:v>Новообразувани БП</c:v>
                </c:pt>
              </c:strCache>
            </c:strRef>
          </c:tx>
          <c:spPr>
            <a:solidFill>
              <a:schemeClr val="accent2"/>
            </a:solidFill>
            <a:ln>
              <a:solidFill>
                <a:schemeClr val="tx2">
                  <a:lumMod val="60000"/>
                  <a:lumOff val="40000"/>
                </a:schemeClr>
              </a:solidFill>
            </a:ln>
          </c:spPr>
          <c:invertIfNegative val="0"/>
          <c:dPt>
            <c:idx val="0"/>
            <c:invertIfNegative val="0"/>
            <c:bubble3D val="0"/>
            <c:spPr>
              <a:solidFill>
                <a:srgbClr val="FFC000"/>
              </a:solidFill>
              <a:ln>
                <a:solidFill>
                  <a:schemeClr val="tx2">
                    <a:lumMod val="60000"/>
                    <a:lumOff val="40000"/>
                  </a:schemeClr>
                </a:solidFill>
              </a:ln>
            </c:spPr>
          </c:dPt>
          <c:dPt>
            <c:idx val="1"/>
            <c:invertIfNegative val="0"/>
            <c:bubble3D val="0"/>
            <c:spPr>
              <a:solidFill>
                <a:schemeClr val="accent1">
                  <a:lumMod val="75000"/>
                </a:schemeClr>
              </a:solidFill>
              <a:ln>
                <a:solidFill>
                  <a:schemeClr val="tx2">
                    <a:lumMod val="60000"/>
                    <a:lumOff val="40000"/>
                  </a:schemeClr>
                </a:solidFill>
              </a:ln>
              <a:effectLst>
                <a:innerShdw blurRad="114300">
                  <a:prstClr val="black"/>
                </a:innerShdw>
              </a:effectLst>
            </c:spPr>
          </c:dPt>
          <c:dPt>
            <c:idx val="2"/>
            <c:invertIfNegative val="0"/>
            <c:bubble3D val="0"/>
            <c:spPr>
              <a:solidFill>
                <a:schemeClr val="accent3">
                  <a:lumMod val="75000"/>
                </a:schemeClr>
              </a:solidFill>
              <a:ln>
                <a:solidFill>
                  <a:schemeClr val="tx2">
                    <a:lumMod val="60000"/>
                    <a:lumOff val="40000"/>
                  </a:schemeClr>
                </a:solidFill>
              </a:ln>
            </c:spPr>
          </c:dPt>
          <c:dLbls>
            <c:dLbl>
              <c:idx val="0"/>
              <c:layout>
                <c:manualLayout>
                  <c:x val="4.9398631396747605E-2"/>
                  <c:y val="-2.1939864041944795E-2"/>
                </c:manualLayout>
              </c:layout>
              <c:showLegendKey val="0"/>
              <c:showVal val="1"/>
              <c:showCatName val="0"/>
              <c:showSerName val="0"/>
              <c:showPercent val="0"/>
              <c:showBubbleSize val="0"/>
              <c:separator>; </c:separator>
            </c:dLbl>
            <c:dLbl>
              <c:idx val="1"/>
              <c:layout>
                <c:manualLayout>
                  <c:x val="4.9398631396747522E-2"/>
                  <c:y val="-2.1939864041944875E-2"/>
                </c:manualLayout>
              </c:layout>
              <c:showLegendKey val="0"/>
              <c:showVal val="1"/>
              <c:showCatName val="0"/>
              <c:showSerName val="0"/>
              <c:showPercent val="0"/>
              <c:showBubbleSize val="0"/>
              <c:separator>; </c:separator>
            </c:dLbl>
            <c:dLbl>
              <c:idx val="2"/>
              <c:layout>
                <c:manualLayout>
                  <c:x val="5.1750947177545199E-2"/>
                  <c:y val="-1.75518912335559E-2"/>
                </c:manualLayout>
              </c:layout>
              <c:showLegendKey val="0"/>
              <c:showVal val="1"/>
              <c:showCatName val="0"/>
              <c:showSerName val="0"/>
              <c:showPercent val="0"/>
              <c:showBubbleSize val="0"/>
              <c:separator>; </c:separator>
            </c:dLbl>
            <c:numFmt formatCode="General" sourceLinked="0"/>
            <c:spPr>
              <a:gradFill>
                <a:gsLst>
                  <a:gs pos="25000">
                    <a:srgbClr val="AEC3E9"/>
                  </a:gs>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howLegendKey val="0"/>
            <c:showVal val="1"/>
            <c:showCatName val="0"/>
            <c:showSerName val="0"/>
            <c:showPercent val="0"/>
            <c:showBubbleSize val="0"/>
            <c:separator>; </c:separator>
            <c:showLeaderLines val="0"/>
          </c:dLbls>
          <c:cat>
            <c:strRef>
              <c:f>Лист1!$A$2:$A$4</c:f>
              <c:strCache>
                <c:ptCount val="3"/>
                <c:pt idx="0">
                  <c:v>2021 г.</c:v>
                </c:pt>
                <c:pt idx="1">
                  <c:v>2022 г.</c:v>
                </c:pt>
                <c:pt idx="2">
                  <c:v>2023 г.</c:v>
                </c:pt>
              </c:strCache>
            </c:strRef>
          </c:cat>
          <c:val>
            <c:numRef>
              <c:f>Лист1!$B$2:$B$4</c:f>
              <c:numCache>
                <c:formatCode>General</c:formatCode>
                <c:ptCount val="3"/>
                <c:pt idx="0">
                  <c:v>747</c:v>
                </c:pt>
                <c:pt idx="1">
                  <c:v>994</c:v>
                </c:pt>
                <c:pt idx="2">
                  <c:v>833</c:v>
                </c:pt>
              </c:numCache>
            </c:numRef>
          </c:val>
        </c:ser>
        <c:dLbls>
          <c:showLegendKey val="0"/>
          <c:showVal val="0"/>
          <c:showCatName val="0"/>
          <c:showSerName val="0"/>
          <c:showPercent val="0"/>
          <c:showBubbleSize val="0"/>
        </c:dLbls>
        <c:gapWidth val="150"/>
        <c:shape val="cylinder"/>
        <c:axId val="46889984"/>
        <c:axId val="251763456"/>
        <c:axId val="0"/>
      </c:bar3DChart>
      <c:catAx>
        <c:axId val="46889984"/>
        <c:scaling>
          <c:orientation val="minMax"/>
        </c:scaling>
        <c:delete val="0"/>
        <c:axPos val="l"/>
        <c:majorTickMark val="out"/>
        <c:minorTickMark val="none"/>
        <c:tickLblPos val="nextTo"/>
        <c:crossAx val="251763456"/>
        <c:crosses val="autoZero"/>
        <c:auto val="1"/>
        <c:lblAlgn val="ctr"/>
        <c:lblOffset val="100"/>
        <c:noMultiLvlLbl val="0"/>
      </c:catAx>
      <c:valAx>
        <c:axId val="251763456"/>
        <c:scaling>
          <c:orientation val="minMax"/>
        </c:scaling>
        <c:delete val="0"/>
        <c:axPos val="b"/>
        <c:majorGridlines/>
        <c:numFmt formatCode="General" sourceLinked="1"/>
        <c:majorTickMark val="out"/>
        <c:minorTickMark val="none"/>
        <c:tickLblPos val="nextTo"/>
        <c:crossAx val="46889984"/>
        <c:crosses val="autoZero"/>
        <c:crossBetween val="between"/>
      </c:valAx>
    </c:plotArea>
    <c:plotVisOnly val="1"/>
    <c:dispBlanksAs val="gap"/>
    <c:showDLblsOverMax val="0"/>
  </c:chart>
  <c:spPr>
    <a:noFill/>
    <a:ln>
      <a:noFill/>
    </a:ln>
    <a:effectLst>
      <a:glow rad="241300">
        <a:schemeClr val="accent5">
          <a:lumMod val="75000"/>
          <a:alpha val="40000"/>
        </a:schemeClr>
      </a:glow>
      <a:outerShdw blurRad="50800" dist="50800" dir="5400000" algn="ctr" rotWithShape="0">
        <a:schemeClr val="bg2">
          <a:lumMod val="50000"/>
        </a:schemeClr>
      </a:outerShdw>
    </a:effectLst>
    <a:scene3d>
      <a:camera prst="orthographicFront"/>
      <a:lightRig rig="threePt" dir="t"/>
    </a:scene3d>
    <a:sp3d>
      <a:bevelB w="165100" prst="coolSlant"/>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318564126754252"/>
          <c:y val="0"/>
        </c:manualLayout>
      </c:layout>
      <c:overlay val="0"/>
    </c:title>
    <c:autoTitleDeleted val="0"/>
    <c:view3D>
      <c:rotX val="50"/>
      <c:rotY val="70"/>
      <c:depthPercent val="120"/>
      <c:rAngAx val="1"/>
    </c:view3D>
    <c:floor>
      <c:thickness val="0"/>
    </c:floor>
    <c:sideWall>
      <c:thickness val="0"/>
    </c:sideWall>
    <c:backWall>
      <c:thickness val="0"/>
    </c:backWall>
    <c:plotArea>
      <c:layout>
        <c:manualLayout>
          <c:layoutTarget val="inner"/>
          <c:xMode val="edge"/>
          <c:yMode val="edge"/>
          <c:x val="0"/>
          <c:y val="1.3272886343752466E-3"/>
          <c:w val="1"/>
          <c:h val="0.99867287513568459"/>
        </c:manualLayout>
      </c:layout>
      <c:pie3DChart>
        <c:varyColors val="1"/>
        <c:ser>
          <c:idx val="0"/>
          <c:order val="0"/>
          <c:tx>
            <c:strRef>
              <c:f>Лист1!$B$1</c:f>
              <c:strCache>
                <c:ptCount val="1"/>
                <c:pt idx="0">
                  <c:v>Наблюдавани ДП</c:v>
                </c:pt>
              </c:strCache>
            </c:strRef>
          </c:tx>
          <c:explosion val="25"/>
          <c:dPt>
            <c:idx val="0"/>
            <c:bubble3D val="0"/>
            <c:spPr>
              <a:solidFill>
                <a:srgbClr val="ACA927"/>
              </a:solidFill>
            </c:spPr>
          </c:dPt>
          <c:dPt>
            <c:idx val="1"/>
            <c:bubble3D val="0"/>
            <c:spPr>
              <a:blipFill>
                <a:blip xmlns:r="http://schemas.openxmlformats.org/officeDocument/2006/relationships" r:embed="rId1"/>
                <a:tile tx="0" ty="0" sx="100000" sy="100000" flip="none" algn="tl"/>
              </a:blipFill>
            </c:spPr>
          </c:dPt>
          <c:dLbls>
            <c:dLbl>
              <c:idx val="0"/>
              <c:tx>
                <c:rich>
                  <a:bodyPr/>
                  <a:lstStyle/>
                  <a:p>
                    <a:r>
                      <a:rPr lang="bg-BG" sz="1400" b="1"/>
                      <a:t>13148</a:t>
                    </a:r>
                    <a:endParaRPr lang="en-US" sz="1400" b="1"/>
                  </a:p>
                </c:rich>
              </c:tx>
              <c:showLegendKey val="0"/>
              <c:showVal val="1"/>
              <c:showCatName val="0"/>
              <c:showSerName val="0"/>
              <c:showPercent val="1"/>
              <c:showBubbleSize val="0"/>
            </c:dLbl>
            <c:dLbl>
              <c:idx val="1"/>
              <c:layout>
                <c:manualLayout>
                  <c:x val="-6.3582528112946693E-2"/>
                  <c:y val="4.6286018988633694E-2"/>
                </c:manualLayout>
              </c:layout>
              <c:tx>
                <c:rich>
                  <a:bodyPr/>
                  <a:lstStyle/>
                  <a:p>
                    <a:r>
                      <a:rPr lang="bg-BG" sz="1200" b="1"/>
                      <a:t>833</a:t>
                    </a:r>
                    <a:endParaRPr lang="en-US" sz="1200" b="1"/>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Лист1!$A$2:$A$3</c:f>
              <c:strCache>
                <c:ptCount val="2"/>
                <c:pt idx="0">
                  <c:v>ДПОР</c:v>
                </c:pt>
                <c:pt idx="1">
                  <c:v>БП</c:v>
                </c:pt>
              </c:strCache>
            </c:strRef>
          </c:cat>
          <c:val>
            <c:numRef>
              <c:f>Лист1!$B$2:$B$3</c:f>
              <c:numCache>
                <c:formatCode>General</c:formatCode>
                <c:ptCount val="2"/>
                <c:pt idx="0">
                  <c:v>13148</c:v>
                </c:pt>
                <c:pt idx="1">
                  <c:v>838</c:v>
                </c:pt>
              </c:numCache>
            </c:numRef>
          </c:val>
        </c:ser>
        <c:dLbls>
          <c:showLegendKey val="0"/>
          <c:showVal val="0"/>
          <c:showCatName val="0"/>
          <c:showSerName val="0"/>
          <c:showPercent val="0"/>
          <c:showBubbleSize val="0"/>
          <c:showLeaderLines val="1"/>
        </c:dLbls>
      </c:pie3DChart>
      <c:spPr>
        <a:pattFill prst="pct20">
          <a:fgClr>
            <a:sysClr val="window" lastClr="FFFFFF">
              <a:lumMod val="85000"/>
            </a:sysClr>
          </a:fgClr>
          <a:bgClr>
            <a:schemeClr val="bg1"/>
          </a:bgClr>
        </a:pattFill>
      </c:spPr>
    </c:plotArea>
    <c:legend>
      <c:legendPos val="l"/>
      <c:layout>
        <c:manualLayout>
          <c:xMode val="edge"/>
          <c:yMode val="edge"/>
          <c:x val="1.4113892070585761E-2"/>
          <c:y val="0.34651180922507674"/>
          <c:w val="0.14997658797955746"/>
          <c:h val="0.39636980389591003"/>
        </c:manualLayout>
      </c:layout>
      <c:overlay val="0"/>
      <c:spPr>
        <a:noFill/>
        <a:ln>
          <a:noFill/>
        </a:ln>
        <a:effectLst>
          <a:innerShdw blurRad="114300">
            <a:schemeClr val="accent2">
              <a:lumMod val="75000"/>
            </a:schemeClr>
          </a:innerShdw>
        </a:effectLst>
      </c:spPr>
      <c:txPr>
        <a:bodyPr/>
        <a:lstStyle/>
        <a:p>
          <a:pPr>
            <a:defRPr sz="1600" b="1"/>
          </a:pPr>
          <a:endParaRPr lang="bg-BG"/>
        </a:p>
      </c:txPr>
    </c:legend>
    <c:plotVisOnly val="1"/>
    <c:dispBlanksAs val="gap"/>
    <c:showDLblsOverMax val="0"/>
  </c:chart>
  <c:spPr>
    <a:noFill/>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00"/>
            </a:pPr>
            <a:r>
              <a:rPr lang="bg-BG" sz="1500"/>
              <a:t>Брой дела, разпределени по разследващи органи</a:t>
            </a:r>
          </a:p>
        </c:rich>
      </c:tx>
      <c:overlay val="0"/>
    </c:title>
    <c:autoTitleDeleted val="0"/>
    <c:view3D>
      <c:rotX val="20"/>
      <c:rotY val="40"/>
      <c:depthPercent val="100"/>
      <c:rAngAx val="1"/>
    </c:view3D>
    <c:floor>
      <c:thickness val="0"/>
    </c:floor>
    <c:sideWall>
      <c:thickness val="0"/>
    </c:sideWall>
    <c:backWall>
      <c:thickness val="0"/>
    </c:backWall>
    <c:plotArea>
      <c:layout>
        <c:manualLayout>
          <c:layoutTarget val="inner"/>
          <c:xMode val="edge"/>
          <c:yMode val="edge"/>
          <c:x val="0.12808416714408161"/>
          <c:y val="8.1349781277340327E-2"/>
          <c:w val="0.83418161030490179"/>
          <c:h val="0.78916320763418946"/>
        </c:manualLayout>
      </c:layout>
      <c:bar3DChart>
        <c:barDir val="col"/>
        <c:grouping val="standard"/>
        <c:varyColors val="0"/>
        <c:ser>
          <c:idx val="0"/>
          <c:order val="0"/>
          <c:tx>
            <c:strRef>
              <c:f>Лист1!$B$1</c:f>
              <c:strCache>
                <c:ptCount val="1"/>
                <c:pt idx="0">
                  <c:v>Брой дела, разпределени по разследващи органи</c:v>
                </c:pt>
              </c:strCache>
            </c:strRef>
          </c:tx>
          <c:spPr>
            <a:solidFill>
              <a:schemeClr val="accent5">
                <a:lumMod val="75000"/>
              </a:schemeClr>
            </a:solidFill>
            <a:ln>
              <a:solidFill>
                <a:schemeClr val="tx2">
                  <a:lumMod val="60000"/>
                  <a:lumOff val="40000"/>
                </a:schemeClr>
              </a:solidFill>
            </a:ln>
          </c:spPr>
          <c:invertIfNegative val="0"/>
          <c:dPt>
            <c:idx val="0"/>
            <c:invertIfNegative val="0"/>
            <c:bubble3D val="0"/>
          </c:dPt>
          <c:dPt>
            <c:idx val="1"/>
            <c:invertIfNegative val="0"/>
            <c:bubble3D val="0"/>
            <c:spPr>
              <a:solidFill>
                <a:schemeClr val="accent5">
                  <a:lumMod val="75000"/>
                </a:schemeClr>
              </a:solidFill>
              <a:ln>
                <a:solidFill>
                  <a:schemeClr val="tx2">
                    <a:lumMod val="60000"/>
                    <a:lumOff val="40000"/>
                  </a:schemeClr>
                </a:solidFill>
              </a:ln>
              <a:effectLst>
                <a:innerShdw blurRad="114300">
                  <a:prstClr val="black"/>
                </a:innerShdw>
              </a:effectLst>
            </c:spPr>
          </c:dPt>
          <c:dPt>
            <c:idx val="2"/>
            <c:invertIfNegative val="0"/>
            <c:bubble3D val="0"/>
          </c:dPt>
          <c:dLbls>
            <c:dLbl>
              <c:idx val="0"/>
              <c:layout>
                <c:manualLayout>
                  <c:x val="2.8564333006892782E-2"/>
                  <c:y val="-4.2592594455785698E-2"/>
                </c:manualLayout>
              </c:layout>
              <c:showLegendKey val="0"/>
              <c:showVal val="1"/>
              <c:showCatName val="0"/>
              <c:showSerName val="0"/>
              <c:showPercent val="0"/>
              <c:showBubbleSize val="0"/>
              <c:separator>; </c:separator>
            </c:dLbl>
            <c:dLbl>
              <c:idx val="1"/>
              <c:layout>
                <c:manualLayout>
                  <c:x val="4.2846941204475124E-2"/>
                  <c:y val="-2.9818956336528379E-2"/>
                </c:manualLayout>
              </c:layout>
              <c:showLegendKey val="0"/>
              <c:showVal val="1"/>
              <c:showCatName val="0"/>
              <c:showSerName val="0"/>
              <c:showPercent val="0"/>
              <c:showBubbleSize val="0"/>
              <c:separator>; </c:separator>
            </c:dLbl>
            <c:dLbl>
              <c:idx val="2"/>
              <c:layout>
                <c:manualLayout>
                  <c:x val="3.3700290047935136E-2"/>
                  <c:y val="-4.6852189276123841E-2"/>
                </c:manualLayout>
              </c:layout>
              <c:showLegendKey val="0"/>
              <c:showVal val="1"/>
              <c:showCatName val="0"/>
              <c:showSerName val="0"/>
              <c:showPercent val="0"/>
              <c:showBubbleSize val="0"/>
              <c:separator>; </c:separator>
            </c:dLbl>
            <c:dLbl>
              <c:idx val="3"/>
              <c:layout>
                <c:manualLayout>
                  <c:x val="3.3557046979865772E-2"/>
                  <c:y val="-8.6021505376344086E-3"/>
                </c:manualLayout>
              </c:layout>
              <c:showLegendKey val="0"/>
              <c:showVal val="1"/>
              <c:showCatName val="0"/>
              <c:showSerName val="0"/>
              <c:showPercent val="0"/>
              <c:showBubbleSize val="0"/>
              <c:separator>; </c:separator>
            </c:dLbl>
            <c:numFmt formatCode="General" sourceLinked="0"/>
            <c:spPr>
              <a:gradFill>
                <a:gsLst>
                  <a:gs pos="25000">
                    <a:srgbClr val="AEC3E9"/>
                  </a:gs>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howLegendKey val="0"/>
            <c:showVal val="1"/>
            <c:showCatName val="0"/>
            <c:showSerName val="0"/>
            <c:showPercent val="0"/>
            <c:showBubbleSize val="0"/>
            <c:separator>; </c:separator>
            <c:showLeaderLines val="0"/>
          </c:dLbls>
          <c:cat>
            <c:strRef>
              <c:f>Лист1!$A$2:$A$5</c:f>
              <c:strCache>
                <c:ptCount val="4"/>
                <c:pt idx="0">
                  <c:v>Разследващи полицаи</c:v>
                </c:pt>
                <c:pt idx="1">
                  <c:v>Следователи</c:v>
                </c:pt>
                <c:pt idx="2">
                  <c:v>Разсл. митнически инспектори</c:v>
                </c:pt>
                <c:pt idx="3">
                  <c:v>Прокурори</c:v>
                </c:pt>
              </c:strCache>
            </c:strRef>
          </c:cat>
          <c:val>
            <c:numRef>
              <c:f>Лист1!$B$2:$B$5</c:f>
              <c:numCache>
                <c:formatCode>General</c:formatCode>
                <c:ptCount val="4"/>
                <c:pt idx="0">
                  <c:v>12572</c:v>
                </c:pt>
                <c:pt idx="1">
                  <c:v>562</c:v>
                </c:pt>
                <c:pt idx="2">
                  <c:v>14</c:v>
                </c:pt>
                <c:pt idx="3">
                  <c:v>0</c:v>
                </c:pt>
              </c:numCache>
            </c:numRef>
          </c:val>
        </c:ser>
        <c:dLbls>
          <c:showLegendKey val="0"/>
          <c:showVal val="0"/>
          <c:showCatName val="0"/>
          <c:showSerName val="0"/>
          <c:showPercent val="0"/>
          <c:showBubbleSize val="0"/>
        </c:dLbls>
        <c:gapWidth val="150"/>
        <c:shape val="box"/>
        <c:axId val="47068672"/>
        <c:axId val="46164224"/>
        <c:axId val="247046784"/>
      </c:bar3DChart>
      <c:dateAx>
        <c:axId val="47068672"/>
        <c:scaling>
          <c:orientation val="minMax"/>
        </c:scaling>
        <c:delete val="0"/>
        <c:axPos val="b"/>
        <c:numFmt formatCode="General" sourceLinked="1"/>
        <c:majorTickMark val="in"/>
        <c:minorTickMark val="none"/>
        <c:tickLblPos val="nextTo"/>
        <c:txPr>
          <a:bodyPr/>
          <a:lstStyle/>
          <a:p>
            <a:pPr>
              <a:defRPr sz="800" b="1"/>
            </a:pPr>
            <a:endParaRPr lang="bg-BG"/>
          </a:p>
        </c:txPr>
        <c:crossAx val="46164224"/>
        <c:crosses val="autoZero"/>
        <c:auto val="0"/>
        <c:lblOffset val="100"/>
        <c:baseTimeUnit val="days"/>
      </c:dateAx>
      <c:valAx>
        <c:axId val="46164224"/>
        <c:scaling>
          <c:orientation val="minMax"/>
        </c:scaling>
        <c:delete val="0"/>
        <c:axPos val="l"/>
        <c:majorGridlines/>
        <c:numFmt formatCode="General" sourceLinked="1"/>
        <c:majorTickMark val="out"/>
        <c:minorTickMark val="none"/>
        <c:tickLblPos val="nextTo"/>
        <c:txPr>
          <a:bodyPr/>
          <a:lstStyle/>
          <a:p>
            <a:pPr>
              <a:defRPr sz="1400"/>
            </a:pPr>
            <a:endParaRPr lang="bg-BG"/>
          </a:p>
        </c:txPr>
        <c:crossAx val="47068672"/>
        <c:crossesAt val="1"/>
        <c:crossBetween val="between"/>
      </c:valAx>
      <c:serAx>
        <c:axId val="247046784"/>
        <c:scaling>
          <c:orientation val="minMax"/>
        </c:scaling>
        <c:delete val="1"/>
        <c:axPos val="b"/>
        <c:majorTickMark val="out"/>
        <c:minorTickMark val="none"/>
        <c:tickLblPos val="nextTo"/>
        <c:crossAx val="46164224"/>
        <c:crosses val="autoZero"/>
      </c:serAx>
    </c:plotArea>
    <c:plotVisOnly val="1"/>
    <c:dispBlanksAs val="gap"/>
    <c:showDLblsOverMax val="0"/>
  </c:chart>
  <c:spPr>
    <a:noFill/>
    <a:ln>
      <a:noFill/>
    </a:ln>
    <a:effectLst>
      <a:glow rad="241300">
        <a:schemeClr val="accent5">
          <a:lumMod val="75000"/>
          <a:alpha val="40000"/>
        </a:schemeClr>
      </a:glow>
      <a:outerShdw blurRad="50800" dist="50800" dir="5400000" algn="ctr" rotWithShape="0">
        <a:schemeClr val="bg2">
          <a:lumMod val="50000"/>
        </a:schemeClr>
      </a:outerShdw>
    </a:effectLst>
    <a:scene3d>
      <a:camera prst="orthographicFront"/>
      <a:lightRig rig="threePt" dir="t"/>
    </a:scene3d>
    <a:sp3d>
      <a:bevelB w="165100" prst="coolSlant"/>
    </a:sp3d>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rAngAx val="1"/>
    </c:view3D>
    <c:floor>
      <c:thickness val="0"/>
    </c:floor>
    <c:sideWall>
      <c:thickness val="0"/>
      <c:spPr>
        <a:scene3d>
          <a:camera prst="orthographicFront"/>
          <a:lightRig rig="threePt" dir="t"/>
        </a:scene3d>
      </c:spPr>
    </c:sideWall>
    <c:backWall>
      <c:thickness val="0"/>
      <c:spPr>
        <a:scene3d>
          <a:camera prst="orthographicFront"/>
          <a:lightRig rig="threePt" dir="t"/>
        </a:scene3d>
      </c:spPr>
    </c:backWall>
    <c:plotArea>
      <c:layout>
        <c:manualLayout>
          <c:layoutTarget val="inner"/>
          <c:xMode val="edge"/>
          <c:yMode val="edge"/>
          <c:x val="6.4537087894970438E-2"/>
          <c:y val="4.813546567358986E-2"/>
          <c:w val="0.90362824299764044"/>
          <c:h val="0.6554042188972361"/>
        </c:manualLayout>
      </c:layout>
      <c:bar3DChart>
        <c:barDir val="col"/>
        <c:grouping val="standard"/>
        <c:varyColors val="0"/>
        <c:ser>
          <c:idx val="0"/>
          <c:order val="0"/>
          <c:tx>
            <c:strRef>
              <c:f>Лист1!$B$1</c:f>
              <c:strCache>
                <c:ptCount val="1"/>
                <c:pt idx="0">
                  <c:v>2023</c:v>
                </c:pt>
              </c:strCache>
            </c:strRef>
          </c:tx>
          <c:invertIfNegative val="0"/>
          <c:dLbls>
            <c:dLbl>
              <c:idx val="0"/>
              <c:layout>
                <c:manualLayout>
                  <c:x val="7.3120394627740693E-3"/>
                  <c:y val="1.5904343769230927E-2"/>
                </c:manualLayout>
              </c:layout>
              <c:showLegendKey val="0"/>
              <c:showVal val="1"/>
              <c:showCatName val="0"/>
              <c:showSerName val="0"/>
              <c:showPercent val="0"/>
              <c:showBubbleSize val="0"/>
            </c:dLbl>
            <c:dLbl>
              <c:idx val="1"/>
              <c:layout>
                <c:manualLayout>
                  <c:x val="9.2069310211324758E-3"/>
                  <c:y val="-7.7745575204348832E-3"/>
                </c:manualLayout>
              </c:layout>
              <c:showLegendKey val="0"/>
              <c:showVal val="1"/>
              <c:showCatName val="0"/>
              <c:showSerName val="0"/>
              <c:showPercent val="0"/>
              <c:showBubbleSize val="0"/>
            </c:dLbl>
            <c:dLbl>
              <c:idx val="2"/>
              <c:layout>
                <c:manualLayout>
                  <c:x val="-1.2893844102487416E-2"/>
                  <c:y val="3.6332456535087203E-2"/>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strRef>
              <c:f>Лист1!$A$2:$A$6</c:f>
              <c:strCache>
                <c:ptCount val="5"/>
                <c:pt idx="0">
                  <c:v>наблюдавани преписки</c:v>
                </c:pt>
                <c:pt idx="1">
                  <c:v>наблюдавани ДП</c:v>
                </c:pt>
                <c:pt idx="2">
                  <c:v>внесени в съда актове</c:v>
                </c:pt>
                <c:pt idx="3">
                  <c:v>осъдени лица</c:v>
                </c:pt>
                <c:pt idx="4">
                  <c:v>пострадали лица</c:v>
                </c:pt>
              </c:strCache>
            </c:strRef>
          </c:cat>
          <c:val>
            <c:numRef>
              <c:f>Лист1!$B$2:$B$6</c:f>
              <c:numCache>
                <c:formatCode>General</c:formatCode>
                <c:ptCount val="5"/>
                <c:pt idx="0">
                  <c:v>303</c:v>
                </c:pt>
                <c:pt idx="1">
                  <c:v>287</c:v>
                </c:pt>
                <c:pt idx="2">
                  <c:v>27</c:v>
                </c:pt>
                <c:pt idx="3">
                  <c:v>19</c:v>
                </c:pt>
                <c:pt idx="4">
                  <c:v>194</c:v>
                </c:pt>
              </c:numCache>
            </c:numRef>
          </c:val>
        </c:ser>
        <c:ser>
          <c:idx val="1"/>
          <c:order val="1"/>
          <c:tx>
            <c:strRef>
              <c:f>Лист1!$C$1</c:f>
              <c:strCache>
                <c:ptCount val="1"/>
                <c:pt idx="0">
                  <c:v>2022</c:v>
                </c:pt>
              </c:strCache>
            </c:strRef>
          </c:tx>
          <c:invertIfNegative val="0"/>
          <c:dLbls>
            <c:dLbl>
              <c:idx val="0"/>
              <c:layout>
                <c:manualLayout>
                  <c:x val="9.6187636058285425E-3"/>
                  <c:y val="1.038272002249308E-2"/>
                </c:manualLayout>
              </c:layout>
              <c:showLegendKey val="0"/>
              <c:showVal val="1"/>
              <c:showCatName val="0"/>
              <c:showSerName val="0"/>
              <c:showPercent val="0"/>
              <c:showBubbleSize val="0"/>
            </c:dLbl>
            <c:dLbl>
              <c:idx val="1"/>
              <c:layout>
                <c:manualLayout>
                  <c:x val="1.8758639465172769E-2"/>
                  <c:y val="3.1636241298932709E-3"/>
                </c:manualLayout>
              </c:layout>
              <c:showLegendKey val="0"/>
              <c:showVal val="1"/>
              <c:showCatName val="0"/>
              <c:showSerName val="0"/>
              <c:showPercent val="0"/>
              <c:showBubbleSize val="0"/>
            </c:dLbl>
            <c:dLbl>
              <c:idx val="2"/>
              <c:layout>
                <c:manualLayout>
                  <c:x val="1.1694086814652069E-2"/>
                  <c:y val="8.6829902288794873E-5"/>
                </c:manualLayout>
              </c:layout>
              <c:showLegendKey val="0"/>
              <c:showVal val="1"/>
              <c:showCatName val="0"/>
              <c:showSerName val="0"/>
              <c:showPercent val="0"/>
              <c:showBubbleSize val="0"/>
            </c:dLbl>
            <c:dLbl>
              <c:idx val="3"/>
              <c:layout>
                <c:manualLayout>
                  <c:x val="1.4608741663958681E-2"/>
                  <c:y val="4.3759514248718056E-3"/>
                </c:manualLayout>
              </c:layout>
              <c:showLegendKey val="0"/>
              <c:showVal val="1"/>
              <c:showCatName val="0"/>
              <c:showSerName val="0"/>
              <c:showPercent val="0"/>
              <c:showBubbleSize val="0"/>
            </c:dLbl>
            <c:dLbl>
              <c:idx val="4"/>
              <c:layout>
                <c:manualLayout>
                  <c:x val="2.4347902773264467E-2"/>
                  <c:y val="0"/>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strRef>
              <c:f>Лист1!$A$2:$A$6</c:f>
              <c:strCache>
                <c:ptCount val="5"/>
                <c:pt idx="0">
                  <c:v>наблюдавани преписки</c:v>
                </c:pt>
                <c:pt idx="1">
                  <c:v>наблюдавани ДП</c:v>
                </c:pt>
                <c:pt idx="2">
                  <c:v>внесени в съда актове</c:v>
                </c:pt>
                <c:pt idx="3">
                  <c:v>осъдени лица</c:v>
                </c:pt>
                <c:pt idx="4">
                  <c:v>пострадали лица</c:v>
                </c:pt>
              </c:strCache>
            </c:strRef>
          </c:cat>
          <c:val>
            <c:numRef>
              <c:f>Лист1!$C$2:$C$6</c:f>
              <c:numCache>
                <c:formatCode>General</c:formatCode>
                <c:ptCount val="5"/>
                <c:pt idx="0">
                  <c:v>194</c:v>
                </c:pt>
                <c:pt idx="1">
                  <c:v>158</c:v>
                </c:pt>
                <c:pt idx="2">
                  <c:v>17</c:v>
                </c:pt>
                <c:pt idx="3">
                  <c:v>9</c:v>
                </c:pt>
                <c:pt idx="4">
                  <c:v>88</c:v>
                </c:pt>
              </c:numCache>
            </c:numRef>
          </c:val>
        </c:ser>
        <c:dLbls>
          <c:showLegendKey val="0"/>
          <c:showVal val="0"/>
          <c:showCatName val="0"/>
          <c:showSerName val="0"/>
          <c:showPercent val="0"/>
          <c:showBubbleSize val="0"/>
        </c:dLbls>
        <c:gapWidth val="150"/>
        <c:shape val="pyramid"/>
        <c:axId val="214234624"/>
        <c:axId val="46167104"/>
        <c:axId val="247047424"/>
      </c:bar3DChart>
      <c:catAx>
        <c:axId val="214234624"/>
        <c:scaling>
          <c:orientation val="minMax"/>
        </c:scaling>
        <c:delete val="0"/>
        <c:axPos val="b"/>
        <c:majorTickMark val="out"/>
        <c:minorTickMark val="none"/>
        <c:tickLblPos val="nextTo"/>
        <c:crossAx val="46167104"/>
        <c:crosses val="autoZero"/>
        <c:auto val="1"/>
        <c:lblAlgn val="ctr"/>
        <c:lblOffset val="100"/>
        <c:noMultiLvlLbl val="0"/>
      </c:catAx>
      <c:valAx>
        <c:axId val="46167104"/>
        <c:scaling>
          <c:orientation val="minMax"/>
        </c:scaling>
        <c:delete val="1"/>
        <c:axPos val="l"/>
        <c:majorGridlines/>
        <c:numFmt formatCode="General" sourceLinked="1"/>
        <c:majorTickMark val="out"/>
        <c:minorTickMark val="none"/>
        <c:tickLblPos val="nextTo"/>
        <c:crossAx val="214234624"/>
        <c:crosses val="autoZero"/>
        <c:crossBetween val="between"/>
      </c:valAx>
      <c:serAx>
        <c:axId val="247047424"/>
        <c:scaling>
          <c:orientation val="minMax"/>
        </c:scaling>
        <c:delete val="1"/>
        <c:axPos val="b"/>
        <c:majorTickMark val="in"/>
        <c:minorTickMark val="none"/>
        <c:tickLblPos val="nextTo"/>
        <c:crossAx val="46167104"/>
        <c:crosses val="autoZero"/>
      </c:serAx>
    </c:plotArea>
    <c:legend>
      <c:legendPos val="r"/>
      <c:layout>
        <c:manualLayout>
          <c:xMode val="edge"/>
          <c:yMode val="edge"/>
          <c:x val="0.74028922708870426"/>
          <c:y val="0.75351401643722304"/>
          <c:w val="0.23292810936848321"/>
          <c:h val="0.1582599011930842"/>
        </c:manualLayout>
      </c:layout>
      <c:overlay val="0"/>
    </c:legend>
    <c:plotVisOnly val="1"/>
    <c:dispBlanksAs val="gap"/>
    <c:showDLblsOverMax val="0"/>
  </c:chart>
  <c:spPr>
    <a:pattFill prst="pct25">
      <a:fgClr>
        <a:schemeClr val="bg1">
          <a:lumMod val="85000"/>
        </a:schemeClr>
      </a:fgClr>
      <a:bgClr>
        <a:schemeClr val="bg1"/>
      </a:bgClr>
    </a:patt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rAngAx val="1"/>
    </c:view3D>
    <c:floor>
      <c:thickness val="0"/>
    </c:floor>
    <c:sideWall>
      <c:thickness val="0"/>
      <c:spPr>
        <a:scene3d>
          <a:camera prst="orthographicFront"/>
          <a:lightRig rig="threePt" dir="t"/>
        </a:scene3d>
      </c:spPr>
    </c:sideWall>
    <c:backWall>
      <c:thickness val="0"/>
      <c:spPr>
        <a:scene3d>
          <a:camera prst="orthographicFront"/>
          <a:lightRig rig="threePt" dir="t"/>
        </a:scene3d>
      </c:spPr>
    </c:backWall>
    <c:plotArea>
      <c:layout/>
      <c:bar3DChart>
        <c:barDir val="col"/>
        <c:grouping val="standard"/>
        <c:varyColors val="0"/>
        <c:ser>
          <c:idx val="0"/>
          <c:order val="0"/>
          <c:tx>
            <c:strRef>
              <c:f>Лист1!$B$1</c:f>
              <c:strCache>
                <c:ptCount val="1"/>
                <c:pt idx="0">
                  <c:v>2023</c:v>
                </c:pt>
              </c:strCache>
            </c:strRef>
          </c:tx>
          <c:invertIfNegative val="0"/>
          <c:dLbls>
            <c:dLbl>
              <c:idx val="0"/>
              <c:layout>
                <c:manualLayout>
                  <c:x val="2.4422358342149003E-3"/>
                  <c:y val="0.27847143032789851"/>
                </c:manualLayout>
              </c:layout>
              <c:showLegendKey val="0"/>
              <c:showVal val="1"/>
              <c:showCatName val="0"/>
              <c:showSerName val="0"/>
              <c:showPercent val="0"/>
              <c:showBubbleSize val="0"/>
            </c:dLbl>
            <c:dLbl>
              <c:idx val="1"/>
              <c:layout>
                <c:manualLayout>
                  <c:x val="2.1908217453796204E-3"/>
                  <c:y val="0.2156499830223442"/>
                </c:manualLayout>
              </c:layout>
              <c:showLegendKey val="0"/>
              <c:showVal val="1"/>
              <c:showCatName val="0"/>
              <c:showSerName val="0"/>
              <c:showPercent val="0"/>
              <c:showBubbleSize val="0"/>
            </c:dLbl>
            <c:dLbl>
              <c:idx val="2"/>
              <c:layout>
                <c:manualLayout>
                  <c:x val="1.3888888888888888E-2"/>
                  <c:y val="7.1339964891749555E-2"/>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strRef>
              <c:f>Лист1!$A$2:$A$4</c:f>
              <c:strCache>
                <c:ptCount val="3"/>
                <c:pt idx="0">
                  <c:v>искания за използване на СРС</c:v>
                </c:pt>
                <c:pt idx="1">
                  <c:v>засегнати лица</c:v>
                </c:pt>
                <c:pt idx="2">
                  <c:v>отказ на съда да разреши използване на СРС</c:v>
                </c:pt>
              </c:strCache>
            </c:strRef>
          </c:cat>
          <c:val>
            <c:numRef>
              <c:f>Лист1!$B$2:$B$4</c:f>
              <c:numCache>
                <c:formatCode>General</c:formatCode>
                <c:ptCount val="3"/>
                <c:pt idx="0">
                  <c:v>49</c:v>
                </c:pt>
                <c:pt idx="1">
                  <c:v>36</c:v>
                </c:pt>
                <c:pt idx="2">
                  <c:v>7</c:v>
                </c:pt>
              </c:numCache>
            </c:numRef>
          </c:val>
        </c:ser>
        <c:ser>
          <c:idx val="1"/>
          <c:order val="1"/>
          <c:tx>
            <c:strRef>
              <c:f>Лист1!$C$1</c:f>
              <c:strCache>
                <c:ptCount val="1"/>
                <c:pt idx="0">
                  <c:v>2022</c:v>
                </c:pt>
              </c:strCache>
            </c:strRef>
          </c:tx>
          <c:invertIfNegative val="0"/>
          <c:dLbls>
            <c:dLbl>
              <c:idx val="0"/>
              <c:layout>
                <c:manualLayout>
                  <c:x val="2.3148148148148147E-3"/>
                  <c:y val="0.27346986541837331"/>
                </c:manualLayout>
              </c:layout>
              <c:showLegendKey val="0"/>
              <c:showVal val="1"/>
              <c:showCatName val="0"/>
              <c:showSerName val="0"/>
              <c:showPercent val="0"/>
              <c:showBubbleSize val="0"/>
            </c:dLbl>
            <c:dLbl>
              <c:idx val="1"/>
              <c:layout>
                <c:manualLayout>
                  <c:x val="1.3888888888888888E-2"/>
                  <c:y val="0.18627657499512393"/>
                </c:manualLayout>
              </c:layout>
              <c:showLegendKey val="0"/>
              <c:showVal val="1"/>
              <c:showCatName val="0"/>
              <c:showSerName val="0"/>
              <c:showPercent val="0"/>
              <c:showBubbleSize val="0"/>
            </c:dLbl>
            <c:dLbl>
              <c:idx val="2"/>
              <c:layout>
                <c:manualLayout>
                  <c:x val="9.2592592592591737E-3"/>
                  <c:y val="8.3229959040374557E-2"/>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strRef>
              <c:f>Лист1!$A$2:$A$4</c:f>
              <c:strCache>
                <c:ptCount val="3"/>
                <c:pt idx="0">
                  <c:v>искания за използване на СРС</c:v>
                </c:pt>
                <c:pt idx="1">
                  <c:v>засегнати лица</c:v>
                </c:pt>
                <c:pt idx="2">
                  <c:v>отказ на съда да разреши използване на СРС</c:v>
                </c:pt>
              </c:strCache>
            </c:strRef>
          </c:cat>
          <c:val>
            <c:numRef>
              <c:f>Лист1!$C$2:$C$4</c:f>
              <c:numCache>
                <c:formatCode>General</c:formatCode>
                <c:ptCount val="3"/>
                <c:pt idx="0">
                  <c:v>51</c:v>
                </c:pt>
                <c:pt idx="1">
                  <c:v>37</c:v>
                </c:pt>
                <c:pt idx="2">
                  <c:v>10</c:v>
                </c:pt>
              </c:numCache>
            </c:numRef>
          </c:val>
        </c:ser>
        <c:ser>
          <c:idx val="2"/>
          <c:order val="2"/>
          <c:tx>
            <c:strRef>
              <c:f>Лист1!$D$1</c:f>
              <c:strCache>
                <c:ptCount val="1"/>
                <c:pt idx="0">
                  <c:v>2021</c:v>
                </c:pt>
              </c:strCache>
            </c:strRef>
          </c:tx>
          <c:invertIfNegative val="0"/>
          <c:dLbls>
            <c:dLbl>
              <c:idx val="0"/>
              <c:layout>
                <c:manualLayout>
                  <c:x val="6.9444444444444024E-3"/>
                  <c:y val="0.36858981860737272"/>
                </c:manualLayout>
              </c:layout>
              <c:showLegendKey val="0"/>
              <c:showVal val="1"/>
              <c:showCatName val="0"/>
              <c:showSerName val="0"/>
              <c:showPercent val="0"/>
              <c:showBubbleSize val="0"/>
            </c:dLbl>
            <c:dLbl>
              <c:idx val="1"/>
              <c:layout>
                <c:manualLayout>
                  <c:x val="9.2592592592592587E-3"/>
                  <c:y val="0.19023990637799884"/>
                </c:manualLayout>
              </c:layout>
              <c:showLegendKey val="0"/>
              <c:showVal val="1"/>
              <c:showCatName val="0"/>
              <c:showSerName val="0"/>
              <c:showPercent val="0"/>
              <c:showBubbleSize val="0"/>
            </c:dLbl>
            <c:dLbl>
              <c:idx val="2"/>
              <c:layout>
                <c:manualLayout>
                  <c:x val="1.3888888888888888E-2"/>
                  <c:y val="0.10700994733762427"/>
                </c:manualLayout>
              </c:layout>
              <c:showLegendKey val="0"/>
              <c:showVal val="1"/>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strRef>
              <c:f>Лист1!$A$2:$A$4</c:f>
              <c:strCache>
                <c:ptCount val="3"/>
                <c:pt idx="0">
                  <c:v>искания за използване на СРС</c:v>
                </c:pt>
                <c:pt idx="1">
                  <c:v>засегнати лица</c:v>
                </c:pt>
                <c:pt idx="2">
                  <c:v>отказ на съда да разреши използване на СРС</c:v>
                </c:pt>
              </c:strCache>
            </c:strRef>
          </c:cat>
          <c:val>
            <c:numRef>
              <c:f>Лист1!$D$2:$D$4</c:f>
              <c:numCache>
                <c:formatCode>General</c:formatCode>
                <c:ptCount val="3"/>
                <c:pt idx="0">
                  <c:v>68</c:v>
                </c:pt>
                <c:pt idx="1">
                  <c:v>35</c:v>
                </c:pt>
                <c:pt idx="2">
                  <c:v>16</c:v>
                </c:pt>
              </c:numCache>
            </c:numRef>
          </c:val>
        </c:ser>
        <c:dLbls>
          <c:showLegendKey val="0"/>
          <c:showVal val="0"/>
          <c:showCatName val="0"/>
          <c:showSerName val="0"/>
          <c:showPercent val="0"/>
          <c:showBubbleSize val="0"/>
        </c:dLbls>
        <c:gapWidth val="150"/>
        <c:shape val="pyramid"/>
        <c:axId val="46976512"/>
        <c:axId val="46165952"/>
        <c:axId val="247046144"/>
      </c:bar3DChart>
      <c:catAx>
        <c:axId val="46976512"/>
        <c:scaling>
          <c:orientation val="minMax"/>
        </c:scaling>
        <c:delete val="0"/>
        <c:axPos val="b"/>
        <c:majorTickMark val="out"/>
        <c:minorTickMark val="none"/>
        <c:tickLblPos val="nextTo"/>
        <c:crossAx val="46165952"/>
        <c:crosses val="autoZero"/>
        <c:auto val="1"/>
        <c:lblAlgn val="ctr"/>
        <c:lblOffset val="100"/>
        <c:noMultiLvlLbl val="0"/>
      </c:catAx>
      <c:valAx>
        <c:axId val="46165952"/>
        <c:scaling>
          <c:orientation val="minMax"/>
        </c:scaling>
        <c:delete val="1"/>
        <c:axPos val="l"/>
        <c:majorGridlines/>
        <c:numFmt formatCode="General" sourceLinked="1"/>
        <c:majorTickMark val="out"/>
        <c:minorTickMark val="none"/>
        <c:tickLblPos val="nextTo"/>
        <c:crossAx val="46976512"/>
        <c:crosses val="autoZero"/>
        <c:crossBetween val="between"/>
      </c:valAx>
      <c:serAx>
        <c:axId val="247046144"/>
        <c:scaling>
          <c:orientation val="minMax"/>
        </c:scaling>
        <c:delete val="0"/>
        <c:axPos val="b"/>
        <c:majorTickMark val="in"/>
        <c:minorTickMark val="none"/>
        <c:tickLblPos val="nextTo"/>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rossAx val="46165952"/>
        <c:crosses val="autoZero"/>
      </c:serAx>
    </c:plotArea>
    <c:legend>
      <c:legendPos val="r"/>
      <c:overlay val="0"/>
    </c:legend>
    <c:plotVisOnly val="1"/>
    <c:dispBlanksAs val="gap"/>
    <c:showDLblsOverMax val="0"/>
  </c:chart>
  <c:spPr>
    <a:pattFill prst="pct25">
      <a:fgClr>
        <a:schemeClr val="bg1">
          <a:lumMod val="85000"/>
        </a:schemeClr>
      </a:fgClr>
      <a:bgClr>
        <a:schemeClr val="bg1"/>
      </a:bgClr>
    </a:pattFill>
  </c:sp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Крайна сянка">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482D1-3B86-4A24-B278-854295C0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1989</TotalTime>
  <Pages>92</Pages>
  <Words>28476</Words>
  <Characters>162314</Characters>
  <Application>Microsoft Office Word</Application>
  <DocSecurity>0</DocSecurity>
  <Lines>1352</Lines>
  <Paragraphs>380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190410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Потребител на Windows</dc:creator>
  <cp:lastModifiedBy>Admin</cp:lastModifiedBy>
  <cp:revision>76</cp:revision>
  <cp:lastPrinted>2024-02-19T11:38:00Z</cp:lastPrinted>
  <dcterms:created xsi:type="dcterms:W3CDTF">2023-02-14T07:33:00Z</dcterms:created>
  <dcterms:modified xsi:type="dcterms:W3CDTF">2024-02-20T14:28:00Z</dcterms:modified>
</cp:coreProperties>
</file>