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charts/chart20.xml" ContentType="application/vnd.openxmlformats-officedocument.drawingml.chart+xml"/>
  <Override PartName="/word/theme/themeOverride20.xml" ContentType="application/vnd.openxmlformats-officedocument.themeOverride+xml"/>
  <Override PartName="/word/charts/chart21.xml" ContentType="application/vnd.openxmlformats-officedocument.drawingml.chart+xml"/>
  <Override PartName="/word/theme/themeOverride21.xml" ContentType="application/vnd.openxmlformats-officedocument.themeOverride+xml"/>
  <Override PartName="/word/charts/chart22.xml" ContentType="application/vnd.openxmlformats-officedocument.drawingml.chart+xml"/>
  <Override PartName="/word/theme/themeOverride22.xml" ContentType="application/vnd.openxmlformats-officedocument.themeOverride+xml"/>
  <Override PartName="/word/charts/chart23.xml" ContentType="application/vnd.openxmlformats-officedocument.drawingml.chart+xml"/>
  <Override PartName="/word/theme/themeOverride23.xml" ContentType="application/vnd.openxmlformats-officedocument.themeOverride+xml"/>
  <Override PartName="/word/charts/chart24.xml" ContentType="application/vnd.openxmlformats-officedocument.drawingml.chart+xml"/>
  <Override PartName="/word/theme/themeOverride24.xml" ContentType="application/vnd.openxmlformats-officedocument.themeOverride+xml"/>
  <Override PartName="/word/charts/chart25.xml" ContentType="application/vnd.openxmlformats-officedocument.drawingml.chart+xml"/>
  <Override PartName="/word/theme/themeOverride25.xml" ContentType="application/vnd.openxmlformats-officedocument.themeOverride+xml"/>
  <Override PartName="/word/charts/chart26.xml" ContentType="application/vnd.openxmlformats-officedocument.drawingml.chart+xml"/>
  <Override PartName="/word/theme/themeOverride26.xml" ContentType="application/vnd.openxmlformats-officedocument.themeOverride+xml"/>
  <Override PartName="/word/charts/chart27.xml" ContentType="application/vnd.openxmlformats-officedocument.drawingml.chart+xml"/>
  <Override PartName="/word/theme/themeOverride27.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8CD" w:rsidRPr="00880ECD" w:rsidRDefault="009658CD" w:rsidP="00F63914">
      <w:pPr>
        <w:keepNext/>
        <w:keepLines/>
        <w:spacing w:after="0" w:line="240" w:lineRule="auto"/>
        <w:ind w:firstLine="567"/>
        <w:jc w:val="center"/>
        <w:outlineLvl w:val="0"/>
        <w:rPr>
          <w:rFonts w:ascii="Times New Roman" w:eastAsiaTheme="majorEastAsia" w:hAnsi="Times New Roman" w:cs="Times New Roman"/>
          <w:bCs/>
          <w:color w:val="0070C0"/>
          <w:sz w:val="28"/>
          <w:szCs w:val="28"/>
        </w:rPr>
      </w:pPr>
      <w:r w:rsidRPr="00880ECD">
        <w:rPr>
          <w:rFonts w:ascii="Times New Roman" w:eastAsiaTheme="majorEastAsia" w:hAnsi="Times New Roman" w:cs="Times New Roman"/>
          <w:b/>
          <w:bCs/>
          <w:color w:val="0070C0"/>
          <w:sz w:val="28"/>
          <w:szCs w:val="28"/>
        </w:rPr>
        <w:t>ОБОБЩЕНИ ИЗВОДИ ЗА ДЕЙНОСТТА НА ПРОКУРАТУРАТА И НА РАЗСЛЕДВАЩИТЕ ОРГАНИ</w:t>
      </w:r>
    </w:p>
    <w:p w:rsidR="009658CD" w:rsidRPr="00880ECD" w:rsidRDefault="009658CD" w:rsidP="00F63914">
      <w:pPr>
        <w:spacing w:after="0" w:line="240" w:lineRule="auto"/>
        <w:contextualSpacing/>
        <w:jc w:val="both"/>
        <w:outlineLvl w:val="1"/>
        <w:rPr>
          <w:rFonts w:ascii="Times New Roman" w:eastAsia="Times New Roman" w:hAnsi="Times New Roman" w:cs="Times New Roman"/>
          <w:b/>
          <w:color w:val="0070C0"/>
          <w:sz w:val="28"/>
          <w:szCs w:val="28"/>
          <w:lang w:eastAsia="bg-BG"/>
        </w:rPr>
      </w:pPr>
      <w:bookmarkStart w:id="0" w:name="_Toc506557803"/>
      <w:r w:rsidRPr="00880ECD">
        <w:rPr>
          <w:rFonts w:ascii="Times New Roman" w:eastAsia="Times New Roman" w:hAnsi="Times New Roman" w:cs="Times New Roman"/>
          <w:b/>
          <w:color w:val="0070C0"/>
          <w:sz w:val="28"/>
          <w:szCs w:val="28"/>
          <w:lang w:eastAsia="bg-BG"/>
        </w:rPr>
        <w:t>РЕЗУЛТАТИ И ТЕНДЕНЦИИ В ПРОТИВОДЕЙСТВИЕТО НА ПРЕСТЪПНОСТТА. ФАКТОРИ С АКТУАЛНО И ДЪЛГОСРОЧНО ЗНАЧЕНИЕ ЗА ЕФЕКТИВНОСТТА НА ОРГАНИТЕ НА ДОСЪДЕБНОТО ПРОИЗВОДСТВО И ДРУГИТЕ ПРАВОПРИЛАГАЩИ ОРГАНИ, АНГАЖИРАНИ С ПРОТИВОДЕЙСТВИЕТО НА ПРЕСТЪПНОСТТА.</w:t>
      </w:r>
      <w:bookmarkEnd w:id="0"/>
    </w:p>
    <w:p w:rsidR="009658CD" w:rsidRPr="00880ECD" w:rsidRDefault="009658CD" w:rsidP="00F63914">
      <w:pPr>
        <w:spacing w:after="0" w:line="240" w:lineRule="auto"/>
        <w:ind w:firstLine="567"/>
        <w:contextualSpacing/>
        <w:jc w:val="both"/>
        <w:rPr>
          <w:rFonts w:ascii="Times New Roman" w:eastAsia="Times New Roman" w:hAnsi="Times New Roman" w:cs="Times New Roman"/>
          <w:b/>
          <w:sz w:val="28"/>
          <w:szCs w:val="28"/>
          <w:lang w:eastAsia="bg-BG"/>
        </w:rPr>
      </w:pP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Относно състоянието, динамиката и структурата на престъпността в областта за отчетният период са налице следните данни:</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Нивото на регистрираната престъпност в региона е намаляло спрямо предходните два  отчетни периода -  съответно 5,67 % намаление спрямо 2020 г. и 8,95 % спрямо 2019 г.   </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 Процентът на разкритите престъпления за 2021 г. е 39,50 %, при 38.40% за 2020 г. и при 38,80 % за 2019 г. Налице е леко повишение по отношение на преходните две години.</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Тенденцията, започнала от преходния отчетен период - по-малко регистрирани престъпления в съчетание с увеличаване процента на </w:t>
      </w:r>
      <w:proofErr w:type="spellStart"/>
      <w:r w:rsidRPr="00880ECD">
        <w:rPr>
          <w:rFonts w:ascii="Times New Roman" w:eastAsia="Times New Roman" w:hAnsi="Times New Roman" w:cs="Times New Roman"/>
          <w:sz w:val="28"/>
          <w:szCs w:val="28"/>
          <w:lang w:eastAsia="bg-BG"/>
        </w:rPr>
        <w:t>разкриваемостта</w:t>
      </w:r>
      <w:proofErr w:type="spellEnd"/>
      <w:r w:rsidRPr="00880ECD">
        <w:rPr>
          <w:rFonts w:ascii="Times New Roman" w:eastAsia="Times New Roman" w:hAnsi="Times New Roman" w:cs="Times New Roman"/>
          <w:sz w:val="28"/>
          <w:szCs w:val="28"/>
          <w:lang w:eastAsia="bg-BG"/>
        </w:rPr>
        <w:t>, показва ефективност</w:t>
      </w:r>
      <w:r w:rsidRPr="00880ECD">
        <w:rPr>
          <w:rFonts w:ascii="Times New Roman" w:eastAsia="Times New Roman" w:hAnsi="Times New Roman" w:cs="Times New Roman"/>
          <w:sz w:val="24"/>
          <w:szCs w:val="24"/>
          <w:lang w:eastAsia="bg-BG"/>
        </w:rPr>
        <w:t xml:space="preserve"> </w:t>
      </w:r>
      <w:r w:rsidRPr="00880ECD">
        <w:rPr>
          <w:rFonts w:ascii="Times New Roman" w:eastAsia="Times New Roman" w:hAnsi="Times New Roman" w:cs="Times New Roman"/>
          <w:sz w:val="28"/>
          <w:szCs w:val="28"/>
          <w:lang w:eastAsia="bg-BG"/>
        </w:rPr>
        <w:t xml:space="preserve">в работата на </w:t>
      </w:r>
      <w:proofErr w:type="spellStart"/>
      <w:r w:rsidRPr="00880ECD">
        <w:rPr>
          <w:rFonts w:ascii="Times New Roman" w:eastAsia="Times New Roman" w:hAnsi="Times New Roman" w:cs="Times New Roman"/>
          <w:sz w:val="28"/>
          <w:szCs w:val="28"/>
          <w:lang w:eastAsia="bg-BG"/>
        </w:rPr>
        <w:t>правоохранителните</w:t>
      </w:r>
      <w:proofErr w:type="spellEnd"/>
      <w:r w:rsidRPr="00880ECD">
        <w:rPr>
          <w:rFonts w:ascii="Times New Roman" w:eastAsia="Times New Roman" w:hAnsi="Times New Roman" w:cs="Times New Roman"/>
          <w:sz w:val="28"/>
          <w:szCs w:val="28"/>
          <w:lang w:eastAsia="bg-BG"/>
        </w:rPr>
        <w:t xml:space="preserve"> органи, както в превантивната дейност, така и в дейността им по разкриване на престъпленията.. </w:t>
      </w:r>
    </w:p>
    <w:p w:rsidR="009658CD" w:rsidRPr="00880ECD" w:rsidRDefault="009658CD" w:rsidP="00F63914">
      <w:pPr>
        <w:spacing w:after="0" w:line="240" w:lineRule="auto"/>
        <w:ind w:firstLine="567"/>
        <w:contextualSpacing/>
        <w:jc w:val="both"/>
        <w:rPr>
          <w:rFonts w:ascii="Times New Roman" w:eastAsia="Times New Roman" w:hAnsi="Times New Roman" w:cs="Times New Roman"/>
          <w:i/>
          <w:sz w:val="28"/>
          <w:szCs w:val="28"/>
          <w:lang w:eastAsia="bg-BG"/>
        </w:rPr>
      </w:pPr>
    </w:p>
    <w:p w:rsidR="009658CD" w:rsidRPr="00880ECD" w:rsidRDefault="009658CD" w:rsidP="00C22CE6">
      <w:pPr>
        <w:tabs>
          <w:tab w:val="left" w:pos="0"/>
          <w:tab w:val="left" w:pos="360"/>
          <w:tab w:val="left" w:pos="1350"/>
        </w:tabs>
        <w:spacing w:after="0" w:line="240" w:lineRule="auto"/>
        <w:ind w:firstLine="567"/>
        <w:contextualSpacing/>
        <w:jc w:val="both"/>
        <w:rPr>
          <w:rFonts w:ascii="Times New Roman" w:eastAsia="Calibri" w:hAnsi="Times New Roman" w:cs="Times New Roman"/>
          <w:b/>
          <w:sz w:val="28"/>
          <w:szCs w:val="28"/>
          <w:lang w:eastAsia="bg-BG"/>
        </w:rPr>
      </w:pPr>
      <w:r w:rsidRPr="00880ECD">
        <w:rPr>
          <w:rFonts w:ascii="Times New Roman" w:eastAsia="Times New Roman" w:hAnsi="Times New Roman" w:cs="Times New Roman"/>
          <w:sz w:val="28"/>
          <w:szCs w:val="28"/>
          <w:lang w:eastAsia="bg-BG"/>
        </w:rPr>
        <w:tab/>
      </w:r>
      <w:r w:rsidR="00096BD5">
        <w:rPr>
          <w:rFonts w:ascii="Times New Roman" w:eastAsia="Times New Roman" w:hAnsi="Times New Roman" w:cs="Times New Roman"/>
          <w:sz w:val="28"/>
          <w:szCs w:val="28"/>
          <w:lang w:eastAsia="bg-BG"/>
        </w:rPr>
        <w:tab/>
      </w:r>
      <w:r w:rsidRPr="00880ECD">
        <w:rPr>
          <w:rFonts w:ascii="Times New Roman" w:eastAsia="Calibri" w:hAnsi="Times New Roman" w:cs="Times New Roman"/>
          <w:b/>
          <w:sz w:val="28"/>
          <w:szCs w:val="28"/>
          <w:lang w:eastAsia="bg-BG"/>
        </w:rPr>
        <w:t>ДЕЙНОСТ НА РАЗСЛЕДВАЩИТЕ ОРГАНИ</w:t>
      </w:r>
    </w:p>
    <w:p w:rsidR="003B5039" w:rsidRDefault="003B5039"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lang w:eastAsia="bg-BG"/>
        </w:rPr>
      </w:pPr>
    </w:p>
    <w:p w:rsidR="009658CD" w:rsidRPr="00880ECD"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lang w:eastAsia="bg-BG"/>
        </w:rPr>
      </w:pPr>
      <w:r w:rsidRPr="00880ECD">
        <w:rPr>
          <w:rFonts w:ascii="Times New Roman" w:eastAsia="Calibri" w:hAnsi="Times New Roman" w:cs="Times New Roman"/>
          <w:sz w:val="28"/>
          <w:szCs w:val="28"/>
          <w:lang w:eastAsia="bg-BG"/>
        </w:rPr>
        <w:t xml:space="preserve">Основни резултати от работата на разследващите полицаи са отразени на следната таблица: </w:t>
      </w:r>
    </w:p>
    <w:p w:rsidR="009658CD" w:rsidRPr="00880ECD"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lang w:eastAsia="bg-BG"/>
        </w:rPr>
      </w:pPr>
    </w:p>
    <w:tbl>
      <w:tblPr>
        <w:tblW w:w="90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5"/>
        <w:gridCol w:w="1275"/>
        <w:gridCol w:w="1275"/>
        <w:gridCol w:w="1275"/>
      </w:tblGrid>
      <w:tr w:rsidR="009658CD" w:rsidRPr="00835D05" w:rsidTr="009658CD">
        <w:trPr>
          <w:trHeight w:val="398"/>
        </w:trPr>
        <w:tc>
          <w:tcPr>
            <w:tcW w:w="5245" w:type="dxa"/>
          </w:tcPr>
          <w:p w:rsidR="009658CD" w:rsidRPr="00880ECD"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b/>
                <w:sz w:val="24"/>
                <w:szCs w:val="28"/>
                <w:lang w:eastAsia="bg-BG"/>
              </w:rPr>
            </w:pP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2021</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2020</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2019</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Общо разследвани ДП</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12263</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12670</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12754</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Образувани ДП през периода</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7727</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 xml:space="preserve">7962 </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8 422</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От тях: бързи производства</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643</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 xml:space="preserve">697 </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741</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Приключени с обвинително заключение (% от общо приключените)</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2134</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(25,4%)</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2039</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(24,6%)</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1953 (22,7%)</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4"/>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Приключени с мнение за спиране</w:t>
            </w:r>
          </w:p>
          <w:p w:rsidR="009658CD" w:rsidRPr="00835D05" w:rsidRDefault="009658CD" w:rsidP="00F63914">
            <w:pPr>
              <w:shd w:val="clear" w:color="auto" w:fill="FFFFFF" w:themeFill="background1"/>
              <w:tabs>
                <w:tab w:val="left" w:pos="0"/>
                <w:tab w:val="left" w:pos="34"/>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 от общо приключените)</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3751</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(44,6%)</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3757</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(45,2%)</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4234 (49,1%)</w:t>
            </w:r>
          </w:p>
        </w:tc>
      </w:tr>
      <w:tr w:rsidR="009658CD" w:rsidRPr="00835D05"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Приключени с мнение за прекратяване (% от общо приключените)</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2513</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(29,8%)</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2482</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(29,9%)</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2371 (27,5%)</w:t>
            </w:r>
          </w:p>
        </w:tc>
      </w:tr>
      <w:tr w:rsidR="009658CD" w:rsidRPr="00880ECD" w:rsidTr="009658CD">
        <w:tc>
          <w:tcPr>
            <w:tcW w:w="524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567"/>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Възложени на следовател</w:t>
            </w:r>
          </w:p>
        </w:tc>
        <w:tc>
          <w:tcPr>
            <w:tcW w:w="1275" w:type="dxa"/>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13</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(0,2%)</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23</w:t>
            </w:r>
          </w:p>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(0,3%)</w:t>
            </w:r>
          </w:p>
        </w:tc>
        <w:tc>
          <w:tcPr>
            <w:tcW w:w="1275" w:type="dxa"/>
            <w:vAlign w:val="center"/>
          </w:tcPr>
          <w:p w:rsidR="009658CD" w:rsidRPr="00835D05"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highlight w:val="yellow"/>
                <w:lang w:eastAsia="bg-BG"/>
              </w:rPr>
            </w:pPr>
            <w:r w:rsidRPr="00835D05">
              <w:rPr>
                <w:rFonts w:ascii="Times New Roman" w:eastAsia="Calibri" w:hAnsi="Times New Roman" w:cs="Times New Roman"/>
                <w:sz w:val="28"/>
                <w:szCs w:val="28"/>
                <w:highlight w:val="yellow"/>
                <w:lang w:eastAsia="bg-BG"/>
              </w:rPr>
              <w:t>61</w:t>
            </w:r>
          </w:p>
          <w:p w:rsidR="009658CD" w:rsidRPr="00880ECD" w:rsidRDefault="009658CD" w:rsidP="00F63914">
            <w:pPr>
              <w:shd w:val="clear" w:color="auto" w:fill="FFFFFF" w:themeFill="background1"/>
              <w:tabs>
                <w:tab w:val="left" w:pos="0"/>
                <w:tab w:val="left" w:pos="360"/>
                <w:tab w:val="left" w:pos="1350"/>
              </w:tabs>
              <w:spacing w:after="0" w:line="240" w:lineRule="auto"/>
              <w:ind w:firstLine="34"/>
              <w:contextualSpacing/>
              <w:jc w:val="both"/>
              <w:rPr>
                <w:rFonts w:ascii="Times New Roman" w:eastAsia="Calibri" w:hAnsi="Times New Roman" w:cs="Times New Roman"/>
                <w:sz w:val="28"/>
                <w:szCs w:val="28"/>
                <w:lang w:eastAsia="bg-BG"/>
              </w:rPr>
            </w:pPr>
            <w:r w:rsidRPr="00835D05">
              <w:rPr>
                <w:rFonts w:ascii="Times New Roman" w:eastAsia="Calibri" w:hAnsi="Times New Roman" w:cs="Times New Roman"/>
                <w:sz w:val="28"/>
                <w:szCs w:val="28"/>
                <w:highlight w:val="yellow"/>
                <w:lang w:eastAsia="bg-BG"/>
              </w:rPr>
              <w:t>(0,7%)</w:t>
            </w:r>
          </w:p>
        </w:tc>
      </w:tr>
    </w:tbl>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Въпреки по-малкия общ брой на новообразуваните дела през периода в сравнение с преходните два, ясно се откроява увеличаване на процента на приключилите дела с обвинително заключение и намаление на процента на спрените дела.   </w:t>
      </w:r>
    </w:p>
    <w:p w:rsidR="009658CD" w:rsidRPr="00835D05" w:rsidRDefault="009658CD" w:rsidP="00F63914">
      <w:pPr>
        <w:spacing w:after="0" w:line="240" w:lineRule="auto"/>
        <w:ind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През 2021 г. регистрираните митнически престъпления в Митница Варна са били 5 бр., през 2020 г. са 31 бр., през 2019 г. са били 35 бр.  </w:t>
      </w:r>
    </w:p>
    <w:p w:rsidR="009658CD" w:rsidRPr="00835D05" w:rsidRDefault="009658CD" w:rsidP="00F63914">
      <w:pPr>
        <w:spacing w:after="0" w:line="240" w:lineRule="auto"/>
        <w:ind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lastRenderedPageBreak/>
        <w:t xml:space="preserve"> Общо приключените досъдебни производства са 15 бр., за 2020 г. са били 31, през 2019 г. – също 31.</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Приключени с мнение за съд – 3 бр., за 2020 г. - 9 броя, през 2019 г. –7. Приключените с мнение за прекратяване са 9 бр. за 2021 г., за 2020 г. - 16 бр. за 2019 г. - 21 бр.</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Резултатите през последните два периода сочат на намаление на броя, са относително константни, като се забелязва показване на приключените дела за съд. </w:t>
      </w:r>
    </w:p>
    <w:p w:rsidR="009658CD" w:rsidRPr="00835D05" w:rsidRDefault="009658CD" w:rsidP="00C22CE6">
      <w:pPr>
        <w:spacing w:after="0" w:line="240" w:lineRule="auto"/>
        <w:ind w:firstLine="567"/>
        <w:contextualSpacing/>
        <w:jc w:val="both"/>
        <w:rPr>
          <w:rFonts w:ascii="Times New Roman" w:eastAsia="Calibri" w:hAnsi="Times New Roman" w:cs="Times New Roman"/>
          <w:sz w:val="28"/>
          <w:szCs w:val="28"/>
          <w:highlight w:val="yellow"/>
          <w:lang w:eastAsia="bg-BG"/>
        </w:rPr>
      </w:pPr>
      <w:r w:rsidRPr="00880ECD">
        <w:rPr>
          <w:rFonts w:ascii="Times New Roman" w:eastAsia="Times New Roman" w:hAnsi="Times New Roman" w:cs="Times New Roman"/>
          <w:sz w:val="28"/>
          <w:szCs w:val="28"/>
          <w:lang w:eastAsia="bg-BG"/>
        </w:rPr>
        <w:t xml:space="preserve"> </w:t>
      </w:r>
      <w:r w:rsidRPr="00835D05">
        <w:rPr>
          <w:rFonts w:ascii="Times New Roman" w:eastAsia="Calibri" w:hAnsi="Times New Roman" w:cs="Times New Roman"/>
          <w:sz w:val="28"/>
          <w:szCs w:val="28"/>
          <w:highlight w:val="yellow"/>
          <w:lang w:eastAsia="bg-BG"/>
        </w:rPr>
        <w:t>През 2021 г. в ОСлО при ОП Варна са се намирали на производство общо 595 дела  при реално работили 24,25 следователя , а през 2020 г. за били 594</w:t>
      </w:r>
      <w:r w:rsidRPr="00835D05">
        <w:rPr>
          <w:rFonts w:ascii="Times New Roman" w:eastAsia="Times New Roman" w:hAnsi="Times New Roman" w:cs="Times New Roman"/>
          <w:sz w:val="24"/>
          <w:szCs w:val="24"/>
          <w:highlight w:val="yellow"/>
          <w:lang w:eastAsia="bg-BG"/>
        </w:rPr>
        <w:t xml:space="preserve"> </w:t>
      </w:r>
      <w:r w:rsidRPr="00835D05">
        <w:rPr>
          <w:rFonts w:ascii="Times New Roman" w:eastAsia="Times New Roman" w:hAnsi="Times New Roman" w:cs="Times New Roman"/>
          <w:sz w:val="28"/>
          <w:szCs w:val="28"/>
          <w:highlight w:val="yellow"/>
          <w:lang w:eastAsia="bg-BG"/>
        </w:rPr>
        <w:t>дела</w:t>
      </w:r>
      <w:r w:rsidRPr="00835D05">
        <w:rPr>
          <w:rFonts w:ascii="Times New Roman" w:eastAsia="Times New Roman" w:hAnsi="Times New Roman" w:cs="Times New Roman"/>
          <w:sz w:val="24"/>
          <w:szCs w:val="24"/>
          <w:highlight w:val="yellow"/>
          <w:lang w:eastAsia="bg-BG"/>
        </w:rPr>
        <w:t xml:space="preserve"> </w:t>
      </w:r>
      <w:r w:rsidRPr="00835D05">
        <w:rPr>
          <w:rFonts w:ascii="Times New Roman" w:eastAsia="Calibri" w:hAnsi="Times New Roman" w:cs="Times New Roman"/>
          <w:sz w:val="28"/>
          <w:szCs w:val="28"/>
          <w:highlight w:val="yellow"/>
          <w:lang w:eastAsia="bg-BG"/>
        </w:rPr>
        <w:t>при реално работили 22,92 следователи. През 2019 г. броят на делата е бил 583 ДП при реално работили 22,42 следователи.</w:t>
      </w:r>
    </w:p>
    <w:p w:rsidR="009658CD" w:rsidRPr="00880ECD" w:rsidRDefault="009658CD" w:rsidP="00C22CE6">
      <w:pPr>
        <w:spacing w:after="0" w:line="240" w:lineRule="auto"/>
        <w:ind w:firstLine="567"/>
        <w:jc w:val="both"/>
        <w:rPr>
          <w:rFonts w:ascii="Times New Roman" w:eastAsia="Calibri" w:hAnsi="Times New Roman" w:cs="Times New Roman"/>
          <w:sz w:val="28"/>
          <w:szCs w:val="28"/>
          <w:lang w:eastAsia="bg-BG"/>
        </w:rPr>
      </w:pPr>
      <w:r w:rsidRPr="00835D05">
        <w:rPr>
          <w:rFonts w:ascii="Times New Roman" w:eastAsia="Calibri" w:hAnsi="Times New Roman" w:cs="Times New Roman"/>
          <w:sz w:val="28"/>
          <w:szCs w:val="28"/>
          <w:highlight w:val="yellow"/>
          <w:lang w:eastAsia="bg-BG"/>
        </w:rPr>
        <w:t>От посочения общ брой дела през 2021 г. са водени 51 ДП срещу ИИ и срещу НИ – 544 ДП, през 2020 г. 55 броя са водени срещу известен извършител и 539 броя срещу НИ. През 2019 срещу ИИ са били 71 и 512 срещу НИ.</w:t>
      </w:r>
    </w:p>
    <w:p w:rsidR="009658CD" w:rsidRPr="00880ECD" w:rsidRDefault="009658CD" w:rsidP="00C22CE6">
      <w:pPr>
        <w:spacing w:after="0" w:line="240" w:lineRule="auto"/>
        <w:ind w:firstLine="567"/>
        <w:jc w:val="both"/>
        <w:rPr>
          <w:rFonts w:ascii="Times New Roman" w:eastAsia="Calibri" w:hAnsi="Times New Roman" w:cs="Times New Roman"/>
          <w:sz w:val="28"/>
          <w:szCs w:val="28"/>
          <w:lang w:eastAsia="bg-BG"/>
        </w:rPr>
      </w:pPr>
      <w:r w:rsidRPr="00880ECD">
        <w:rPr>
          <w:rFonts w:ascii="Times New Roman" w:eastAsia="Calibri" w:hAnsi="Times New Roman" w:cs="Times New Roman"/>
          <w:sz w:val="28"/>
          <w:szCs w:val="28"/>
          <w:shd w:val="clear" w:color="auto" w:fill="FFFFFF" w:themeFill="background1"/>
          <w:lang w:eastAsia="bg-BG"/>
        </w:rPr>
        <w:t xml:space="preserve">Останали са неприключени в края на периода 303 бр., в края на 2020 г. са били 345 броя, при 351 броя за 2019 г. </w:t>
      </w:r>
    </w:p>
    <w:p w:rsidR="009658CD" w:rsidRPr="00835D05" w:rsidRDefault="009658CD" w:rsidP="00C22CE6">
      <w:pPr>
        <w:shd w:val="clear" w:color="auto" w:fill="FFFFFF" w:themeFill="background1"/>
        <w:spacing w:after="0" w:line="240" w:lineRule="auto"/>
        <w:ind w:firstLine="567"/>
        <w:jc w:val="both"/>
        <w:rPr>
          <w:rFonts w:ascii="Times New Roman" w:eastAsia="Calibri" w:hAnsi="Times New Roman" w:cs="Times New Roman"/>
          <w:sz w:val="28"/>
          <w:szCs w:val="28"/>
          <w:highlight w:val="yellow"/>
          <w:shd w:val="clear" w:color="auto" w:fill="FFFFFF" w:themeFill="background1"/>
          <w:lang w:eastAsia="bg-BG"/>
        </w:rPr>
      </w:pPr>
      <w:r w:rsidRPr="00835D05">
        <w:rPr>
          <w:rFonts w:ascii="Times New Roman" w:eastAsia="Calibri" w:hAnsi="Times New Roman" w:cs="Times New Roman"/>
          <w:sz w:val="28"/>
          <w:szCs w:val="28"/>
          <w:highlight w:val="yellow"/>
          <w:lang w:eastAsia="bg-BG"/>
        </w:rPr>
        <w:t xml:space="preserve">По </w:t>
      </w:r>
      <w:r w:rsidRPr="00835D05">
        <w:rPr>
          <w:rFonts w:ascii="Times New Roman" w:eastAsia="Calibri" w:hAnsi="Times New Roman" w:cs="Times New Roman"/>
          <w:sz w:val="28"/>
          <w:szCs w:val="28"/>
          <w:highlight w:val="yellow"/>
          <w:shd w:val="clear" w:color="auto" w:fill="FFFFFF" w:themeFill="background1"/>
          <w:lang w:eastAsia="bg-BG"/>
        </w:rPr>
        <w:t xml:space="preserve">начин на приключване на ДП данните за ОСлО са следните: </w:t>
      </w:r>
    </w:p>
    <w:p w:rsidR="009658CD" w:rsidRPr="00835D05" w:rsidRDefault="009658CD" w:rsidP="00C22CE6">
      <w:pPr>
        <w:numPr>
          <w:ilvl w:val="0"/>
          <w:numId w:val="12"/>
        </w:numPr>
        <w:shd w:val="clear" w:color="auto" w:fill="FFFFFF" w:themeFill="background1"/>
        <w:spacing w:after="0" w:line="240" w:lineRule="auto"/>
        <w:ind w:left="0" w:firstLine="567"/>
        <w:contextualSpacing/>
        <w:jc w:val="both"/>
        <w:rPr>
          <w:rFonts w:ascii="Times New Roman" w:eastAsia="Calibri" w:hAnsi="Times New Roman" w:cs="Times New Roman"/>
          <w:sz w:val="28"/>
          <w:szCs w:val="28"/>
          <w:highlight w:val="yellow"/>
          <w:shd w:val="clear" w:color="auto" w:fill="FFFFFF" w:themeFill="background1"/>
          <w:lang w:eastAsia="bg-BG"/>
        </w:rPr>
      </w:pPr>
      <w:r w:rsidRPr="00835D05">
        <w:rPr>
          <w:rFonts w:ascii="Times New Roman" w:eastAsia="Calibri" w:hAnsi="Times New Roman" w:cs="Times New Roman"/>
          <w:sz w:val="28"/>
          <w:szCs w:val="28"/>
          <w:highlight w:val="yellow"/>
          <w:shd w:val="clear" w:color="auto" w:fill="FFFFFF" w:themeFill="background1"/>
          <w:lang w:eastAsia="bg-BG"/>
        </w:rPr>
        <w:t xml:space="preserve">общо решени от следовател за 2021 г. са 292 бр., през 2020 г. са 268 бр. и 230 за 2019 г. </w:t>
      </w:r>
    </w:p>
    <w:p w:rsidR="009658CD" w:rsidRPr="00835D05" w:rsidRDefault="009658CD" w:rsidP="00C22CE6">
      <w:pPr>
        <w:numPr>
          <w:ilvl w:val="0"/>
          <w:numId w:val="12"/>
        </w:numPr>
        <w:shd w:val="clear" w:color="auto" w:fill="FFFFFF" w:themeFill="background1"/>
        <w:spacing w:after="0" w:line="240" w:lineRule="auto"/>
        <w:ind w:left="0" w:firstLine="567"/>
        <w:contextualSpacing/>
        <w:jc w:val="both"/>
        <w:rPr>
          <w:rFonts w:ascii="Times New Roman" w:eastAsia="Calibri" w:hAnsi="Times New Roman" w:cs="Times New Roman"/>
          <w:sz w:val="28"/>
          <w:szCs w:val="28"/>
          <w:highlight w:val="yellow"/>
          <w:shd w:val="clear" w:color="auto" w:fill="FFFFFF" w:themeFill="background1"/>
          <w:lang w:eastAsia="bg-BG"/>
        </w:rPr>
      </w:pPr>
      <w:r w:rsidRPr="00835D05">
        <w:rPr>
          <w:rFonts w:ascii="Times New Roman" w:eastAsia="Calibri" w:hAnsi="Times New Roman" w:cs="Times New Roman"/>
          <w:sz w:val="28"/>
          <w:szCs w:val="28"/>
          <w:highlight w:val="yellow"/>
          <w:shd w:val="clear" w:color="auto" w:fill="FFFFFF" w:themeFill="background1"/>
          <w:lang w:eastAsia="bg-BG"/>
        </w:rPr>
        <w:t xml:space="preserve">с мнение за съд през 2021 г. – 56 ДП, през 2020 г. – 43 броя, при 39 за 2019 г. </w:t>
      </w:r>
    </w:p>
    <w:p w:rsidR="009658CD" w:rsidRPr="00835D05" w:rsidRDefault="009658CD" w:rsidP="00C22CE6">
      <w:pPr>
        <w:numPr>
          <w:ilvl w:val="0"/>
          <w:numId w:val="12"/>
        </w:numPr>
        <w:shd w:val="clear" w:color="auto" w:fill="FFFFFF" w:themeFill="background1"/>
        <w:spacing w:after="0" w:line="240" w:lineRule="auto"/>
        <w:ind w:left="0" w:firstLine="567"/>
        <w:contextualSpacing/>
        <w:jc w:val="both"/>
        <w:rPr>
          <w:rFonts w:ascii="Times New Roman" w:eastAsia="Calibri" w:hAnsi="Times New Roman" w:cs="Times New Roman"/>
          <w:sz w:val="28"/>
          <w:szCs w:val="28"/>
          <w:highlight w:val="yellow"/>
          <w:shd w:val="clear" w:color="auto" w:fill="FFFFFF" w:themeFill="background1"/>
          <w:lang w:eastAsia="bg-BG"/>
        </w:rPr>
      </w:pPr>
      <w:r w:rsidRPr="00835D05">
        <w:rPr>
          <w:rFonts w:ascii="Times New Roman" w:eastAsia="Calibri" w:hAnsi="Times New Roman" w:cs="Times New Roman"/>
          <w:sz w:val="28"/>
          <w:szCs w:val="28"/>
          <w:highlight w:val="yellow"/>
          <w:shd w:val="clear" w:color="auto" w:fill="FFFFFF" w:themeFill="background1"/>
          <w:lang w:eastAsia="bg-BG"/>
        </w:rPr>
        <w:t>с мнение за прекратяване през 2021 г. са 132 ДП, 2020 г. – 102 броя, при 97 за 2019 г.</w:t>
      </w:r>
    </w:p>
    <w:p w:rsidR="009658CD" w:rsidRPr="00835D05" w:rsidRDefault="009658CD" w:rsidP="00C22CE6">
      <w:pPr>
        <w:numPr>
          <w:ilvl w:val="0"/>
          <w:numId w:val="12"/>
        </w:numPr>
        <w:shd w:val="clear" w:color="auto" w:fill="FFFFFF" w:themeFill="background1"/>
        <w:spacing w:after="0" w:line="240" w:lineRule="auto"/>
        <w:ind w:left="0" w:firstLine="567"/>
        <w:contextualSpacing/>
        <w:jc w:val="both"/>
        <w:rPr>
          <w:rFonts w:ascii="Times New Roman" w:eastAsia="Calibri" w:hAnsi="Times New Roman" w:cs="Times New Roman"/>
          <w:sz w:val="28"/>
          <w:szCs w:val="28"/>
          <w:highlight w:val="yellow"/>
          <w:shd w:val="clear" w:color="auto" w:fill="FFFFFF" w:themeFill="background1"/>
          <w:lang w:eastAsia="bg-BG"/>
        </w:rPr>
      </w:pPr>
      <w:r w:rsidRPr="00835D05">
        <w:rPr>
          <w:rFonts w:ascii="Times New Roman" w:eastAsia="Calibri" w:hAnsi="Times New Roman" w:cs="Times New Roman"/>
          <w:sz w:val="28"/>
          <w:szCs w:val="28"/>
          <w:highlight w:val="yellow"/>
          <w:shd w:val="clear" w:color="auto" w:fill="FFFFFF" w:themeFill="background1"/>
          <w:lang w:eastAsia="bg-BG"/>
        </w:rPr>
        <w:t xml:space="preserve">с мнение за спиране през 2021 г. са 83 ДП, през 2020 г. – 86 броя, при 79 броя за 2019 г. </w:t>
      </w:r>
    </w:p>
    <w:p w:rsidR="009658CD" w:rsidRPr="00880ECD" w:rsidRDefault="009658CD" w:rsidP="00C22CE6">
      <w:pPr>
        <w:shd w:val="clear" w:color="auto" w:fill="FFFFFF" w:themeFill="background1"/>
        <w:spacing w:after="0" w:line="240" w:lineRule="auto"/>
        <w:ind w:firstLine="567"/>
        <w:contextualSpacing/>
        <w:jc w:val="both"/>
        <w:rPr>
          <w:rFonts w:ascii="Times New Roman" w:eastAsia="Calibri" w:hAnsi="Times New Roman" w:cs="Times New Roman"/>
          <w:sz w:val="28"/>
          <w:szCs w:val="28"/>
          <w:lang w:eastAsia="bg-BG"/>
        </w:rPr>
      </w:pPr>
      <w:r w:rsidRPr="00880ECD">
        <w:rPr>
          <w:rFonts w:ascii="Times New Roman" w:eastAsia="Calibri" w:hAnsi="Times New Roman" w:cs="Times New Roman"/>
          <w:sz w:val="28"/>
          <w:szCs w:val="28"/>
          <w:lang w:eastAsia="bg-BG"/>
        </w:rPr>
        <w:t xml:space="preserve">Анализът на тези данни показва увеличение на процента, дела изпратени с мнение за съд спрямо общия брой разследвани дела, съпоставено с преходните два отчетни периода. Намалял е  процентът на приключените дела с мнение за спиране срещу НИ. Като цяло останалите показатели в количествено отношение са относително стабилизирани. </w:t>
      </w:r>
    </w:p>
    <w:p w:rsidR="009658CD" w:rsidRPr="00880ECD" w:rsidRDefault="009658CD" w:rsidP="00C22CE6">
      <w:pPr>
        <w:shd w:val="clear" w:color="auto" w:fill="FFFFFF" w:themeFill="background1"/>
        <w:spacing w:after="0" w:line="240" w:lineRule="auto"/>
        <w:ind w:firstLine="567"/>
        <w:contextualSpacing/>
        <w:jc w:val="both"/>
        <w:rPr>
          <w:rFonts w:ascii="Times New Roman" w:eastAsia="Calibri" w:hAnsi="Times New Roman" w:cs="Times New Roman"/>
          <w:sz w:val="28"/>
          <w:szCs w:val="28"/>
          <w:lang w:eastAsia="bg-BG"/>
        </w:rPr>
      </w:pPr>
      <w:r w:rsidRPr="00880ECD">
        <w:rPr>
          <w:rFonts w:ascii="Times New Roman" w:eastAsia="Calibri" w:hAnsi="Times New Roman" w:cs="Times New Roman"/>
          <w:sz w:val="28"/>
          <w:szCs w:val="28"/>
          <w:lang w:eastAsia="bg-BG"/>
        </w:rPr>
        <w:t xml:space="preserve">Предвид посочените данни за средната натовареност на следователите, може да се направи извод, че техния потенциал не е разгърнат в пълна степен и през следващия отчетен период следва да се работи в тази посока. </w:t>
      </w:r>
    </w:p>
    <w:p w:rsidR="009658CD" w:rsidRPr="00880ECD" w:rsidRDefault="009658CD" w:rsidP="00F63914">
      <w:pPr>
        <w:spacing w:after="0" w:line="240" w:lineRule="auto"/>
        <w:ind w:firstLine="567"/>
        <w:contextualSpacing/>
        <w:jc w:val="both"/>
        <w:rPr>
          <w:rFonts w:ascii="Times New Roman" w:eastAsia="Times New Roman" w:hAnsi="Times New Roman" w:cs="Times New Roman"/>
          <w:b/>
          <w:sz w:val="28"/>
          <w:szCs w:val="28"/>
          <w:lang w:eastAsia="bg-BG"/>
        </w:rPr>
      </w:pPr>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bookmarkStart w:id="1" w:name="_Toc506557804"/>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p>
    <w:p w:rsidR="00C22CE6" w:rsidRDefault="00C22CE6"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p>
    <w:p w:rsidR="009658CD" w:rsidRPr="00880ECD" w:rsidRDefault="009658CD" w:rsidP="00F63914">
      <w:pPr>
        <w:spacing w:after="0" w:line="240" w:lineRule="auto"/>
        <w:ind w:firstLine="567"/>
        <w:contextualSpacing/>
        <w:jc w:val="both"/>
        <w:outlineLvl w:val="1"/>
        <w:rPr>
          <w:rFonts w:ascii="Times New Roman" w:eastAsia="Times New Roman" w:hAnsi="Times New Roman" w:cs="Times New Roman"/>
          <w:b/>
          <w:sz w:val="28"/>
          <w:szCs w:val="28"/>
          <w:lang w:eastAsia="bg-BG"/>
        </w:rPr>
      </w:pPr>
      <w:r w:rsidRPr="00880ECD">
        <w:rPr>
          <w:rFonts w:ascii="Times New Roman" w:eastAsia="Times New Roman" w:hAnsi="Times New Roman" w:cs="Times New Roman"/>
          <w:b/>
          <w:sz w:val="28"/>
          <w:szCs w:val="28"/>
          <w:lang w:eastAsia="bg-BG"/>
        </w:rPr>
        <w:t>НЕОБХОДИМИ МЕРКИ И ЗАКОНОДАТЕЛНИ ПРОМЕНИ.</w:t>
      </w:r>
      <w:bookmarkEnd w:id="1"/>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 В допълнение на промените, предложени от нас в отчетните доклади за 2019 г. и 2020 г., считаме за удачни и следните:</w:t>
      </w:r>
    </w:p>
    <w:p w:rsidR="009658CD" w:rsidRPr="00835D05" w:rsidRDefault="009658CD" w:rsidP="00F63914">
      <w:pPr>
        <w:numPr>
          <w:ilvl w:val="0"/>
          <w:numId w:val="12"/>
        </w:numPr>
        <w:spacing w:after="0" w:line="240" w:lineRule="auto"/>
        <w:ind w:left="0"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оглед качественото и срочно решаване на делата следва да се вземат мерки за подобряване на комуникацията между оперативните служители и разследващите </w:t>
      </w:r>
      <w:r w:rsidRPr="00835D05">
        <w:rPr>
          <w:rFonts w:ascii="Times New Roman" w:eastAsia="Times New Roman" w:hAnsi="Times New Roman" w:cs="Times New Roman"/>
          <w:sz w:val="28"/>
          <w:szCs w:val="28"/>
          <w:highlight w:val="yellow"/>
          <w:lang w:eastAsia="bg-BG"/>
        </w:rPr>
        <w:lastRenderedPageBreak/>
        <w:t xml:space="preserve">полицаи, решаване на проблема с кадровата обезпеченост на разследващите полицаи и разширяване на обхвата на работа между структурите на ГД БОП и териториалните прокуратури;  </w:t>
      </w:r>
    </w:p>
    <w:p w:rsidR="009658CD" w:rsidRPr="00835D05" w:rsidRDefault="009658CD" w:rsidP="00F63914">
      <w:pPr>
        <w:numPr>
          <w:ilvl w:val="0"/>
          <w:numId w:val="12"/>
        </w:numPr>
        <w:spacing w:after="0" w:line="240" w:lineRule="auto"/>
        <w:ind w:left="0"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смятаме за удачно категоризирането на отделни престъпления, като „простъпки“ и опростяване на процеса при тяхното преследване и наказване</w:t>
      </w:r>
    </w:p>
    <w:p w:rsidR="009658CD" w:rsidRPr="00835D05" w:rsidRDefault="009658CD" w:rsidP="00F63914">
      <w:pPr>
        <w:numPr>
          <w:ilvl w:val="0"/>
          <w:numId w:val="12"/>
        </w:numPr>
        <w:spacing w:after="0" w:line="240" w:lineRule="auto"/>
        <w:ind w:left="0"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с оглед по-лесното доказване, би могло да се помисли за </w:t>
      </w:r>
      <w:proofErr w:type="spellStart"/>
      <w:r w:rsidRPr="00835D05">
        <w:rPr>
          <w:rFonts w:ascii="Times New Roman" w:eastAsia="Times New Roman" w:hAnsi="Times New Roman" w:cs="Times New Roman"/>
          <w:sz w:val="28"/>
          <w:szCs w:val="28"/>
          <w:highlight w:val="yellow"/>
          <w:lang w:eastAsia="bg-BG"/>
        </w:rPr>
        <w:t>декриминализиране</w:t>
      </w:r>
      <w:proofErr w:type="spellEnd"/>
      <w:r w:rsidRPr="00835D05">
        <w:rPr>
          <w:rFonts w:ascii="Times New Roman" w:eastAsia="Times New Roman" w:hAnsi="Times New Roman" w:cs="Times New Roman"/>
          <w:sz w:val="28"/>
          <w:szCs w:val="28"/>
          <w:highlight w:val="yellow"/>
          <w:lang w:eastAsia="bg-BG"/>
        </w:rPr>
        <w:t xml:space="preserve"> на провокацията към подкуп по чл. 307 НК, отпадане на специалната цел по чл.282 ал.1 от НК;</w:t>
      </w:r>
    </w:p>
    <w:p w:rsidR="009658CD" w:rsidRPr="00835D05" w:rsidRDefault="009658CD" w:rsidP="00F63914">
      <w:pPr>
        <w:numPr>
          <w:ilvl w:val="0"/>
          <w:numId w:val="12"/>
        </w:numPr>
        <w:spacing w:after="0" w:line="240" w:lineRule="auto"/>
        <w:ind w:left="0" w:firstLine="567"/>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 с оглед избягване на неоснователното в някой случаи на</w:t>
      </w:r>
      <w:r w:rsidRPr="00835D05">
        <w:rPr>
          <w:rFonts w:ascii="Times New Roman" w:eastAsia="Times New Roman" w:hAnsi="Times New Roman" w:cs="Times New Roman"/>
          <w:sz w:val="24"/>
          <w:szCs w:val="24"/>
          <w:highlight w:val="yellow"/>
          <w:lang w:eastAsia="bg-BG"/>
        </w:rPr>
        <w:t xml:space="preserve"> </w:t>
      </w:r>
      <w:r w:rsidRPr="00835D05">
        <w:rPr>
          <w:rFonts w:ascii="Times New Roman" w:eastAsia="Times New Roman" w:hAnsi="Times New Roman" w:cs="Times New Roman"/>
          <w:sz w:val="28"/>
          <w:szCs w:val="28"/>
          <w:highlight w:val="yellow"/>
          <w:lang w:eastAsia="bg-BG"/>
        </w:rPr>
        <w:t xml:space="preserve">образуване на досъдебни производства, да се увеличи на срока по за извършване на проверките по ЗСВ, като същия да има възможност за увеличаване до 6 месеца.  </w:t>
      </w:r>
    </w:p>
    <w:p w:rsidR="009658CD" w:rsidRPr="00835D05" w:rsidRDefault="009658CD" w:rsidP="00F63914">
      <w:pPr>
        <w:spacing w:after="0" w:line="240" w:lineRule="auto"/>
        <w:ind w:firstLine="567"/>
        <w:contextualSpacing/>
        <w:jc w:val="both"/>
        <w:rPr>
          <w:rFonts w:ascii="Times New Roman" w:eastAsia="Times New Roman" w:hAnsi="Times New Roman" w:cs="Times New Roman"/>
          <w:b/>
          <w:sz w:val="28"/>
          <w:szCs w:val="28"/>
          <w:lang w:eastAsia="bg-BG"/>
        </w:rPr>
      </w:pPr>
    </w:p>
    <w:p w:rsidR="009658CD" w:rsidRPr="00835D05" w:rsidRDefault="009658CD" w:rsidP="00835D05">
      <w:pPr>
        <w:spacing w:after="0" w:line="240" w:lineRule="auto"/>
        <w:ind w:firstLine="567"/>
        <w:rPr>
          <w:rFonts w:ascii="Times New Roman" w:eastAsia="Times New Roman" w:hAnsi="Times New Roman" w:cs="Times New Roman"/>
          <w:b/>
          <w:bCs/>
          <w:sz w:val="28"/>
          <w:szCs w:val="28"/>
          <w:lang w:eastAsia="bg-BG"/>
        </w:rPr>
      </w:pPr>
      <w:r w:rsidRPr="00835D05">
        <w:rPr>
          <w:rFonts w:ascii="Times New Roman" w:eastAsia="Times New Roman" w:hAnsi="Times New Roman" w:cs="Times New Roman"/>
          <w:b/>
          <w:bCs/>
          <w:sz w:val="28"/>
          <w:szCs w:val="28"/>
          <w:lang w:eastAsia="bg-BG"/>
        </w:rPr>
        <w:t>ДОКЛАД</w:t>
      </w:r>
      <w:r w:rsidR="00835D05" w:rsidRPr="00835D05">
        <w:rPr>
          <w:rFonts w:ascii="Times New Roman" w:eastAsia="Times New Roman" w:hAnsi="Times New Roman" w:cs="Times New Roman"/>
          <w:b/>
          <w:bCs/>
          <w:sz w:val="28"/>
          <w:szCs w:val="28"/>
          <w:lang w:eastAsia="bg-BG"/>
        </w:rPr>
        <w:t xml:space="preserve"> </w:t>
      </w:r>
      <w:r w:rsidRPr="00835D05">
        <w:rPr>
          <w:rFonts w:ascii="Times New Roman" w:eastAsia="Times New Roman" w:hAnsi="Times New Roman" w:cs="Times New Roman"/>
          <w:b/>
          <w:bCs/>
          <w:sz w:val="28"/>
          <w:szCs w:val="28"/>
          <w:lang w:eastAsia="bg-BG"/>
        </w:rPr>
        <w:t>ЗА ДЕЙНОСТТА НА ОКРЪЖЕН СЛЕДСТВЕН ОТДЕЛ В ОКРЪЖНА ПРОКУРАТУРА – ВАРНА</w:t>
      </w:r>
    </w:p>
    <w:p w:rsidR="009658CD" w:rsidRPr="00835D05" w:rsidRDefault="009658CD" w:rsidP="00F63914">
      <w:pPr>
        <w:spacing w:after="0" w:line="240" w:lineRule="auto"/>
        <w:ind w:firstLine="567"/>
        <w:jc w:val="center"/>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lang w:eastAsia="bg-BG"/>
        </w:rPr>
        <w:t xml:space="preserve">за периода </w:t>
      </w:r>
      <w:r w:rsidRPr="00835D05">
        <w:rPr>
          <w:rFonts w:ascii="Times New Roman" w:eastAsia="Times New Roman" w:hAnsi="Times New Roman" w:cs="Times New Roman"/>
          <w:b/>
          <w:bCs/>
          <w:sz w:val="28"/>
          <w:szCs w:val="28"/>
          <w:lang w:eastAsia="bg-BG"/>
        </w:rPr>
        <w:t>01.</w:t>
      </w:r>
      <w:proofErr w:type="spellStart"/>
      <w:r w:rsidRPr="00835D05">
        <w:rPr>
          <w:rFonts w:ascii="Times New Roman" w:eastAsia="Times New Roman" w:hAnsi="Times New Roman" w:cs="Times New Roman"/>
          <w:b/>
          <w:bCs/>
          <w:sz w:val="28"/>
          <w:szCs w:val="28"/>
          <w:lang w:eastAsia="bg-BG"/>
        </w:rPr>
        <w:t>01</w:t>
      </w:r>
      <w:proofErr w:type="spellEnd"/>
      <w:r w:rsidRPr="00835D05">
        <w:rPr>
          <w:rFonts w:ascii="Times New Roman" w:eastAsia="Times New Roman" w:hAnsi="Times New Roman" w:cs="Times New Roman"/>
          <w:b/>
          <w:bCs/>
          <w:sz w:val="28"/>
          <w:szCs w:val="28"/>
          <w:lang w:eastAsia="bg-BG"/>
        </w:rPr>
        <w:t>.2021</w:t>
      </w:r>
      <w:r w:rsidRPr="00835D05">
        <w:rPr>
          <w:rFonts w:ascii="Times New Roman" w:eastAsia="Times New Roman" w:hAnsi="Times New Roman" w:cs="Times New Roman"/>
          <w:sz w:val="28"/>
          <w:szCs w:val="28"/>
          <w:lang w:eastAsia="bg-BG"/>
        </w:rPr>
        <w:t xml:space="preserve"> година до </w:t>
      </w:r>
      <w:r w:rsidRPr="00835D05">
        <w:rPr>
          <w:rFonts w:ascii="Times New Roman" w:eastAsia="Times New Roman" w:hAnsi="Times New Roman" w:cs="Times New Roman"/>
          <w:b/>
          <w:bCs/>
          <w:sz w:val="28"/>
          <w:szCs w:val="28"/>
          <w:lang w:eastAsia="bg-BG"/>
        </w:rPr>
        <w:t>31.12.2021</w:t>
      </w:r>
      <w:r w:rsidRPr="00835D05">
        <w:rPr>
          <w:rFonts w:ascii="Times New Roman" w:eastAsia="Times New Roman" w:hAnsi="Times New Roman" w:cs="Times New Roman"/>
          <w:sz w:val="28"/>
          <w:szCs w:val="28"/>
          <w:lang w:eastAsia="bg-BG"/>
        </w:rPr>
        <w:t xml:space="preserve"> година</w:t>
      </w:r>
    </w:p>
    <w:p w:rsidR="009658CD" w:rsidRPr="00835D05" w:rsidRDefault="009658CD" w:rsidP="00F63914">
      <w:pPr>
        <w:spacing w:after="0" w:line="240" w:lineRule="auto"/>
        <w:ind w:firstLine="567"/>
        <w:jc w:val="both"/>
        <w:rPr>
          <w:rFonts w:ascii="Times New Roman" w:eastAsia="Times New Roman" w:hAnsi="Times New Roman" w:cs="Times New Roman"/>
          <w:b/>
          <w:bCs/>
          <w:sz w:val="28"/>
          <w:szCs w:val="28"/>
          <w:lang w:eastAsia="bg-BG"/>
        </w:rPr>
      </w:pPr>
      <w:r w:rsidRPr="00835D05">
        <w:rPr>
          <w:rFonts w:ascii="Times New Roman" w:eastAsia="Times New Roman" w:hAnsi="Times New Roman" w:cs="Times New Roman"/>
          <w:b/>
          <w:bCs/>
          <w:sz w:val="28"/>
          <w:szCs w:val="28"/>
          <w:lang w:eastAsia="bg-BG"/>
        </w:rPr>
        <w:t>Раздел І. Обобщени изводи за дейността на следователите, работили в ОСлО – ОП – Варна.</w:t>
      </w:r>
    </w:p>
    <w:p w:rsidR="009658CD" w:rsidRPr="00835D05"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lang w:eastAsia="bg-BG"/>
        </w:rPr>
        <w:t xml:space="preserve">През отчетната 2021 г. положителен резултат в отдела е увеличаването на </w:t>
      </w:r>
      <w:proofErr w:type="spellStart"/>
      <w:r w:rsidRPr="00835D05">
        <w:rPr>
          <w:rFonts w:ascii="Times New Roman" w:eastAsia="Times New Roman" w:hAnsi="Times New Roman" w:cs="Times New Roman"/>
          <w:sz w:val="28"/>
          <w:szCs w:val="28"/>
          <w:lang w:eastAsia="bg-BG"/>
        </w:rPr>
        <w:t>на</w:t>
      </w:r>
      <w:proofErr w:type="spellEnd"/>
      <w:r w:rsidRPr="00835D05">
        <w:rPr>
          <w:rFonts w:ascii="Times New Roman" w:eastAsia="Times New Roman" w:hAnsi="Times New Roman" w:cs="Times New Roman"/>
          <w:sz w:val="28"/>
          <w:szCs w:val="28"/>
          <w:lang w:eastAsia="bg-BG"/>
        </w:rPr>
        <w:t xml:space="preserve"> приключените досъдебни производства с мнение за съд /56 ДП/ в сравнение с 2020 г. /43ДП/.</w:t>
      </w:r>
    </w:p>
    <w:p w:rsidR="009658CD" w:rsidRPr="00835D05"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lang w:eastAsia="bg-BG"/>
        </w:rPr>
        <w:t>Друг положителен резултат в отдела е приключените досъдебни производства над 3, 4 и 5 години.</w:t>
      </w:r>
    </w:p>
    <w:p w:rsidR="009658CD" w:rsidRPr="00880ECD"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Постигнатото е в резултат на подобреното взаимодействие с МВР, ДАНС, НАП и други контролни органи. Допълнителен ефект оказва повишената отговорност на всеки следовател. разширяващото се международно правно сътрудничество по наказателни дела.</w:t>
      </w:r>
    </w:p>
    <w:p w:rsidR="009658CD" w:rsidRPr="00880ECD" w:rsidRDefault="009658CD" w:rsidP="00F63914">
      <w:pPr>
        <w:spacing w:after="0" w:line="240" w:lineRule="auto"/>
        <w:ind w:firstLine="567"/>
        <w:jc w:val="both"/>
        <w:rPr>
          <w:rFonts w:ascii="Times New Roman" w:eastAsia="Times New Roman" w:hAnsi="Times New Roman" w:cs="Times New Roman"/>
          <w:sz w:val="28"/>
          <w:szCs w:val="28"/>
          <w:lang w:eastAsia="bg-BG"/>
        </w:rPr>
      </w:pPr>
    </w:p>
    <w:p w:rsidR="009658CD" w:rsidRPr="00880ECD" w:rsidRDefault="009658CD" w:rsidP="00F63914">
      <w:pPr>
        <w:spacing w:after="0" w:line="240" w:lineRule="auto"/>
        <w:ind w:firstLine="567"/>
        <w:jc w:val="both"/>
        <w:rPr>
          <w:rFonts w:ascii="Times New Roman" w:eastAsia="Times New Roman" w:hAnsi="Times New Roman" w:cs="Times New Roman"/>
          <w:b/>
          <w:bCs/>
          <w:sz w:val="28"/>
          <w:szCs w:val="28"/>
          <w:lang w:eastAsia="bg-BG"/>
        </w:rPr>
      </w:pPr>
      <w:r w:rsidRPr="00880ECD">
        <w:rPr>
          <w:rFonts w:ascii="Times New Roman" w:eastAsia="Times New Roman" w:hAnsi="Times New Roman" w:cs="Times New Roman"/>
          <w:b/>
          <w:bCs/>
          <w:sz w:val="28"/>
          <w:szCs w:val="28"/>
          <w:lang w:eastAsia="bg-BG"/>
        </w:rPr>
        <w:t>Раздел ІІ. Дейност по разследването, осъществена от ОСлО – ВОП</w:t>
      </w:r>
    </w:p>
    <w:p w:rsidR="009658CD" w:rsidRPr="00880ECD" w:rsidRDefault="009658CD" w:rsidP="00F63914">
      <w:pPr>
        <w:tabs>
          <w:tab w:val="left" w:pos="1260"/>
        </w:tabs>
        <w:spacing w:after="0" w:line="240" w:lineRule="auto"/>
        <w:ind w:firstLine="567"/>
        <w:jc w:val="both"/>
        <w:rPr>
          <w:rFonts w:ascii="Times New Roman" w:eastAsia="Times New Roman" w:hAnsi="Times New Roman" w:cs="Times New Roman"/>
          <w:b/>
          <w:bCs/>
          <w:sz w:val="28"/>
          <w:szCs w:val="28"/>
          <w:lang w:eastAsia="bg-BG"/>
        </w:rPr>
      </w:pPr>
      <w:r w:rsidRPr="00880ECD">
        <w:rPr>
          <w:rFonts w:ascii="Times New Roman" w:eastAsia="Times New Roman" w:hAnsi="Times New Roman" w:cs="Times New Roman"/>
          <w:b/>
          <w:bCs/>
          <w:sz w:val="28"/>
          <w:szCs w:val="28"/>
          <w:lang w:eastAsia="bg-BG"/>
        </w:rPr>
        <w:tab/>
      </w:r>
      <w:r w:rsidRPr="00880ECD">
        <w:rPr>
          <w:rFonts w:ascii="Times New Roman" w:eastAsia="Times New Roman" w:hAnsi="Times New Roman" w:cs="Times New Roman"/>
          <w:b/>
          <w:bCs/>
          <w:sz w:val="28"/>
          <w:szCs w:val="28"/>
          <w:lang w:eastAsia="bg-BG"/>
        </w:rPr>
        <w:tab/>
      </w:r>
      <w:r w:rsidRPr="00880ECD">
        <w:rPr>
          <w:rFonts w:ascii="Times New Roman" w:eastAsia="Times New Roman" w:hAnsi="Times New Roman" w:cs="Times New Roman"/>
          <w:b/>
          <w:bCs/>
          <w:sz w:val="28"/>
          <w:szCs w:val="28"/>
          <w:lang w:eastAsia="bg-BG"/>
        </w:rPr>
        <w:tab/>
      </w:r>
      <w:r w:rsidRPr="00880ECD">
        <w:rPr>
          <w:rFonts w:ascii="Times New Roman" w:eastAsia="Times New Roman" w:hAnsi="Times New Roman" w:cs="Times New Roman"/>
          <w:b/>
          <w:bCs/>
          <w:sz w:val="28"/>
          <w:szCs w:val="28"/>
          <w:lang w:eastAsia="bg-BG"/>
        </w:rPr>
        <w:tab/>
      </w:r>
      <w:r w:rsidRPr="00880ECD">
        <w:rPr>
          <w:rFonts w:ascii="Times New Roman" w:eastAsia="Times New Roman" w:hAnsi="Times New Roman" w:cs="Times New Roman"/>
          <w:b/>
          <w:bCs/>
          <w:sz w:val="28"/>
          <w:szCs w:val="28"/>
          <w:lang w:eastAsia="bg-BG"/>
        </w:rPr>
        <w:tab/>
        <w:t>Досъдебна фаза</w:t>
      </w:r>
    </w:p>
    <w:p w:rsidR="00C22CE6" w:rsidRDefault="009658CD" w:rsidP="00C22CE6">
      <w:pPr>
        <w:shd w:val="clear" w:color="auto" w:fill="FFFFFF"/>
        <w:spacing w:after="0" w:line="240" w:lineRule="auto"/>
        <w:ind w:firstLine="567"/>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През 2021 г. постъпващите в ОСлО – ВОП дела се разпределяха на принципа “случайност”, чрез модула за слу</w:t>
      </w:r>
      <w:r w:rsidR="00C22CE6">
        <w:rPr>
          <w:rFonts w:ascii="Times New Roman" w:eastAsia="Times New Roman" w:hAnsi="Times New Roman" w:cs="Times New Roman"/>
          <w:sz w:val="28"/>
          <w:szCs w:val="28"/>
          <w:lang w:eastAsia="bg-BG"/>
        </w:rPr>
        <w:t>чайно разпределение на УИС – 3</w:t>
      </w:r>
    </w:p>
    <w:p w:rsidR="009658CD" w:rsidRPr="00880ECD" w:rsidRDefault="009658CD" w:rsidP="00C22CE6">
      <w:pPr>
        <w:shd w:val="clear" w:color="auto" w:fill="FFFFFF"/>
        <w:spacing w:after="0" w:line="240" w:lineRule="auto"/>
        <w:ind w:firstLine="567"/>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 xml:space="preserve">През 2021 г. в ОСлО – ОП – Варна  са разследвани 595 ДП ( </w:t>
      </w:r>
      <w:r w:rsidRPr="00835D05">
        <w:rPr>
          <w:rFonts w:ascii="Times New Roman" w:eastAsia="Times New Roman" w:hAnsi="Times New Roman" w:cs="Times New Roman"/>
          <w:sz w:val="24"/>
          <w:szCs w:val="24"/>
          <w:highlight w:val="yellow"/>
          <w:lang w:eastAsia="bg-BG"/>
        </w:rPr>
        <w:t>при реално</w:t>
      </w:r>
      <w:r w:rsidRPr="00880ECD">
        <w:rPr>
          <w:rFonts w:ascii="Times New Roman" w:eastAsia="Times New Roman" w:hAnsi="Times New Roman" w:cs="Times New Roman"/>
          <w:sz w:val="24"/>
          <w:szCs w:val="24"/>
          <w:lang w:eastAsia="bg-BG"/>
        </w:rPr>
        <w:t xml:space="preserve"> работили 24,25 следователи</w:t>
      </w:r>
      <w:r w:rsidRPr="00880ECD">
        <w:rPr>
          <w:rFonts w:ascii="Times New Roman" w:eastAsia="Times New Roman" w:hAnsi="Times New Roman" w:cs="Times New Roman"/>
          <w:sz w:val="28"/>
          <w:szCs w:val="28"/>
          <w:lang w:eastAsia="bg-BG"/>
        </w:rPr>
        <w:t xml:space="preserve">), от тях срещу ИИ – 51 ДП, срещу НИ – 544 ДП, през 2020 г.  – 594 ДП ( </w:t>
      </w:r>
      <w:r w:rsidRPr="00880ECD">
        <w:rPr>
          <w:rFonts w:ascii="Times New Roman" w:eastAsia="Times New Roman" w:hAnsi="Times New Roman" w:cs="Times New Roman"/>
          <w:sz w:val="24"/>
          <w:szCs w:val="24"/>
          <w:lang w:eastAsia="bg-BG"/>
        </w:rPr>
        <w:t>при реално работили 22,92 следователи</w:t>
      </w:r>
      <w:r w:rsidRPr="00880ECD">
        <w:rPr>
          <w:rFonts w:ascii="Times New Roman" w:eastAsia="Times New Roman" w:hAnsi="Times New Roman" w:cs="Times New Roman"/>
          <w:sz w:val="28"/>
          <w:szCs w:val="28"/>
          <w:lang w:eastAsia="bg-BG"/>
        </w:rPr>
        <w:t>), и през 2019 г. –  583 ДП (</w:t>
      </w:r>
      <w:r w:rsidRPr="00880ECD">
        <w:rPr>
          <w:rFonts w:ascii="Times New Roman" w:eastAsia="Times New Roman" w:hAnsi="Times New Roman" w:cs="Times New Roman"/>
          <w:sz w:val="24"/>
          <w:szCs w:val="24"/>
          <w:lang w:eastAsia="bg-BG"/>
        </w:rPr>
        <w:t>при реално работили 22,42 следователи</w:t>
      </w:r>
      <w:r w:rsidRPr="00880ECD">
        <w:rPr>
          <w:rFonts w:ascii="Times New Roman" w:eastAsia="Times New Roman" w:hAnsi="Times New Roman" w:cs="Times New Roman"/>
          <w:sz w:val="28"/>
          <w:szCs w:val="28"/>
          <w:lang w:eastAsia="bg-BG"/>
        </w:rPr>
        <w:t xml:space="preserve">). </w:t>
      </w:r>
    </w:p>
    <w:p w:rsidR="009658CD" w:rsidRPr="00880ECD" w:rsidRDefault="009658CD" w:rsidP="00F63914">
      <w:pPr>
        <w:spacing w:after="0" w:line="240" w:lineRule="auto"/>
        <w:ind w:firstLine="900"/>
        <w:jc w:val="both"/>
        <w:rPr>
          <w:rFonts w:ascii="Times New Roman" w:eastAsia="Times New Roman" w:hAnsi="Times New Roman" w:cs="Times New Roman"/>
          <w:sz w:val="28"/>
          <w:szCs w:val="28"/>
          <w:lang w:val="ru-RU" w:eastAsia="bg-BG"/>
        </w:rPr>
      </w:pPr>
      <w:r w:rsidRPr="00880ECD">
        <w:rPr>
          <w:rFonts w:ascii="Times New Roman" w:eastAsia="Times New Roman" w:hAnsi="Times New Roman" w:cs="Times New Roman"/>
          <w:sz w:val="28"/>
          <w:szCs w:val="28"/>
          <w:lang w:eastAsia="bg-BG"/>
        </w:rPr>
        <w:t>В таблицата по-долу показваме реда на постъпването на делата през 2021 г. и в сравнителен план с предходните отчетни периоди 2019 и 2020 г.</w:t>
      </w:r>
    </w:p>
    <w:p w:rsidR="00C22CE6" w:rsidRDefault="00C22CE6" w:rsidP="00F63914">
      <w:pPr>
        <w:spacing w:after="0" w:line="240" w:lineRule="auto"/>
        <w:jc w:val="center"/>
        <w:rPr>
          <w:rFonts w:ascii="Times New Roman" w:eastAsia="Times New Roman" w:hAnsi="Times New Roman" w:cs="Times New Roman"/>
          <w:b/>
          <w:bCs/>
          <w:sz w:val="36"/>
          <w:szCs w:val="36"/>
          <w:lang w:eastAsia="bg-BG"/>
        </w:rPr>
      </w:pPr>
    </w:p>
    <w:p w:rsidR="009658CD" w:rsidRPr="00880ECD" w:rsidRDefault="009658CD" w:rsidP="00F63914">
      <w:pPr>
        <w:spacing w:after="0" w:line="240" w:lineRule="auto"/>
        <w:jc w:val="center"/>
        <w:rPr>
          <w:rFonts w:ascii="Times New Roman" w:eastAsia="Times New Roman" w:hAnsi="Times New Roman" w:cs="Times New Roman"/>
          <w:b/>
          <w:bCs/>
          <w:sz w:val="36"/>
          <w:szCs w:val="36"/>
          <w:lang w:eastAsia="bg-BG"/>
        </w:rPr>
      </w:pPr>
      <w:r w:rsidRPr="00880ECD">
        <w:rPr>
          <w:rFonts w:ascii="Times New Roman" w:eastAsia="Times New Roman" w:hAnsi="Times New Roman" w:cs="Times New Roman"/>
          <w:b/>
          <w:bCs/>
          <w:sz w:val="36"/>
          <w:szCs w:val="36"/>
          <w:lang w:eastAsia="bg-BG"/>
        </w:rPr>
        <w:t xml:space="preserve">Вид на досъдебни производства, разследвани </w:t>
      </w:r>
    </w:p>
    <w:p w:rsidR="009658CD" w:rsidRPr="00880ECD" w:rsidRDefault="009658CD" w:rsidP="00F63914">
      <w:pPr>
        <w:spacing w:after="0" w:line="240" w:lineRule="auto"/>
        <w:jc w:val="center"/>
        <w:rPr>
          <w:rFonts w:ascii="Times New Roman" w:eastAsia="Times New Roman" w:hAnsi="Times New Roman" w:cs="Times New Roman"/>
          <w:b/>
          <w:bCs/>
          <w:sz w:val="36"/>
          <w:szCs w:val="36"/>
          <w:lang w:eastAsia="bg-BG"/>
        </w:rPr>
      </w:pPr>
      <w:r w:rsidRPr="00880ECD">
        <w:rPr>
          <w:rFonts w:ascii="Times New Roman" w:eastAsia="Times New Roman" w:hAnsi="Times New Roman" w:cs="Times New Roman"/>
          <w:b/>
          <w:bCs/>
          <w:sz w:val="36"/>
          <w:szCs w:val="36"/>
          <w:lang w:eastAsia="bg-BG"/>
        </w:rPr>
        <w:t>в ОСлО – ВОП</w:t>
      </w:r>
    </w:p>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p>
    <w:p w:rsidR="009658CD" w:rsidRPr="00880ECD" w:rsidRDefault="009658CD" w:rsidP="00F63914">
      <w:pPr>
        <w:spacing w:after="0" w:line="240" w:lineRule="auto"/>
        <w:jc w:val="both"/>
        <w:rPr>
          <w:rFonts w:ascii="Times New Roman" w:eastAsia="Times New Roman" w:hAnsi="Times New Roman" w:cs="Times New Roman"/>
          <w:sz w:val="24"/>
          <w:szCs w:val="24"/>
          <w:lang w:val="en-US" w:eastAsia="bg-BG"/>
        </w:rPr>
      </w:pPr>
      <w:r w:rsidRPr="00880ECD">
        <w:rPr>
          <w:rFonts w:ascii="Times New Roman" w:eastAsia="Times New Roman" w:hAnsi="Times New Roman" w:cs="Times New Roman"/>
          <w:noProof/>
          <w:sz w:val="24"/>
          <w:szCs w:val="24"/>
          <w:lang w:eastAsia="bg-BG"/>
        </w:rPr>
        <w:lastRenderedPageBreak/>
        <w:drawing>
          <wp:inline distT="0" distB="0" distL="0" distR="0" wp14:anchorId="234145EE" wp14:editId="1A248053">
            <wp:extent cx="5972810" cy="2921635"/>
            <wp:effectExtent l="0" t="0" r="27940" b="12065"/>
            <wp:docPr id="37" name="Диагра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658CD" w:rsidRPr="00880ECD" w:rsidRDefault="009658CD" w:rsidP="00F63914">
      <w:pPr>
        <w:spacing w:after="0" w:line="240" w:lineRule="auto"/>
        <w:jc w:val="both"/>
        <w:rPr>
          <w:rFonts w:ascii="Times New Roman" w:eastAsia="Times New Roman" w:hAnsi="Times New Roman" w:cs="Times New Roman"/>
          <w:sz w:val="24"/>
          <w:szCs w:val="24"/>
          <w:lang w:val="en-US" w:eastAsia="bg-BG"/>
        </w:rPr>
      </w:pPr>
    </w:p>
    <w:p w:rsidR="009658CD" w:rsidRPr="00880ECD" w:rsidRDefault="009658CD" w:rsidP="00F63914">
      <w:pPr>
        <w:spacing w:after="0" w:line="240" w:lineRule="auto"/>
        <w:jc w:val="both"/>
        <w:rPr>
          <w:rFonts w:ascii="Bookman Old Style" w:eastAsia="Times New Roman" w:hAnsi="Bookman Old Style" w:cs="Bookman Old Style"/>
          <w:sz w:val="24"/>
          <w:szCs w:val="24"/>
          <w:lang w:val="en-US" w:eastAsia="bg-BG"/>
        </w:rPr>
      </w:pPr>
      <w:r w:rsidRPr="00880ECD">
        <w:rPr>
          <w:rFonts w:ascii="Times New Roman" w:eastAsia="Times New Roman" w:hAnsi="Times New Roman" w:cs="Times New Roman"/>
          <w:noProof/>
          <w:sz w:val="24"/>
          <w:szCs w:val="24"/>
          <w:lang w:eastAsia="bg-BG"/>
        </w:rPr>
        <w:drawing>
          <wp:inline distT="0" distB="0" distL="0" distR="0" wp14:anchorId="055BA0DC" wp14:editId="2736CDF2">
            <wp:extent cx="5972810" cy="3578860"/>
            <wp:effectExtent l="0" t="0" r="27940" b="21590"/>
            <wp:docPr id="38" name="Диагра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658CD" w:rsidRPr="00880ECD" w:rsidRDefault="009658CD" w:rsidP="00F63914">
      <w:pPr>
        <w:spacing w:after="0" w:line="240" w:lineRule="auto"/>
        <w:jc w:val="both"/>
        <w:rPr>
          <w:rFonts w:ascii="Times New Roman" w:eastAsia="Times New Roman" w:hAnsi="Times New Roman" w:cs="Times New Roman"/>
          <w:sz w:val="28"/>
          <w:szCs w:val="28"/>
          <w:lang w:val="en-US" w:eastAsia="bg-BG"/>
        </w:rPr>
      </w:pPr>
    </w:p>
    <w:p w:rsidR="009658CD" w:rsidRPr="00880ECD" w:rsidRDefault="009658CD" w:rsidP="00F63914">
      <w:pPr>
        <w:spacing w:after="0" w:line="240" w:lineRule="auto"/>
        <w:ind w:firstLine="902"/>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През отчетната година Окръжна прокуратура е наблюдавала 251 ДП, 166 бр., от които са били останали в края на предходния отчетен период. Районна прокуратура – Варна е наблюдавала общо 319  ДП, като 166 бр. от тях са били на производство в ОСлО – ОП – Варна в предходния отчетен период. Териториално отделение Девня е наблюдавало 13 бр., от които 7 бр. от предходния период. Териториално отделение Провадия е наблюдавала общо по 12 ДП, като 6 ДП са наблюдавали в предходен период.</w:t>
      </w:r>
    </w:p>
    <w:p w:rsidR="009658CD" w:rsidRPr="00880ECD" w:rsidRDefault="009658CD" w:rsidP="00F63914">
      <w:pPr>
        <w:spacing w:after="0" w:line="240" w:lineRule="auto"/>
        <w:ind w:firstLine="902"/>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Общо възобновените досъдебни производства през 2021 г. –  93</w:t>
      </w:r>
      <w:r w:rsidRPr="00880ECD">
        <w:rPr>
          <w:rFonts w:ascii="Times New Roman" w:eastAsia="Times New Roman" w:hAnsi="Times New Roman" w:cs="Times New Roman"/>
          <w:sz w:val="28"/>
          <w:szCs w:val="28"/>
          <w:lang w:eastAsia="bg-BG"/>
        </w:rPr>
        <w:t xml:space="preserve"> </w:t>
      </w:r>
    </w:p>
    <w:p w:rsidR="009658CD" w:rsidRPr="00880ECD" w:rsidRDefault="009658CD" w:rsidP="00F63914">
      <w:pPr>
        <w:spacing w:after="0" w:line="240" w:lineRule="auto"/>
        <w:ind w:firstLine="902"/>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От възобновените производства през 2021 г. към 31.12.2021 г. са приключени 63 ДП.</w:t>
      </w:r>
    </w:p>
    <w:p w:rsidR="009658CD" w:rsidRPr="00880ECD" w:rsidRDefault="009658CD" w:rsidP="00F63914">
      <w:pPr>
        <w:spacing w:after="0" w:line="240" w:lineRule="auto"/>
        <w:ind w:firstLine="902"/>
        <w:jc w:val="both"/>
        <w:rPr>
          <w:rFonts w:ascii="Times New Roman" w:eastAsia="Times New Roman" w:hAnsi="Times New Roman" w:cs="Times New Roman"/>
          <w:sz w:val="12"/>
          <w:szCs w:val="12"/>
          <w:lang w:eastAsia="bg-BG"/>
        </w:rPr>
      </w:pPr>
    </w:p>
    <w:p w:rsidR="009658CD" w:rsidRPr="00880ECD" w:rsidRDefault="009658CD" w:rsidP="00F63914">
      <w:pPr>
        <w:tabs>
          <w:tab w:val="decimal" w:pos="4140"/>
        </w:tabs>
        <w:spacing w:after="0" w:line="240" w:lineRule="auto"/>
        <w:jc w:val="center"/>
        <w:rPr>
          <w:rFonts w:ascii="Times New Roman" w:eastAsia="Times New Roman" w:hAnsi="Times New Roman" w:cs="Times New Roman"/>
          <w:i/>
          <w:iCs/>
          <w:sz w:val="24"/>
          <w:szCs w:val="24"/>
          <w:lang w:eastAsia="bg-BG"/>
        </w:rPr>
      </w:pPr>
      <w:r w:rsidRPr="00880ECD">
        <w:rPr>
          <w:rFonts w:ascii="Times New Roman" w:eastAsia="Times New Roman" w:hAnsi="Times New Roman" w:cs="Times New Roman"/>
          <w:i/>
          <w:iCs/>
          <w:sz w:val="24"/>
          <w:szCs w:val="24"/>
          <w:lang w:eastAsia="bg-BG"/>
        </w:rPr>
        <w:lastRenderedPageBreak/>
        <w:t>ТАБЛИЦА</w:t>
      </w:r>
    </w:p>
    <w:p w:rsidR="009658CD" w:rsidRPr="00880ECD" w:rsidRDefault="009658CD" w:rsidP="00F63914">
      <w:pPr>
        <w:spacing w:after="0" w:line="240" w:lineRule="auto"/>
        <w:jc w:val="center"/>
        <w:rPr>
          <w:rFonts w:ascii="Times New Roman" w:eastAsia="Times New Roman" w:hAnsi="Times New Roman" w:cs="Times New Roman"/>
          <w:i/>
          <w:iCs/>
          <w:sz w:val="24"/>
          <w:szCs w:val="24"/>
          <w:lang w:val="ru-RU" w:eastAsia="bg-BG"/>
        </w:rPr>
      </w:pPr>
      <w:r w:rsidRPr="00880ECD">
        <w:rPr>
          <w:rFonts w:ascii="Times New Roman" w:eastAsia="Times New Roman" w:hAnsi="Times New Roman" w:cs="Times New Roman"/>
          <w:i/>
          <w:iCs/>
          <w:sz w:val="24"/>
          <w:szCs w:val="24"/>
          <w:lang w:eastAsia="bg-BG"/>
        </w:rPr>
        <w:t xml:space="preserve">за разследваните и приключени дела през 2021 г. по текстове от НК, с посочено сравнение за броя на делата на </w:t>
      </w:r>
      <w:r w:rsidRPr="00880ECD">
        <w:rPr>
          <w:rFonts w:ascii="Times New Roman" w:eastAsia="Times New Roman" w:hAnsi="Times New Roman" w:cs="Times New Roman"/>
          <w:b/>
          <w:i/>
          <w:iCs/>
          <w:sz w:val="24"/>
          <w:szCs w:val="24"/>
          <w:lang w:eastAsia="bg-BG"/>
        </w:rPr>
        <w:t>производство</w:t>
      </w:r>
      <w:r w:rsidRPr="00880ECD">
        <w:rPr>
          <w:rFonts w:ascii="Times New Roman" w:eastAsia="Times New Roman" w:hAnsi="Times New Roman" w:cs="Times New Roman"/>
          <w:i/>
          <w:iCs/>
          <w:sz w:val="24"/>
          <w:szCs w:val="24"/>
          <w:lang w:eastAsia="bg-BG"/>
        </w:rPr>
        <w:t xml:space="preserve"> и за приключените дела с 2020 г. и 2019 г.</w:t>
      </w:r>
    </w:p>
    <w:tbl>
      <w:tblPr>
        <w:tblW w:w="11248"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99"/>
        <w:gridCol w:w="1279"/>
        <w:gridCol w:w="632"/>
        <w:gridCol w:w="546"/>
        <w:gridCol w:w="538"/>
        <w:gridCol w:w="538"/>
        <w:gridCol w:w="472"/>
        <w:gridCol w:w="562"/>
        <w:gridCol w:w="627"/>
        <w:gridCol w:w="665"/>
        <w:gridCol w:w="614"/>
        <w:gridCol w:w="592"/>
        <w:gridCol w:w="40"/>
        <w:gridCol w:w="633"/>
        <w:gridCol w:w="581"/>
        <w:gridCol w:w="733"/>
        <w:gridCol w:w="537"/>
        <w:gridCol w:w="562"/>
        <w:gridCol w:w="598"/>
      </w:tblGrid>
      <w:tr w:rsidR="009658CD" w:rsidRPr="00880ECD" w:rsidTr="009658CD">
        <w:trPr>
          <w:trHeight w:val="2052"/>
          <w:tblCellSpacing w:w="20" w:type="dxa"/>
          <w:jc w:val="center"/>
        </w:trPr>
        <w:tc>
          <w:tcPr>
            <w:tcW w:w="439"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ред от сведението</w:t>
            </w:r>
          </w:p>
        </w:tc>
        <w:tc>
          <w:tcPr>
            <w:tcW w:w="1239"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вид престъпление</w:t>
            </w:r>
          </w:p>
        </w:tc>
        <w:tc>
          <w:tcPr>
            <w:tcW w:w="592"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неприключени в началото на 2021</w:t>
            </w:r>
          </w:p>
        </w:tc>
        <w:tc>
          <w:tcPr>
            <w:tcW w:w="506"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нови</w:t>
            </w:r>
          </w:p>
        </w:tc>
        <w:tc>
          <w:tcPr>
            <w:tcW w:w="498"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roofErr w:type="spellStart"/>
            <w:r w:rsidRPr="00880ECD">
              <w:rPr>
                <w:rFonts w:ascii="Times New Roman" w:eastAsia="Times New Roman" w:hAnsi="Times New Roman" w:cs="Times New Roman"/>
                <w:b/>
                <w:bCs/>
                <w:sz w:val="16"/>
                <w:szCs w:val="16"/>
                <w:lang w:eastAsia="bg-BG"/>
              </w:rPr>
              <w:t>превъзложени</w:t>
            </w:r>
            <w:proofErr w:type="spellEnd"/>
          </w:p>
        </w:tc>
        <w:tc>
          <w:tcPr>
            <w:tcW w:w="498"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възобновени</w:t>
            </w:r>
          </w:p>
        </w:tc>
        <w:tc>
          <w:tcPr>
            <w:tcW w:w="432"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върнати</w:t>
            </w:r>
          </w:p>
        </w:tc>
        <w:tc>
          <w:tcPr>
            <w:tcW w:w="522" w:type="dxa"/>
            <w:shd w:val="clear" w:color="auto" w:fill="F2F2F2"/>
            <w:textDirection w:val="btL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всичко на производство, през 2021</w:t>
            </w:r>
          </w:p>
        </w:tc>
        <w:tc>
          <w:tcPr>
            <w:tcW w:w="587"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b/>
                <w:bCs/>
                <w:sz w:val="16"/>
                <w:szCs w:val="16"/>
                <w:lang w:eastAsia="bg-BG"/>
              </w:rPr>
              <w:t>всичко на производство, през 2020</w:t>
            </w:r>
          </w:p>
        </w:tc>
        <w:tc>
          <w:tcPr>
            <w:tcW w:w="625"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всичко на производство през 2019</w:t>
            </w:r>
          </w:p>
        </w:tc>
        <w:tc>
          <w:tcPr>
            <w:tcW w:w="574"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 xml:space="preserve">приключени с </w:t>
            </w:r>
            <w:proofErr w:type="spellStart"/>
            <w:r w:rsidRPr="00880ECD">
              <w:rPr>
                <w:rFonts w:ascii="Times New Roman" w:eastAsia="Times New Roman" w:hAnsi="Times New Roman" w:cs="Times New Roman"/>
                <w:b/>
                <w:bCs/>
                <w:sz w:val="16"/>
                <w:szCs w:val="16"/>
                <w:lang w:eastAsia="bg-BG"/>
              </w:rPr>
              <w:t>обвин</w:t>
            </w:r>
            <w:proofErr w:type="spellEnd"/>
            <w:r w:rsidRPr="00880ECD">
              <w:rPr>
                <w:rFonts w:ascii="Times New Roman" w:eastAsia="Times New Roman" w:hAnsi="Times New Roman" w:cs="Times New Roman"/>
                <w:b/>
                <w:bCs/>
                <w:sz w:val="16"/>
                <w:szCs w:val="16"/>
                <w:lang w:eastAsia="bg-BG"/>
              </w:rPr>
              <w:t>. мнение</w:t>
            </w:r>
          </w:p>
        </w:tc>
        <w:tc>
          <w:tcPr>
            <w:tcW w:w="552" w:type="dxa"/>
            <w:shd w:val="clear" w:color="auto" w:fill="F2F2F2"/>
            <w:vAlign w:val="center"/>
          </w:tcPr>
          <w:p w:rsidR="009658CD" w:rsidRPr="00880ECD" w:rsidRDefault="009658CD" w:rsidP="00F63914">
            <w:pPr>
              <w:spacing w:after="0" w:line="240" w:lineRule="auto"/>
              <w:ind w:right="-70"/>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243 НПК</w:t>
            </w:r>
          </w:p>
        </w:tc>
        <w:tc>
          <w:tcPr>
            <w:tcW w:w="633" w:type="dxa"/>
            <w:gridSpan w:val="2"/>
            <w:shd w:val="clear" w:color="auto" w:fill="F2F2F2"/>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244 НПК</w:t>
            </w:r>
          </w:p>
        </w:tc>
        <w:tc>
          <w:tcPr>
            <w:tcW w:w="541" w:type="dxa"/>
            <w:shd w:val="clear" w:color="auto" w:fill="F2F2F2"/>
            <w:textDirection w:val="btL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всичко приключени 2021</w:t>
            </w:r>
          </w:p>
        </w:tc>
        <w:tc>
          <w:tcPr>
            <w:tcW w:w="693"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b/>
                <w:bCs/>
                <w:sz w:val="16"/>
                <w:szCs w:val="16"/>
                <w:lang w:eastAsia="bg-BG"/>
              </w:rPr>
              <w:t>всичко приключени 2020</w:t>
            </w:r>
          </w:p>
        </w:tc>
        <w:tc>
          <w:tcPr>
            <w:tcW w:w="497"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всичко приключени 2019</w:t>
            </w:r>
          </w:p>
        </w:tc>
        <w:tc>
          <w:tcPr>
            <w:tcW w:w="522" w:type="dxa"/>
            <w:shd w:val="clear" w:color="auto" w:fill="F2F2F2"/>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изпратени на друго поделение</w:t>
            </w:r>
          </w:p>
        </w:tc>
        <w:tc>
          <w:tcPr>
            <w:tcW w:w="538" w:type="dxa"/>
            <w:shd w:val="clear" w:color="auto" w:fill="F2F2F2"/>
            <w:textDirection w:val="btL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останали неприключени в края на 2021</w:t>
            </w:r>
          </w:p>
        </w:tc>
      </w:tr>
      <w:tr w:rsidR="009658CD" w:rsidRPr="00880ECD" w:rsidTr="009658CD">
        <w:trPr>
          <w:trHeight w:val="450"/>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чл.95-114</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r>
      <w:tr w:rsidR="009658CD" w:rsidRPr="00880ECD" w:rsidTr="009658CD">
        <w:trPr>
          <w:trHeight w:val="482"/>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чл.115-161</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72</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26</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14</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15</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133</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133</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136</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37</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16</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60</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58</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67</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69</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3</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 162-175</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17</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17</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20</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9</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4</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чл.176-193а</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4</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5</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чл.194-218в</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102</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26</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27</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181</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160</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158</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21</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31</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36</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88</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61</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57</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85</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6</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чл.219-252</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44</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67</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74</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66</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14</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32</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29</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19</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33</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7</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чл.253-260</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68</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12</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15</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104</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108</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109</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12</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14</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12</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38</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35</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25</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66</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8</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чл.269-307а</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21</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12</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37</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38</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38</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12</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17</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17</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13</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9</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чл.308-319</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33</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11</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62</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55</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54</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19</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37</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31</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16</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26</w:t>
            </w:r>
          </w:p>
        </w:tc>
      </w:tr>
      <w:tr w:rsidR="009658CD" w:rsidRPr="00880ECD" w:rsidTr="009658CD">
        <w:trPr>
          <w:trHeight w:val="492"/>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10</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 319а-319е</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val="en-US" w:eastAsia="bg-BG"/>
              </w:rPr>
              <w:t>1</w:t>
            </w:r>
            <w:r w:rsidRPr="00880ECD">
              <w:rPr>
                <w:rFonts w:ascii="Times New Roman" w:eastAsia="Times New Roman" w:hAnsi="Times New Roman" w:cs="Times New Roman"/>
                <w:b/>
                <w:bCs/>
                <w:sz w:val="16"/>
                <w:szCs w:val="16"/>
                <w:lang w:eastAsia="bg-BG"/>
              </w:rPr>
              <w:t>1</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 320-329</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12</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 330-356й</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18</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9</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43</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43</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46</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11</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11</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24</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27</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23</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15</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13</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 357-370</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r>
      <w:tr w:rsidR="009658CD" w:rsidRPr="00880ECD" w:rsidTr="009658CD">
        <w:trPr>
          <w:trHeight w:val="25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14</w:t>
            </w:r>
          </w:p>
        </w:tc>
        <w:tc>
          <w:tcPr>
            <w:tcW w:w="1239" w:type="dxa"/>
            <w:shd w:val="clear" w:color="auto" w:fill="F2F2F2"/>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чл.371-406</w:t>
            </w:r>
          </w:p>
        </w:tc>
        <w:tc>
          <w:tcPr>
            <w:tcW w:w="59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06"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9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43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58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625"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74"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92" w:type="dxa"/>
            <w:gridSpan w:val="2"/>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w:t>
            </w:r>
          </w:p>
        </w:tc>
        <w:tc>
          <w:tcPr>
            <w:tcW w:w="5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41"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693"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497"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22"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c>
          <w:tcPr>
            <w:tcW w:w="538"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0</w:t>
            </w:r>
          </w:p>
        </w:tc>
      </w:tr>
      <w:tr w:rsidR="009658CD" w:rsidRPr="00880ECD" w:rsidTr="009658CD">
        <w:trPr>
          <w:trHeight w:val="345"/>
          <w:tblCellSpacing w:w="20" w:type="dxa"/>
          <w:jc w:val="center"/>
        </w:trPr>
        <w:tc>
          <w:tcPr>
            <w:tcW w:w="439" w:type="dxa"/>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p>
        </w:tc>
        <w:tc>
          <w:tcPr>
            <w:tcW w:w="1239"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всичко</w:t>
            </w:r>
          </w:p>
        </w:tc>
        <w:tc>
          <w:tcPr>
            <w:tcW w:w="592"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392</w:t>
            </w:r>
          </w:p>
        </w:tc>
        <w:tc>
          <w:tcPr>
            <w:tcW w:w="506"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97</w:t>
            </w:r>
          </w:p>
        </w:tc>
        <w:tc>
          <w:tcPr>
            <w:tcW w:w="498"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88</w:t>
            </w:r>
          </w:p>
        </w:tc>
        <w:tc>
          <w:tcPr>
            <w:tcW w:w="498"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80</w:t>
            </w:r>
          </w:p>
        </w:tc>
        <w:tc>
          <w:tcPr>
            <w:tcW w:w="432"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20</w:t>
            </w:r>
          </w:p>
        </w:tc>
        <w:tc>
          <w:tcPr>
            <w:tcW w:w="522"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677</w:t>
            </w:r>
          </w:p>
        </w:tc>
        <w:tc>
          <w:tcPr>
            <w:tcW w:w="587"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655</w:t>
            </w:r>
          </w:p>
        </w:tc>
        <w:tc>
          <w:tcPr>
            <w:tcW w:w="625"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633</w:t>
            </w:r>
          </w:p>
        </w:tc>
        <w:tc>
          <w:tcPr>
            <w:tcW w:w="574"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88</w:t>
            </w:r>
          </w:p>
        </w:tc>
        <w:tc>
          <w:tcPr>
            <w:tcW w:w="592" w:type="dxa"/>
            <w:gridSpan w:val="2"/>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139</w:t>
            </w:r>
          </w:p>
        </w:tc>
        <w:tc>
          <w:tcPr>
            <w:tcW w:w="593"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97</w:t>
            </w:r>
          </w:p>
        </w:tc>
        <w:tc>
          <w:tcPr>
            <w:tcW w:w="541"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324</w:t>
            </w:r>
          </w:p>
        </w:tc>
        <w:tc>
          <w:tcPr>
            <w:tcW w:w="693"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268</w:t>
            </w:r>
          </w:p>
        </w:tc>
        <w:tc>
          <w:tcPr>
            <w:tcW w:w="497"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230</w:t>
            </w:r>
          </w:p>
        </w:tc>
        <w:tc>
          <w:tcPr>
            <w:tcW w:w="522"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22</w:t>
            </w:r>
          </w:p>
        </w:tc>
        <w:tc>
          <w:tcPr>
            <w:tcW w:w="538" w:type="dxa"/>
            <w:shd w:val="clear" w:color="auto" w:fill="BFBFBF"/>
            <w:vAlign w:val="center"/>
          </w:tcPr>
          <w:p w:rsidR="009658CD" w:rsidRPr="00880ECD" w:rsidRDefault="009658CD" w:rsidP="00F63914">
            <w:pPr>
              <w:spacing w:before="240"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334</w:t>
            </w:r>
          </w:p>
        </w:tc>
      </w:tr>
    </w:tbl>
    <w:p w:rsidR="009658CD" w:rsidRPr="00880ECD" w:rsidRDefault="009658CD" w:rsidP="00F63914">
      <w:pPr>
        <w:spacing w:after="0" w:line="240" w:lineRule="auto"/>
        <w:rPr>
          <w:rFonts w:ascii="Times New Roman" w:eastAsia="Times New Roman" w:hAnsi="Times New Roman" w:cs="Times New Roman"/>
          <w:sz w:val="28"/>
          <w:szCs w:val="28"/>
          <w:lang w:eastAsia="bg-BG"/>
        </w:rPr>
      </w:pPr>
    </w:p>
    <w:p w:rsidR="009658CD" w:rsidRDefault="009658CD" w:rsidP="00F63914">
      <w:pPr>
        <w:spacing w:after="0" w:line="240" w:lineRule="auto"/>
        <w:jc w:val="center"/>
        <w:rPr>
          <w:rFonts w:ascii="Times New Roman" w:eastAsia="Times New Roman" w:hAnsi="Times New Roman" w:cs="Times New Roman"/>
          <w:sz w:val="28"/>
          <w:szCs w:val="28"/>
          <w:lang w:eastAsia="bg-BG"/>
        </w:rPr>
      </w:pPr>
    </w:p>
    <w:p w:rsidR="00C22CE6" w:rsidRDefault="00C22CE6" w:rsidP="00F63914">
      <w:pPr>
        <w:spacing w:after="0" w:line="240" w:lineRule="auto"/>
        <w:jc w:val="center"/>
        <w:rPr>
          <w:rFonts w:ascii="Times New Roman" w:eastAsia="Times New Roman" w:hAnsi="Times New Roman" w:cs="Times New Roman"/>
          <w:sz w:val="28"/>
          <w:szCs w:val="28"/>
          <w:lang w:eastAsia="bg-BG"/>
        </w:rPr>
      </w:pPr>
    </w:p>
    <w:p w:rsidR="00C22CE6" w:rsidRDefault="00C22CE6" w:rsidP="00F63914">
      <w:pPr>
        <w:spacing w:after="0" w:line="240" w:lineRule="auto"/>
        <w:jc w:val="center"/>
        <w:rPr>
          <w:rFonts w:ascii="Times New Roman" w:eastAsia="Times New Roman" w:hAnsi="Times New Roman" w:cs="Times New Roman"/>
          <w:sz w:val="28"/>
          <w:szCs w:val="28"/>
          <w:lang w:eastAsia="bg-BG"/>
        </w:rPr>
      </w:pPr>
    </w:p>
    <w:p w:rsidR="00C22CE6" w:rsidRDefault="00C22CE6" w:rsidP="00F63914">
      <w:pPr>
        <w:spacing w:after="0" w:line="240" w:lineRule="auto"/>
        <w:jc w:val="center"/>
        <w:rPr>
          <w:rFonts w:ascii="Times New Roman" w:eastAsia="Times New Roman" w:hAnsi="Times New Roman" w:cs="Times New Roman"/>
          <w:sz w:val="28"/>
          <w:szCs w:val="28"/>
          <w:lang w:eastAsia="bg-BG"/>
        </w:rPr>
      </w:pPr>
    </w:p>
    <w:p w:rsidR="00C22CE6" w:rsidRDefault="00C22CE6" w:rsidP="00F63914">
      <w:pPr>
        <w:spacing w:after="0" w:line="240" w:lineRule="auto"/>
        <w:jc w:val="center"/>
        <w:rPr>
          <w:rFonts w:ascii="Times New Roman" w:eastAsia="Times New Roman" w:hAnsi="Times New Roman" w:cs="Times New Roman"/>
          <w:sz w:val="28"/>
          <w:szCs w:val="28"/>
          <w:lang w:eastAsia="bg-BG"/>
        </w:rPr>
      </w:pPr>
    </w:p>
    <w:p w:rsidR="00C22CE6" w:rsidRPr="00880ECD" w:rsidRDefault="00C22CE6" w:rsidP="00F63914">
      <w:pPr>
        <w:spacing w:after="0" w:line="240" w:lineRule="auto"/>
        <w:jc w:val="center"/>
        <w:rPr>
          <w:rFonts w:ascii="Times New Roman" w:eastAsia="Times New Roman" w:hAnsi="Times New Roman" w:cs="Times New Roman"/>
          <w:sz w:val="28"/>
          <w:szCs w:val="28"/>
          <w:lang w:eastAsia="bg-BG"/>
        </w:rPr>
      </w:pPr>
    </w:p>
    <w:tbl>
      <w:tblPr>
        <w:tblW w:w="0" w:type="auto"/>
        <w:tblInd w:w="-8" w:type="dxa"/>
        <w:tblCellMar>
          <w:left w:w="10" w:type="dxa"/>
          <w:right w:w="10" w:type="dxa"/>
        </w:tblCellMar>
        <w:tblLook w:val="0000" w:firstRow="0" w:lastRow="0" w:firstColumn="0" w:lastColumn="0" w:noHBand="0" w:noVBand="0"/>
      </w:tblPr>
      <w:tblGrid>
        <w:gridCol w:w="650"/>
        <w:gridCol w:w="2960"/>
        <w:gridCol w:w="2046"/>
        <w:gridCol w:w="1995"/>
        <w:gridCol w:w="2015"/>
      </w:tblGrid>
      <w:tr w:rsidR="009658CD" w:rsidRPr="00880ECD" w:rsidTr="009658CD">
        <w:tc>
          <w:tcPr>
            <w:tcW w:w="9666" w:type="dxa"/>
            <w:gridSpan w:val="5"/>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48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ДИНАМИКА НА РАЗСЛЕДВАНЕТО ПО ОСНОВНИ СЛЕДСТВЕНИ ПОКАЗАТЕЛИ</w:t>
            </w:r>
          </w:p>
        </w:tc>
      </w:tr>
      <w:tr w:rsidR="009658CD" w:rsidRPr="00880ECD" w:rsidTr="009658CD">
        <w:tc>
          <w:tcPr>
            <w:tcW w:w="650" w:type="dxa"/>
            <w:vMerge w:val="restart"/>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Segoe UI Symbol" w:eastAsia="Times New Roman" w:hAnsi="Segoe UI Symbol" w:cs="Segoe UI Symbol"/>
                <w:color w:val="000000"/>
                <w:sz w:val="20"/>
                <w:szCs w:val="20"/>
                <w:lang w:eastAsia="bg-BG"/>
              </w:rPr>
              <w:t>№</w:t>
            </w:r>
            <w:r w:rsidRPr="00880ECD">
              <w:rPr>
                <w:rFonts w:ascii="Arial" w:eastAsia="Times New Roman" w:hAnsi="Arial" w:cs="Arial"/>
                <w:color w:val="000000"/>
                <w:sz w:val="20"/>
                <w:szCs w:val="20"/>
                <w:lang w:eastAsia="bg-BG"/>
              </w:rPr>
              <w:t xml:space="preserve"> по ред</w:t>
            </w:r>
          </w:p>
        </w:tc>
        <w:tc>
          <w:tcPr>
            <w:tcW w:w="2960" w:type="dxa"/>
            <w:vMerge w:val="restart"/>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Основни показатели</w:t>
            </w:r>
          </w:p>
        </w:tc>
        <w:tc>
          <w:tcPr>
            <w:tcW w:w="2046"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2019</w:t>
            </w:r>
          </w:p>
        </w:tc>
        <w:tc>
          <w:tcPr>
            <w:tcW w:w="1995"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2020</w:t>
            </w:r>
          </w:p>
        </w:tc>
        <w:tc>
          <w:tcPr>
            <w:tcW w:w="2015"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2021</w:t>
            </w:r>
          </w:p>
        </w:tc>
      </w:tr>
      <w:tr w:rsidR="009658CD" w:rsidRPr="00880ECD" w:rsidTr="009658CD">
        <w:tc>
          <w:tcPr>
            <w:tcW w:w="650" w:type="dxa"/>
            <w:vMerge/>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p>
        </w:tc>
        <w:tc>
          <w:tcPr>
            <w:tcW w:w="2960" w:type="dxa"/>
            <w:vMerge/>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p>
        </w:tc>
        <w:tc>
          <w:tcPr>
            <w:tcW w:w="2046"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година</w:t>
            </w:r>
          </w:p>
        </w:tc>
        <w:tc>
          <w:tcPr>
            <w:tcW w:w="1995"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година</w:t>
            </w:r>
          </w:p>
        </w:tc>
        <w:tc>
          <w:tcPr>
            <w:tcW w:w="2015"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година</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Останали неприключени от минал период</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307</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351</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345</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lastRenderedPageBreak/>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52.66%</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59.09%</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57.98%</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Новообразувани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220</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187</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Verdana" w:eastAsia="Times New Roman" w:hAnsi="Verdana" w:cs="Verdana"/>
                <w:b/>
                <w:bCs/>
                <w:color w:val="000000"/>
                <w:sz w:val="20"/>
                <w:szCs w:val="20"/>
                <w:lang w:eastAsia="bg-BG"/>
              </w:rPr>
              <w:t>176</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от тях по функционална компетентност</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116</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109</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91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от тях от други служби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104</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78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85</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37.34%</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31.48%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29.58%</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Възобновени и върнати с указания</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56</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56</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74</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9.61%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9.43%</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12.44%</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ОБЩО РАЗСЛЕДВАНИ ДОСЪДЕБНИ П-ВА</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583</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594</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595</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Общо приключени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232</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249</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292</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39.79%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41.92%</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49.08%</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6</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За съд</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43</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56</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16.81%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17.27%</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19.18%</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7</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Общо прекратени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97</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102</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132</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41.81%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40.96%</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45.21%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 xml:space="preserve">от тях </w:t>
            </w:r>
            <w:proofErr w:type="spellStart"/>
            <w:r w:rsidRPr="00880ECD">
              <w:rPr>
                <w:rFonts w:ascii="Verdana" w:eastAsia="Times New Roman" w:hAnsi="Verdana" w:cs="Verdana"/>
                <w:b/>
                <w:bCs/>
                <w:color w:val="000000"/>
                <w:sz w:val="20"/>
                <w:szCs w:val="20"/>
                <w:lang w:eastAsia="bg-BG"/>
              </w:rPr>
              <w:t>прекрат</w:t>
            </w:r>
            <w:proofErr w:type="spellEnd"/>
            <w:r w:rsidRPr="00880ECD">
              <w:rPr>
                <w:rFonts w:ascii="Verdana" w:eastAsia="Times New Roman" w:hAnsi="Verdana" w:cs="Verdana"/>
                <w:b/>
                <w:bCs/>
                <w:color w:val="000000"/>
                <w:sz w:val="20"/>
                <w:szCs w:val="20"/>
                <w:lang w:eastAsia="bg-BG"/>
              </w:rPr>
              <w:t>.чл.24,ал.1,т.1</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54</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25.43%</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21.69%</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17.47%</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на други основания</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38</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48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81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16.38%</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19.28%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27.74%</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8</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Общо спрени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79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86</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83</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34.05%</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34.54%</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28.42%</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от тях спрени по чл.244,ал.1,т.2</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33</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35</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36</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14.22%</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14.06%</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12.33%</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на други основания</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46</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51</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47</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19.83%</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20.48%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16.01%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9</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Изпратени на други отдели и прокуратури и обединени</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17</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21</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2.92%</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3.03%</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3.53%</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10</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Неприключени в края на отчетния период</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351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345</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303</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разследваните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60.21%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58.08%</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50.92%</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11</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Приключени срещу, известен извършител</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62</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70</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73</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приключените</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26.72%</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28.11%</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25%</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12</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Обвиняеми лица по ДП за съд</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59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63</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67</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13</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от тях с мярка"Задържане под стража"</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1</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0</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Verdana" w:eastAsia="Times New Roman" w:hAnsi="Verdana" w:cs="Verdana"/>
                <w:b/>
                <w:bCs/>
                <w:color w:val="000000"/>
                <w:sz w:val="20"/>
                <w:szCs w:val="20"/>
                <w:lang w:eastAsia="bg-BG"/>
              </w:rPr>
              <w:t>0</w:t>
            </w:r>
          </w:p>
        </w:tc>
      </w:tr>
      <w:tr w:rsidR="009658CD" w:rsidRPr="00880ECD" w:rsidTr="009658CD">
        <w:tc>
          <w:tcPr>
            <w:tcW w:w="650"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w:t>
            </w:r>
          </w:p>
        </w:tc>
        <w:tc>
          <w:tcPr>
            <w:tcW w:w="2960" w:type="dxa"/>
            <w:tcBorders>
              <w:top w:val="single" w:sz="6" w:space="0" w:color="000000"/>
              <w:left w:val="single" w:sz="6" w:space="0" w:color="000000"/>
              <w:bottom w:val="single" w:sz="6" w:space="0" w:color="000000"/>
              <w:right w:val="single" w:sz="6" w:space="0" w:color="000000"/>
            </w:tcBorders>
            <w:shd w:val="clear" w:color="auto" w:fill="F2F2F2"/>
            <w:tcMar>
              <w:left w:w="10" w:type="dxa"/>
              <w:right w:w="10" w:type="dxa"/>
            </w:tcMar>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 към обвиняеми лица</w:t>
            </w:r>
          </w:p>
        </w:tc>
        <w:tc>
          <w:tcPr>
            <w:tcW w:w="2046"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1.69%</w:t>
            </w:r>
          </w:p>
        </w:tc>
        <w:tc>
          <w:tcPr>
            <w:tcW w:w="199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0%</w:t>
            </w:r>
          </w:p>
        </w:tc>
        <w:tc>
          <w:tcPr>
            <w:tcW w:w="2015"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Arial" w:eastAsia="Times New Roman" w:hAnsi="Arial" w:cs="Arial"/>
                <w:color w:val="000000"/>
                <w:sz w:val="20"/>
                <w:szCs w:val="20"/>
                <w:lang w:eastAsia="bg-BG"/>
              </w:rPr>
              <w:t>0%</w:t>
            </w:r>
          </w:p>
        </w:tc>
      </w:tr>
    </w:tbl>
    <w:p w:rsidR="009658CD" w:rsidRPr="00880ECD" w:rsidRDefault="009658CD" w:rsidP="00F63914">
      <w:pPr>
        <w:spacing w:after="0" w:line="240" w:lineRule="auto"/>
        <w:ind w:firstLine="993"/>
        <w:jc w:val="both"/>
        <w:rPr>
          <w:rFonts w:ascii="Times New Roman" w:eastAsia="Times New Roman" w:hAnsi="Times New Roman" w:cs="Times New Roman"/>
          <w:color w:val="FF0000"/>
          <w:sz w:val="28"/>
          <w:szCs w:val="28"/>
          <w:lang w:val="en-US" w:eastAsia="bg-BG"/>
        </w:rPr>
      </w:pPr>
    </w:p>
    <w:p w:rsidR="009658CD" w:rsidRPr="00880ECD" w:rsidRDefault="009658CD" w:rsidP="00F63914">
      <w:pPr>
        <w:spacing w:after="0" w:line="240" w:lineRule="auto"/>
        <w:ind w:firstLine="902"/>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Изпратени с мнение за съд са 56 бр. ДП с 67 обвиняеми лица:</w:t>
      </w:r>
    </w:p>
    <w:p w:rsidR="00C22CE6" w:rsidRDefault="00C22CE6" w:rsidP="00F63914">
      <w:pPr>
        <w:spacing w:after="0" w:line="240" w:lineRule="auto"/>
        <w:ind w:firstLine="993"/>
        <w:jc w:val="both"/>
        <w:rPr>
          <w:rFonts w:ascii="Times New Roman" w:eastAsia="Times New Roman" w:hAnsi="Times New Roman" w:cs="Times New Roman"/>
          <w:sz w:val="28"/>
          <w:szCs w:val="28"/>
          <w:highlight w:val="yellow"/>
          <w:lang w:eastAsia="bg-BG"/>
        </w:rPr>
      </w:pPr>
    </w:p>
    <w:p w:rsidR="00C22CE6" w:rsidRDefault="00C22CE6" w:rsidP="00F63914">
      <w:pPr>
        <w:spacing w:after="0" w:line="240" w:lineRule="auto"/>
        <w:ind w:firstLine="993"/>
        <w:jc w:val="both"/>
        <w:rPr>
          <w:rFonts w:ascii="Times New Roman" w:eastAsia="Times New Roman" w:hAnsi="Times New Roman" w:cs="Times New Roman"/>
          <w:sz w:val="28"/>
          <w:szCs w:val="28"/>
          <w:highlight w:val="yellow"/>
          <w:lang w:eastAsia="bg-BG"/>
        </w:rPr>
      </w:pPr>
    </w:p>
    <w:p w:rsidR="009658CD" w:rsidRPr="00835D05" w:rsidRDefault="009658CD" w:rsidP="00F63914">
      <w:pPr>
        <w:spacing w:after="0" w:line="240" w:lineRule="auto"/>
        <w:ind w:firstLine="993"/>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През 2021 г. са били изпратени общо 39 бр. международни следствени поръчки </w:t>
      </w:r>
    </w:p>
    <w:p w:rsidR="009658CD" w:rsidRDefault="009658CD" w:rsidP="00F63914">
      <w:pPr>
        <w:spacing w:after="0" w:line="240" w:lineRule="auto"/>
        <w:ind w:firstLine="993"/>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На магистратите от ОСлО – ВОП през 2021 г. са възложени 615 бр.</w:t>
      </w:r>
      <w:r w:rsidRPr="00880ECD">
        <w:rPr>
          <w:rFonts w:ascii="Times New Roman" w:eastAsia="Times New Roman" w:hAnsi="Times New Roman" w:cs="Times New Roman"/>
          <w:sz w:val="28"/>
          <w:szCs w:val="28"/>
          <w:lang w:eastAsia="bg-BG"/>
        </w:rPr>
        <w:t xml:space="preserve"> следствени поръчки от другите отдели в страната и 76 международни следствени поръчки. Приключени са 590 бр. СП </w:t>
      </w:r>
    </w:p>
    <w:p w:rsidR="00096BD5" w:rsidRPr="00880ECD" w:rsidRDefault="00096BD5" w:rsidP="00F63914">
      <w:pPr>
        <w:spacing w:after="0" w:line="240" w:lineRule="auto"/>
        <w:ind w:firstLine="993"/>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lastRenderedPageBreak/>
        <w:t xml:space="preserve">Изводите, които могат да бъдат направени са, че е подобрение в дейността на следователите, в сравнение с предходния отчетен период, тенденция, която трябва да бъде запазена </w:t>
      </w:r>
    </w:p>
    <w:p w:rsidR="00FD507C" w:rsidRPr="00FD507C" w:rsidRDefault="00FD507C" w:rsidP="00F63914">
      <w:pPr>
        <w:spacing w:after="0" w:line="240" w:lineRule="auto"/>
        <w:ind w:firstLine="426"/>
        <w:jc w:val="both"/>
        <w:rPr>
          <w:rFonts w:ascii="Times New Roman" w:eastAsia="Times New Roman" w:hAnsi="Times New Roman" w:cs="Times New Roman"/>
          <w:color w:val="0070C0"/>
          <w:sz w:val="32"/>
          <w:szCs w:val="32"/>
          <w:lang w:eastAsia="bg-BG"/>
        </w:rPr>
      </w:pPr>
    </w:p>
    <w:p w:rsidR="00FD507C" w:rsidRPr="00FD507C" w:rsidRDefault="00FD507C" w:rsidP="00F63914">
      <w:pPr>
        <w:numPr>
          <w:ilvl w:val="0"/>
          <w:numId w:val="1"/>
        </w:numPr>
        <w:spacing w:after="0" w:line="240" w:lineRule="auto"/>
        <w:ind w:firstLine="426"/>
        <w:contextualSpacing/>
        <w:jc w:val="both"/>
        <w:outlineLvl w:val="1"/>
        <w:rPr>
          <w:rFonts w:ascii="Times New Roman" w:eastAsia="Times New Roman" w:hAnsi="Times New Roman" w:cs="Times New Roman"/>
          <w:b/>
          <w:color w:val="0070C0"/>
          <w:sz w:val="28"/>
          <w:szCs w:val="28"/>
          <w:lang w:eastAsia="bg-BG"/>
        </w:rPr>
      </w:pPr>
      <w:bookmarkStart w:id="2" w:name="_Toc506557807"/>
      <w:r w:rsidRPr="00FD507C">
        <w:rPr>
          <w:rFonts w:ascii="Times New Roman" w:eastAsia="Times New Roman" w:hAnsi="Times New Roman" w:cs="Times New Roman"/>
          <w:b/>
          <w:color w:val="0070C0"/>
          <w:sz w:val="28"/>
          <w:szCs w:val="28"/>
          <w:lang w:eastAsia="bg-BG"/>
        </w:rPr>
        <w:t>ДОСЪДЕБНА ФАЗА.</w:t>
      </w:r>
      <w:bookmarkEnd w:id="2"/>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0070C0"/>
          <w:sz w:val="28"/>
          <w:szCs w:val="28"/>
          <w:lang w:eastAsia="bg-BG"/>
        </w:rPr>
      </w:pPr>
      <w:bookmarkStart w:id="3" w:name="_Toc506557808"/>
      <w:r w:rsidRPr="00FD507C">
        <w:rPr>
          <w:rFonts w:ascii="Times New Roman" w:eastAsiaTheme="majorEastAsia" w:hAnsi="Times New Roman" w:cs="Times New Roman"/>
          <w:bCs/>
          <w:color w:val="0070C0"/>
          <w:sz w:val="28"/>
          <w:szCs w:val="28"/>
          <w:lang w:eastAsia="bg-BG"/>
        </w:rPr>
        <w:t>1. ПРЕПИСКИ.</w:t>
      </w:r>
      <w:bookmarkEnd w:id="3"/>
    </w:p>
    <w:p w:rsidR="00FD507C" w:rsidRPr="00FD507C" w:rsidRDefault="00FD507C" w:rsidP="00F63914">
      <w:pPr>
        <w:spacing w:after="0" w:line="240" w:lineRule="auto"/>
        <w:ind w:firstLine="426"/>
        <w:jc w:val="both"/>
        <w:rPr>
          <w:rFonts w:ascii="Times New Roman" w:eastAsia="Times New Roman" w:hAnsi="Times New Roman" w:cs="Times New Roman"/>
          <w:b/>
          <w:sz w:val="28"/>
          <w:szCs w:val="28"/>
          <w:lang w:eastAsia="bg-BG"/>
        </w:rPr>
      </w:pPr>
    </w:p>
    <w:p w:rsidR="00FD507C" w:rsidRPr="00FD507C" w:rsidRDefault="00FD507C" w:rsidP="00F63914">
      <w:pPr>
        <w:spacing w:after="0" w:line="240" w:lineRule="auto"/>
        <w:ind w:left="2124" w:firstLine="708"/>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0"/>
          <w:szCs w:val="20"/>
          <w:lang w:eastAsia="bg-BG"/>
        </w:rPr>
        <w:t>Преписки на производство</w:t>
      </w:r>
    </w:p>
    <w:p w:rsidR="00FD507C" w:rsidRPr="00FD507C" w:rsidRDefault="00FD507C" w:rsidP="00F63914">
      <w:pPr>
        <w:spacing w:after="0" w:line="240" w:lineRule="auto"/>
        <w:ind w:firstLine="426"/>
        <w:jc w:val="center"/>
        <w:rPr>
          <w:rFonts w:ascii="Times New Roman" w:eastAsia="Times New Roman" w:hAnsi="Times New Roman" w:cs="Times New Roman"/>
          <w:b/>
          <w:sz w:val="28"/>
          <w:szCs w:val="28"/>
          <w:lang w:val="en-US" w:eastAsia="bg-BG"/>
        </w:rPr>
      </w:pPr>
    </w:p>
    <w:p w:rsidR="00FD507C" w:rsidRPr="00FD507C" w:rsidRDefault="00FD507C" w:rsidP="00F63914">
      <w:pPr>
        <w:spacing w:after="0" w:line="240" w:lineRule="auto"/>
        <w:ind w:right="-708" w:firstLine="426"/>
        <w:jc w:val="center"/>
        <w:rPr>
          <w:rFonts w:ascii="Times New Roman" w:eastAsia="Times New Roman" w:hAnsi="Times New Roman" w:cs="Times New Roman"/>
          <w:b/>
          <w:sz w:val="20"/>
          <w:szCs w:val="20"/>
          <w:lang w:eastAsia="bg-BG"/>
        </w:rPr>
      </w:pPr>
      <w:r w:rsidRPr="00FD507C">
        <w:rPr>
          <w:rFonts w:ascii="Times New Roman" w:eastAsia="Times New Roman" w:hAnsi="Times New Roman" w:cs="Times New Roman"/>
          <w:noProof/>
          <w:sz w:val="20"/>
          <w:szCs w:val="20"/>
          <w:lang w:eastAsia="bg-BG"/>
        </w:rPr>
        <w:drawing>
          <wp:inline distT="0" distB="0" distL="0" distR="0" wp14:anchorId="7C879553" wp14:editId="78789E3D">
            <wp:extent cx="5998029" cy="3352800"/>
            <wp:effectExtent l="0" t="0" r="22225" b="19050"/>
            <wp:docPr id="1" name="Ди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D507C" w:rsidRPr="00FD507C" w:rsidRDefault="00FD507C" w:rsidP="00F63914">
      <w:pPr>
        <w:spacing w:after="0" w:line="240" w:lineRule="auto"/>
        <w:ind w:firstLine="426"/>
        <w:jc w:val="center"/>
        <w:rPr>
          <w:rFonts w:ascii="Times New Roman" w:eastAsia="Times New Roman" w:hAnsi="Times New Roman" w:cs="Times New Roman"/>
          <w:b/>
          <w:sz w:val="20"/>
          <w:szCs w:val="20"/>
          <w:lang w:eastAsia="bg-BG"/>
        </w:rPr>
      </w:pPr>
    </w:p>
    <w:p w:rsidR="00FD507C" w:rsidRPr="00FD507C" w:rsidRDefault="00FD507C" w:rsidP="00F63914">
      <w:pPr>
        <w:spacing w:after="0" w:line="240" w:lineRule="auto"/>
        <w:ind w:firstLine="426"/>
        <w:jc w:val="center"/>
        <w:rPr>
          <w:rFonts w:ascii="Times New Roman" w:eastAsia="Times New Roman" w:hAnsi="Times New Roman" w:cs="Times New Roman"/>
          <w:sz w:val="20"/>
          <w:szCs w:val="20"/>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Броят на преписките на производство потвърждава наложилата се пет годишна обща тенденция към намаляването им, след пик през 2014 год., което се илюстрира с горната диаграма.</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Сравнено с данните за предходните два отчетни периода в съдебния окръг има спад в броя наблюдавани преписки спрямо 2019 и 2020 год..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Като изключително добра тенденция за работата на прокурорите от района на ОП-Варна може да се отбележи  решаването на преписките  в края на периода</w:t>
      </w:r>
      <w:r w:rsidR="00096BD5">
        <w:rPr>
          <w:rFonts w:ascii="Times New Roman" w:eastAsia="Times New Roman" w:hAnsi="Times New Roman" w:cs="Times New Roman"/>
          <w:sz w:val="28"/>
          <w:szCs w:val="28"/>
          <w:lang w:eastAsia="bg-BG"/>
        </w:rPr>
        <w:t>-</w:t>
      </w:r>
      <w:r w:rsidRPr="00FD507C">
        <w:rPr>
          <w:rFonts w:ascii="Times New Roman" w:eastAsia="Times New Roman" w:hAnsi="Times New Roman" w:cs="Times New Roman"/>
          <w:sz w:val="28"/>
          <w:szCs w:val="28"/>
          <w:lang w:eastAsia="bg-BG"/>
        </w:rPr>
        <w:t>. 97,3 %</w:t>
      </w:r>
      <w:r w:rsidRPr="00FD507C">
        <w:rPr>
          <w:rFonts w:ascii="Times New Roman" w:eastAsia="Times New Roman" w:hAnsi="Times New Roman" w:cs="Times New Roman"/>
          <w:b/>
          <w:sz w:val="28"/>
          <w:szCs w:val="28"/>
          <w:lang w:eastAsia="bg-BG"/>
        </w:rPr>
        <w:t xml:space="preserve"> </w:t>
      </w:r>
      <w:r w:rsidRPr="00FD507C">
        <w:rPr>
          <w:rFonts w:ascii="Times New Roman" w:eastAsia="Times New Roman" w:hAnsi="Times New Roman" w:cs="Times New Roman"/>
          <w:sz w:val="28"/>
          <w:szCs w:val="28"/>
          <w:lang w:eastAsia="bg-BG"/>
        </w:rPr>
        <w:t xml:space="preserve">при 96,7 %  през 2019 г. и 97,4% през 2020 год.. Трайна е тенденцията за висок процент на приключване на преписките в края на отчетния период </w:t>
      </w:r>
    </w:p>
    <w:p w:rsidR="00FD507C" w:rsidRPr="00FD507C" w:rsidRDefault="00FD507C" w:rsidP="00F63914">
      <w:pPr>
        <w:spacing w:after="0" w:line="240" w:lineRule="auto"/>
        <w:ind w:firstLine="282"/>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Като положителна промяна може да се посочи увеличаването с 250%  за 2020 год.  и с  600% за 2019 год. на  личните проверки, извършвани от прокурорите през настоящата година-21, при 6 за 2020 год. и  3 за 2019 год..</w:t>
      </w:r>
    </w:p>
    <w:p w:rsidR="00FD507C" w:rsidRPr="00FD507C" w:rsidRDefault="00FD507C" w:rsidP="00F63914">
      <w:pPr>
        <w:spacing w:after="0" w:line="240" w:lineRule="auto"/>
        <w:ind w:firstLine="282"/>
        <w:jc w:val="both"/>
        <w:rPr>
          <w:rFonts w:ascii="Times New Roman" w:eastAsia="Times New Roman" w:hAnsi="Times New Roman" w:cs="Times New Roman"/>
          <w:b/>
          <w:sz w:val="28"/>
          <w:szCs w:val="28"/>
          <w:lang w:eastAsia="bg-BG"/>
        </w:rPr>
      </w:pPr>
      <w:r w:rsidRPr="00FD507C">
        <w:rPr>
          <w:rFonts w:ascii="Times New Roman" w:eastAsia="Times New Roman" w:hAnsi="Times New Roman" w:cs="Times New Roman"/>
          <w:sz w:val="28"/>
          <w:szCs w:val="28"/>
          <w:lang w:eastAsia="bg-BG"/>
        </w:rPr>
        <w:t xml:space="preserve"> </w:t>
      </w:r>
      <w:r w:rsidRPr="00FD507C">
        <w:rPr>
          <w:rFonts w:ascii="Times New Roman" w:eastAsia="Times New Roman" w:hAnsi="Times New Roman" w:cs="Times New Roman"/>
          <w:b/>
          <w:sz w:val="28"/>
          <w:szCs w:val="28"/>
          <w:lang w:eastAsia="bg-BG"/>
        </w:rPr>
        <w:t xml:space="preserve">Налага се изводът за принципно законосъобразно произнасяне на прокурорите по преписките от гледна точка бързина на решенията. Изключения са налице, но те са без статистическа тежест и се дължат или на значителна моментна натовареност на съответния наблюдаващ прокурор, или на значителна тежест на предмета на съответната преписка, както и </w:t>
      </w:r>
      <w:r w:rsidRPr="00FD507C">
        <w:rPr>
          <w:rFonts w:ascii="Times New Roman" w:eastAsia="Times New Roman" w:hAnsi="Times New Roman" w:cs="Times New Roman"/>
          <w:b/>
          <w:sz w:val="28"/>
          <w:szCs w:val="28"/>
          <w:lang w:eastAsia="bg-BG"/>
        </w:rPr>
        <w:lastRenderedPageBreak/>
        <w:t xml:space="preserve">ограниченията, свързани с продължаващата </w:t>
      </w:r>
      <w:proofErr w:type="spellStart"/>
      <w:r w:rsidRPr="00FD507C">
        <w:rPr>
          <w:rFonts w:ascii="Times New Roman" w:eastAsia="Times New Roman" w:hAnsi="Times New Roman" w:cs="Times New Roman"/>
          <w:b/>
          <w:sz w:val="28"/>
          <w:szCs w:val="28"/>
          <w:lang w:eastAsia="bg-BG"/>
        </w:rPr>
        <w:t>ковид</w:t>
      </w:r>
      <w:proofErr w:type="spellEnd"/>
      <w:r w:rsidRPr="00FD507C">
        <w:rPr>
          <w:rFonts w:ascii="Times New Roman" w:eastAsia="Times New Roman" w:hAnsi="Times New Roman" w:cs="Times New Roman"/>
          <w:b/>
          <w:sz w:val="28"/>
          <w:szCs w:val="28"/>
          <w:lang w:eastAsia="bg-BG"/>
        </w:rPr>
        <w:t xml:space="preserve"> пандемия и </w:t>
      </w:r>
      <w:proofErr w:type="spellStart"/>
      <w:r w:rsidRPr="00FD507C">
        <w:rPr>
          <w:rFonts w:ascii="Times New Roman" w:eastAsia="Times New Roman" w:hAnsi="Times New Roman" w:cs="Times New Roman"/>
          <w:b/>
          <w:sz w:val="28"/>
          <w:szCs w:val="28"/>
          <w:lang w:eastAsia="bg-BG"/>
        </w:rPr>
        <w:t>неколкократни</w:t>
      </w:r>
      <w:proofErr w:type="spellEnd"/>
      <w:r w:rsidRPr="00FD507C">
        <w:rPr>
          <w:rFonts w:ascii="Times New Roman" w:eastAsia="Times New Roman" w:hAnsi="Times New Roman" w:cs="Times New Roman"/>
          <w:b/>
          <w:sz w:val="28"/>
          <w:szCs w:val="28"/>
          <w:lang w:eastAsia="bg-BG"/>
        </w:rPr>
        <w:t xml:space="preserve"> карантинни ограничения при прокурори, които са довели до незначително забавяне в произнасянето.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noProof/>
          <w:sz w:val="28"/>
          <w:szCs w:val="28"/>
          <w:lang w:eastAsia="bg-BG"/>
        </w:rPr>
        <w:drawing>
          <wp:inline distT="0" distB="0" distL="0" distR="0" wp14:anchorId="465B8B90" wp14:editId="4105E177">
            <wp:extent cx="5486400" cy="3200400"/>
            <wp:effectExtent l="0" t="0" r="19050" b="19050"/>
            <wp:docPr id="2" name="Ди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За 2021 г. ОП Варна отчита намаление на </w:t>
      </w:r>
      <w:proofErr w:type="spellStart"/>
      <w:r w:rsidRPr="00FD507C">
        <w:rPr>
          <w:rFonts w:ascii="Times New Roman" w:eastAsia="Times New Roman" w:hAnsi="Times New Roman" w:cs="Times New Roman"/>
          <w:sz w:val="28"/>
          <w:szCs w:val="28"/>
          <w:lang w:eastAsia="bg-BG"/>
        </w:rPr>
        <w:t>произнасянията</w:t>
      </w:r>
      <w:proofErr w:type="spellEnd"/>
      <w:r w:rsidRPr="00FD507C">
        <w:rPr>
          <w:rFonts w:ascii="Times New Roman" w:eastAsia="Times New Roman" w:hAnsi="Times New Roman" w:cs="Times New Roman"/>
          <w:sz w:val="28"/>
          <w:szCs w:val="28"/>
          <w:lang w:eastAsia="bg-BG"/>
        </w:rPr>
        <w:t xml:space="preserve"> по </w:t>
      </w:r>
      <w:proofErr w:type="spellStart"/>
      <w:r w:rsidRPr="00FD507C">
        <w:rPr>
          <w:rFonts w:ascii="Times New Roman" w:eastAsia="Times New Roman" w:hAnsi="Times New Roman" w:cs="Times New Roman"/>
          <w:sz w:val="28"/>
          <w:szCs w:val="28"/>
          <w:lang w:eastAsia="bg-BG"/>
        </w:rPr>
        <w:t>инстанционни</w:t>
      </w:r>
      <w:proofErr w:type="spellEnd"/>
      <w:r w:rsidRPr="00FD507C">
        <w:rPr>
          <w:rFonts w:ascii="Times New Roman" w:eastAsia="Times New Roman" w:hAnsi="Times New Roman" w:cs="Times New Roman"/>
          <w:sz w:val="28"/>
          <w:szCs w:val="28"/>
          <w:lang w:eastAsia="bg-BG"/>
        </w:rPr>
        <w:t xml:space="preserve">  преписки с 7,8% спрямо 2020 год., но увеличение  с 23,9 % спрямо 2019 г.</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Потвърдените актове през годината представляват 92 % спрямо общо решените </w:t>
      </w:r>
      <w:proofErr w:type="spellStart"/>
      <w:r w:rsidRPr="00FD507C">
        <w:rPr>
          <w:rFonts w:ascii="Times New Roman" w:eastAsia="Times New Roman" w:hAnsi="Times New Roman" w:cs="Times New Roman"/>
          <w:sz w:val="28"/>
          <w:szCs w:val="28"/>
          <w:lang w:eastAsia="bg-BG"/>
        </w:rPr>
        <w:t>инстанционни</w:t>
      </w:r>
      <w:proofErr w:type="spellEnd"/>
      <w:r w:rsidRPr="00FD507C">
        <w:rPr>
          <w:rFonts w:ascii="Times New Roman" w:eastAsia="Times New Roman" w:hAnsi="Times New Roman" w:cs="Times New Roman"/>
          <w:sz w:val="28"/>
          <w:szCs w:val="28"/>
          <w:lang w:eastAsia="bg-BG"/>
        </w:rPr>
        <w:t xml:space="preserve"> преписки през годината, като това съотношение за 2020 г. е 87.8 % и за 2019 год. -81.2 %, т.е налице е увеличение на потвърдените актове, което е атестат за по-добра работа.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u w:val="single"/>
          <w:lang w:eastAsia="bg-BG"/>
        </w:rPr>
      </w:pPr>
      <w:r w:rsidRPr="00FD507C">
        <w:rPr>
          <w:rFonts w:ascii="Times New Roman" w:eastAsia="Times New Roman" w:hAnsi="Times New Roman" w:cs="Times New Roman"/>
          <w:sz w:val="28"/>
          <w:szCs w:val="28"/>
          <w:u w:val="single"/>
          <w:lang w:eastAsia="bg-BG"/>
        </w:rPr>
        <w:t xml:space="preserve">Преписки, образувани след </w:t>
      </w:r>
      <w:proofErr w:type="spellStart"/>
      <w:r w:rsidRPr="00FD507C">
        <w:rPr>
          <w:rFonts w:ascii="Times New Roman" w:eastAsia="Times New Roman" w:hAnsi="Times New Roman" w:cs="Times New Roman"/>
          <w:sz w:val="28"/>
          <w:szCs w:val="28"/>
          <w:u w:val="single"/>
          <w:lang w:eastAsia="bg-BG"/>
        </w:rPr>
        <w:t>самосезиране</w:t>
      </w:r>
      <w:proofErr w:type="spellEnd"/>
      <w:r w:rsidRPr="00FD507C">
        <w:rPr>
          <w:rFonts w:ascii="Times New Roman" w:eastAsia="Times New Roman" w:hAnsi="Times New Roman" w:cs="Times New Roman"/>
          <w:sz w:val="28"/>
          <w:szCs w:val="28"/>
          <w:u w:val="single"/>
          <w:lang w:eastAsia="bg-BG"/>
        </w:rPr>
        <w:t>, по сигнали на контролните органи и по материали от ДАНС.</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За втора поредна година следва да се отчете недостатъчна активност по отношение на </w:t>
      </w:r>
      <w:proofErr w:type="spellStart"/>
      <w:r w:rsidRPr="00FD507C">
        <w:rPr>
          <w:rFonts w:ascii="Times New Roman" w:eastAsia="Times New Roman" w:hAnsi="Times New Roman" w:cs="Times New Roman"/>
          <w:sz w:val="28"/>
          <w:szCs w:val="28"/>
          <w:lang w:eastAsia="bg-BG"/>
        </w:rPr>
        <w:t>самосезирането</w:t>
      </w:r>
      <w:proofErr w:type="spellEnd"/>
      <w:r w:rsidRPr="00FD507C">
        <w:rPr>
          <w:rFonts w:ascii="Times New Roman" w:eastAsia="Times New Roman" w:hAnsi="Times New Roman" w:cs="Times New Roman"/>
          <w:sz w:val="28"/>
          <w:szCs w:val="28"/>
          <w:lang w:eastAsia="bg-BG"/>
        </w:rPr>
        <w:t xml:space="preserve"> на прокурорите от съдебния окръг, въпреки активността им при извършване на лични проверки в определени случаи.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 xml:space="preserve">През 2021 г. преписките, образувани след </w:t>
      </w:r>
      <w:proofErr w:type="spellStart"/>
      <w:r w:rsidRPr="00835D05">
        <w:rPr>
          <w:rFonts w:ascii="Times New Roman" w:eastAsia="Times New Roman" w:hAnsi="Times New Roman" w:cs="Times New Roman"/>
          <w:sz w:val="28"/>
          <w:szCs w:val="28"/>
          <w:highlight w:val="yellow"/>
          <w:lang w:eastAsia="bg-BG"/>
        </w:rPr>
        <w:t>самосезиране</w:t>
      </w:r>
      <w:proofErr w:type="spellEnd"/>
      <w:r w:rsidRPr="00835D05">
        <w:rPr>
          <w:rFonts w:ascii="Times New Roman" w:eastAsia="Times New Roman" w:hAnsi="Times New Roman" w:cs="Times New Roman"/>
          <w:sz w:val="28"/>
          <w:szCs w:val="28"/>
          <w:highlight w:val="yellow"/>
          <w:lang w:eastAsia="bg-BG"/>
        </w:rPr>
        <w:t xml:space="preserve"> в съдебния окръг на ОП – Варна, отново са били 2/1 за РП-Варна и 1 за ОП-Варна/,   при 27 за 2019 год.  За 2020 г. те също са били 2 – 2 за ОП – Варна и 0 за РП – Варна. </w:t>
      </w:r>
      <w:r w:rsidR="00096BD5" w:rsidRPr="00835D05">
        <w:rPr>
          <w:rFonts w:ascii="Times New Roman" w:eastAsia="Times New Roman" w:hAnsi="Times New Roman" w:cs="Times New Roman"/>
          <w:sz w:val="28"/>
          <w:szCs w:val="28"/>
          <w:highlight w:val="yellow"/>
          <w:lang w:eastAsia="bg-BG"/>
        </w:rPr>
        <w:t>Тези резултати сочат на слабост в дейността на прокурорите от съдебния район, проблем, който следва да бъде отстранен.</w:t>
      </w:r>
      <w:r w:rsidR="00096BD5">
        <w:rPr>
          <w:rFonts w:ascii="Times New Roman" w:eastAsia="Times New Roman" w:hAnsi="Times New Roman" w:cs="Times New Roman"/>
          <w:sz w:val="28"/>
          <w:szCs w:val="28"/>
          <w:lang w:eastAsia="bg-BG"/>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Общият брой на преписките, образувани по сигнали на контролните органи, през отчетния период е 419, което представлява 2,3 % от общия брой преписки на производство</w:t>
      </w:r>
      <w:r w:rsidRPr="00FD507C">
        <w:rPr>
          <w:rFonts w:ascii="Times New Roman" w:eastAsia="Times New Roman" w:hAnsi="Times New Roman" w:cs="Times New Roman"/>
          <w:sz w:val="28"/>
          <w:szCs w:val="28"/>
          <w:lang w:eastAsia="bg-BG"/>
        </w:rPr>
        <w:t>, при   същия относителен дял от 2.3 % за 2020 год. и 1,4 %</w:t>
      </w:r>
      <w:r w:rsidRPr="00FD507C">
        <w:rPr>
          <w:rFonts w:ascii="Times New Roman" w:eastAsia="Times New Roman" w:hAnsi="Times New Roman" w:cs="Times New Roman"/>
          <w:b/>
          <w:sz w:val="28"/>
          <w:szCs w:val="28"/>
          <w:lang w:eastAsia="bg-BG"/>
        </w:rPr>
        <w:t xml:space="preserve"> </w:t>
      </w:r>
      <w:r w:rsidRPr="00FD507C">
        <w:rPr>
          <w:rFonts w:ascii="Times New Roman" w:eastAsia="Times New Roman" w:hAnsi="Times New Roman" w:cs="Times New Roman"/>
          <w:sz w:val="28"/>
          <w:szCs w:val="28"/>
          <w:lang w:eastAsia="bg-BG"/>
        </w:rPr>
        <w:t>от общия брой преписки на производство за 2019 год.</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ab/>
        <w:t>През отчетния период от НАП са постъпили общо 410 преписки. Намалението спрямо 2020 год. е с 4.9%, а увеличението спрямо 2019 год. е с 50.7 %.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ab/>
        <w:t xml:space="preserve">През 2021 г. в района на ОП-Варна са били наблюдавани </w:t>
      </w:r>
      <w:r w:rsidRPr="00FD507C">
        <w:rPr>
          <w:rFonts w:ascii="Times New Roman" w:eastAsia="Times New Roman" w:hAnsi="Times New Roman" w:cs="Times New Roman"/>
          <w:b/>
          <w:sz w:val="28"/>
          <w:szCs w:val="28"/>
          <w:lang w:eastAsia="bg-BG"/>
        </w:rPr>
        <w:t>3 преписки  по материали от страна АДФИ</w:t>
      </w:r>
      <w:r w:rsidRPr="00FD507C">
        <w:rPr>
          <w:rFonts w:ascii="Times New Roman" w:eastAsia="Times New Roman" w:hAnsi="Times New Roman" w:cs="Times New Roman"/>
          <w:sz w:val="28"/>
          <w:szCs w:val="28"/>
          <w:lang w:eastAsia="bg-BG"/>
        </w:rPr>
        <w:t xml:space="preserve">, при 1 за 2019 год. и 0 за 2020 год. </w:t>
      </w:r>
      <w:r w:rsidRPr="00FD507C">
        <w:rPr>
          <w:rFonts w:ascii="Times New Roman" w:eastAsia="Times New Roman" w:hAnsi="Times New Roman" w:cs="Times New Roman"/>
          <w:b/>
          <w:sz w:val="28"/>
          <w:szCs w:val="28"/>
          <w:lang w:eastAsia="bg-BG"/>
        </w:rPr>
        <w:t xml:space="preserve">Увеличен е броят </w:t>
      </w:r>
      <w:r w:rsidRPr="00FD507C">
        <w:rPr>
          <w:rFonts w:ascii="Times New Roman" w:eastAsia="Times New Roman" w:hAnsi="Times New Roman" w:cs="Times New Roman"/>
          <w:b/>
          <w:sz w:val="28"/>
          <w:szCs w:val="28"/>
          <w:lang w:eastAsia="bg-BG"/>
        </w:rPr>
        <w:lastRenderedPageBreak/>
        <w:t>на сигналите от Агенция –Митници-  6 сигнала  от Агенция Митници</w:t>
      </w:r>
      <w:r w:rsidRPr="00FD507C">
        <w:rPr>
          <w:rFonts w:ascii="Times New Roman" w:eastAsia="Times New Roman" w:hAnsi="Times New Roman" w:cs="Times New Roman"/>
          <w:sz w:val="28"/>
          <w:szCs w:val="28"/>
          <w:lang w:eastAsia="bg-BG"/>
        </w:rPr>
        <w:t xml:space="preserve">- при 3 за 2019 година и 1  сигнал през 2020 год..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Бележи се активност от страна на ДАНС,  като по материали на ДАНС през отчетния период са наблюдавани 7 преписки</w:t>
      </w:r>
      <w:r w:rsidRPr="00FD507C">
        <w:rPr>
          <w:rFonts w:ascii="Times New Roman" w:eastAsia="Times New Roman" w:hAnsi="Times New Roman" w:cs="Times New Roman"/>
          <w:sz w:val="28"/>
          <w:szCs w:val="28"/>
          <w:lang w:eastAsia="bg-BG"/>
        </w:rPr>
        <w:t xml:space="preserve">. За Варна през предходната година е била само една преписка, а през 2019 год.-те са били 5.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Отчитат се </w:t>
      </w:r>
      <w:r w:rsidRPr="00FD507C">
        <w:rPr>
          <w:rFonts w:ascii="Times New Roman" w:eastAsia="Times New Roman" w:hAnsi="Times New Roman" w:cs="Times New Roman"/>
          <w:b/>
          <w:sz w:val="28"/>
          <w:szCs w:val="28"/>
          <w:lang w:eastAsia="bg-BG"/>
        </w:rPr>
        <w:t>увеличение на наблюдаваните преписки, образувани по материали на Дирекция „Вътрешна сигурност“ МВР-19</w:t>
      </w:r>
      <w:r w:rsidRPr="00FD507C">
        <w:rPr>
          <w:rFonts w:ascii="Times New Roman" w:eastAsia="Times New Roman" w:hAnsi="Times New Roman" w:cs="Times New Roman"/>
          <w:sz w:val="28"/>
          <w:szCs w:val="28"/>
          <w:lang w:eastAsia="bg-BG"/>
        </w:rPr>
        <w:t>, съответно от тях 5 за ОП Варна и 14 за РП Варна.</w:t>
      </w:r>
    </w:p>
    <w:p w:rsidR="00FD507C" w:rsidRPr="00835D05" w:rsidRDefault="00FD507C" w:rsidP="00F63914">
      <w:pPr>
        <w:spacing w:after="0" w:line="240" w:lineRule="auto"/>
        <w:ind w:firstLine="426"/>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И през отчетната 2021 г. продължават да са актуални следните съпоставки, които касаят работата ни по преписките.</w:t>
      </w:r>
    </w:p>
    <w:p w:rsidR="00FD507C" w:rsidRPr="00835D05" w:rsidRDefault="00FD507C" w:rsidP="00F63914">
      <w:pPr>
        <w:spacing w:after="0" w:line="240" w:lineRule="auto"/>
        <w:ind w:firstLine="426"/>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 категорично </w:t>
      </w:r>
      <w:r w:rsidRPr="00835D05">
        <w:rPr>
          <w:rFonts w:ascii="Times New Roman" w:eastAsia="Times New Roman" w:hAnsi="Times New Roman" w:cs="Times New Roman"/>
          <w:b/>
          <w:sz w:val="28"/>
          <w:szCs w:val="28"/>
          <w:highlight w:val="yellow"/>
          <w:lang w:eastAsia="bg-BG"/>
        </w:rPr>
        <w:t xml:space="preserve">подобряване на </w:t>
      </w:r>
      <w:proofErr w:type="spellStart"/>
      <w:r w:rsidRPr="00835D05">
        <w:rPr>
          <w:rFonts w:ascii="Times New Roman" w:eastAsia="Times New Roman" w:hAnsi="Times New Roman" w:cs="Times New Roman"/>
          <w:b/>
          <w:sz w:val="28"/>
          <w:szCs w:val="28"/>
          <w:highlight w:val="yellow"/>
          <w:lang w:eastAsia="bg-BG"/>
        </w:rPr>
        <w:t>висящността</w:t>
      </w:r>
      <w:proofErr w:type="spellEnd"/>
      <w:r w:rsidRPr="00835D05">
        <w:rPr>
          <w:rFonts w:ascii="Times New Roman" w:eastAsia="Times New Roman" w:hAnsi="Times New Roman" w:cs="Times New Roman"/>
          <w:sz w:val="28"/>
          <w:szCs w:val="28"/>
          <w:highlight w:val="yellow"/>
          <w:lang w:eastAsia="bg-BG"/>
        </w:rPr>
        <w:t xml:space="preserve"> чрез свеждането й за поредна година до нормални рамки в противовес на чувствително по-лошите резултати доста назад във времето от 2006 и 2005 г.;</w:t>
      </w:r>
    </w:p>
    <w:p w:rsidR="00FD507C" w:rsidRPr="00835D05" w:rsidRDefault="00FD507C" w:rsidP="00F63914">
      <w:pPr>
        <w:spacing w:after="0" w:line="240" w:lineRule="auto"/>
        <w:ind w:firstLine="426"/>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 </w:t>
      </w:r>
      <w:r w:rsidRPr="00835D05">
        <w:rPr>
          <w:rFonts w:ascii="Times New Roman" w:eastAsia="Times New Roman" w:hAnsi="Times New Roman" w:cs="Times New Roman"/>
          <w:b/>
          <w:sz w:val="28"/>
          <w:szCs w:val="28"/>
          <w:highlight w:val="yellow"/>
          <w:lang w:eastAsia="bg-BG"/>
        </w:rPr>
        <w:t xml:space="preserve">запазване на сравнително висок ръст на </w:t>
      </w:r>
      <w:proofErr w:type="spellStart"/>
      <w:r w:rsidRPr="00835D05">
        <w:rPr>
          <w:rFonts w:ascii="Times New Roman" w:eastAsia="Times New Roman" w:hAnsi="Times New Roman" w:cs="Times New Roman"/>
          <w:b/>
          <w:sz w:val="28"/>
          <w:szCs w:val="28"/>
          <w:highlight w:val="yellow"/>
          <w:lang w:eastAsia="bg-BG"/>
        </w:rPr>
        <w:t>произнасянията</w:t>
      </w:r>
      <w:proofErr w:type="spellEnd"/>
      <w:r w:rsidRPr="00835D05">
        <w:rPr>
          <w:rFonts w:ascii="Times New Roman" w:eastAsia="Times New Roman" w:hAnsi="Times New Roman" w:cs="Times New Roman"/>
          <w:b/>
          <w:sz w:val="28"/>
          <w:szCs w:val="28"/>
          <w:highlight w:val="yellow"/>
          <w:lang w:eastAsia="bg-BG"/>
        </w:rPr>
        <w:t xml:space="preserve"> по </w:t>
      </w:r>
      <w:proofErr w:type="spellStart"/>
      <w:r w:rsidRPr="00835D05">
        <w:rPr>
          <w:rFonts w:ascii="Times New Roman" w:eastAsia="Times New Roman" w:hAnsi="Times New Roman" w:cs="Times New Roman"/>
          <w:b/>
          <w:sz w:val="28"/>
          <w:szCs w:val="28"/>
          <w:highlight w:val="yellow"/>
          <w:lang w:eastAsia="bg-BG"/>
        </w:rPr>
        <w:t>инстанционни</w:t>
      </w:r>
      <w:proofErr w:type="spellEnd"/>
      <w:r w:rsidRPr="00835D05">
        <w:rPr>
          <w:rFonts w:ascii="Times New Roman" w:eastAsia="Times New Roman" w:hAnsi="Times New Roman" w:cs="Times New Roman"/>
          <w:b/>
          <w:sz w:val="28"/>
          <w:szCs w:val="28"/>
          <w:highlight w:val="yellow"/>
          <w:lang w:eastAsia="bg-BG"/>
        </w:rPr>
        <w:t xml:space="preserve"> преписки</w:t>
      </w:r>
      <w:r w:rsidRPr="00835D05">
        <w:rPr>
          <w:rFonts w:ascii="Times New Roman" w:eastAsia="Times New Roman" w:hAnsi="Times New Roman" w:cs="Times New Roman"/>
          <w:sz w:val="28"/>
          <w:szCs w:val="28"/>
          <w:highlight w:val="yellow"/>
          <w:lang w:eastAsia="bg-BG"/>
        </w:rPr>
        <w:t xml:space="preserve"> в резултат на извършване на служебни проверки на  актове на </w:t>
      </w:r>
      <w:proofErr w:type="spellStart"/>
      <w:r w:rsidRPr="00835D05">
        <w:rPr>
          <w:rFonts w:ascii="Times New Roman" w:eastAsia="Times New Roman" w:hAnsi="Times New Roman" w:cs="Times New Roman"/>
          <w:sz w:val="28"/>
          <w:szCs w:val="28"/>
          <w:highlight w:val="yellow"/>
          <w:lang w:eastAsia="bg-BG"/>
        </w:rPr>
        <w:t>първоинстанционната</w:t>
      </w:r>
      <w:proofErr w:type="spellEnd"/>
      <w:r w:rsidRPr="00835D05">
        <w:rPr>
          <w:rFonts w:ascii="Times New Roman" w:eastAsia="Times New Roman" w:hAnsi="Times New Roman" w:cs="Times New Roman"/>
          <w:sz w:val="28"/>
          <w:szCs w:val="28"/>
          <w:highlight w:val="yellow"/>
          <w:lang w:eastAsia="bg-BG"/>
        </w:rPr>
        <w:t xml:space="preserve"> прокуратура във връзка с плановите задачи на ОП-Варна; </w:t>
      </w:r>
    </w:p>
    <w:p w:rsidR="00FD507C" w:rsidRPr="00835D05" w:rsidRDefault="00FD507C" w:rsidP="00F63914">
      <w:pPr>
        <w:spacing w:after="0" w:line="240" w:lineRule="auto"/>
        <w:ind w:firstLine="426"/>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 </w:t>
      </w:r>
      <w:r w:rsidRPr="00835D05">
        <w:rPr>
          <w:rFonts w:ascii="Times New Roman" w:eastAsia="Times New Roman" w:hAnsi="Times New Roman" w:cs="Times New Roman"/>
          <w:b/>
          <w:sz w:val="28"/>
          <w:szCs w:val="28"/>
          <w:highlight w:val="yellow"/>
          <w:lang w:eastAsia="bg-BG"/>
        </w:rPr>
        <w:t>необходимост от ангажиране на целия спектър от контролни органи</w:t>
      </w:r>
      <w:r w:rsidRPr="00835D05">
        <w:rPr>
          <w:rFonts w:ascii="Times New Roman" w:eastAsia="Times New Roman" w:hAnsi="Times New Roman" w:cs="Times New Roman"/>
          <w:sz w:val="28"/>
          <w:szCs w:val="28"/>
          <w:highlight w:val="yellow"/>
          <w:lang w:eastAsia="bg-BG"/>
        </w:rPr>
        <w:t xml:space="preserve"> в противопоставяне на правонарушенията и разкриване на престъпленията;</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 xml:space="preserve">- </w:t>
      </w:r>
      <w:r w:rsidRPr="00835D05">
        <w:rPr>
          <w:rFonts w:ascii="Times New Roman" w:eastAsia="Times New Roman" w:hAnsi="Times New Roman" w:cs="Times New Roman"/>
          <w:b/>
          <w:sz w:val="28"/>
          <w:szCs w:val="28"/>
          <w:highlight w:val="yellow"/>
          <w:lang w:eastAsia="bg-BG"/>
        </w:rPr>
        <w:t xml:space="preserve">необходимост от подобряване на инициативността и работата след </w:t>
      </w:r>
      <w:proofErr w:type="spellStart"/>
      <w:r w:rsidRPr="00835D05">
        <w:rPr>
          <w:rFonts w:ascii="Times New Roman" w:eastAsia="Times New Roman" w:hAnsi="Times New Roman" w:cs="Times New Roman"/>
          <w:b/>
          <w:sz w:val="28"/>
          <w:szCs w:val="28"/>
          <w:highlight w:val="yellow"/>
          <w:lang w:eastAsia="bg-BG"/>
        </w:rPr>
        <w:t>самосезиране</w:t>
      </w:r>
      <w:proofErr w:type="spellEnd"/>
      <w:r w:rsidRPr="00835D05">
        <w:rPr>
          <w:rFonts w:ascii="Times New Roman" w:eastAsia="Times New Roman" w:hAnsi="Times New Roman" w:cs="Times New Roman"/>
          <w:sz w:val="28"/>
          <w:szCs w:val="28"/>
          <w:highlight w:val="yellow"/>
          <w:lang w:eastAsia="bg-BG"/>
        </w:rPr>
        <w:t xml:space="preserve"> от страна на прокурорите от ОП и РП-Варна.</w:t>
      </w:r>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0070C0"/>
          <w:sz w:val="28"/>
          <w:szCs w:val="28"/>
          <w:lang w:eastAsia="bg-BG"/>
        </w:rPr>
      </w:pPr>
      <w:r w:rsidRPr="00FD507C">
        <w:rPr>
          <w:rFonts w:ascii="Times New Roman" w:eastAsiaTheme="majorEastAsia" w:hAnsi="Times New Roman" w:cs="Times New Roman"/>
          <w:bCs/>
          <w:color w:val="0070C0"/>
          <w:sz w:val="28"/>
          <w:szCs w:val="28"/>
          <w:lang w:eastAsia="bg-BG"/>
        </w:rPr>
        <w:t>2. СЛЕДСТВЕН НАДЗОР.</w:t>
      </w:r>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0070C0"/>
          <w:sz w:val="28"/>
          <w:szCs w:val="28"/>
          <w:lang w:eastAsia="bg-BG"/>
        </w:rPr>
      </w:pPr>
      <w:bookmarkStart w:id="4" w:name="_Toc506557810"/>
      <w:r w:rsidRPr="00FD507C">
        <w:rPr>
          <w:rFonts w:ascii="Times New Roman" w:eastAsiaTheme="majorEastAsia" w:hAnsi="Times New Roman" w:cs="Times New Roman"/>
          <w:bCs/>
          <w:color w:val="0070C0"/>
          <w:sz w:val="28"/>
          <w:szCs w:val="28"/>
          <w:lang w:eastAsia="bg-BG"/>
        </w:rPr>
        <w:t>2.1.ОБОБЩЕНИ ДАННИ ПО ВИДОВЕ ДОСЪДЕБНИ ПРОИЗВОДСТВА, ПО ВИДОВЕ РАЗСЛЕДВАЩИ ОРГАНИ И СЪОБРАЗНО СИСТЕМАТИКАТА НА НК, ВКЛЮЧИТЕЛНО ПО ОТНОШЕНИЕ НА ПОСТРАДАЛИТЕ ЛИЦА И НА ОЩЕТЕНИТЕ ОТ ПРЕСТЪПЛЕНИЯ ЮРИДИЧЕСКИ ЛИЦА.</w:t>
      </w:r>
      <w:bookmarkEnd w:id="4"/>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През 2021 год. в съдебния окръг са били наблюдавани 15286 досъдебни производства. Динамиката в ръста им за последните петнадесет години е представена в графиката по-долу.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noProof/>
          <w:sz w:val="28"/>
          <w:szCs w:val="28"/>
          <w:lang w:eastAsia="bg-BG"/>
        </w:rPr>
        <w:lastRenderedPageBreak/>
        <w:drawing>
          <wp:inline distT="0" distB="0" distL="0" distR="0" wp14:anchorId="19A75704" wp14:editId="43C2048D">
            <wp:extent cx="5486400" cy="3200400"/>
            <wp:effectExtent l="0" t="0" r="19050" b="19050"/>
            <wp:docPr id="3" name="Диагра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Наблюдавайки графиката, можем да заключим, че се констатира  трайна обща тенденция към стабилитет в натовареността на прокуратурите по отношение на наблюдаваните дела в рамките не само на предходните две години, а на един десет годишен период от време, след резкия пик  от 2009 год., видим на графиката.</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w:t>
      </w:r>
      <w:r w:rsidRPr="00FD507C">
        <w:rPr>
          <w:rFonts w:ascii="Times New Roman" w:eastAsia="Times New Roman" w:hAnsi="Times New Roman" w:cs="Times New Roman"/>
          <w:b/>
          <w:sz w:val="28"/>
          <w:szCs w:val="28"/>
          <w:lang w:eastAsia="bg-BG"/>
        </w:rPr>
        <w:t>Новообразуваните дела през 2021 год. са 7234, представляващи 53,8% от наблюдаваните ДП</w:t>
      </w:r>
      <w:r w:rsidRPr="00FD507C">
        <w:rPr>
          <w:rFonts w:ascii="Times New Roman" w:eastAsia="Times New Roman" w:hAnsi="Times New Roman" w:cs="Times New Roman"/>
          <w:sz w:val="28"/>
          <w:szCs w:val="28"/>
          <w:lang w:eastAsia="bg-BG"/>
        </w:rPr>
        <w:t xml:space="preserve">. За 2019 год. те са били 57,7 % от делата на производство, за 2020 г. те са 56,1 % от делата на производство. Видно е, че </w:t>
      </w:r>
      <w:r w:rsidRPr="00FD507C">
        <w:rPr>
          <w:rFonts w:ascii="Times New Roman" w:eastAsia="Times New Roman" w:hAnsi="Times New Roman" w:cs="Times New Roman"/>
          <w:b/>
          <w:sz w:val="28"/>
          <w:szCs w:val="28"/>
          <w:lang w:eastAsia="bg-BG"/>
        </w:rPr>
        <w:t>през последните години новообразуваните дела са относително константна величина от гледна точка на процентното им съотношение към наблюдаваните</w:t>
      </w:r>
      <w:r w:rsidRPr="00FD507C">
        <w:rPr>
          <w:rFonts w:ascii="Times New Roman" w:eastAsia="Times New Roman" w:hAnsi="Times New Roman" w:cs="Times New Roman"/>
          <w:sz w:val="28"/>
          <w:szCs w:val="28"/>
          <w:lang w:eastAsia="bg-BG"/>
        </w:rPr>
        <w:t>. На този етап не би могло да се оцени дали се касае за моментна или за трайна промяна в тенденцията към намаляване броя им от последните години.</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Горните констатации, касаещи новообразуваните дела се илюстрират със следната графика:</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noProof/>
          <w:sz w:val="28"/>
          <w:szCs w:val="28"/>
          <w:lang w:eastAsia="bg-BG"/>
        </w:rPr>
        <w:drawing>
          <wp:inline distT="0" distB="0" distL="0" distR="0" wp14:anchorId="053575BC" wp14:editId="6EF25EF9">
            <wp:extent cx="4667534" cy="2142699"/>
            <wp:effectExtent l="0" t="0" r="19050" b="10160"/>
            <wp:docPr id="15" name="Диагра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heme="majorEastAsia" w:hAnsi="Times New Roman" w:cs="Times New Roman"/>
          <w:bCs/>
          <w:color w:val="FF0000"/>
          <w:sz w:val="28"/>
          <w:szCs w:val="28"/>
          <w:lang w:val="en-US" w:eastAsia="bg-BG"/>
        </w:rPr>
      </w:pPr>
    </w:p>
    <w:p w:rsidR="00FD507C" w:rsidRPr="00FD507C" w:rsidRDefault="00FD507C" w:rsidP="00F63914">
      <w:pPr>
        <w:spacing w:after="0" w:line="240" w:lineRule="auto"/>
        <w:ind w:firstLine="426"/>
        <w:jc w:val="both"/>
        <w:rPr>
          <w:rFonts w:ascii="Times New Roman" w:eastAsia="Times New Roman" w:hAnsi="Times New Roman" w:cs="Times New Roman"/>
          <w:b/>
          <w:sz w:val="28"/>
          <w:szCs w:val="28"/>
          <w:lang w:eastAsia="bg-BG"/>
        </w:rPr>
      </w:pPr>
      <w:r w:rsidRPr="00FD507C">
        <w:rPr>
          <w:rFonts w:ascii="Times New Roman" w:eastAsia="Times New Roman" w:hAnsi="Times New Roman" w:cs="Times New Roman"/>
          <w:b/>
          <w:noProof/>
          <w:sz w:val="28"/>
          <w:szCs w:val="28"/>
          <w:lang w:eastAsia="bg-BG"/>
        </w:rPr>
        <w:lastRenderedPageBreak/>
        <w:drawing>
          <wp:inline distT="0" distB="0" distL="0" distR="0" wp14:anchorId="633260B4" wp14:editId="1EB4C91C">
            <wp:extent cx="5486400" cy="3200400"/>
            <wp:effectExtent l="0" t="0" r="19050" b="19050"/>
            <wp:docPr id="16" name="Диагра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b/>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Наблюдаваните БП представляват 5,6 % от общо наблюдаваните ДП</w:t>
      </w:r>
      <w:r w:rsidRPr="00FD507C">
        <w:rPr>
          <w:rFonts w:ascii="Times New Roman" w:eastAsia="Times New Roman" w:hAnsi="Times New Roman" w:cs="Times New Roman"/>
          <w:sz w:val="28"/>
          <w:szCs w:val="28"/>
          <w:lang w:eastAsia="bg-BG"/>
        </w:rPr>
        <w:t xml:space="preserve">-без прекратените по давност, при 6,2% за 2019 и 5,8% за 2020 год., т.е </w:t>
      </w:r>
      <w:r w:rsidRPr="00FD507C">
        <w:rPr>
          <w:rFonts w:ascii="Times New Roman" w:eastAsia="Times New Roman" w:hAnsi="Times New Roman" w:cs="Times New Roman"/>
          <w:b/>
          <w:sz w:val="28"/>
          <w:szCs w:val="28"/>
          <w:lang w:eastAsia="bg-BG"/>
        </w:rPr>
        <w:t>налице е незначително намаляване на наблюдаваните БП спрямо предходните две години</w:t>
      </w:r>
      <w:r w:rsidRPr="00FD507C">
        <w:rPr>
          <w:rFonts w:ascii="Times New Roman" w:eastAsia="Times New Roman" w:hAnsi="Times New Roman" w:cs="Times New Roman"/>
          <w:sz w:val="28"/>
          <w:szCs w:val="28"/>
          <w:lang w:eastAsia="bg-BG"/>
        </w:rPr>
        <w:t xml:space="preserve">.   </w:t>
      </w:r>
    </w:p>
    <w:p w:rsidR="00FD507C" w:rsidRPr="00FD507C" w:rsidRDefault="00FD507C" w:rsidP="00F63914">
      <w:pPr>
        <w:spacing w:after="0" w:line="240" w:lineRule="auto"/>
        <w:ind w:firstLine="426"/>
        <w:jc w:val="both"/>
        <w:rPr>
          <w:rFonts w:ascii="Times New Roman" w:eastAsiaTheme="majorEastAsia" w:hAnsi="Times New Roman" w:cs="Times New Roman"/>
          <w:bCs/>
          <w:sz w:val="28"/>
          <w:szCs w:val="28"/>
          <w:lang w:eastAsia="bg-BG"/>
        </w:rPr>
      </w:pPr>
      <w:r w:rsidRPr="00FD507C">
        <w:rPr>
          <w:rFonts w:ascii="Times New Roman" w:eastAsia="Times New Roman" w:hAnsi="Times New Roman" w:cs="Times New Roman"/>
          <w:b/>
          <w:sz w:val="28"/>
          <w:szCs w:val="28"/>
          <w:lang w:eastAsia="bg-BG"/>
        </w:rPr>
        <w:t xml:space="preserve"> Бързите производства са  средно 5.5% от делата, разследвани по общия ред за предходните 2 години и отчетния период</w:t>
      </w:r>
      <w:r w:rsidRPr="00FD507C">
        <w:rPr>
          <w:rFonts w:ascii="Times New Roman" w:eastAsia="Times New Roman" w:hAnsi="Times New Roman" w:cs="Times New Roman"/>
          <w:sz w:val="28"/>
          <w:szCs w:val="28"/>
          <w:lang w:eastAsia="bg-BG"/>
        </w:rPr>
        <w:t xml:space="preserve">.  Обяснимо е и залегнало в законодателното решение за родовата подсъдност е делът на водените БП именно в РП, тъй като водените в ОП-Варна 2 БП за 2020 год.  представляват пренебрежимо ниско число на фона на абсолютните стойности. </w:t>
      </w:r>
      <w:r w:rsidRPr="00FD507C">
        <w:rPr>
          <w:rFonts w:ascii="Times New Roman" w:eastAsiaTheme="majorEastAsia" w:hAnsi="Times New Roman" w:cs="Times New Roman"/>
          <w:bCs/>
          <w:sz w:val="28"/>
          <w:szCs w:val="28"/>
          <w:lang w:eastAsia="bg-BG"/>
        </w:rPr>
        <w:t>През отчетния период за района на ОП-Варна по разпореждане на прокурор са образувани  11 бързи производства.</w:t>
      </w:r>
    </w:p>
    <w:p w:rsidR="00FD507C" w:rsidRPr="00FD507C" w:rsidRDefault="00FD507C" w:rsidP="00F63914">
      <w:pPr>
        <w:spacing w:after="0" w:line="240" w:lineRule="auto"/>
        <w:ind w:firstLine="426"/>
        <w:jc w:val="both"/>
        <w:rPr>
          <w:rFonts w:ascii="Times New Roman" w:eastAsiaTheme="majorEastAsia" w:hAnsi="Times New Roman" w:cs="Times New Roman"/>
          <w:bCs/>
          <w:sz w:val="28"/>
          <w:szCs w:val="28"/>
          <w:lang w:eastAsia="bg-BG"/>
        </w:rPr>
      </w:pPr>
      <w:r w:rsidRPr="00FD507C">
        <w:rPr>
          <w:rFonts w:ascii="Times New Roman" w:eastAsiaTheme="majorEastAsia" w:hAnsi="Times New Roman" w:cs="Times New Roman"/>
          <w:bCs/>
          <w:sz w:val="28"/>
          <w:szCs w:val="28"/>
          <w:lang w:eastAsia="bg-BG"/>
        </w:rPr>
        <w:t xml:space="preserve"> Относителният дял на новообразуваните БП спрямо общия брой новообразувани дела е 10,3 % при 16,7% за 2020 год. и 10.5 % за 2019 г. </w:t>
      </w:r>
    </w:p>
    <w:p w:rsidR="00FD507C" w:rsidRPr="00FD507C" w:rsidRDefault="00FD507C" w:rsidP="00F63914">
      <w:pPr>
        <w:spacing w:after="0" w:line="240" w:lineRule="auto"/>
        <w:ind w:firstLine="426"/>
        <w:jc w:val="both"/>
        <w:rPr>
          <w:rFonts w:ascii="Times New Roman" w:eastAsia="Times New Roman" w:hAnsi="Times New Roman" w:cs="Times New Roman"/>
          <w:b/>
          <w:sz w:val="28"/>
          <w:szCs w:val="28"/>
          <w:lang w:eastAsia="bg-BG"/>
        </w:rPr>
      </w:pPr>
      <w:r w:rsidRPr="00FD507C">
        <w:rPr>
          <w:rFonts w:ascii="Times New Roman" w:eastAsia="Times New Roman" w:hAnsi="Times New Roman" w:cs="Times New Roman"/>
          <w:b/>
          <w:noProof/>
          <w:sz w:val="28"/>
          <w:szCs w:val="28"/>
          <w:lang w:eastAsia="bg-BG"/>
        </w:rPr>
        <w:drawing>
          <wp:inline distT="0" distB="0" distL="0" distR="0" wp14:anchorId="18940A58" wp14:editId="025D9D47">
            <wp:extent cx="4612943" cy="2552131"/>
            <wp:effectExtent l="0" t="0" r="16510" b="19685"/>
            <wp:docPr id="17" name="Диагра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lastRenderedPageBreak/>
        <w:t>Основният дял в делата на производство в съдебния окръг на ОП – Варна представляват тези по общия ред, водени от разследващ полицай</w:t>
      </w:r>
      <w:r w:rsidRPr="00FD507C">
        <w:rPr>
          <w:rFonts w:ascii="Times New Roman" w:eastAsia="Times New Roman" w:hAnsi="Times New Roman" w:cs="Times New Roman"/>
          <w:sz w:val="28"/>
          <w:szCs w:val="28"/>
          <w:lang w:eastAsia="bg-BG"/>
        </w:rPr>
        <w:t xml:space="preserve">, което се обяснява с действащата законодателна уредба.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От една страна, бързите производства са възможни само в ограничен кръг от случаи, подробно разписани в закона.</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От друга страна, нормативната уредба на бързите производства е свързана с ангажирането на съществен ресурс от страна на разследващите, какъвто те трудно могат постоянно да отделят. Въпреки горепосочените обстоятелства, </w:t>
      </w:r>
      <w:r w:rsidRPr="00FD507C">
        <w:rPr>
          <w:rFonts w:ascii="Times New Roman" w:eastAsia="Times New Roman" w:hAnsi="Times New Roman" w:cs="Times New Roman"/>
          <w:b/>
          <w:sz w:val="28"/>
          <w:szCs w:val="28"/>
          <w:lang w:eastAsia="bg-BG"/>
        </w:rPr>
        <w:t>за района на ОП – Варна през отчетния период се констатира леко намаление на броя на новообразуваните бързи производства спрямо предходните години.</w:t>
      </w:r>
      <w:r w:rsidRPr="00FD507C">
        <w:rPr>
          <w:rFonts w:ascii="Times New Roman" w:eastAsia="Times New Roman" w:hAnsi="Times New Roman" w:cs="Times New Roman"/>
          <w:sz w:val="28"/>
          <w:szCs w:val="28"/>
          <w:lang w:eastAsia="bg-BG"/>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Разследващи полицаи традиционно водят над 90 % от делата</w:t>
      </w:r>
      <w:r w:rsidRPr="00FD507C">
        <w:rPr>
          <w:rFonts w:ascii="Times New Roman" w:eastAsia="Times New Roman" w:hAnsi="Times New Roman" w:cs="Times New Roman"/>
          <w:sz w:val="28"/>
          <w:szCs w:val="28"/>
          <w:lang w:eastAsia="bg-BG"/>
        </w:rPr>
        <w:t xml:space="preserve">, което е следствие на законовите разпоредби.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Броят на </w:t>
      </w:r>
      <w:r w:rsidRPr="00FD507C">
        <w:rPr>
          <w:rFonts w:ascii="Times New Roman" w:eastAsia="Times New Roman" w:hAnsi="Times New Roman" w:cs="Times New Roman"/>
          <w:b/>
          <w:sz w:val="28"/>
          <w:szCs w:val="28"/>
          <w:lang w:eastAsia="bg-BG"/>
        </w:rPr>
        <w:t>новообразуваните дела, разследвани от следовател за 2021 год. са 83,  като заедно с възложените  по реда на чл.194, ал.1, т.4 от НПК са  179</w:t>
      </w:r>
      <w:r w:rsidRPr="00FD507C">
        <w:rPr>
          <w:rFonts w:ascii="Times New Roman" w:eastAsia="Times New Roman" w:hAnsi="Times New Roman" w:cs="Times New Roman"/>
          <w:sz w:val="28"/>
          <w:szCs w:val="28"/>
          <w:lang w:eastAsia="bg-BG"/>
        </w:rPr>
        <w:t xml:space="preserve">, като за 2020 год. са  били 198 бр. и за 2019 г. - 221. Общата тенденция е за намаляване на броя на новообразуваните дела, което се отразява и на броя новообразувани  дела, възложени на следовател. Намалял е и броят дела, възложени  на следовател от административния ръководител на окръжната прокуратура при фактическа и правна сложност по  реда на чл.194, ал.1 т.4 от НПК в резултат на  търсене на баланса между количествена натовареност и естеството на досъдебните производства, които се възлагат на следователите.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На следователите се възлагат усложнени, многотомни, трудни за приключване  дела с фактическа и правна сложност.  Често  разследването по такива дела вече е било водено повече от година, а понякога и повече от две години. За поредна година следва да се посочи, че възлагането на тежки разследвания не предполага бързото им приключване. Ако се изпълни тази тенденция за възлагане на тежки, обемни и многотомни дела  с правна сложност на следователите до крайност, ще се стигне до парадокса да отчитаме неефективна работа на отдела и липсваща резултатност.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По данни на МВР </w:t>
      </w:r>
      <w:r w:rsidRPr="00FD507C">
        <w:rPr>
          <w:rFonts w:ascii="Times New Roman" w:eastAsia="Times New Roman" w:hAnsi="Times New Roman" w:cs="Times New Roman"/>
          <w:b/>
          <w:sz w:val="28"/>
          <w:szCs w:val="28"/>
          <w:lang w:eastAsia="bg-BG"/>
        </w:rPr>
        <w:t xml:space="preserve">общият процент </w:t>
      </w:r>
      <w:proofErr w:type="spellStart"/>
      <w:r w:rsidRPr="00FD507C">
        <w:rPr>
          <w:rFonts w:ascii="Times New Roman" w:eastAsia="Times New Roman" w:hAnsi="Times New Roman" w:cs="Times New Roman"/>
          <w:b/>
          <w:sz w:val="28"/>
          <w:szCs w:val="28"/>
          <w:lang w:eastAsia="bg-BG"/>
        </w:rPr>
        <w:t>разкриваемост</w:t>
      </w:r>
      <w:proofErr w:type="spellEnd"/>
      <w:r w:rsidRPr="00FD507C">
        <w:rPr>
          <w:rFonts w:ascii="Times New Roman" w:eastAsia="Times New Roman" w:hAnsi="Times New Roman" w:cs="Times New Roman"/>
          <w:b/>
          <w:sz w:val="28"/>
          <w:szCs w:val="28"/>
          <w:lang w:eastAsia="bg-BG"/>
        </w:rPr>
        <w:t xml:space="preserve"> за 2021 год. е приблизително еднакъв с този от предходните три години – 39,5%</w:t>
      </w:r>
      <w:r w:rsidRPr="00FD507C">
        <w:rPr>
          <w:rFonts w:ascii="Times New Roman" w:eastAsia="Times New Roman" w:hAnsi="Times New Roman" w:cs="Times New Roman"/>
          <w:sz w:val="28"/>
          <w:szCs w:val="28"/>
          <w:lang w:eastAsia="bg-BG"/>
        </w:rPr>
        <w:t xml:space="preserve">. За 2020 год. е 38.4%, за 2019 г. е бил 38,8 %. Данните за </w:t>
      </w:r>
      <w:proofErr w:type="spellStart"/>
      <w:r w:rsidRPr="00FD507C">
        <w:rPr>
          <w:rFonts w:ascii="Times New Roman" w:eastAsia="Times New Roman" w:hAnsi="Times New Roman" w:cs="Times New Roman"/>
          <w:sz w:val="28"/>
          <w:szCs w:val="28"/>
          <w:lang w:eastAsia="bg-BG"/>
        </w:rPr>
        <w:t>разкриваемостта</w:t>
      </w:r>
      <w:proofErr w:type="spellEnd"/>
      <w:r w:rsidRPr="00FD507C">
        <w:rPr>
          <w:rFonts w:ascii="Times New Roman" w:eastAsia="Times New Roman" w:hAnsi="Times New Roman" w:cs="Times New Roman"/>
          <w:sz w:val="28"/>
          <w:szCs w:val="28"/>
          <w:lang w:eastAsia="bg-BG"/>
        </w:rPr>
        <w:t xml:space="preserve"> на регистрираните престъпления в МВР могат да се определят като добър показател като се има предвид, че тя е приблизително постоянна величина  и в предходните години.</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Следва обаче да се отчетат и някои други обстоятелства, имащи значение при оценката за състоянието на оперативната работа и нейната ефективност. </w:t>
      </w:r>
    </w:p>
    <w:p w:rsidR="00FD507C" w:rsidRPr="00FD507C" w:rsidRDefault="00FD507C" w:rsidP="00F63914">
      <w:pPr>
        <w:overflowPunct w:val="0"/>
        <w:autoSpaceDE w:val="0"/>
        <w:autoSpaceDN w:val="0"/>
        <w:adjustRightInd w:val="0"/>
        <w:spacing w:after="0" w:line="240" w:lineRule="auto"/>
        <w:ind w:firstLine="567"/>
        <w:jc w:val="both"/>
        <w:textAlignment w:val="baseline"/>
        <w:rPr>
          <w:rFonts w:ascii="Times New Roman" w:hAnsi="Times New Roman"/>
          <w:sz w:val="28"/>
          <w:szCs w:val="28"/>
        </w:rPr>
      </w:pPr>
      <w:r w:rsidRPr="00FD507C">
        <w:rPr>
          <w:rFonts w:ascii="Times New Roman" w:hAnsi="Times New Roman"/>
          <w:b/>
          <w:sz w:val="28"/>
          <w:szCs w:val="28"/>
        </w:rPr>
        <w:t xml:space="preserve">Положителен е фактът, отчетен от РП-Варна, че липсва тенденция на </w:t>
      </w:r>
      <w:proofErr w:type="spellStart"/>
      <w:r w:rsidRPr="00FD507C">
        <w:rPr>
          <w:rFonts w:ascii="Times New Roman" w:hAnsi="Times New Roman"/>
          <w:b/>
          <w:sz w:val="28"/>
          <w:szCs w:val="28"/>
        </w:rPr>
        <w:t>съсреточаване</w:t>
      </w:r>
      <w:proofErr w:type="spellEnd"/>
      <w:r w:rsidRPr="00FD507C">
        <w:rPr>
          <w:rFonts w:ascii="Times New Roman" w:hAnsi="Times New Roman"/>
          <w:b/>
          <w:sz w:val="28"/>
          <w:szCs w:val="28"/>
        </w:rPr>
        <w:t xml:space="preserve"> на голям брой </w:t>
      </w:r>
      <w:proofErr w:type="spellStart"/>
      <w:r w:rsidRPr="00FD507C">
        <w:rPr>
          <w:rFonts w:ascii="Times New Roman" w:hAnsi="Times New Roman"/>
          <w:b/>
          <w:sz w:val="28"/>
          <w:szCs w:val="28"/>
        </w:rPr>
        <w:t>домови</w:t>
      </w:r>
      <w:proofErr w:type="spellEnd"/>
      <w:r w:rsidRPr="00FD507C">
        <w:rPr>
          <w:rFonts w:ascii="Times New Roman" w:hAnsi="Times New Roman"/>
          <w:b/>
          <w:sz w:val="28"/>
          <w:szCs w:val="28"/>
        </w:rPr>
        <w:t xml:space="preserve"> кражби и грабежи в малките и отдалечени населени места</w:t>
      </w:r>
      <w:r w:rsidRPr="00FD507C">
        <w:rPr>
          <w:rFonts w:ascii="Times New Roman" w:hAnsi="Times New Roman"/>
          <w:sz w:val="28"/>
          <w:szCs w:val="28"/>
        </w:rPr>
        <w:t xml:space="preserve">, предвид изострената </w:t>
      </w:r>
      <w:proofErr w:type="spellStart"/>
      <w:r w:rsidRPr="00FD507C">
        <w:rPr>
          <w:rFonts w:ascii="Times New Roman" w:hAnsi="Times New Roman"/>
          <w:sz w:val="28"/>
          <w:szCs w:val="28"/>
        </w:rPr>
        <w:t>чуствителност</w:t>
      </w:r>
      <w:proofErr w:type="spellEnd"/>
      <w:r w:rsidRPr="00FD507C">
        <w:rPr>
          <w:rFonts w:ascii="Times New Roman" w:hAnsi="Times New Roman"/>
          <w:sz w:val="28"/>
          <w:szCs w:val="28"/>
        </w:rPr>
        <w:t xml:space="preserve"> на обществото към този вид престъпления. </w:t>
      </w:r>
    </w:p>
    <w:p w:rsidR="00FD507C" w:rsidRPr="00FD507C" w:rsidRDefault="00FD507C" w:rsidP="00F63914">
      <w:pPr>
        <w:suppressAutoHyphens/>
        <w:autoSpaceDN w:val="0"/>
        <w:spacing w:after="0" w:line="240" w:lineRule="auto"/>
        <w:ind w:firstLine="567"/>
        <w:jc w:val="both"/>
        <w:textAlignment w:val="baseline"/>
        <w:rPr>
          <w:rFonts w:ascii="Times New Roman" w:hAnsi="Times New Roman" w:cs="Times New Roman"/>
          <w:sz w:val="28"/>
          <w:szCs w:val="28"/>
        </w:rPr>
      </w:pPr>
      <w:r w:rsidRPr="00FD507C">
        <w:rPr>
          <w:rFonts w:ascii="Times New Roman" w:hAnsi="Times New Roman" w:cs="Times New Roman"/>
          <w:sz w:val="28"/>
          <w:szCs w:val="28"/>
        </w:rPr>
        <w:t xml:space="preserve">За поредна година </w:t>
      </w:r>
      <w:r w:rsidRPr="00FD507C">
        <w:rPr>
          <w:rFonts w:ascii="Times New Roman" w:hAnsi="Times New Roman" w:cs="Times New Roman"/>
          <w:b/>
          <w:sz w:val="28"/>
          <w:szCs w:val="28"/>
        </w:rPr>
        <w:t>най-разпространените престъпления остават именно кражбите - регистрирани 2878, които са на второ място по внесени в съд прокурорски актове от РП-Варна- 315  от 1529 акта за периода</w:t>
      </w:r>
      <w:r w:rsidRPr="00FD507C">
        <w:rPr>
          <w:rFonts w:ascii="Times New Roman" w:hAnsi="Times New Roman" w:cs="Times New Roman"/>
          <w:sz w:val="28"/>
          <w:szCs w:val="28"/>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И през настоящата година остава </w:t>
      </w:r>
      <w:r w:rsidRPr="00FD507C">
        <w:rPr>
          <w:rFonts w:ascii="Times New Roman" w:eastAsia="Times New Roman" w:hAnsi="Times New Roman" w:cs="Times New Roman"/>
          <w:b/>
          <w:sz w:val="28"/>
          <w:szCs w:val="28"/>
          <w:lang w:eastAsia="bg-BG"/>
        </w:rPr>
        <w:t>значителен броя на т.нар „транспортни престъпления“</w:t>
      </w:r>
      <w:r w:rsidRPr="00FD507C">
        <w:rPr>
          <w:rFonts w:ascii="Times New Roman" w:eastAsia="Times New Roman" w:hAnsi="Times New Roman" w:cs="Times New Roman"/>
          <w:sz w:val="28"/>
          <w:szCs w:val="28"/>
          <w:lang w:eastAsia="bg-BG"/>
        </w:rPr>
        <w:t xml:space="preserve"> в структурата на престъпността  в съдебния окръг на ОП – Варна. </w:t>
      </w:r>
      <w:r w:rsidRPr="00FD507C">
        <w:rPr>
          <w:rFonts w:ascii="Times New Roman" w:eastAsia="Times New Roman" w:hAnsi="Times New Roman" w:cs="Times New Roman"/>
          <w:b/>
          <w:sz w:val="28"/>
          <w:szCs w:val="28"/>
          <w:lang w:eastAsia="bg-BG"/>
        </w:rPr>
        <w:lastRenderedPageBreak/>
        <w:t xml:space="preserve">Положителна е тенденцията, че те са </w:t>
      </w:r>
      <w:proofErr w:type="spellStart"/>
      <w:r w:rsidRPr="00FD507C">
        <w:rPr>
          <w:rFonts w:ascii="Times New Roman" w:eastAsia="Times New Roman" w:hAnsi="Times New Roman" w:cs="Times New Roman"/>
          <w:b/>
          <w:sz w:val="28"/>
          <w:szCs w:val="28"/>
          <w:lang w:eastAsia="bg-BG"/>
        </w:rPr>
        <w:t>нмалели</w:t>
      </w:r>
      <w:proofErr w:type="spellEnd"/>
      <w:r w:rsidRPr="00FD507C">
        <w:rPr>
          <w:rFonts w:ascii="Times New Roman" w:eastAsia="Times New Roman" w:hAnsi="Times New Roman" w:cs="Times New Roman"/>
          <w:b/>
          <w:sz w:val="28"/>
          <w:szCs w:val="28"/>
          <w:lang w:eastAsia="bg-BG"/>
        </w:rPr>
        <w:t xml:space="preserve"> с 32 бр. спрямо 2020 год. и с 160 броя спрямо 2019 год.</w:t>
      </w:r>
      <w:r w:rsidRPr="00FD507C">
        <w:rPr>
          <w:rFonts w:ascii="Times New Roman" w:eastAsia="Times New Roman" w:hAnsi="Times New Roman" w:cs="Times New Roman"/>
          <w:sz w:val="28"/>
          <w:szCs w:val="28"/>
          <w:lang w:eastAsia="bg-BG"/>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Данните за разследванията съобразно систематиката на НК са представени в таблицата по-долу.</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Налице е:</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 xml:space="preserve">спад в престъпленията против личността </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спад в престъпленията против правата на гражданите;</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намаление спрямо 2020 год. и увеличение спрямо 2019 год. на престъпленията против брака и семейството;</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намаление на престъпленията против стопанството; </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увеличаване на финансовите престъпления;</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увеличение  на престъпленията против дейността на държавни органи и обществени организации;</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намаление  при документните престъпления спрямо предходните две години; </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за поредна година увеличаване на относителния дял компютърните престъпления;</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увеличаване на делата, образувани за престъпленията против реда и общественото спокойствие;</w:t>
      </w:r>
    </w:p>
    <w:p w:rsidR="00FD507C" w:rsidRPr="00FD507C" w:rsidRDefault="00FD507C" w:rsidP="00F63914">
      <w:pPr>
        <w:numPr>
          <w:ilvl w:val="0"/>
          <w:numId w:val="3"/>
        </w:numPr>
        <w:spacing w:after="0" w:line="240" w:lineRule="auto"/>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намаляване на относителния дял на </w:t>
      </w:r>
      <w:proofErr w:type="spellStart"/>
      <w:r w:rsidRPr="00FD507C">
        <w:rPr>
          <w:rFonts w:ascii="Times New Roman" w:eastAsia="Times New Roman" w:hAnsi="Times New Roman" w:cs="Times New Roman"/>
          <w:sz w:val="28"/>
          <w:szCs w:val="28"/>
          <w:lang w:eastAsia="bg-BG"/>
        </w:rPr>
        <w:t>общоопасните</w:t>
      </w:r>
      <w:proofErr w:type="spellEnd"/>
      <w:r w:rsidRPr="00FD507C">
        <w:rPr>
          <w:rFonts w:ascii="Times New Roman" w:eastAsia="Times New Roman" w:hAnsi="Times New Roman" w:cs="Times New Roman"/>
          <w:sz w:val="28"/>
          <w:szCs w:val="28"/>
          <w:lang w:eastAsia="bg-BG"/>
        </w:rPr>
        <w:t xml:space="preserve"> престъпления   спрямо 2020 год. и увеличаването им  спрямо 2019 год.. </w:t>
      </w:r>
    </w:p>
    <w:p w:rsidR="00FD507C" w:rsidRPr="00FD507C" w:rsidRDefault="00FD507C" w:rsidP="00F63914">
      <w:pPr>
        <w:spacing w:after="0" w:line="240" w:lineRule="auto"/>
        <w:ind w:firstLine="426"/>
        <w:jc w:val="both"/>
        <w:rPr>
          <w:rFonts w:ascii="Times New Roman" w:eastAsia="Times New Roman" w:hAnsi="Times New Roman" w:cs="Times New Roman"/>
          <w:color w:val="FF0000"/>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color w:val="FF0000"/>
          <w:sz w:val="28"/>
          <w:szCs w:val="28"/>
          <w:lang w:eastAsia="bg-BG"/>
        </w:rPr>
      </w:pPr>
    </w:p>
    <w:tbl>
      <w:tblPr>
        <w:tblW w:w="9740" w:type="dxa"/>
        <w:tblInd w:w="55" w:type="dxa"/>
        <w:tblCellMar>
          <w:left w:w="70" w:type="dxa"/>
          <w:right w:w="70" w:type="dxa"/>
        </w:tblCellMar>
        <w:tblLook w:val="04A0" w:firstRow="1" w:lastRow="0" w:firstColumn="1" w:lastColumn="0" w:noHBand="0" w:noVBand="1"/>
      </w:tblPr>
      <w:tblGrid>
        <w:gridCol w:w="2079"/>
        <w:gridCol w:w="540"/>
        <w:gridCol w:w="540"/>
        <w:gridCol w:w="620"/>
        <w:gridCol w:w="861"/>
        <w:gridCol w:w="540"/>
        <w:gridCol w:w="540"/>
        <w:gridCol w:w="609"/>
        <w:gridCol w:w="861"/>
        <w:gridCol w:w="540"/>
        <w:gridCol w:w="540"/>
        <w:gridCol w:w="609"/>
        <w:gridCol w:w="861"/>
      </w:tblGrid>
      <w:tr w:rsidR="00FD507C" w:rsidRPr="00835D05" w:rsidTr="009658CD">
        <w:trPr>
          <w:trHeight w:val="315"/>
        </w:trPr>
        <w:tc>
          <w:tcPr>
            <w:tcW w:w="2109" w:type="dxa"/>
            <w:vMerge w:val="restart"/>
            <w:tcBorders>
              <w:top w:val="single" w:sz="8" w:space="0" w:color="auto"/>
              <w:left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Глава от НК</w:t>
            </w:r>
          </w:p>
          <w:p w:rsidR="00FD507C" w:rsidRPr="00835D05" w:rsidRDefault="00FD507C" w:rsidP="00F63914">
            <w:pPr>
              <w:spacing w:after="0" w:line="240" w:lineRule="auto"/>
              <w:rPr>
                <w:rFonts w:ascii="Times New Roman" w:eastAsia="Times New Roman" w:hAnsi="Times New Roman" w:cs="Times New Roman"/>
                <w:b/>
                <w:bCs/>
                <w:sz w:val="20"/>
                <w:szCs w:val="20"/>
                <w:highlight w:val="yellow"/>
                <w:lang w:eastAsia="bg-BG"/>
              </w:rPr>
            </w:pPr>
            <w:r w:rsidRPr="00835D05">
              <w:rPr>
                <w:rFonts w:ascii="Calibri" w:eastAsia="Times New Roman" w:hAnsi="Calibri" w:cs="Calibri"/>
                <w:color w:val="000000"/>
                <w:highlight w:val="yellow"/>
                <w:lang w:eastAsia="bg-BG"/>
              </w:rPr>
              <w:t> </w:t>
            </w:r>
          </w:p>
        </w:tc>
        <w:tc>
          <w:tcPr>
            <w:tcW w:w="2556" w:type="dxa"/>
            <w:gridSpan w:val="4"/>
            <w:tcBorders>
              <w:top w:val="single" w:sz="8" w:space="0" w:color="auto"/>
              <w:left w:val="nil"/>
              <w:bottom w:val="single" w:sz="8" w:space="0" w:color="auto"/>
              <w:right w:val="single" w:sz="8" w:space="0" w:color="000000"/>
            </w:tcBorders>
            <w:shd w:val="clear" w:color="000000" w:fill="D9D9D9"/>
            <w:noWrap/>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2019 г.</w:t>
            </w:r>
          </w:p>
        </w:tc>
        <w:tc>
          <w:tcPr>
            <w:tcW w:w="2530" w:type="dxa"/>
            <w:gridSpan w:val="4"/>
            <w:tcBorders>
              <w:top w:val="single" w:sz="8" w:space="0" w:color="auto"/>
              <w:left w:val="nil"/>
              <w:bottom w:val="single" w:sz="8" w:space="0" w:color="auto"/>
              <w:right w:val="single" w:sz="8" w:space="0" w:color="000000"/>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2020 г.</w:t>
            </w:r>
          </w:p>
        </w:tc>
        <w:tc>
          <w:tcPr>
            <w:tcW w:w="2545" w:type="dxa"/>
            <w:gridSpan w:val="4"/>
            <w:tcBorders>
              <w:top w:val="single" w:sz="8" w:space="0" w:color="auto"/>
              <w:left w:val="nil"/>
              <w:bottom w:val="single" w:sz="8" w:space="0" w:color="auto"/>
              <w:right w:val="single" w:sz="8" w:space="0" w:color="000000"/>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2021 г.</w:t>
            </w:r>
          </w:p>
        </w:tc>
      </w:tr>
      <w:tr w:rsidR="00FD507C" w:rsidRPr="00835D05" w:rsidTr="009658CD">
        <w:trPr>
          <w:trHeight w:val="2617"/>
        </w:trPr>
        <w:tc>
          <w:tcPr>
            <w:tcW w:w="2109" w:type="dxa"/>
            <w:vMerge/>
            <w:tcBorders>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Calibri" w:eastAsia="Times New Roman" w:hAnsi="Calibri" w:cs="Calibri"/>
                <w:color w:val="000000"/>
                <w:highlight w:val="yellow"/>
                <w:lang w:eastAsia="bg-BG"/>
              </w:rPr>
            </w:pP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Новообразувани ДП</w:t>
            </w: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Внесени в съда прокурорски актове</w:t>
            </w:r>
          </w:p>
        </w:tc>
        <w:tc>
          <w:tcPr>
            <w:tcW w:w="62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Общ брой лица по внесените прокурорски актове</w:t>
            </w:r>
          </w:p>
        </w:tc>
        <w:tc>
          <w:tcPr>
            <w:tcW w:w="856"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Пострадали физически и юридически лица по новообразувани ДП</w:t>
            </w: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Новообразувани ДП</w:t>
            </w: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Внесени в съда прокурорски актове</w:t>
            </w:r>
          </w:p>
        </w:tc>
        <w:tc>
          <w:tcPr>
            <w:tcW w:w="612"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Общ брой лица по внесените прокурорски актове</w:t>
            </w:r>
          </w:p>
        </w:tc>
        <w:tc>
          <w:tcPr>
            <w:tcW w:w="838"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Пострадали физически и юридически лица по новообразувани ДП</w:t>
            </w: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Новообразувани ДП</w:t>
            </w:r>
          </w:p>
        </w:tc>
        <w:tc>
          <w:tcPr>
            <w:tcW w:w="540"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Внесени в съда прокурорски актове</w:t>
            </w:r>
          </w:p>
        </w:tc>
        <w:tc>
          <w:tcPr>
            <w:tcW w:w="612"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Общ брой лица по внесените прокурорски актове</w:t>
            </w:r>
          </w:p>
        </w:tc>
        <w:tc>
          <w:tcPr>
            <w:tcW w:w="853" w:type="dxa"/>
            <w:tcBorders>
              <w:top w:val="nil"/>
              <w:left w:val="nil"/>
              <w:bottom w:val="single" w:sz="8" w:space="0" w:color="auto"/>
              <w:right w:val="single" w:sz="8" w:space="0" w:color="auto"/>
            </w:tcBorders>
            <w:shd w:val="clear" w:color="000000" w:fill="D9D9D9"/>
            <w:textDirection w:val="btLr"/>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Пострадали физически и юридически лица по новообразувани ДП</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II „Престъпления против личността”</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757</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88</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97</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614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721</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110</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533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696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139</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553 ФЛ</w:t>
            </w:r>
            <w:r w:rsidRPr="00835D05">
              <w:rPr>
                <w:rFonts w:ascii="Times New Roman" w:eastAsia="Times New Roman" w:hAnsi="Times New Roman" w:cs="Times New Roman"/>
                <w:sz w:val="20"/>
                <w:szCs w:val="20"/>
                <w:highlight w:val="yellow"/>
                <w:lang w:eastAsia="bg-BG"/>
              </w:rPr>
              <w:br/>
              <w:t>/0 ЮЛ</w:t>
            </w:r>
          </w:p>
        </w:tc>
      </w:tr>
      <w:tr w:rsidR="00FD507C" w:rsidRPr="00835D05" w:rsidTr="009658CD">
        <w:trPr>
          <w:trHeight w:val="750"/>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 xml:space="preserve">Глава ІІІ „Престъпления против правата на гражданите” </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59</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9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53</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 ФЛ</w:t>
            </w:r>
            <w:r w:rsidRPr="00835D05">
              <w:rPr>
                <w:rFonts w:ascii="Times New Roman" w:eastAsia="Times New Roman" w:hAnsi="Times New Roman" w:cs="Times New Roman"/>
                <w:sz w:val="20"/>
                <w:szCs w:val="20"/>
                <w:highlight w:val="yellow"/>
                <w:lang w:eastAsia="bg-BG"/>
              </w:rPr>
              <w:br/>
              <w:t>/1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 ФЛ</w:t>
            </w:r>
            <w:r w:rsidRPr="00835D05">
              <w:rPr>
                <w:rFonts w:ascii="Times New Roman" w:eastAsia="Times New Roman" w:hAnsi="Times New Roman" w:cs="Times New Roman"/>
                <w:sz w:val="20"/>
                <w:szCs w:val="20"/>
                <w:highlight w:val="yellow"/>
                <w:lang w:eastAsia="bg-BG"/>
              </w:rPr>
              <w:br/>
              <w:t>/1 ЮЛ</w:t>
            </w:r>
          </w:p>
        </w:tc>
      </w:tr>
      <w:tr w:rsidR="00FD507C" w:rsidRPr="00835D05" w:rsidTr="009658CD">
        <w:trPr>
          <w:trHeight w:val="750"/>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 xml:space="preserve">Глава ІV „Престъпления против брака и семейството” </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102</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48</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48</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61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39</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39</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50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57</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57</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52ФЛ/0 ЮЛ</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V „Престъпления против собствеността”</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4374</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395</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485</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3437 ФЛ</w:t>
            </w:r>
            <w:r w:rsidRPr="00835D05">
              <w:rPr>
                <w:rFonts w:ascii="Times New Roman" w:eastAsia="Times New Roman" w:hAnsi="Times New Roman" w:cs="Times New Roman"/>
                <w:sz w:val="20"/>
                <w:szCs w:val="20"/>
                <w:highlight w:val="yellow"/>
                <w:lang w:eastAsia="bg-BG"/>
              </w:rPr>
              <w:br/>
              <w:t>/66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3846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371</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371</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2498 ФЛ</w:t>
            </w:r>
            <w:r w:rsidRPr="00835D05">
              <w:rPr>
                <w:rFonts w:ascii="Times New Roman" w:eastAsia="Times New Roman" w:hAnsi="Times New Roman" w:cs="Times New Roman"/>
                <w:sz w:val="20"/>
                <w:szCs w:val="20"/>
                <w:highlight w:val="yellow"/>
                <w:lang w:eastAsia="bg-BG"/>
              </w:rPr>
              <w:br/>
              <w:t>/16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3645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436</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563</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2546 ФЛ</w:t>
            </w:r>
            <w:r w:rsidRPr="00835D05">
              <w:rPr>
                <w:rFonts w:ascii="Times New Roman" w:eastAsia="Times New Roman" w:hAnsi="Times New Roman" w:cs="Times New Roman"/>
                <w:sz w:val="20"/>
                <w:szCs w:val="20"/>
                <w:highlight w:val="yellow"/>
                <w:lang w:eastAsia="bg-BG"/>
              </w:rPr>
              <w:br/>
              <w:t>/25 ЮЛ</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 xml:space="preserve">Глава VІ „Престъпления против стопанството” </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423</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52</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56</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113 ФЛ</w:t>
            </w:r>
            <w:r w:rsidRPr="00835D05">
              <w:rPr>
                <w:rFonts w:ascii="Times New Roman" w:eastAsia="Times New Roman" w:hAnsi="Times New Roman" w:cs="Times New Roman"/>
                <w:sz w:val="20"/>
                <w:szCs w:val="20"/>
                <w:highlight w:val="yellow"/>
                <w:lang w:eastAsia="bg-BG"/>
              </w:rPr>
              <w:br/>
              <w:t>/15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466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66</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67</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106 ФЛ</w:t>
            </w:r>
            <w:r w:rsidRPr="00835D05">
              <w:rPr>
                <w:rFonts w:ascii="Times New Roman" w:eastAsia="Times New Roman" w:hAnsi="Times New Roman" w:cs="Times New Roman"/>
                <w:sz w:val="20"/>
                <w:szCs w:val="20"/>
                <w:highlight w:val="yellow"/>
                <w:lang w:eastAsia="bg-BG"/>
              </w:rPr>
              <w:br/>
              <w:t>/8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375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53</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89 ФЛ</w:t>
            </w:r>
            <w:r w:rsidRPr="00835D05">
              <w:rPr>
                <w:rFonts w:ascii="Times New Roman" w:eastAsia="Times New Roman" w:hAnsi="Times New Roman" w:cs="Times New Roman"/>
                <w:sz w:val="20"/>
                <w:szCs w:val="20"/>
                <w:highlight w:val="yellow"/>
                <w:lang w:eastAsia="bg-BG"/>
              </w:rPr>
              <w:br/>
              <w:t>/7 ЮЛ</w:t>
            </w:r>
          </w:p>
        </w:tc>
      </w:tr>
      <w:tr w:rsidR="00FD507C" w:rsidRPr="00835D05" w:rsidTr="009658CD">
        <w:trPr>
          <w:trHeight w:val="1260"/>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lastRenderedPageBreak/>
              <w:t>Глава VІІ „Престъпления против финансовата, данъчната и осигурителната система”</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69</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10</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50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13</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13</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 0ЮЛ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19</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24</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w:t>
            </w:r>
            <w:r w:rsidRPr="00835D05">
              <w:rPr>
                <w:rFonts w:ascii="Times New Roman" w:eastAsia="Times New Roman" w:hAnsi="Times New Roman" w:cs="Times New Roman"/>
                <w:sz w:val="20"/>
                <w:szCs w:val="20"/>
                <w:highlight w:val="yellow"/>
                <w:lang w:eastAsia="bg-BG"/>
              </w:rPr>
              <w:br/>
              <w:t>/0 ЮЛ</w:t>
            </w:r>
          </w:p>
        </w:tc>
      </w:tr>
      <w:tr w:rsidR="00FD507C" w:rsidRPr="00835D05" w:rsidTr="009658CD">
        <w:trPr>
          <w:trHeight w:val="1230"/>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VІІІ „Престъпления против дейността на държавни органи и обществени организации”</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95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19</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25</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25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83</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22</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22</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17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24</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29</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35 ФЛ</w:t>
            </w:r>
            <w:r w:rsidRPr="00835D05">
              <w:rPr>
                <w:rFonts w:ascii="Times New Roman" w:eastAsia="Times New Roman" w:hAnsi="Times New Roman" w:cs="Times New Roman"/>
                <w:sz w:val="20"/>
                <w:szCs w:val="20"/>
                <w:highlight w:val="yellow"/>
                <w:lang w:eastAsia="bg-BG"/>
              </w:rPr>
              <w:br/>
              <w:t>/0 ЮЛ</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ІХ „Документни престъпления”</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250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66</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67</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 ФЛ</w:t>
            </w:r>
            <w:r w:rsidRPr="00835D05">
              <w:rPr>
                <w:rFonts w:ascii="Times New Roman" w:eastAsia="Times New Roman" w:hAnsi="Times New Roman" w:cs="Times New Roman"/>
                <w:sz w:val="20"/>
                <w:szCs w:val="20"/>
                <w:highlight w:val="yellow"/>
                <w:lang w:eastAsia="bg-BG"/>
              </w:rPr>
              <w:br/>
              <w:t>/1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240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106</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106</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4 ФЛ</w:t>
            </w:r>
            <w:r w:rsidRPr="00835D05">
              <w:rPr>
                <w:rFonts w:ascii="Times New Roman" w:eastAsia="Times New Roman" w:hAnsi="Times New Roman" w:cs="Times New Roman"/>
                <w:sz w:val="20"/>
                <w:szCs w:val="20"/>
                <w:highlight w:val="yellow"/>
                <w:lang w:eastAsia="bg-BG"/>
              </w:rPr>
              <w:br/>
              <w:t>/2ЮЛ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206</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77</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78</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16 ФЛ</w:t>
            </w:r>
            <w:r w:rsidRPr="00835D05">
              <w:rPr>
                <w:rFonts w:ascii="Times New Roman" w:eastAsia="Times New Roman" w:hAnsi="Times New Roman" w:cs="Times New Roman"/>
                <w:sz w:val="20"/>
                <w:szCs w:val="20"/>
                <w:highlight w:val="yellow"/>
                <w:lang w:eastAsia="bg-BG"/>
              </w:rPr>
              <w:br/>
              <w:t>/0 ЮЛ</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 xml:space="preserve">Глава </w:t>
            </w:r>
            <w:proofErr w:type="spellStart"/>
            <w:r w:rsidRPr="00835D05">
              <w:rPr>
                <w:rFonts w:ascii="Times New Roman" w:eastAsia="Times New Roman" w:hAnsi="Times New Roman" w:cs="Times New Roman"/>
                <w:sz w:val="20"/>
                <w:szCs w:val="20"/>
                <w:highlight w:val="yellow"/>
                <w:lang w:eastAsia="bg-BG"/>
              </w:rPr>
              <w:t>ІХа</w:t>
            </w:r>
            <w:proofErr w:type="spellEnd"/>
            <w:r w:rsidRPr="00835D05">
              <w:rPr>
                <w:rFonts w:ascii="Times New Roman" w:eastAsia="Times New Roman" w:hAnsi="Times New Roman" w:cs="Times New Roman"/>
                <w:sz w:val="20"/>
                <w:szCs w:val="20"/>
                <w:highlight w:val="yellow"/>
                <w:lang w:eastAsia="bg-BG"/>
              </w:rPr>
              <w:t xml:space="preserve"> „Компютърни престъпления”</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9</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 ФЛ</w:t>
            </w:r>
            <w:r w:rsidRPr="00835D05">
              <w:rPr>
                <w:rFonts w:ascii="Times New Roman" w:eastAsia="Times New Roman" w:hAnsi="Times New Roman" w:cs="Times New Roman"/>
                <w:sz w:val="20"/>
                <w:szCs w:val="20"/>
                <w:highlight w:val="yellow"/>
                <w:lang w:eastAsia="bg-BG"/>
              </w:rPr>
              <w:br/>
              <w:t>/0 ЮЛ</w:t>
            </w:r>
          </w:p>
        </w:tc>
      </w:tr>
      <w:tr w:rsidR="00FD507C" w:rsidRPr="00835D05" w:rsidTr="009658CD">
        <w:trPr>
          <w:trHeight w:val="103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Х „Престъпления против реда и общественото спокойствие”</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144</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24</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25</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18 ФЛ</w:t>
            </w:r>
            <w:r w:rsidRPr="00835D05">
              <w:rPr>
                <w:rFonts w:ascii="Times New Roman" w:eastAsia="Times New Roman" w:hAnsi="Times New Roman" w:cs="Times New Roman"/>
                <w:sz w:val="20"/>
                <w:szCs w:val="20"/>
                <w:highlight w:val="yellow"/>
                <w:lang w:eastAsia="bg-BG"/>
              </w:rPr>
              <w:br/>
              <w:t>/1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124</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31</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31</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20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157</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35</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39</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20 ФЛ</w:t>
            </w:r>
            <w:r w:rsidRPr="00835D05">
              <w:rPr>
                <w:rFonts w:ascii="Times New Roman" w:eastAsia="Times New Roman" w:hAnsi="Times New Roman" w:cs="Times New Roman"/>
                <w:sz w:val="20"/>
                <w:szCs w:val="20"/>
                <w:highlight w:val="yellow"/>
                <w:lang w:eastAsia="bg-BG"/>
              </w:rPr>
              <w:br/>
              <w:t>/1 ЮЛ</w:t>
            </w:r>
          </w:p>
        </w:tc>
      </w:tr>
      <w:tr w:rsidR="00FD507C" w:rsidRPr="00835D05" w:rsidTr="009658CD">
        <w:trPr>
          <w:trHeight w:val="52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ХІ „</w:t>
            </w:r>
            <w:proofErr w:type="spellStart"/>
            <w:r w:rsidRPr="00835D05">
              <w:rPr>
                <w:rFonts w:ascii="Times New Roman" w:eastAsia="Times New Roman" w:hAnsi="Times New Roman" w:cs="Times New Roman"/>
                <w:sz w:val="20"/>
                <w:szCs w:val="20"/>
                <w:highlight w:val="yellow"/>
                <w:lang w:eastAsia="bg-BG"/>
              </w:rPr>
              <w:t>Общоопасни</w:t>
            </w:r>
            <w:proofErr w:type="spellEnd"/>
            <w:r w:rsidRPr="00835D05">
              <w:rPr>
                <w:rFonts w:ascii="Times New Roman" w:eastAsia="Times New Roman" w:hAnsi="Times New Roman" w:cs="Times New Roman"/>
                <w:sz w:val="20"/>
                <w:szCs w:val="20"/>
                <w:highlight w:val="yellow"/>
                <w:lang w:eastAsia="bg-BG"/>
              </w:rPr>
              <w:t xml:space="preserve"> престъпления”</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1760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767</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791</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348 ФЛ</w:t>
            </w:r>
            <w:r w:rsidRPr="00835D05">
              <w:rPr>
                <w:rFonts w:ascii="Times New Roman" w:eastAsia="Times New Roman" w:hAnsi="Times New Roman" w:cs="Times New Roman"/>
                <w:sz w:val="20"/>
                <w:szCs w:val="20"/>
                <w:highlight w:val="yellow"/>
                <w:lang w:eastAsia="bg-BG"/>
              </w:rPr>
              <w:br/>
              <w:t>/5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1945</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884</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888</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126 ФЛ</w:t>
            </w:r>
            <w:r w:rsidRPr="00835D05">
              <w:rPr>
                <w:rFonts w:ascii="Times New Roman" w:eastAsia="Times New Roman" w:hAnsi="Times New Roman" w:cs="Times New Roman"/>
                <w:sz w:val="20"/>
                <w:szCs w:val="20"/>
                <w:highlight w:val="yellow"/>
                <w:lang w:eastAsia="bg-BG"/>
              </w:rPr>
              <w:br/>
              <w:t>/2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1772</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860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873</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236 ФЛ</w:t>
            </w:r>
            <w:r w:rsidRPr="00835D05">
              <w:rPr>
                <w:rFonts w:ascii="Times New Roman" w:eastAsia="Times New Roman" w:hAnsi="Times New Roman" w:cs="Times New Roman"/>
                <w:sz w:val="20"/>
                <w:szCs w:val="20"/>
                <w:highlight w:val="yellow"/>
                <w:lang w:eastAsia="bg-BG"/>
              </w:rPr>
              <w:br/>
              <w:t>/1 ЮЛ</w:t>
            </w:r>
          </w:p>
        </w:tc>
      </w:tr>
      <w:tr w:rsidR="00FD507C" w:rsidRPr="00835D05" w:rsidTr="009658CD">
        <w:trPr>
          <w:trHeight w:val="1065"/>
        </w:trPr>
        <w:tc>
          <w:tcPr>
            <w:tcW w:w="2109" w:type="dxa"/>
            <w:tcBorders>
              <w:top w:val="nil"/>
              <w:left w:val="single" w:sz="8" w:space="0" w:color="auto"/>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Глава XII “Престъпления против отбранителната способност на републиката”</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62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856"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w:t>
            </w:r>
          </w:p>
        </w:tc>
        <w:tc>
          <w:tcPr>
            <w:tcW w:w="838"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w:t>
            </w:r>
            <w:r w:rsidRPr="00835D05">
              <w:rPr>
                <w:rFonts w:ascii="Times New Roman" w:eastAsia="Times New Roman" w:hAnsi="Times New Roman" w:cs="Times New Roman"/>
                <w:sz w:val="20"/>
                <w:szCs w:val="20"/>
                <w:highlight w:val="yellow"/>
                <w:lang w:eastAsia="bg-BG"/>
              </w:rPr>
              <w:br/>
              <w:t>/0 ЮЛ</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w:t>
            </w:r>
          </w:p>
        </w:tc>
        <w:tc>
          <w:tcPr>
            <w:tcW w:w="540"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w:t>
            </w:r>
          </w:p>
        </w:tc>
        <w:tc>
          <w:tcPr>
            <w:tcW w:w="612"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1</w:t>
            </w:r>
          </w:p>
        </w:tc>
        <w:tc>
          <w:tcPr>
            <w:tcW w:w="853" w:type="dxa"/>
            <w:tcBorders>
              <w:top w:val="nil"/>
              <w:left w:val="nil"/>
              <w:bottom w:val="single" w:sz="8" w:space="0" w:color="auto"/>
              <w:right w:val="single" w:sz="8" w:space="0" w:color="auto"/>
            </w:tcBorders>
            <w:shd w:val="clear" w:color="auto" w:fill="auto"/>
            <w:vAlign w:val="center"/>
            <w:hideMark/>
          </w:tcPr>
          <w:p w:rsidR="00FD507C" w:rsidRPr="00835D05" w:rsidRDefault="00FD507C" w:rsidP="00F63914">
            <w:pPr>
              <w:spacing w:after="0" w:line="240" w:lineRule="auto"/>
              <w:jc w:val="center"/>
              <w:rPr>
                <w:rFonts w:ascii="Times New Roman" w:eastAsia="Times New Roman" w:hAnsi="Times New Roman" w:cs="Times New Roman"/>
                <w:sz w:val="20"/>
                <w:szCs w:val="20"/>
                <w:highlight w:val="yellow"/>
                <w:lang w:eastAsia="bg-BG"/>
              </w:rPr>
            </w:pPr>
            <w:r w:rsidRPr="00835D05">
              <w:rPr>
                <w:rFonts w:ascii="Times New Roman" w:eastAsia="Times New Roman" w:hAnsi="Times New Roman" w:cs="Times New Roman"/>
                <w:sz w:val="20"/>
                <w:szCs w:val="20"/>
                <w:highlight w:val="yellow"/>
                <w:lang w:eastAsia="bg-BG"/>
              </w:rPr>
              <w:t>0 ФЛ</w:t>
            </w:r>
            <w:r w:rsidRPr="00835D05">
              <w:rPr>
                <w:rFonts w:ascii="Times New Roman" w:eastAsia="Times New Roman" w:hAnsi="Times New Roman" w:cs="Times New Roman"/>
                <w:sz w:val="20"/>
                <w:szCs w:val="20"/>
                <w:highlight w:val="yellow"/>
                <w:lang w:eastAsia="bg-BG"/>
              </w:rPr>
              <w:br/>
              <w:t>/0 ЮЛ</w:t>
            </w:r>
          </w:p>
        </w:tc>
      </w:tr>
      <w:tr w:rsidR="00FD507C" w:rsidRPr="00FD507C" w:rsidTr="009658CD">
        <w:trPr>
          <w:trHeight w:val="660"/>
        </w:trPr>
        <w:tc>
          <w:tcPr>
            <w:tcW w:w="2109" w:type="dxa"/>
            <w:tcBorders>
              <w:top w:val="nil"/>
              <w:left w:val="single" w:sz="8" w:space="0" w:color="auto"/>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Общо</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8036</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1473</w:t>
            </w:r>
          </w:p>
        </w:tc>
        <w:tc>
          <w:tcPr>
            <w:tcW w:w="62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1612</w:t>
            </w:r>
          </w:p>
        </w:tc>
        <w:tc>
          <w:tcPr>
            <w:tcW w:w="856"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4627ФЛ</w:t>
            </w:r>
            <w:r w:rsidRPr="00835D05">
              <w:rPr>
                <w:rFonts w:ascii="Times New Roman" w:eastAsia="Times New Roman" w:hAnsi="Times New Roman" w:cs="Times New Roman"/>
                <w:b/>
                <w:bCs/>
                <w:sz w:val="20"/>
                <w:szCs w:val="20"/>
                <w:highlight w:val="yellow"/>
                <w:lang w:eastAsia="bg-BG"/>
              </w:rPr>
              <w:br/>
              <w:t>/89 ЮЛ</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7665</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1654</w:t>
            </w:r>
          </w:p>
        </w:tc>
        <w:tc>
          <w:tcPr>
            <w:tcW w:w="612"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1659</w:t>
            </w:r>
          </w:p>
        </w:tc>
        <w:tc>
          <w:tcPr>
            <w:tcW w:w="838"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3463ФЛ</w:t>
            </w:r>
            <w:r w:rsidRPr="00835D05">
              <w:rPr>
                <w:rFonts w:ascii="Times New Roman" w:eastAsia="Times New Roman" w:hAnsi="Times New Roman" w:cs="Times New Roman"/>
                <w:b/>
                <w:bCs/>
                <w:sz w:val="20"/>
                <w:szCs w:val="20"/>
                <w:highlight w:val="yellow"/>
                <w:lang w:eastAsia="bg-BG"/>
              </w:rPr>
              <w:br/>
              <w:t>/29 ЮЛ</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7234</w:t>
            </w:r>
          </w:p>
        </w:tc>
        <w:tc>
          <w:tcPr>
            <w:tcW w:w="540"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1680</w:t>
            </w:r>
          </w:p>
        </w:tc>
        <w:tc>
          <w:tcPr>
            <w:tcW w:w="612" w:type="dxa"/>
            <w:tcBorders>
              <w:top w:val="nil"/>
              <w:left w:val="nil"/>
              <w:bottom w:val="single" w:sz="8" w:space="0" w:color="auto"/>
              <w:right w:val="single" w:sz="8" w:space="0" w:color="auto"/>
            </w:tcBorders>
            <w:shd w:val="clear" w:color="000000" w:fill="D9D9D9"/>
            <w:vAlign w:val="center"/>
            <w:hideMark/>
          </w:tcPr>
          <w:p w:rsidR="00FD507C" w:rsidRPr="00835D05" w:rsidRDefault="00FD507C" w:rsidP="00F63914">
            <w:pPr>
              <w:spacing w:after="0" w:line="240" w:lineRule="auto"/>
              <w:jc w:val="center"/>
              <w:rPr>
                <w:rFonts w:ascii="Times New Roman" w:eastAsia="Times New Roman" w:hAnsi="Times New Roman" w:cs="Times New Roman"/>
                <w:b/>
                <w:bCs/>
                <w:sz w:val="20"/>
                <w:szCs w:val="20"/>
                <w:highlight w:val="yellow"/>
                <w:lang w:eastAsia="bg-BG"/>
              </w:rPr>
            </w:pPr>
            <w:r w:rsidRPr="00835D05">
              <w:rPr>
                <w:rFonts w:ascii="Times New Roman" w:eastAsia="Times New Roman" w:hAnsi="Times New Roman" w:cs="Times New Roman"/>
                <w:b/>
                <w:bCs/>
                <w:sz w:val="20"/>
                <w:szCs w:val="20"/>
                <w:highlight w:val="yellow"/>
                <w:lang w:eastAsia="bg-BG"/>
              </w:rPr>
              <w:t>1867</w:t>
            </w:r>
          </w:p>
        </w:tc>
        <w:tc>
          <w:tcPr>
            <w:tcW w:w="853" w:type="dxa"/>
            <w:tcBorders>
              <w:top w:val="nil"/>
              <w:left w:val="nil"/>
              <w:bottom w:val="single" w:sz="8" w:space="0" w:color="auto"/>
              <w:right w:val="single" w:sz="8" w:space="0" w:color="auto"/>
            </w:tcBorders>
            <w:shd w:val="clear" w:color="000000" w:fill="D9D9D9"/>
            <w:vAlign w:val="center"/>
            <w:hideMark/>
          </w:tcPr>
          <w:p w:rsidR="00FD507C" w:rsidRPr="00FD507C" w:rsidRDefault="00FD507C" w:rsidP="00F63914">
            <w:pPr>
              <w:spacing w:after="0" w:line="240" w:lineRule="auto"/>
              <w:jc w:val="center"/>
              <w:rPr>
                <w:rFonts w:ascii="Times New Roman" w:eastAsia="Times New Roman" w:hAnsi="Times New Roman" w:cs="Times New Roman"/>
                <w:b/>
                <w:bCs/>
                <w:sz w:val="20"/>
                <w:szCs w:val="20"/>
                <w:lang w:eastAsia="bg-BG"/>
              </w:rPr>
            </w:pPr>
            <w:r w:rsidRPr="00835D05">
              <w:rPr>
                <w:rFonts w:ascii="Times New Roman" w:eastAsia="Times New Roman" w:hAnsi="Times New Roman" w:cs="Times New Roman"/>
                <w:b/>
                <w:bCs/>
                <w:sz w:val="20"/>
                <w:szCs w:val="20"/>
                <w:highlight w:val="yellow"/>
                <w:lang w:eastAsia="bg-BG"/>
              </w:rPr>
              <w:t>3565ФЛ</w:t>
            </w:r>
            <w:r w:rsidRPr="00835D05">
              <w:rPr>
                <w:rFonts w:ascii="Times New Roman" w:eastAsia="Times New Roman" w:hAnsi="Times New Roman" w:cs="Times New Roman"/>
                <w:b/>
                <w:bCs/>
                <w:sz w:val="20"/>
                <w:szCs w:val="20"/>
                <w:highlight w:val="yellow"/>
                <w:lang w:eastAsia="bg-BG"/>
              </w:rPr>
              <w:br/>
              <w:t>/35 ЮЛ</w:t>
            </w:r>
          </w:p>
        </w:tc>
      </w:tr>
    </w:tbl>
    <w:p w:rsidR="00FD507C" w:rsidRDefault="00FD507C"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Default="00C22CE6" w:rsidP="0053260F">
      <w:pPr>
        <w:spacing w:after="0" w:line="240" w:lineRule="auto"/>
        <w:jc w:val="both"/>
        <w:rPr>
          <w:rFonts w:ascii="Times New Roman" w:eastAsia="Times New Roman" w:hAnsi="Times New Roman" w:cs="Times New Roman"/>
          <w:sz w:val="28"/>
          <w:szCs w:val="28"/>
          <w:lang w:eastAsia="bg-BG"/>
        </w:rPr>
      </w:pPr>
    </w:p>
    <w:p w:rsidR="00C22CE6" w:rsidRPr="00FD507C" w:rsidRDefault="00C22CE6" w:rsidP="0053260F">
      <w:pPr>
        <w:spacing w:after="0" w:line="240" w:lineRule="auto"/>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color w:val="FF0000"/>
          <w:sz w:val="28"/>
          <w:szCs w:val="28"/>
          <w:lang w:eastAsia="bg-BG"/>
        </w:rPr>
      </w:pPr>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0070C0"/>
          <w:sz w:val="28"/>
          <w:szCs w:val="28"/>
          <w:lang w:eastAsia="bg-BG"/>
        </w:rPr>
      </w:pPr>
      <w:bookmarkStart w:id="5" w:name="_Toc506557811"/>
      <w:r w:rsidRPr="00FD507C">
        <w:rPr>
          <w:rFonts w:ascii="Times New Roman" w:eastAsiaTheme="majorEastAsia" w:hAnsi="Times New Roman" w:cs="Times New Roman"/>
          <w:bCs/>
          <w:color w:val="0070C0"/>
          <w:sz w:val="28"/>
          <w:szCs w:val="28"/>
          <w:lang w:eastAsia="bg-BG"/>
        </w:rPr>
        <w:t>2.</w:t>
      </w:r>
      <w:proofErr w:type="spellStart"/>
      <w:r w:rsidRPr="00FD507C">
        <w:rPr>
          <w:rFonts w:ascii="Times New Roman" w:eastAsiaTheme="majorEastAsia" w:hAnsi="Times New Roman" w:cs="Times New Roman"/>
          <w:bCs/>
          <w:color w:val="0070C0"/>
          <w:sz w:val="28"/>
          <w:szCs w:val="28"/>
          <w:lang w:eastAsia="bg-BG"/>
        </w:rPr>
        <w:t>2</w:t>
      </w:r>
      <w:proofErr w:type="spellEnd"/>
      <w:r w:rsidRPr="00FD507C">
        <w:rPr>
          <w:rFonts w:ascii="Times New Roman" w:eastAsiaTheme="majorEastAsia" w:hAnsi="Times New Roman" w:cs="Times New Roman"/>
          <w:bCs/>
          <w:color w:val="0070C0"/>
          <w:sz w:val="28"/>
          <w:szCs w:val="28"/>
          <w:lang w:eastAsia="bg-BG"/>
        </w:rPr>
        <w:t>.СРОЧНОСТ НА РАЗСЛЕДВАНЕТО.</w:t>
      </w:r>
      <w:bookmarkEnd w:id="5"/>
    </w:p>
    <w:tbl>
      <w:tblPr>
        <w:tblW w:w="9064" w:type="dxa"/>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806"/>
        <w:gridCol w:w="1086"/>
        <w:gridCol w:w="1086"/>
        <w:gridCol w:w="1086"/>
      </w:tblGrid>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FD507C" w:rsidRPr="00835D05" w:rsidRDefault="00FD507C" w:rsidP="00F63914">
            <w:pPr>
              <w:spacing w:after="0"/>
              <w:ind w:left="-356"/>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Приключени и неприключени ДП</w:t>
            </w:r>
          </w:p>
        </w:tc>
        <w:tc>
          <w:tcPr>
            <w:tcW w:w="10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D507C" w:rsidRPr="00835D05" w:rsidRDefault="00FD507C" w:rsidP="00F63914">
            <w:pPr>
              <w:spacing w:after="0"/>
              <w:ind w:left="-356"/>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2019 г.</w:t>
            </w:r>
          </w:p>
        </w:tc>
        <w:tc>
          <w:tcPr>
            <w:tcW w:w="108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FD507C" w:rsidRPr="00835D05" w:rsidRDefault="00FD507C" w:rsidP="00F63914">
            <w:pPr>
              <w:spacing w:after="0"/>
              <w:ind w:left="-356"/>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2020 г.</w:t>
            </w:r>
          </w:p>
        </w:tc>
        <w:tc>
          <w:tcPr>
            <w:tcW w:w="108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FD507C" w:rsidRPr="00835D05" w:rsidRDefault="00FD507C" w:rsidP="00F63914">
            <w:pPr>
              <w:spacing w:after="0"/>
              <w:ind w:left="-356"/>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2021 г.</w:t>
            </w:r>
          </w:p>
        </w:tc>
      </w:tr>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spacing w:after="0"/>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t>Общо приключени разследвания:</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8425</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8277</w:t>
            </w:r>
          </w:p>
        </w:tc>
        <w:tc>
          <w:tcPr>
            <w:tcW w:w="1086" w:type="dxa"/>
            <w:tcBorders>
              <w:top w:val="single" w:sz="4" w:space="0" w:color="auto"/>
              <w:left w:val="single" w:sz="4" w:space="0" w:color="auto"/>
              <w:bottom w:val="single" w:sz="4" w:space="0" w:color="auto"/>
              <w:right w:val="single" w:sz="4" w:space="0" w:color="auto"/>
            </w:tcBorders>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8046</w:t>
            </w:r>
          </w:p>
        </w:tc>
      </w:tr>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numPr>
                <w:ilvl w:val="0"/>
                <w:numId w:val="4"/>
              </w:numPr>
              <w:spacing w:after="0"/>
              <w:ind w:left="-356" w:firstLine="710"/>
              <w:contextualSpacing/>
              <w:jc w:val="both"/>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t>приключени разследвания в законов срок</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8249</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8160</w:t>
            </w:r>
          </w:p>
        </w:tc>
        <w:tc>
          <w:tcPr>
            <w:tcW w:w="1086" w:type="dxa"/>
            <w:tcBorders>
              <w:top w:val="single" w:sz="4" w:space="0" w:color="auto"/>
              <w:left w:val="single" w:sz="4" w:space="0" w:color="auto"/>
              <w:bottom w:val="single" w:sz="4" w:space="0" w:color="auto"/>
              <w:right w:val="single" w:sz="4" w:space="0" w:color="auto"/>
            </w:tcBorders>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7956</w:t>
            </w:r>
          </w:p>
        </w:tc>
      </w:tr>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numPr>
                <w:ilvl w:val="0"/>
                <w:numId w:val="4"/>
              </w:numPr>
              <w:spacing w:after="0"/>
              <w:ind w:firstLine="354"/>
              <w:contextualSpacing/>
              <w:jc w:val="both"/>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t>приключени разследвания извън законов срок</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176</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117</w:t>
            </w:r>
          </w:p>
        </w:tc>
        <w:tc>
          <w:tcPr>
            <w:tcW w:w="1086" w:type="dxa"/>
            <w:tcBorders>
              <w:top w:val="single" w:sz="4" w:space="0" w:color="auto"/>
              <w:left w:val="single" w:sz="4" w:space="0" w:color="auto"/>
              <w:bottom w:val="single" w:sz="4" w:space="0" w:color="auto"/>
              <w:right w:val="single" w:sz="4" w:space="0" w:color="auto"/>
            </w:tcBorders>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90</w:t>
            </w:r>
          </w:p>
        </w:tc>
      </w:tr>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spacing w:after="0"/>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t>Общо неприключени разследвания:</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4988</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4868</w:t>
            </w:r>
          </w:p>
        </w:tc>
        <w:tc>
          <w:tcPr>
            <w:tcW w:w="1086" w:type="dxa"/>
            <w:tcBorders>
              <w:top w:val="single" w:sz="4" w:space="0" w:color="auto"/>
              <w:left w:val="single" w:sz="4" w:space="0" w:color="auto"/>
              <w:bottom w:val="single" w:sz="4" w:space="0" w:color="auto"/>
              <w:right w:val="single" w:sz="4" w:space="0" w:color="auto"/>
            </w:tcBorders>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4491</w:t>
            </w:r>
          </w:p>
        </w:tc>
      </w:tr>
      <w:tr w:rsidR="00FD507C" w:rsidRPr="00835D05"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numPr>
                <w:ilvl w:val="0"/>
                <w:numId w:val="4"/>
              </w:numPr>
              <w:spacing w:after="0"/>
              <w:ind w:firstLine="354"/>
              <w:contextualSpacing/>
              <w:jc w:val="both"/>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t>неприключени разследвания в законов срок</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4924</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4788</w:t>
            </w:r>
          </w:p>
        </w:tc>
        <w:tc>
          <w:tcPr>
            <w:tcW w:w="1086" w:type="dxa"/>
            <w:tcBorders>
              <w:top w:val="single" w:sz="4" w:space="0" w:color="auto"/>
              <w:left w:val="single" w:sz="4" w:space="0" w:color="auto"/>
              <w:bottom w:val="single" w:sz="4" w:space="0" w:color="auto"/>
              <w:right w:val="single" w:sz="4" w:space="0" w:color="auto"/>
            </w:tcBorders>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4450</w:t>
            </w:r>
          </w:p>
        </w:tc>
      </w:tr>
      <w:tr w:rsidR="00FD507C" w:rsidRPr="00FD507C" w:rsidTr="009658CD">
        <w:trPr>
          <w:trHeight w:val="417"/>
          <w:jc w:val="center"/>
        </w:trPr>
        <w:tc>
          <w:tcPr>
            <w:tcW w:w="5806" w:type="dxa"/>
            <w:tcBorders>
              <w:top w:val="single" w:sz="4" w:space="0" w:color="auto"/>
              <w:left w:val="single" w:sz="4" w:space="0" w:color="auto"/>
              <w:bottom w:val="single" w:sz="4" w:space="0" w:color="auto"/>
              <w:right w:val="single" w:sz="4" w:space="0" w:color="auto"/>
            </w:tcBorders>
            <w:vAlign w:val="center"/>
            <w:hideMark/>
          </w:tcPr>
          <w:p w:rsidR="00FD507C" w:rsidRPr="00835D05" w:rsidRDefault="00FD507C" w:rsidP="00F63914">
            <w:pPr>
              <w:numPr>
                <w:ilvl w:val="0"/>
                <w:numId w:val="4"/>
              </w:numPr>
              <w:spacing w:after="0"/>
              <w:ind w:firstLine="354"/>
              <w:contextualSpacing/>
              <w:jc w:val="both"/>
              <w:rPr>
                <w:rFonts w:ascii="Times New Roman" w:eastAsia="Calibri" w:hAnsi="Times New Roman" w:cs="Times New Roman"/>
                <w:sz w:val="24"/>
                <w:szCs w:val="24"/>
                <w:highlight w:val="yellow"/>
              </w:rPr>
            </w:pPr>
            <w:r w:rsidRPr="00835D05">
              <w:rPr>
                <w:rFonts w:ascii="Times New Roman" w:eastAsia="Calibri" w:hAnsi="Times New Roman" w:cs="Times New Roman"/>
                <w:sz w:val="24"/>
                <w:szCs w:val="24"/>
                <w:highlight w:val="yellow"/>
              </w:rPr>
              <w:lastRenderedPageBreak/>
              <w:t>неприключени разследвания извън законов срок</w:t>
            </w:r>
          </w:p>
        </w:tc>
        <w:tc>
          <w:tcPr>
            <w:tcW w:w="1086" w:type="dxa"/>
            <w:tcBorders>
              <w:top w:val="single" w:sz="4" w:space="0" w:color="auto"/>
              <w:left w:val="single" w:sz="4" w:space="0" w:color="auto"/>
              <w:bottom w:val="single" w:sz="4" w:space="0" w:color="auto"/>
              <w:right w:val="single" w:sz="4" w:space="0" w:color="auto"/>
            </w:tcBorders>
            <w:vAlign w:val="center"/>
          </w:tcPr>
          <w:p w:rsidR="00FD507C" w:rsidRPr="00835D05" w:rsidRDefault="00FD507C" w:rsidP="00F63914">
            <w:pPr>
              <w:spacing w:after="0"/>
              <w:jc w:val="center"/>
              <w:rPr>
                <w:rFonts w:ascii="Times New Roman" w:eastAsia="Calibri" w:hAnsi="Times New Roman" w:cs="Times New Roman"/>
                <w:bCs/>
                <w:sz w:val="24"/>
                <w:szCs w:val="24"/>
                <w:highlight w:val="yellow"/>
              </w:rPr>
            </w:pPr>
            <w:r w:rsidRPr="00835D05">
              <w:rPr>
                <w:rFonts w:ascii="Times New Roman" w:eastAsia="Calibri" w:hAnsi="Times New Roman" w:cs="Times New Roman"/>
                <w:bCs/>
                <w:sz w:val="24"/>
                <w:szCs w:val="24"/>
                <w:highlight w:val="yellow"/>
              </w:rPr>
              <w:t>64</w:t>
            </w:r>
          </w:p>
        </w:tc>
        <w:tc>
          <w:tcPr>
            <w:tcW w:w="1086" w:type="dxa"/>
            <w:tcBorders>
              <w:top w:val="single" w:sz="4" w:space="0" w:color="auto"/>
              <w:left w:val="single" w:sz="4" w:space="0" w:color="auto"/>
              <w:bottom w:val="single" w:sz="4" w:space="0" w:color="auto"/>
              <w:right w:val="single" w:sz="4" w:space="0" w:color="auto"/>
            </w:tcBorders>
            <w:noWrap/>
            <w:vAlign w:val="center"/>
          </w:tcPr>
          <w:p w:rsidR="00FD507C" w:rsidRPr="00835D05" w:rsidRDefault="00FD507C" w:rsidP="00F63914">
            <w:pPr>
              <w:spacing w:after="0"/>
              <w:jc w:val="center"/>
              <w:rPr>
                <w:rFonts w:ascii="Times New Roman" w:eastAsia="Calibri" w:hAnsi="Times New Roman" w:cs="Times New Roman"/>
                <w:b/>
                <w:bCs/>
                <w:sz w:val="24"/>
                <w:szCs w:val="24"/>
                <w:highlight w:val="yellow"/>
              </w:rPr>
            </w:pPr>
            <w:r w:rsidRPr="00835D05">
              <w:rPr>
                <w:rFonts w:ascii="Times New Roman" w:eastAsia="Calibri" w:hAnsi="Times New Roman" w:cs="Times New Roman"/>
                <w:b/>
                <w:bCs/>
                <w:sz w:val="24"/>
                <w:szCs w:val="24"/>
                <w:highlight w:val="yellow"/>
              </w:rPr>
              <w:t>80</w:t>
            </w:r>
          </w:p>
        </w:tc>
        <w:tc>
          <w:tcPr>
            <w:tcW w:w="1086" w:type="dxa"/>
            <w:tcBorders>
              <w:top w:val="single" w:sz="4" w:space="0" w:color="auto"/>
              <w:left w:val="single" w:sz="4" w:space="0" w:color="auto"/>
              <w:bottom w:val="single" w:sz="4" w:space="0" w:color="auto"/>
              <w:right w:val="single" w:sz="4" w:space="0" w:color="auto"/>
            </w:tcBorders>
          </w:tcPr>
          <w:p w:rsidR="00FD507C" w:rsidRPr="00FD507C" w:rsidRDefault="00FD507C" w:rsidP="00F63914">
            <w:pPr>
              <w:spacing w:after="0"/>
              <w:jc w:val="center"/>
              <w:rPr>
                <w:rFonts w:ascii="Times New Roman" w:eastAsia="Calibri" w:hAnsi="Times New Roman" w:cs="Times New Roman"/>
                <w:b/>
                <w:bCs/>
                <w:sz w:val="24"/>
                <w:szCs w:val="24"/>
              </w:rPr>
            </w:pPr>
            <w:r w:rsidRPr="00835D05">
              <w:rPr>
                <w:rFonts w:ascii="Times New Roman" w:eastAsia="Calibri" w:hAnsi="Times New Roman" w:cs="Times New Roman"/>
                <w:b/>
                <w:bCs/>
                <w:sz w:val="24"/>
                <w:szCs w:val="24"/>
                <w:highlight w:val="yellow"/>
              </w:rPr>
              <w:t>41</w:t>
            </w:r>
          </w:p>
        </w:tc>
      </w:tr>
    </w:tbl>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През отчетния период са приключени 8046  досъдебни производства, което е 52,6% от общо наблюдаваните дела, вкл. прекратените по давност и 59,8% от общо наблюдаваните без прекратените по давност и с 812 дела повече от новообразуваните.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 xml:space="preserve"> Запазва се тенденцията от последните години за приключването на около 50 % ДП от общо </w:t>
      </w:r>
      <w:proofErr w:type="spellStart"/>
      <w:r w:rsidRPr="00FD507C">
        <w:rPr>
          <w:rFonts w:ascii="Times New Roman" w:eastAsia="Times New Roman" w:hAnsi="Times New Roman" w:cs="Times New Roman"/>
          <w:b/>
          <w:sz w:val="28"/>
          <w:szCs w:val="28"/>
          <w:lang w:eastAsia="bg-BG"/>
        </w:rPr>
        <w:t>налюдаваните</w:t>
      </w:r>
      <w:proofErr w:type="spellEnd"/>
      <w:r w:rsidRPr="00FD507C">
        <w:rPr>
          <w:rFonts w:ascii="Times New Roman" w:eastAsia="Times New Roman" w:hAnsi="Times New Roman" w:cs="Times New Roman"/>
          <w:b/>
          <w:sz w:val="28"/>
          <w:szCs w:val="28"/>
          <w:lang w:eastAsia="bg-BG"/>
        </w:rPr>
        <w:t xml:space="preserve"> дела.</w:t>
      </w:r>
      <w:r w:rsidRPr="00FD507C">
        <w:rPr>
          <w:rFonts w:ascii="Times New Roman" w:eastAsia="Times New Roman" w:hAnsi="Times New Roman" w:cs="Times New Roman"/>
          <w:sz w:val="28"/>
          <w:szCs w:val="28"/>
          <w:lang w:eastAsia="bg-BG"/>
        </w:rPr>
        <w:t xml:space="preserve"> </w:t>
      </w:r>
    </w:p>
    <w:p w:rsidR="00FD507C" w:rsidRPr="00FD507C" w:rsidRDefault="00FD507C" w:rsidP="00F63914">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507C">
        <w:rPr>
          <w:rFonts w:ascii="Times New Roman" w:eastAsia="Calibri" w:hAnsi="Times New Roman" w:cs="Times New Roman"/>
          <w:b/>
          <w:sz w:val="28"/>
          <w:szCs w:val="28"/>
        </w:rPr>
        <w:t>Запазва се и положителната тенденция за приключване на голям процент от делата  в законов срок-</w:t>
      </w:r>
      <w:r w:rsidRPr="00FD507C">
        <w:rPr>
          <w:rFonts w:ascii="Times New Roman" w:eastAsia="Calibri" w:hAnsi="Times New Roman" w:cs="Times New Roman"/>
          <w:sz w:val="28"/>
          <w:szCs w:val="28"/>
        </w:rPr>
        <w:t xml:space="preserve"> 98,8 % от общо приключените ДП. Делът на същите е  97,9  % за 2019 г. и 98,6% за 2020 г., т. е налице е стабилитет в този показател спрямо предходните две години.  </w:t>
      </w:r>
    </w:p>
    <w:p w:rsidR="00FD507C" w:rsidRPr="00FD507C" w:rsidRDefault="00FD507C" w:rsidP="00F63914">
      <w:pPr>
        <w:autoSpaceDE w:val="0"/>
        <w:autoSpaceDN w:val="0"/>
        <w:adjustRightInd w:val="0"/>
        <w:spacing w:after="0" w:line="240" w:lineRule="auto"/>
        <w:ind w:firstLine="567"/>
        <w:jc w:val="both"/>
        <w:rPr>
          <w:rFonts w:ascii="Times New Roman" w:eastAsia="Calibri" w:hAnsi="Times New Roman" w:cs="Times New Roman"/>
          <w:b/>
          <w:sz w:val="28"/>
          <w:szCs w:val="28"/>
        </w:rPr>
      </w:pPr>
      <w:r w:rsidRPr="00FD507C">
        <w:rPr>
          <w:rFonts w:ascii="Times New Roman" w:eastAsia="Calibri" w:hAnsi="Times New Roman" w:cs="Times New Roman"/>
          <w:b/>
          <w:sz w:val="28"/>
          <w:szCs w:val="28"/>
        </w:rPr>
        <w:t>Положителна е констатацията за липсата на данни за извършени действия по разследването извън сроковете по чл. 234, ал.1-3 от НПК.</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Обобщените данни относно продължителността на разследването в досъдебната фаза са следните:</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0"/>
          <w:szCs w:val="20"/>
          <w:lang w:eastAsia="bg-BG"/>
        </w:rPr>
      </w:pPr>
      <w:r w:rsidRPr="00FD507C">
        <w:rPr>
          <w:rFonts w:ascii="Times New Roman" w:eastAsia="Times New Roman" w:hAnsi="Times New Roman" w:cs="Times New Roman"/>
          <w:noProof/>
          <w:sz w:val="20"/>
          <w:szCs w:val="20"/>
          <w:lang w:eastAsia="bg-BG"/>
        </w:rPr>
        <w:drawing>
          <wp:anchor distT="0" distB="0" distL="114300" distR="114300" simplePos="0" relativeHeight="251659264" behindDoc="0" locked="0" layoutInCell="1" allowOverlap="1" wp14:anchorId="5C674EF5" wp14:editId="024D069E">
            <wp:simplePos x="0" y="0"/>
            <wp:positionH relativeFrom="column">
              <wp:posOffset>230505</wp:posOffset>
            </wp:positionH>
            <wp:positionV relativeFrom="paragraph">
              <wp:posOffset>57785</wp:posOffset>
            </wp:positionV>
            <wp:extent cx="5484495" cy="3203575"/>
            <wp:effectExtent l="0" t="0" r="20955" b="15875"/>
            <wp:wrapSquare wrapText="bothSides"/>
            <wp:docPr id="18" name="Диагра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53260F" w:rsidP="00F63914">
      <w:pPr>
        <w:spacing w:after="0" w:line="240" w:lineRule="auto"/>
        <w:ind w:firstLine="426"/>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Положителна тенденция е увеличаването на броя на приключените дела до 8 м. от образуването им</w:t>
      </w:r>
      <w:r w:rsidR="00FD507C" w:rsidRPr="00FD507C">
        <w:rPr>
          <w:rFonts w:ascii="Times New Roman" w:eastAsia="Times New Roman" w:hAnsi="Times New Roman" w:cs="Times New Roman"/>
          <w:sz w:val="28"/>
          <w:szCs w:val="28"/>
          <w:lang w:eastAsia="bg-BG"/>
        </w:rPr>
        <w:t xml:space="preserve">- </w:t>
      </w:r>
      <w:r w:rsidR="00FD507C" w:rsidRPr="00FD507C">
        <w:rPr>
          <w:rFonts w:ascii="Times New Roman" w:eastAsia="Calibri" w:hAnsi="Times New Roman" w:cs="Times New Roman"/>
          <w:b/>
          <w:sz w:val="28"/>
          <w:szCs w:val="28"/>
        </w:rPr>
        <w:t>22,1 %</w:t>
      </w:r>
      <w:r w:rsidR="00FD507C" w:rsidRPr="00FD507C">
        <w:rPr>
          <w:rFonts w:ascii="Times New Roman" w:eastAsia="Calibri" w:hAnsi="Times New Roman" w:cs="Times New Roman"/>
          <w:sz w:val="28"/>
          <w:szCs w:val="28"/>
        </w:rPr>
        <w:t xml:space="preserve">, което представлява увеличение  спрямо предходните две години. </w:t>
      </w:r>
    </w:p>
    <w:p w:rsidR="00FD507C" w:rsidRPr="00FD507C" w:rsidRDefault="00FD507C" w:rsidP="00F63914">
      <w:pPr>
        <w:spacing w:after="0" w:line="240" w:lineRule="auto"/>
        <w:ind w:firstLine="567"/>
        <w:jc w:val="both"/>
        <w:rPr>
          <w:rFonts w:ascii="Times New Roman" w:eastAsia="Calibri" w:hAnsi="Times New Roman" w:cs="Times New Roman"/>
          <w:sz w:val="28"/>
          <w:szCs w:val="28"/>
        </w:rPr>
      </w:pPr>
      <w:r w:rsidRPr="00FD507C">
        <w:rPr>
          <w:rFonts w:ascii="Times New Roman" w:eastAsia="Calibri" w:hAnsi="Times New Roman" w:cs="Times New Roman"/>
          <w:b/>
          <w:sz w:val="28"/>
          <w:szCs w:val="28"/>
        </w:rPr>
        <w:t>До 1 година са приключени 5,</w:t>
      </w:r>
      <w:proofErr w:type="spellStart"/>
      <w:r w:rsidRPr="00FD507C">
        <w:rPr>
          <w:rFonts w:ascii="Times New Roman" w:eastAsia="Calibri" w:hAnsi="Times New Roman" w:cs="Times New Roman"/>
          <w:b/>
          <w:sz w:val="28"/>
          <w:szCs w:val="28"/>
        </w:rPr>
        <w:t>5</w:t>
      </w:r>
      <w:proofErr w:type="spellEnd"/>
      <w:r w:rsidRPr="00FD507C">
        <w:rPr>
          <w:rFonts w:ascii="Times New Roman" w:eastAsia="Calibri" w:hAnsi="Times New Roman" w:cs="Times New Roman"/>
          <w:b/>
          <w:sz w:val="28"/>
          <w:szCs w:val="28"/>
        </w:rPr>
        <w:t xml:space="preserve"> % от общо решените дела</w:t>
      </w:r>
      <w:r w:rsidRPr="00FD507C">
        <w:rPr>
          <w:rFonts w:ascii="Times New Roman" w:eastAsia="Calibri" w:hAnsi="Times New Roman" w:cs="Times New Roman"/>
          <w:sz w:val="28"/>
          <w:szCs w:val="28"/>
        </w:rPr>
        <w:t xml:space="preserve">, при 4.1 % за 2020 год. и 4,7% за 2019 год. или е налице увеличение спрямо този показател за предходните две години. </w:t>
      </w:r>
    </w:p>
    <w:p w:rsidR="00FD507C" w:rsidRPr="00FD507C" w:rsidRDefault="00FD507C" w:rsidP="00F63914">
      <w:pPr>
        <w:spacing w:after="0" w:line="240" w:lineRule="auto"/>
        <w:ind w:firstLine="567"/>
        <w:jc w:val="both"/>
        <w:rPr>
          <w:rFonts w:ascii="Times New Roman" w:eastAsia="Calibri" w:hAnsi="Times New Roman" w:cs="Times New Roman"/>
          <w:sz w:val="28"/>
          <w:szCs w:val="28"/>
        </w:rPr>
      </w:pPr>
      <w:r w:rsidRPr="00FD507C">
        <w:rPr>
          <w:rFonts w:ascii="Times New Roman" w:eastAsia="Calibri" w:hAnsi="Times New Roman" w:cs="Times New Roman"/>
          <w:b/>
          <w:sz w:val="28"/>
          <w:szCs w:val="28"/>
        </w:rPr>
        <w:t>8.2 % от решените дела са продължили над 1 година</w:t>
      </w:r>
      <w:r w:rsidRPr="00FD507C">
        <w:rPr>
          <w:rFonts w:ascii="Times New Roman" w:eastAsia="Calibri" w:hAnsi="Times New Roman" w:cs="Times New Roman"/>
          <w:sz w:val="28"/>
          <w:szCs w:val="28"/>
        </w:rPr>
        <w:t xml:space="preserve"> (с 1,2 % повече от 2020 г. и с 0.8 % повече спрямо 2019 г.) и 6,8 % от делата са продължили над 2 години.</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b/>
          <w:sz w:val="28"/>
          <w:szCs w:val="28"/>
          <w:highlight w:val="yellow"/>
          <w:lang w:eastAsia="bg-BG"/>
        </w:rPr>
        <w:t>Неприключилите ДП</w:t>
      </w:r>
      <w:r w:rsidRPr="00835D05">
        <w:rPr>
          <w:rFonts w:ascii="Times New Roman" w:eastAsia="Times New Roman" w:hAnsi="Times New Roman" w:cs="Times New Roman"/>
          <w:sz w:val="28"/>
          <w:szCs w:val="28"/>
          <w:highlight w:val="yellow"/>
          <w:lang w:eastAsia="bg-BG"/>
        </w:rPr>
        <w:t xml:space="preserve"> през 2021 г.  са </w:t>
      </w:r>
      <w:r w:rsidRPr="00835D05">
        <w:rPr>
          <w:rFonts w:ascii="Times New Roman" w:eastAsia="Times New Roman" w:hAnsi="Times New Roman" w:cs="Times New Roman"/>
          <w:b/>
          <w:sz w:val="28"/>
          <w:szCs w:val="28"/>
          <w:highlight w:val="yellow"/>
          <w:lang w:eastAsia="bg-BG"/>
        </w:rPr>
        <w:t>29.4 % от общо наблюдаваните</w:t>
      </w:r>
      <w:r w:rsidRPr="00835D05">
        <w:rPr>
          <w:rFonts w:ascii="Times New Roman" w:eastAsia="Times New Roman" w:hAnsi="Times New Roman" w:cs="Times New Roman"/>
          <w:sz w:val="28"/>
          <w:szCs w:val="28"/>
          <w:highlight w:val="yellow"/>
          <w:lang w:eastAsia="bg-BG"/>
        </w:rPr>
        <w:t xml:space="preserve">, вкл. прекратените по давност и </w:t>
      </w:r>
      <w:r w:rsidRPr="00835D05">
        <w:rPr>
          <w:rFonts w:ascii="Times New Roman" w:eastAsia="Times New Roman" w:hAnsi="Times New Roman" w:cs="Times New Roman"/>
          <w:b/>
          <w:sz w:val="28"/>
          <w:szCs w:val="28"/>
          <w:highlight w:val="yellow"/>
          <w:lang w:eastAsia="bg-BG"/>
        </w:rPr>
        <w:t>33,4% от общо наблюдаваните, без прекратените по давност</w:t>
      </w:r>
      <w:r w:rsidRPr="00835D05">
        <w:rPr>
          <w:rFonts w:ascii="Times New Roman" w:eastAsia="Times New Roman" w:hAnsi="Times New Roman" w:cs="Times New Roman"/>
          <w:sz w:val="28"/>
          <w:szCs w:val="28"/>
          <w:highlight w:val="yellow"/>
          <w:lang w:eastAsia="bg-BG"/>
        </w:rPr>
        <w:t>. Налице е относителна стабилност</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color w:val="FF0000"/>
          <w:sz w:val="28"/>
          <w:szCs w:val="28"/>
          <w:lang w:eastAsia="bg-BG"/>
        </w:rPr>
        <w:t xml:space="preserve"> </w:t>
      </w:r>
      <w:r w:rsidRPr="00FD507C">
        <w:rPr>
          <w:rFonts w:ascii="Times New Roman" w:eastAsia="Times New Roman" w:hAnsi="Times New Roman" w:cs="Times New Roman"/>
          <w:b/>
          <w:sz w:val="28"/>
          <w:szCs w:val="28"/>
          <w:lang w:eastAsia="bg-BG"/>
        </w:rPr>
        <w:t>Прекратените дела по давност са намалели през отчетната година</w:t>
      </w:r>
      <w:r w:rsidRPr="00FD507C">
        <w:rPr>
          <w:rFonts w:ascii="Times New Roman" w:eastAsia="Times New Roman" w:hAnsi="Times New Roman" w:cs="Times New Roman"/>
          <w:sz w:val="28"/>
          <w:szCs w:val="28"/>
          <w:lang w:eastAsia="bg-BG"/>
        </w:rPr>
        <w:t xml:space="preserve"> с 44% спрямо  2020 и 18,1% спрямо 2019 </w:t>
      </w:r>
      <w:proofErr w:type="spellStart"/>
      <w:r w:rsidRPr="00FD507C">
        <w:rPr>
          <w:rFonts w:ascii="Times New Roman" w:eastAsia="Times New Roman" w:hAnsi="Times New Roman" w:cs="Times New Roman"/>
          <w:sz w:val="28"/>
          <w:szCs w:val="28"/>
          <w:lang w:eastAsia="bg-BG"/>
        </w:rPr>
        <w:t>год</w:t>
      </w:r>
      <w:proofErr w:type="spellEnd"/>
      <w:r w:rsidRPr="00FD507C">
        <w:rPr>
          <w:rFonts w:ascii="Times New Roman" w:eastAsia="Times New Roman" w:hAnsi="Times New Roman" w:cs="Times New Roman"/>
          <w:sz w:val="28"/>
          <w:szCs w:val="28"/>
          <w:lang w:eastAsia="bg-BG"/>
        </w:rPr>
        <w:t xml:space="preserve">  </w:t>
      </w:r>
    </w:p>
    <w:p w:rsidR="00FD507C" w:rsidRPr="00FD507C" w:rsidRDefault="00FD507C" w:rsidP="00835D05">
      <w:pPr>
        <w:spacing w:after="0" w:line="240" w:lineRule="auto"/>
        <w:ind w:firstLine="709"/>
        <w:jc w:val="both"/>
        <w:rPr>
          <w:rFonts w:ascii="Times New Roman" w:eastAsia="Times New Roman" w:hAnsi="Times New Roman" w:cs="Times New Roman"/>
          <w:b/>
          <w:sz w:val="28"/>
          <w:szCs w:val="28"/>
          <w:lang w:eastAsia="bg-BG"/>
        </w:rPr>
      </w:pPr>
      <w:r w:rsidRPr="00FD507C">
        <w:rPr>
          <w:rFonts w:ascii="Times New Roman" w:eastAsia="Times New Roman" w:hAnsi="Times New Roman" w:cs="Times New Roman"/>
          <w:b/>
          <w:sz w:val="28"/>
          <w:szCs w:val="28"/>
          <w:lang w:eastAsia="bg-BG"/>
        </w:rPr>
        <w:lastRenderedPageBreak/>
        <w:t xml:space="preserve">Безспорно изнесените данни следва да </w:t>
      </w:r>
      <w:proofErr w:type="spellStart"/>
      <w:r w:rsidRPr="00FD507C">
        <w:rPr>
          <w:rFonts w:ascii="Times New Roman" w:eastAsia="Times New Roman" w:hAnsi="Times New Roman" w:cs="Times New Roman"/>
          <w:b/>
          <w:sz w:val="28"/>
          <w:szCs w:val="28"/>
          <w:lang w:eastAsia="bg-BG"/>
        </w:rPr>
        <w:t>предпоставят</w:t>
      </w:r>
      <w:proofErr w:type="spellEnd"/>
      <w:r w:rsidRPr="00FD507C">
        <w:rPr>
          <w:rFonts w:ascii="Times New Roman" w:eastAsia="Times New Roman" w:hAnsi="Times New Roman" w:cs="Times New Roman"/>
          <w:b/>
          <w:sz w:val="28"/>
          <w:szCs w:val="28"/>
          <w:lang w:eastAsia="bg-BG"/>
        </w:rPr>
        <w:t xml:space="preserve"> още по – голяма ангажираност на наблюдаващите прокурори със срочността на приключване на досъдебните производства, върху които упражняват ръководство и надзор. </w:t>
      </w:r>
    </w:p>
    <w:p w:rsidR="00FD507C" w:rsidRPr="00FD507C" w:rsidRDefault="005A71A3" w:rsidP="00835D05">
      <w:pPr>
        <w:spacing w:after="0" w:line="240" w:lineRule="auto"/>
        <w:ind w:firstLine="709"/>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Основните п</w:t>
      </w:r>
      <w:r w:rsidR="0053260F">
        <w:rPr>
          <w:rFonts w:ascii="Times New Roman" w:eastAsia="Times New Roman" w:hAnsi="Times New Roman" w:cs="Times New Roman"/>
          <w:sz w:val="28"/>
          <w:szCs w:val="28"/>
          <w:lang w:eastAsia="bg-BG"/>
        </w:rPr>
        <w:t xml:space="preserve">ричини, влияещи върху </w:t>
      </w:r>
      <w:r w:rsidR="00FD507C" w:rsidRPr="00FD507C">
        <w:rPr>
          <w:rFonts w:ascii="Times New Roman" w:eastAsia="Times New Roman" w:hAnsi="Times New Roman" w:cs="Times New Roman"/>
          <w:sz w:val="28"/>
          <w:szCs w:val="28"/>
          <w:lang w:eastAsia="bg-BG"/>
        </w:rPr>
        <w:t xml:space="preserve">продължителността на досъдебната фаза </w:t>
      </w:r>
      <w:r>
        <w:rPr>
          <w:rFonts w:ascii="Times New Roman" w:eastAsia="Times New Roman" w:hAnsi="Times New Roman" w:cs="Times New Roman"/>
          <w:sz w:val="28"/>
          <w:szCs w:val="28"/>
          <w:lang w:eastAsia="bg-BG"/>
        </w:rPr>
        <w:t>са:</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забавяне изготвянето на назначените експертизи и липса или </w:t>
      </w:r>
      <w:proofErr w:type="spellStart"/>
      <w:r w:rsidRPr="00FD507C">
        <w:rPr>
          <w:rFonts w:ascii="Times New Roman" w:eastAsia="Calibri" w:hAnsi="Times New Roman" w:cs="Times New Roman"/>
          <w:sz w:val="28"/>
          <w:szCs w:val="28"/>
        </w:rPr>
        <w:t>свръхнатовареност</w:t>
      </w:r>
      <w:proofErr w:type="spellEnd"/>
      <w:r w:rsidRPr="00FD507C">
        <w:rPr>
          <w:rFonts w:ascii="Times New Roman" w:eastAsia="Calibri" w:hAnsi="Times New Roman" w:cs="Times New Roman"/>
          <w:sz w:val="28"/>
          <w:szCs w:val="28"/>
        </w:rPr>
        <w:t xml:space="preserve"> на вещите лица;</w:t>
      </w:r>
      <w:r w:rsidRPr="00FD507C">
        <w:rPr>
          <w:rFonts w:ascii="Times New Roman" w:eastAsia="Times New Roman" w:hAnsi="Times New Roman" w:cs="Times New Roman"/>
          <w:sz w:val="28"/>
          <w:szCs w:val="28"/>
          <w:lang w:eastAsia="bg-BG"/>
        </w:rPr>
        <w:t xml:space="preserve"> необезпеченост с достатъчно и квалифицирани вещи лица,а оттам – </w:t>
      </w:r>
      <w:proofErr w:type="spellStart"/>
      <w:r w:rsidRPr="00FD507C">
        <w:rPr>
          <w:rFonts w:ascii="Times New Roman" w:eastAsia="Times New Roman" w:hAnsi="Times New Roman" w:cs="Times New Roman"/>
          <w:sz w:val="28"/>
          <w:szCs w:val="28"/>
          <w:lang w:eastAsia="bg-BG"/>
        </w:rPr>
        <w:t>пренатовареност</w:t>
      </w:r>
      <w:proofErr w:type="spellEnd"/>
      <w:r w:rsidRPr="00FD507C">
        <w:rPr>
          <w:rFonts w:ascii="Times New Roman" w:eastAsia="Times New Roman" w:hAnsi="Times New Roman" w:cs="Times New Roman"/>
          <w:sz w:val="28"/>
          <w:szCs w:val="28"/>
          <w:lang w:eastAsia="bg-BG"/>
        </w:rPr>
        <w:t xml:space="preserve"> и забавяне във времето на изготвянето на назначените .</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забавяне изпращането на разследващите органи на поисканите от тях, по надлежния ред данни и материали от различни институции;</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трудности при откриване и призоваване на свидетели в страната или в чужбина;</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трудности при разпити по делегация в други райони;</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липса на достатъчно добро планиране и качествено разследване  от  страна на разследващите органи;</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пасивност на разследващите органи и несвоевременно извършване на следствени действия или неритмично извършване на такива в рамките на двумесечния срок или в сроковете на неговото продължение;</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все още съществуваща недостатъчно добра комуникация между разследващите органи и наблюдаващите прокурори;</w:t>
      </w:r>
    </w:p>
    <w:p w:rsidR="00FD507C" w:rsidRPr="00FD507C" w:rsidRDefault="00FD507C" w:rsidP="00835D05">
      <w:pPr>
        <w:numPr>
          <w:ilvl w:val="0"/>
          <w:numId w:val="2"/>
        </w:numPr>
        <w:spacing w:after="0"/>
        <w:ind w:left="0" w:firstLine="709"/>
        <w:contextualSpacing/>
        <w:jc w:val="both"/>
        <w:rPr>
          <w:rFonts w:ascii="Times New Roman" w:eastAsia="Calibri" w:hAnsi="Times New Roman" w:cs="Times New Roman"/>
          <w:sz w:val="28"/>
          <w:szCs w:val="28"/>
        </w:rPr>
      </w:pPr>
      <w:r w:rsidRPr="00FD507C">
        <w:rPr>
          <w:rFonts w:ascii="Times New Roman" w:eastAsia="Times New Roman" w:hAnsi="Times New Roman" w:cs="Times New Roman"/>
          <w:sz w:val="28"/>
          <w:szCs w:val="28"/>
          <w:lang w:eastAsia="bg-BG"/>
        </w:rPr>
        <w:t>текучество на разследващите полицаи.</w:t>
      </w:r>
    </w:p>
    <w:p w:rsidR="005A71A3" w:rsidRDefault="00FD507C" w:rsidP="00835D05">
      <w:pPr>
        <w:numPr>
          <w:ilvl w:val="0"/>
          <w:numId w:val="2"/>
        </w:numPr>
        <w:spacing w:after="0"/>
        <w:ind w:left="0" w:firstLine="709"/>
        <w:contextualSpacing/>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Не е без значение и усложнената епидемична обстановка, довела до довела до затруднения  призоваване на лицата и явяването им пред разследващите органи, както и поради заболяване на почти всички прокурори и немалко разследващи.</w:t>
      </w:r>
    </w:p>
    <w:p w:rsidR="00FD507C" w:rsidRDefault="005A71A3" w:rsidP="00835D05">
      <w:pPr>
        <w:numPr>
          <w:ilvl w:val="0"/>
          <w:numId w:val="2"/>
        </w:numPr>
        <w:spacing w:after="0"/>
        <w:ind w:left="0"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В отделни случаи е и недостатъчната активност на прокурора в хода на разследването</w:t>
      </w:r>
      <w:r w:rsidR="00FD507C" w:rsidRPr="005A71A3">
        <w:rPr>
          <w:rFonts w:ascii="Times New Roman" w:eastAsia="Times New Roman" w:hAnsi="Times New Roman" w:cs="Times New Roman"/>
          <w:sz w:val="28"/>
          <w:szCs w:val="28"/>
          <w:lang w:eastAsia="bg-BG"/>
        </w:rPr>
        <w:t xml:space="preserve"> </w:t>
      </w:r>
      <w:bookmarkStart w:id="6" w:name="_Toc506557812"/>
    </w:p>
    <w:p w:rsidR="00835D05" w:rsidRPr="005A71A3" w:rsidRDefault="00835D05" w:rsidP="00835D05">
      <w:pPr>
        <w:spacing w:after="0"/>
        <w:ind w:left="709"/>
        <w:contextualSpacing/>
        <w:jc w:val="both"/>
        <w:rPr>
          <w:rFonts w:ascii="Times New Roman" w:eastAsia="Times New Roman" w:hAnsi="Times New Roman" w:cs="Times New Roman"/>
          <w:sz w:val="28"/>
          <w:szCs w:val="28"/>
          <w:lang w:eastAsia="bg-BG"/>
        </w:rPr>
      </w:pPr>
    </w:p>
    <w:p w:rsidR="00FD507C" w:rsidRPr="00FD507C" w:rsidRDefault="00FD507C" w:rsidP="00835D05">
      <w:pPr>
        <w:spacing w:after="0" w:line="240" w:lineRule="auto"/>
        <w:ind w:firstLine="709"/>
        <w:jc w:val="both"/>
        <w:rPr>
          <w:rFonts w:ascii="Times New Roman" w:eastAsiaTheme="majorEastAsia" w:hAnsi="Times New Roman" w:cs="Times New Roman"/>
          <w:bCs/>
          <w:color w:val="0070C0"/>
          <w:sz w:val="28"/>
          <w:szCs w:val="28"/>
          <w:lang w:eastAsia="bg-BG"/>
        </w:rPr>
      </w:pPr>
      <w:r w:rsidRPr="00FD507C">
        <w:rPr>
          <w:rFonts w:ascii="Times New Roman" w:eastAsiaTheme="majorEastAsia" w:hAnsi="Times New Roman" w:cs="Times New Roman"/>
          <w:bCs/>
          <w:color w:val="0070C0"/>
          <w:sz w:val="28"/>
          <w:szCs w:val="28"/>
          <w:lang w:eastAsia="bg-BG"/>
        </w:rPr>
        <w:lastRenderedPageBreak/>
        <w:t>2.3.РЕШЕНИ ДОСЪДЕБНИ ПРОИЗВОДСТВА ОТ ПРОКУРОР. ВИДОВЕ РЕШЕНИЯ.</w:t>
      </w:r>
      <w:bookmarkEnd w:id="6"/>
      <w:r w:rsidRPr="00FD507C">
        <w:rPr>
          <w:rFonts w:ascii="Times New Roman" w:eastAsiaTheme="majorEastAsia" w:hAnsi="Times New Roman" w:cs="Times New Roman"/>
          <w:bCs/>
          <w:noProof/>
          <w:color w:val="0070C0"/>
          <w:sz w:val="28"/>
          <w:szCs w:val="28"/>
          <w:lang w:eastAsia="bg-BG"/>
        </w:rPr>
        <w:drawing>
          <wp:inline distT="0" distB="0" distL="0" distR="0" wp14:anchorId="49D23195" wp14:editId="1FC4F5A6">
            <wp:extent cx="4926842" cy="2988860"/>
            <wp:effectExtent l="0" t="0" r="26670" b="21590"/>
            <wp:docPr id="19" name="Диагра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D507C" w:rsidRPr="00FD507C" w:rsidRDefault="00FD507C" w:rsidP="00F63914">
      <w:pPr>
        <w:keepNext/>
        <w:keepLines/>
        <w:spacing w:before="200" w:after="0" w:line="240" w:lineRule="auto"/>
        <w:ind w:firstLine="567"/>
        <w:outlineLvl w:val="2"/>
        <w:rPr>
          <w:rFonts w:ascii="Times New Roman" w:eastAsiaTheme="majorEastAsia" w:hAnsi="Times New Roman" w:cs="Times New Roman"/>
          <w:bCs/>
          <w:color w:val="0070C0"/>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През 2021 год. </w:t>
      </w:r>
      <w:r w:rsidRPr="00FD507C">
        <w:rPr>
          <w:rFonts w:ascii="Times New Roman" w:eastAsia="Times New Roman" w:hAnsi="Times New Roman" w:cs="Times New Roman"/>
          <w:b/>
          <w:sz w:val="28"/>
          <w:szCs w:val="28"/>
          <w:lang w:eastAsia="bg-BG"/>
        </w:rPr>
        <w:t>решени</w:t>
      </w:r>
      <w:r w:rsidRPr="00FD507C">
        <w:rPr>
          <w:rFonts w:ascii="Times New Roman" w:eastAsia="Times New Roman" w:hAnsi="Times New Roman" w:cs="Times New Roman"/>
          <w:sz w:val="28"/>
          <w:szCs w:val="28"/>
          <w:lang w:eastAsia="bg-BG"/>
        </w:rPr>
        <w:t xml:space="preserve"> от прокурорите на ОП-Варна  </w:t>
      </w:r>
      <w:r w:rsidRPr="00FD507C">
        <w:rPr>
          <w:rFonts w:ascii="Times New Roman" w:eastAsia="Times New Roman" w:hAnsi="Times New Roman" w:cs="Times New Roman"/>
          <w:b/>
          <w:sz w:val="28"/>
          <w:szCs w:val="28"/>
          <w:lang w:eastAsia="bg-BG"/>
        </w:rPr>
        <w:t>спрямо наблюдаваните дела, без да се включват тези по давност</w:t>
      </w:r>
      <w:r w:rsidRPr="00FD507C">
        <w:rPr>
          <w:rFonts w:ascii="Times New Roman" w:eastAsia="Times New Roman" w:hAnsi="Times New Roman" w:cs="Times New Roman"/>
          <w:sz w:val="28"/>
          <w:szCs w:val="28"/>
          <w:lang w:eastAsia="bg-BG"/>
        </w:rPr>
        <w:t xml:space="preserve">, представляват 74,4%. През 2019 г. са  решени от прокурора 77,4 % от наблюдаваните дела, при съответен дял за 2020 г. 84.5%, т.е </w:t>
      </w:r>
      <w:r w:rsidRPr="00FD507C">
        <w:rPr>
          <w:rFonts w:ascii="Times New Roman" w:eastAsia="Times New Roman" w:hAnsi="Times New Roman" w:cs="Times New Roman"/>
          <w:b/>
          <w:sz w:val="28"/>
          <w:szCs w:val="28"/>
          <w:lang w:eastAsia="bg-BG"/>
        </w:rPr>
        <w:t>налице е намаляване на решените спрямо наблюдаваните дела спрямо 2019 год. и  2020 год</w:t>
      </w:r>
      <w:r w:rsidRPr="00FD507C">
        <w:rPr>
          <w:rFonts w:ascii="Times New Roman" w:eastAsia="Times New Roman" w:hAnsi="Times New Roman" w:cs="Times New Roman"/>
          <w:sz w:val="28"/>
          <w:szCs w:val="28"/>
          <w:lang w:eastAsia="bg-BG"/>
        </w:rPr>
        <w:t>.</w:t>
      </w:r>
    </w:p>
    <w:p w:rsidR="00FD507C" w:rsidRPr="00FD507C" w:rsidRDefault="00FD507C" w:rsidP="00F63914">
      <w:pPr>
        <w:spacing w:after="0"/>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Относителния дял на </w:t>
      </w:r>
      <w:r w:rsidRPr="00FD507C">
        <w:rPr>
          <w:rFonts w:ascii="Times New Roman" w:eastAsia="Calibri" w:hAnsi="Times New Roman" w:cs="Times New Roman"/>
          <w:b/>
          <w:sz w:val="28"/>
          <w:szCs w:val="28"/>
        </w:rPr>
        <w:t xml:space="preserve">внесените в съда към общо решените досъдебни производства през 2021 г. е 16,3 % </w:t>
      </w:r>
      <w:r w:rsidRPr="00FD507C">
        <w:rPr>
          <w:rFonts w:ascii="Times New Roman" w:eastAsia="Calibri" w:hAnsi="Times New Roman" w:cs="Times New Roman"/>
          <w:sz w:val="28"/>
          <w:szCs w:val="28"/>
        </w:rPr>
        <w:t>при 14%  за 2020 год</w:t>
      </w:r>
      <w:r w:rsidRPr="00FD507C">
        <w:rPr>
          <w:rFonts w:ascii="Times New Roman" w:eastAsia="Calibri" w:hAnsi="Times New Roman" w:cs="Times New Roman"/>
          <w:b/>
          <w:sz w:val="28"/>
          <w:szCs w:val="28"/>
        </w:rPr>
        <w:t>.</w:t>
      </w:r>
      <w:r w:rsidRPr="00FD507C">
        <w:rPr>
          <w:rFonts w:ascii="Times New Roman" w:eastAsia="Calibri" w:hAnsi="Times New Roman" w:cs="Times New Roman"/>
          <w:sz w:val="28"/>
          <w:szCs w:val="28"/>
        </w:rPr>
        <w:t xml:space="preserve"> при 13,7 % за 2019 г., т.е. наблюдава се увеличение спрямо 2020 г.  и спрямо 2019 г. </w:t>
      </w:r>
    </w:p>
    <w:p w:rsidR="00FD507C" w:rsidRPr="00FD507C" w:rsidRDefault="00FD507C" w:rsidP="00F63914">
      <w:pPr>
        <w:spacing w:after="0"/>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Относителния дял на </w:t>
      </w:r>
      <w:r w:rsidRPr="00FD507C">
        <w:rPr>
          <w:rFonts w:ascii="Times New Roman" w:eastAsia="Calibri" w:hAnsi="Times New Roman" w:cs="Times New Roman"/>
          <w:b/>
          <w:sz w:val="28"/>
          <w:szCs w:val="28"/>
        </w:rPr>
        <w:t xml:space="preserve">спрените към общо решените досъдебни производства през 2021 г. е 39%  </w:t>
      </w:r>
      <w:r w:rsidRPr="00FD507C">
        <w:rPr>
          <w:rFonts w:ascii="Times New Roman" w:eastAsia="Calibri" w:hAnsi="Times New Roman" w:cs="Times New Roman"/>
          <w:sz w:val="28"/>
          <w:szCs w:val="28"/>
        </w:rPr>
        <w:t>при 35 % за 2020 год. и</w:t>
      </w:r>
      <w:r w:rsidRPr="00FD507C">
        <w:rPr>
          <w:rFonts w:ascii="Times New Roman" w:eastAsia="Calibri" w:hAnsi="Times New Roman" w:cs="Times New Roman"/>
          <w:b/>
          <w:sz w:val="28"/>
          <w:szCs w:val="28"/>
        </w:rPr>
        <w:t xml:space="preserve"> </w:t>
      </w:r>
      <w:r w:rsidRPr="00FD507C">
        <w:rPr>
          <w:rFonts w:ascii="Times New Roman" w:eastAsia="Calibri" w:hAnsi="Times New Roman" w:cs="Times New Roman"/>
          <w:sz w:val="28"/>
          <w:szCs w:val="28"/>
        </w:rPr>
        <w:t>42,7 % за 2019 г., т.е. наблюдава се увеличение спрямо 2020 год. и намаление спрямо 2019 г.</w:t>
      </w:r>
    </w:p>
    <w:p w:rsidR="00FD507C" w:rsidRPr="00FD507C" w:rsidRDefault="00FD507C" w:rsidP="00F63914">
      <w:pPr>
        <w:spacing w:after="0"/>
        <w:ind w:firstLine="567"/>
        <w:jc w:val="both"/>
        <w:rPr>
          <w:rFonts w:ascii="Times New Roman" w:eastAsia="Calibri" w:hAnsi="Times New Roman" w:cs="Times New Roman"/>
          <w:color w:val="92D050"/>
          <w:sz w:val="28"/>
          <w:szCs w:val="28"/>
        </w:rPr>
      </w:pPr>
      <w:r w:rsidRPr="00FD507C">
        <w:rPr>
          <w:rFonts w:ascii="Times New Roman" w:eastAsia="Calibri" w:hAnsi="Times New Roman" w:cs="Times New Roman"/>
          <w:sz w:val="28"/>
          <w:szCs w:val="28"/>
        </w:rPr>
        <w:t xml:space="preserve">Относителният дял на </w:t>
      </w:r>
      <w:r w:rsidRPr="00FD507C">
        <w:rPr>
          <w:rFonts w:ascii="Times New Roman" w:eastAsia="Calibri" w:hAnsi="Times New Roman" w:cs="Times New Roman"/>
          <w:b/>
          <w:sz w:val="28"/>
          <w:szCs w:val="28"/>
        </w:rPr>
        <w:t xml:space="preserve">прекратените към общо решените досъдебни производства през 2021 г. е 43,6 % </w:t>
      </w:r>
      <w:r w:rsidRPr="00FD507C">
        <w:rPr>
          <w:rFonts w:ascii="Times New Roman" w:eastAsia="Calibri" w:hAnsi="Times New Roman" w:cs="Times New Roman"/>
          <w:sz w:val="28"/>
          <w:szCs w:val="28"/>
        </w:rPr>
        <w:t xml:space="preserve">при 49,4 % за 2020 год. и при 41,7 % за 2019 г. Наблюдава се намаление спрямо 2020 г. и увеличение спрямо 2019 г. </w:t>
      </w:r>
    </w:p>
    <w:p w:rsidR="00FD507C" w:rsidRPr="00FD507C" w:rsidRDefault="00FD507C" w:rsidP="00F63914">
      <w:pPr>
        <w:autoSpaceDE w:val="0"/>
        <w:autoSpaceDN w:val="0"/>
        <w:adjustRightInd w:val="0"/>
        <w:spacing w:after="0"/>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От общо решените от прокурор 10</w:t>
      </w:r>
      <w:r w:rsidR="006E44E6">
        <w:rPr>
          <w:rFonts w:ascii="Times New Roman" w:eastAsia="Calibri" w:hAnsi="Times New Roman" w:cs="Times New Roman"/>
          <w:sz w:val="28"/>
          <w:szCs w:val="28"/>
        </w:rPr>
        <w:t>162 досъдебни производства</w:t>
      </w:r>
      <w:r w:rsidRPr="00FD507C">
        <w:rPr>
          <w:rFonts w:ascii="Times New Roman" w:eastAsia="Calibri" w:hAnsi="Times New Roman" w:cs="Times New Roman"/>
          <w:sz w:val="28"/>
          <w:szCs w:val="28"/>
        </w:rPr>
        <w:t xml:space="preserve"> в съда са внесени  1680 прокурорски акта срещу 1867 лица; прекратени са 4480(в т.ч. и прекратени по давност) и спрени – 4002 производства. </w:t>
      </w:r>
    </w:p>
    <w:p w:rsidR="00FD507C" w:rsidRPr="00FD507C" w:rsidRDefault="00FD507C" w:rsidP="00F63914">
      <w:pPr>
        <w:spacing w:after="0"/>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В края на отчетния период, останалите за решаване при прокурорите са общо 291 производства при  293 производства за 2020 год. и  372 за 2019 г. В сравнение с 2020 г. е налице</w:t>
      </w:r>
      <w:r w:rsidR="007063B5">
        <w:rPr>
          <w:rFonts w:ascii="Times New Roman" w:eastAsia="Calibri" w:hAnsi="Times New Roman" w:cs="Times New Roman"/>
          <w:sz w:val="28"/>
          <w:szCs w:val="28"/>
        </w:rPr>
        <w:t xml:space="preserve"> нищожно</w:t>
      </w:r>
      <w:r w:rsidRPr="00FD507C">
        <w:rPr>
          <w:rFonts w:ascii="Times New Roman" w:eastAsia="Calibri" w:hAnsi="Times New Roman" w:cs="Times New Roman"/>
          <w:sz w:val="28"/>
          <w:szCs w:val="28"/>
        </w:rPr>
        <w:t xml:space="preserve"> намаление  </w:t>
      </w:r>
    </w:p>
    <w:p w:rsidR="00FD507C" w:rsidRPr="00FD507C" w:rsidRDefault="00FD507C" w:rsidP="00F63914">
      <w:pPr>
        <w:keepNext/>
        <w:keepLines/>
        <w:spacing w:before="200" w:after="0" w:line="240" w:lineRule="auto"/>
        <w:ind w:firstLine="567"/>
        <w:outlineLvl w:val="2"/>
        <w:rPr>
          <w:rFonts w:ascii="Times New Roman" w:eastAsiaTheme="majorEastAsia" w:hAnsi="Times New Roman" w:cs="Times New Roman"/>
          <w:bCs/>
          <w:color w:val="4F81BD" w:themeColor="accent1"/>
          <w:sz w:val="28"/>
          <w:szCs w:val="28"/>
          <w:lang w:eastAsia="bg-BG"/>
        </w:rPr>
      </w:pPr>
      <w:bookmarkStart w:id="7" w:name="_Toc506557813"/>
      <w:r w:rsidRPr="00FD507C">
        <w:rPr>
          <w:rFonts w:ascii="Times New Roman" w:eastAsiaTheme="majorEastAsia" w:hAnsi="Times New Roman" w:cs="Times New Roman"/>
          <w:bCs/>
          <w:color w:val="4F81BD" w:themeColor="accent1"/>
          <w:sz w:val="28"/>
          <w:szCs w:val="28"/>
          <w:lang w:eastAsia="bg-BG"/>
        </w:rPr>
        <w:lastRenderedPageBreak/>
        <w:t>ВНЕСЕНИ В СЪДА ДЕЛА.</w:t>
      </w:r>
      <w:bookmarkEnd w:id="7"/>
    </w:p>
    <w:p w:rsidR="00FD507C" w:rsidRPr="00FD507C" w:rsidRDefault="00FD507C" w:rsidP="00F63914">
      <w:pPr>
        <w:keepNext/>
        <w:keepLines/>
        <w:spacing w:before="200" w:after="0" w:line="240" w:lineRule="auto"/>
        <w:ind w:firstLine="567"/>
        <w:outlineLvl w:val="2"/>
        <w:rPr>
          <w:rFonts w:ascii="Times New Roman" w:eastAsiaTheme="majorEastAsia" w:hAnsi="Times New Roman" w:cs="Times New Roman"/>
          <w:bCs/>
          <w:color w:val="4F81BD" w:themeColor="accent1"/>
          <w:sz w:val="28"/>
          <w:szCs w:val="28"/>
          <w:lang w:eastAsia="bg-BG"/>
        </w:rPr>
      </w:pPr>
      <w:r w:rsidRPr="00FD507C">
        <w:rPr>
          <w:rFonts w:ascii="Times New Roman" w:eastAsiaTheme="majorEastAsia" w:hAnsi="Times New Roman" w:cs="Times New Roman"/>
          <w:bCs/>
          <w:noProof/>
          <w:color w:val="4F81BD" w:themeColor="accent1"/>
          <w:sz w:val="28"/>
          <w:szCs w:val="28"/>
          <w:lang w:eastAsia="bg-BG"/>
        </w:rPr>
        <w:drawing>
          <wp:inline distT="0" distB="0" distL="0" distR="0" wp14:anchorId="0EE4673B" wp14:editId="6B59080A">
            <wp:extent cx="4899547" cy="2647665"/>
            <wp:effectExtent l="0" t="0" r="15875" b="19685"/>
            <wp:docPr id="20" name="Диагра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b/>
          <w:color w:val="FF0000"/>
          <w:sz w:val="28"/>
          <w:szCs w:val="28"/>
          <w:lang w:eastAsia="bg-BG"/>
        </w:rPr>
      </w:pPr>
      <w:r w:rsidRPr="00FD507C">
        <w:rPr>
          <w:rFonts w:ascii="Times New Roman" w:eastAsia="Times New Roman" w:hAnsi="Times New Roman" w:cs="Times New Roman"/>
          <w:sz w:val="28"/>
          <w:szCs w:val="28"/>
          <w:lang w:eastAsia="bg-BG"/>
        </w:rPr>
        <w:t xml:space="preserve">Внесените в съда дела са  </w:t>
      </w:r>
      <w:r w:rsidRPr="00FD507C">
        <w:rPr>
          <w:rFonts w:ascii="Times New Roman" w:eastAsia="Times New Roman" w:hAnsi="Times New Roman" w:cs="Times New Roman"/>
          <w:b/>
          <w:sz w:val="28"/>
          <w:szCs w:val="28"/>
          <w:lang w:eastAsia="bg-BG"/>
        </w:rPr>
        <w:t>12.5 % от наблюдаваните производства (без прекратените по давност)</w:t>
      </w:r>
      <w:r w:rsidRPr="00FD507C">
        <w:rPr>
          <w:rFonts w:ascii="Times New Roman" w:eastAsia="Times New Roman" w:hAnsi="Times New Roman" w:cs="Times New Roman"/>
          <w:sz w:val="28"/>
          <w:szCs w:val="28"/>
          <w:lang w:eastAsia="bg-BG"/>
        </w:rPr>
        <w:t xml:space="preserve">. През  2019 год. са били внесени в съда 10,6 % от </w:t>
      </w:r>
      <w:proofErr w:type="spellStart"/>
      <w:r w:rsidRPr="00FD507C">
        <w:rPr>
          <w:rFonts w:ascii="Times New Roman" w:eastAsia="Times New Roman" w:hAnsi="Times New Roman" w:cs="Times New Roman"/>
          <w:sz w:val="28"/>
          <w:szCs w:val="28"/>
          <w:lang w:eastAsia="bg-BG"/>
        </w:rPr>
        <w:t>набл</w:t>
      </w:r>
      <w:proofErr w:type="spellEnd"/>
      <w:r w:rsidRPr="00FD507C">
        <w:rPr>
          <w:rFonts w:ascii="Times New Roman" w:eastAsia="Times New Roman" w:hAnsi="Times New Roman" w:cs="Times New Roman"/>
          <w:sz w:val="28"/>
          <w:szCs w:val="28"/>
          <w:lang w:eastAsia="bg-BG"/>
        </w:rPr>
        <w:t xml:space="preserve">. производства, а 2020 г. са били внесени в съда 12,1 %т.е, т.е . </w:t>
      </w:r>
      <w:r w:rsidRPr="00FD507C">
        <w:rPr>
          <w:rFonts w:ascii="Times New Roman" w:eastAsia="Times New Roman" w:hAnsi="Times New Roman" w:cs="Times New Roman"/>
          <w:b/>
          <w:sz w:val="28"/>
          <w:szCs w:val="28"/>
          <w:lang w:eastAsia="bg-BG"/>
        </w:rPr>
        <w:t>налице е  увеличение спрямо предходните две години.</w:t>
      </w:r>
      <w:r w:rsidRPr="00FD507C">
        <w:rPr>
          <w:rFonts w:ascii="Times New Roman" w:eastAsia="Times New Roman" w:hAnsi="Times New Roman" w:cs="Times New Roman"/>
          <w:b/>
          <w:color w:val="FF0000"/>
          <w:sz w:val="28"/>
          <w:szCs w:val="28"/>
          <w:lang w:eastAsia="bg-BG"/>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Налице е константа по този показател – средно около 11,7 % от делата се внасят в съда, като през настоящата отчетна година се бележи леко повишаване на този показател. Това не бива да бъде оценявано като повод за спокойствие, предвид общото ниско ниво на показателя.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b/>
          <w:sz w:val="28"/>
          <w:szCs w:val="28"/>
          <w:lang w:eastAsia="bg-BG"/>
        </w:rPr>
        <w:t>Внесените в съда дела</w:t>
      </w:r>
      <w:r w:rsidRPr="00FD507C">
        <w:rPr>
          <w:rFonts w:ascii="Times New Roman" w:eastAsia="Times New Roman" w:hAnsi="Times New Roman" w:cs="Times New Roman"/>
          <w:sz w:val="28"/>
          <w:szCs w:val="28"/>
          <w:lang w:eastAsia="bg-BG"/>
        </w:rPr>
        <w:t xml:space="preserve">  през 2021 год. представляват 20,8% от </w:t>
      </w:r>
      <w:r w:rsidRPr="00FD507C">
        <w:rPr>
          <w:rFonts w:ascii="Times New Roman" w:eastAsia="Times New Roman" w:hAnsi="Times New Roman" w:cs="Times New Roman"/>
          <w:b/>
          <w:sz w:val="28"/>
          <w:szCs w:val="28"/>
          <w:lang w:eastAsia="bg-BG"/>
        </w:rPr>
        <w:t>приключените ДП</w:t>
      </w:r>
      <w:r w:rsidRPr="00FD507C">
        <w:rPr>
          <w:rFonts w:ascii="Times New Roman" w:eastAsia="Times New Roman" w:hAnsi="Times New Roman" w:cs="Times New Roman"/>
          <w:sz w:val="28"/>
          <w:szCs w:val="28"/>
          <w:lang w:eastAsia="bg-BG"/>
        </w:rPr>
        <w:t>. По този показател също е налице леко завишение в положителна посока спрямо предходните две години.</w:t>
      </w:r>
    </w:p>
    <w:p w:rsidR="00FD507C" w:rsidRPr="00FD507C" w:rsidRDefault="00FD507C" w:rsidP="00F63914">
      <w:pPr>
        <w:spacing w:after="0" w:line="240" w:lineRule="auto"/>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Относителният дял на </w:t>
      </w:r>
      <w:r w:rsidRPr="00FD507C">
        <w:rPr>
          <w:rFonts w:ascii="Times New Roman" w:eastAsia="Calibri" w:hAnsi="Times New Roman" w:cs="Times New Roman"/>
          <w:b/>
          <w:sz w:val="28"/>
          <w:szCs w:val="28"/>
        </w:rPr>
        <w:t>обвинителните актове</w:t>
      </w:r>
      <w:r w:rsidRPr="00FD507C">
        <w:rPr>
          <w:rFonts w:ascii="Times New Roman" w:eastAsia="Calibri" w:hAnsi="Times New Roman" w:cs="Times New Roman"/>
          <w:sz w:val="28"/>
          <w:szCs w:val="28"/>
        </w:rPr>
        <w:t xml:space="preserve"> спрямо </w:t>
      </w:r>
      <w:r w:rsidRPr="00FD507C">
        <w:rPr>
          <w:rFonts w:ascii="Times New Roman" w:eastAsia="Calibri" w:hAnsi="Times New Roman" w:cs="Times New Roman"/>
          <w:b/>
          <w:sz w:val="28"/>
          <w:szCs w:val="28"/>
        </w:rPr>
        <w:t>общо внесените в съда актове</w:t>
      </w:r>
      <w:r w:rsidRPr="00FD507C">
        <w:rPr>
          <w:rFonts w:ascii="Times New Roman" w:eastAsia="Calibri" w:hAnsi="Times New Roman" w:cs="Times New Roman"/>
          <w:sz w:val="28"/>
          <w:szCs w:val="28"/>
        </w:rPr>
        <w:t xml:space="preserve"> е 64,5 %  при 65,2 % за 2020 год. и при 62,2 % за 2019 г., т.е. налице е намаление спрямо 2020 г. и увеличение спрямо 2019 г.</w:t>
      </w:r>
    </w:p>
    <w:p w:rsidR="00FD507C" w:rsidRPr="00FD507C" w:rsidRDefault="00FD507C" w:rsidP="00F63914">
      <w:pPr>
        <w:spacing w:after="0" w:line="240" w:lineRule="auto"/>
        <w:ind w:firstLine="567"/>
        <w:jc w:val="both"/>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Относителния дял на </w:t>
      </w:r>
      <w:r w:rsidRPr="00FD507C">
        <w:rPr>
          <w:rFonts w:ascii="Times New Roman" w:eastAsia="Calibri" w:hAnsi="Times New Roman" w:cs="Times New Roman"/>
          <w:b/>
          <w:sz w:val="28"/>
          <w:szCs w:val="28"/>
        </w:rPr>
        <w:t xml:space="preserve">споразуменията </w:t>
      </w:r>
      <w:r w:rsidRPr="00FD507C">
        <w:rPr>
          <w:rFonts w:ascii="Times New Roman" w:eastAsia="Calibri" w:hAnsi="Times New Roman" w:cs="Times New Roman"/>
          <w:sz w:val="28"/>
          <w:szCs w:val="28"/>
        </w:rPr>
        <w:t xml:space="preserve">спрямо </w:t>
      </w:r>
      <w:r w:rsidRPr="00FD507C">
        <w:rPr>
          <w:rFonts w:ascii="Times New Roman" w:eastAsia="Calibri" w:hAnsi="Times New Roman" w:cs="Times New Roman"/>
          <w:b/>
          <w:sz w:val="28"/>
          <w:szCs w:val="28"/>
        </w:rPr>
        <w:t>общо внесените в съда актове</w:t>
      </w:r>
      <w:r w:rsidRPr="00FD507C">
        <w:rPr>
          <w:rFonts w:ascii="Times New Roman" w:eastAsia="Calibri" w:hAnsi="Times New Roman" w:cs="Times New Roman"/>
          <w:sz w:val="28"/>
          <w:szCs w:val="28"/>
        </w:rPr>
        <w:t xml:space="preserve"> за 2021 год. е 23 %.  Налице е увеличение спрямо 2020 г. и намаление спрямо  2019 г. </w:t>
      </w:r>
    </w:p>
    <w:p w:rsidR="00FD507C" w:rsidRPr="00FD507C" w:rsidRDefault="00FD507C" w:rsidP="00F63914">
      <w:pPr>
        <w:spacing w:after="0" w:line="240" w:lineRule="auto"/>
        <w:ind w:firstLine="567"/>
        <w:jc w:val="both"/>
        <w:rPr>
          <w:rFonts w:ascii="Times New Roman" w:eastAsia="Calibri" w:hAnsi="Times New Roman" w:cs="Times New Roman"/>
          <w:sz w:val="24"/>
          <w:szCs w:val="24"/>
        </w:rPr>
      </w:pPr>
      <w:r w:rsidRPr="00FD507C">
        <w:rPr>
          <w:rFonts w:ascii="Times New Roman" w:eastAsia="Calibri" w:hAnsi="Times New Roman" w:cs="Times New Roman"/>
          <w:sz w:val="28"/>
          <w:szCs w:val="28"/>
        </w:rPr>
        <w:t xml:space="preserve">Относителния дял на </w:t>
      </w:r>
      <w:r w:rsidRPr="00FD507C">
        <w:rPr>
          <w:rFonts w:ascii="Times New Roman" w:eastAsia="Calibri" w:hAnsi="Times New Roman" w:cs="Times New Roman"/>
          <w:b/>
          <w:sz w:val="28"/>
          <w:szCs w:val="28"/>
        </w:rPr>
        <w:t>предложенията за освобождаване от наказателна отговорност по чл.78а от НК</w:t>
      </w:r>
      <w:r w:rsidRPr="00FD507C">
        <w:rPr>
          <w:rFonts w:ascii="Times New Roman" w:eastAsia="Calibri" w:hAnsi="Times New Roman" w:cs="Times New Roman"/>
          <w:sz w:val="28"/>
          <w:szCs w:val="28"/>
        </w:rPr>
        <w:t xml:space="preserve"> спрямо </w:t>
      </w:r>
      <w:r w:rsidRPr="00FD507C">
        <w:rPr>
          <w:rFonts w:ascii="Times New Roman" w:eastAsia="Calibri" w:hAnsi="Times New Roman" w:cs="Times New Roman"/>
          <w:b/>
          <w:sz w:val="28"/>
          <w:szCs w:val="28"/>
        </w:rPr>
        <w:t>общо внесените в съда актове</w:t>
      </w:r>
      <w:r w:rsidRPr="00FD507C">
        <w:rPr>
          <w:rFonts w:ascii="Times New Roman" w:eastAsia="Calibri" w:hAnsi="Times New Roman" w:cs="Times New Roman"/>
          <w:sz w:val="28"/>
          <w:szCs w:val="28"/>
        </w:rPr>
        <w:t xml:space="preserve"> е 12,7 % . По този показател отчитаме незначително намаление  спрямо предходните две години.</w:t>
      </w:r>
    </w:p>
    <w:p w:rsidR="00FD507C" w:rsidRPr="00FD507C" w:rsidRDefault="00FD507C" w:rsidP="00F63914">
      <w:pPr>
        <w:spacing w:after="0" w:line="240" w:lineRule="auto"/>
        <w:ind w:firstLine="567"/>
        <w:jc w:val="both"/>
        <w:rPr>
          <w:rFonts w:ascii="Times New Roman" w:eastAsia="Calibri" w:hAnsi="Times New Roman" w:cs="Times New Roman"/>
          <w:sz w:val="28"/>
          <w:szCs w:val="28"/>
        </w:rPr>
      </w:pPr>
      <w:r w:rsidRPr="00FD507C">
        <w:rPr>
          <w:rFonts w:ascii="Times New Roman" w:eastAsia="Times New Roman" w:hAnsi="Times New Roman" w:cs="Times New Roman"/>
          <w:b/>
          <w:sz w:val="28"/>
          <w:szCs w:val="28"/>
          <w:lang w:eastAsia="bg-BG"/>
        </w:rPr>
        <w:t>ОП-Варна отново отчита  ръст на внесените в съда дела   спрямо предходните две години.</w:t>
      </w:r>
      <w:r w:rsidRPr="00FD507C">
        <w:rPr>
          <w:rFonts w:ascii="Times New Roman" w:eastAsia="Times New Roman" w:hAnsi="Times New Roman" w:cs="Times New Roman"/>
          <w:sz w:val="28"/>
          <w:szCs w:val="28"/>
          <w:lang w:eastAsia="bg-BG"/>
        </w:rPr>
        <w:t xml:space="preserve">  По –голям брой внесени дела в съда отчита и РП-Варна</w:t>
      </w:r>
      <w:r w:rsidRPr="00FD507C">
        <w:rPr>
          <w:rFonts w:ascii="Times New Roman" w:eastAsia="Calibri" w:hAnsi="Times New Roman" w:cs="Times New Roman"/>
          <w:sz w:val="28"/>
          <w:szCs w:val="28"/>
        </w:rPr>
        <w:t>.</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Структурата на внесените в съда актове и лицата по тях, съобразно главите на НК, бе представена в табличен вид по-горе в настоящото изложение.</w:t>
      </w:r>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4F81BD" w:themeColor="accent1"/>
          <w:sz w:val="28"/>
          <w:szCs w:val="28"/>
          <w:lang w:eastAsia="bg-BG"/>
        </w:rPr>
      </w:pPr>
      <w:bookmarkStart w:id="8" w:name="_Toc506557814"/>
      <w:r w:rsidRPr="00FD507C">
        <w:rPr>
          <w:rFonts w:ascii="Times New Roman" w:eastAsiaTheme="majorEastAsia" w:hAnsi="Times New Roman" w:cs="Times New Roman"/>
          <w:bCs/>
          <w:color w:val="4F81BD" w:themeColor="accent1"/>
          <w:sz w:val="28"/>
          <w:szCs w:val="28"/>
          <w:lang w:eastAsia="bg-BG"/>
        </w:rPr>
        <w:lastRenderedPageBreak/>
        <w:t>СПРЕНИ ДП.</w:t>
      </w:r>
      <w:bookmarkEnd w:id="8"/>
    </w:p>
    <w:p w:rsidR="00FD507C" w:rsidRPr="00FD507C" w:rsidRDefault="00FD507C" w:rsidP="00F63914">
      <w:pPr>
        <w:keepNext/>
        <w:keepLines/>
        <w:spacing w:before="200" w:after="0" w:line="240" w:lineRule="auto"/>
        <w:ind w:firstLine="426"/>
        <w:outlineLvl w:val="2"/>
        <w:rPr>
          <w:rFonts w:ascii="Times New Roman" w:eastAsiaTheme="majorEastAsia" w:hAnsi="Times New Roman" w:cs="Times New Roman"/>
          <w:bCs/>
          <w:color w:val="4F81BD" w:themeColor="accent1"/>
          <w:sz w:val="28"/>
          <w:szCs w:val="28"/>
          <w:lang w:eastAsia="bg-BG"/>
        </w:rPr>
      </w:pPr>
      <w:r w:rsidRPr="00FD507C">
        <w:rPr>
          <w:rFonts w:ascii="Times New Roman" w:eastAsiaTheme="majorEastAsia" w:hAnsi="Times New Roman" w:cs="Times New Roman"/>
          <w:bCs/>
          <w:noProof/>
          <w:color w:val="4F81BD" w:themeColor="accent1"/>
          <w:sz w:val="28"/>
          <w:szCs w:val="28"/>
          <w:lang w:eastAsia="bg-BG"/>
        </w:rPr>
        <w:drawing>
          <wp:inline distT="0" distB="0" distL="0" distR="0" wp14:anchorId="51965E05" wp14:editId="10A1BF5C">
            <wp:extent cx="5486400" cy="3200400"/>
            <wp:effectExtent l="0" t="0" r="19050" b="19050"/>
            <wp:docPr id="21" name="Диагра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Спрени</w:t>
      </w:r>
      <w:r w:rsidR="00D92376">
        <w:rPr>
          <w:rFonts w:ascii="Times New Roman" w:eastAsia="Times New Roman" w:hAnsi="Times New Roman" w:cs="Times New Roman"/>
          <w:sz w:val="28"/>
          <w:szCs w:val="28"/>
          <w:lang w:eastAsia="bg-BG"/>
        </w:rPr>
        <w:t>те</w:t>
      </w:r>
      <w:r w:rsidRPr="00FD507C">
        <w:rPr>
          <w:rFonts w:ascii="Times New Roman" w:eastAsia="Times New Roman" w:hAnsi="Times New Roman" w:cs="Times New Roman"/>
          <w:sz w:val="28"/>
          <w:szCs w:val="28"/>
          <w:lang w:eastAsia="bg-BG"/>
        </w:rPr>
        <w:t xml:space="preserve"> през  2021год. представляват 49.7 % от ДП, приключени по общия ред или </w:t>
      </w:r>
      <w:r w:rsidRPr="00FD507C">
        <w:rPr>
          <w:rFonts w:ascii="Times New Roman" w:eastAsia="Times New Roman" w:hAnsi="Times New Roman" w:cs="Times New Roman"/>
          <w:b/>
          <w:sz w:val="28"/>
          <w:szCs w:val="28"/>
          <w:lang w:eastAsia="bg-BG"/>
        </w:rPr>
        <w:t>се запазва в процентно съотношение очертаната тенденция през последните години за спиране на  половината от делата.</w:t>
      </w:r>
      <w:r w:rsidRPr="00FD507C">
        <w:rPr>
          <w:rFonts w:ascii="Times New Roman" w:eastAsia="Times New Roman" w:hAnsi="Times New Roman" w:cs="Times New Roman"/>
          <w:sz w:val="28"/>
          <w:szCs w:val="28"/>
          <w:lang w:eastAsia="bg-BG"/>
        </w:rPr>
        <w:t xml:space="preserve"> </w:t>
      </w:r>
    </w:p>
    <w:p w:rsidR="00FD507C" w:rsidRPr="00FD507C" w:rsidRDefault="00FD507C" w:rsidP="00F63914">
      <w:pPr>
        <w:spacing w:after="0"/>
        <w:ind w:firstLine="426"/>
        <w:rPr>
          <w:rFonts w:ascii="Times New Roman" w:eastAsia="Calibri" w:hAnsi="Times New Roman" w:cs="Times New Roman"/>
          <w:sz w:val="28"/>
          <w:szCs w:val="28"/>
        </w:rPr>
      </w:pPr>
      <w:r w:rsidRPr="00FD507C">
        <w:rPr>
          <w:rFonts w:ascii="Times New Roman" w:eastAsia="Calibri" w:hAnsi="Times New Roman" w:cs="Times New Roman"/>
          <w:sz w:val="28"/>
          <w:szCs w:val="28"/>
        </w:rPr>
        <w:t xml:space="preserve">Спрени за 39% от решените дела.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 </w:t>
      </w:r>
      <w:r w:rsidRPr="00FD507C">
        <w:rPr>
          <w:rFonts w:ascii="Times New Roman" w:eastAsia="Times New Roman" w:hAnsi="Times New Roman" w:cs="Times New Roman"/>
          <w:b/>
          <w:sz w:val="28"/>
          <w:szCs w:val="28"/>
          <w:lang w:eastAsia="bg-BG"/>
        </w:rPr>
        <w:t xml:space="preserve">През отчетния период спрените поради неразкриване на извършителя са 84,8 %  от общия брой спрени дела. </w:t>
      </w:r>
    </w:p>
    <w:p w:rsidR="00FD507C" w:rsidRPr="00FD507C" w:rsidRDefault="00FD507C" w:rsidP="00F63914">
      <w:pPr>
        <w:keepNext/>
        <w:keepLines/>
        <w:spacing w:before="200" w:after="0" w:line="240" w:lineRule="auto"/>
        <w:ind w:firstLine="567"/>
        <w:outlineLvl w:val="2"/>
        <w:rPr>
          <w:rFonts w:ascii="Times New Roman" w:eastAsiaTheme="majorEastAsia" w:hAnsi="Times New Roman" w:cs="Times New Roman"/>
          <w:bCs/>
          <w:color w:val="4F81BD" w:themeColor="accent1"/>
          <w:sz w:val="28"/>
          <w:szCs w:val="28"/>
          <w:lang w:eastAsia="bg-BG"/>
        </w:rPr>
      </w:pPr>
      <w:bookmarkStart w:id="9" w:name="_Toc506557815"/>
      <w:r w:rsidRPr="00FD507C">
        <w:rPr>
          <w:rFonts w:ascii="Times New Roman" w:eastAsiaTheme="majorEastAsia" w:hAnsi="Times New Roman" w:cs="Times New Roman"/>
          <w:bCs/>
          <w:color w:val="4F81BD" w:themeColor="accent1"/>
          <w:sz w:val="28"/>
          <w:szCs w:val="28"/>
          <w:lang w:eastAsia="bg-BG"/>
        </w:rPr>
        <w:t>ПРЕКРАТЕНИ ДП.</w:t>
      </w:r>
      <w:bookmarkEnd w:id="9"/>
    </w:p>
    <w:p w:rsidR="00FD507C" w:rsidRPr="00FD507C" w:rsidRDefault="00FD507C" w:rsidP="00F63914">
      <w:pPr>
        <w:keepNext/>
        <w:keepLines/>
        <w:spacing w:before="200" w:after="0" w:line="240" w:lineRule="auto"/>
        <w:ind w:firstLine="567"/>
        <w:outlineLvl w:val="2"/>
        <w:rPr>
          <w:rFonts w:ascii="Times New Roman" w:eastAsiaTheme="majorEastAsia" w:hAnsi="Times New Roman" w:cs="Times New Roman"/>
          <w:bCs/>
          <w:color w:val="4F81BD" w:themeColor="accent1"/>
          <w:sz w:val="28"/>
          <w:szCs w:val="28"/>
          <w:lang w:eastAsia="bg-BG"/>
        </w:rPr>
      </w:pPr>
      <w:r w:rsidRPr="00FD507C">
        <w:rPr>
          <w:rFonts w:ascii="Times New Roman" w:eastAsiaTheme="majorEastAsia" w:hAnsi="Times New Roman" w:cs="Times New Roman"/>
          <w:bCs/>
          <w:noProof/>
          <w:color w:val="4F81BD" w:themeColor="accent1"/>
          <w:sz w:val="28"/>
          <w:szCs w:val="28"/>
          <w:lang w:eastAsia="bg-BG"/>
        </w:rPr>
        <w:drawing>
          <wp:inline distT="0" distB="0" distL="0" distR="0" wp14:anchorId="2836E239" wp14:editId="5C916837">
            <wp:extent cx="4749421" cy="2661314"/>
            <wp:effectExtent l="0" t="0" r="13335" b="24765"/>
            <wp:docPr id="22" name="Диагра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color w:val="00B0F0"/>
          <w:sz w:val="28"/>
          <w:szCs w:val="28"/>
          <w:lang w:eastAsia="bg-BG"/>
        </w:rPr>
      </w:pP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Делът на прекратените дела е 29.3 %, при  34,4% за 2020 год. и при 27,8% за 2019 год..</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lastRenderedPageBreak/>
        <w:t xml:space="preserve"> Прекратените дела, </w:t>
      </w:r>
      <w:proofErr w:type="spellStart"/>
      <w:r w:rsidRPr="00FD507C">
        <w:rPr>
          <w:rFonts w:ascii="Times New Roman" w:eastAsia="Times New Roman" w:hAnsi="Times New Roman" w:cs="Times New Roman"/>
          <w:sz w:val="28"/>
          <w:szCs w:val="28"/>
          <w:lang w:eastAsia="bg-BG"/>
        </w:rPr>
        <w:t>съотнесени</w:t>
      </w:r>
      <w:proofErr w:type="spellEnd"/>
      <w:r w:rsidRPr="00FD507C">
        <w:rPr>
          <w:rFonts w:ascii="Times New Roman" w:eastAsia="Times New Roman" w:hAnsi="Times New Roman" w:cs="Times New Roman"/>
          <w:sz w:val="28"/>
          <w:szCs w:val="28"/>
          <w:lang w:eastAsia="bg-BG"/>
        </w:rPr>
        <w:t xml:space="preserve"> към общо наблюдаваните дела, без  </w:t>
      </w:r>
      <w:proofErr w:type="spellStart"/>
      <w:r w:rsidRPr="00FD507C">
        <w:rPr>
          <w:rFonts w:ascii="Times New Roman" w:eastAsia="Times New Roman" w:hAnsi="Times New Roman" w:cs="Times New Roman"/>
          <w:sz w:val="28"/>
          <w:szCs w:val="28"/>
          <w:lang w:eastAsia="bg-BG"/>
        </w:rPr>
        <w:t>прекр</w:t>
      </w:r>
      <w:proofErr w:type="spellEnd"/>
      <w:r w:rsidRPr="00FD507C">
        <w:rPr>
          <w:rFonts w:ascii="Times New Roman" w:eastAsia="Times New Roman" w:hAnsi="Times New Roman" w:cs="Times New Roman"/>
          <w:sz w:val="28"/>
          <w:szCs w:val="28"/>
          <w:lang w:eastAsia="bg-BG"/>
        </w:rPr>
        <w:t xml:space="preserve">. по давност, делът на прекратените дела е 19,7 %, при 18,7% за 2020 год. и при 16,2% за 2019 год.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41 %</w:t>
      </w:r>
      <w:r w:rsidRPr="00FD507C">
        <w:rPr>
          <w:rFonts w:ascii="Times New Roman" w:eastAsia="Times New Roman" w:hAnsi="Times New Roman" w:cs="Times New Roman"/>
          <w:b/>
          <w:sz w:val="28"/>
          <w:szCs w:val="28"/>
          <w:lang w:eastAsia="bg-BG"/>
        </w:rPr>
        <w:t xml:space="preserve"> </w:t>
      </w:r>
      <w:r w:rsidRPr="00FD507C">
        <w:rPr>
          <w:rFonts w:ascii="Times New Roman" w:eastAsia="Times New Roman" w:hAnsi="Times New Roman" w:cs="Times New Roman"/>
          <w:sz w:val="28"/>
          <w:szCs w:val="28"/>
          <w:lang w:eastAsia="bg-BG"/>
        </w:rPr>
        <w:t xml:space="preserve">от прекратените в съдебния окръг дела са заради изтекла погасителна давност при 56,2% за 2020 год. и  49,9% за 2019 год., което говори за намаляване на относителния дял на прекратените дела по давност спрямо предходните години </w:t>
      </w:r>
    </w:p>
    <w:p w:rsidR="00FD507C" w:rsidRPr="00FD507C" w:rsidRDefault="00FD507C" w:rsidP="00F63914">
      <w:pPr>
        <w:spacing w:after="0"/>
        <w:ind w:firstLine="567"/>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За района на ОП-Варна  се отчита намаляване  на броя дела, които са прекратени по давност  с 44% спрямо 2020 год. и със 18,1 % спрямо прекратените по давност дела през 2019 год.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Незначителен е делът на прекратените срещу известен извършител от общо прекратените по давност производства –1,5 %, при 1% за 2020 год. и 0,4 % за 2019 год.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Изнесените данни са ясен показател за ненаказаната престъпност и неразкриването на автора на деянието.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Констатираните през отчетната година проблеми в работата по следствения надзор не се различават по </w:t>
      </w:r>
      <w:proofErr w:type="spellStart"/>
      <w:r w:rsidRPr="00FD507C">
        <w:rPr>
          <w:rFonts w:ascii="Times New Roman" w:eastAsia="Times New Roman" w:hAnsi="Times New Roman" w:cs="Times New Roman"/>
          <w:sz w:val="28"/>
          <w:szCs w:val="28"/>
          <w:lang w:eastAsia="bg-BG"/>
        </w:rPr>
        <w:t>никакав</w:t>
      </w:r>
      <w:proofErr w:type="spellEnd"/>
      <w:r w:rsidRPr="00FD507C">
        <w:rPr>
          <w:rFonts w:ascii="Times New Roman" w:eastAsia="Times New Roman" w:hAnsi="Times New Roman" w:cs="Times New Roman"/>
          <w:sz w:val="28"/>
          <w:szCs w:val="28"/>
          <w:lang w:eastAsia="bg-BG"/>
        </w:rPr>
        <w:t xml:space="preserve"> начин от изложените проблеми през изминалите години и причини, довели до тях.</w:t>
      </w:r>
    </w:p>
    <w:p w:rsidR="00FD507C" w:rsidRPr="00FD507C" w:rsidRDefault="00FD507C" w:rsidP="00F63914">
      <w:pPr>
        <w:tabs>
          <w:tab w:val="left" w:pos="567"/>
        </w:tabs>
        <w:autoSpaceDE w:val="0"/>
        <w:autoSpaceDN w:val="0"/>
        <w:adjustRightInd w:val="0"/>
        <w:spacing w:after="0" w:line="240" w:lineRule="auto"/>
        <w:contextualSpacing/>
        <w:jc w:val="both"/>
        <w:rPr>
          <w:rFonts w:ascii="Times New Roman" w:eastAsia="Times New Roman" w:hAnsi="Times New Roman" w:cs="Times New Roman"/>
          <w:color w:val="0D0D0D" w:themeColor="text1" w:themeTint="F2"/>
          <w:sz w:val="24"/>
          <w:szCs w:val="24"/>
          <w:lang w:eastAsia="bg-BG"/>
        </w:rPr>
      </w:pPr>
      <w:r w:rsidRPr="00FD507C">
        <w:rPr>
          <w:rFonts w:ascii="Times New Roman" w:eastAsia="Times New Roman" w:hAnsi="Times New Roman" w:cs="Times New Roman"/>
          <w:b/>
          <w:sz w:val="28"/>
          <w:szCs w:val="28"/>
          <w:lang w:eastAsia="bg-BG"/>
        </w:rPr>
        <w:tab/>
        <w:t>През отчетния период отново бяха полагани усилия за намаляване на броя на делата, чийто срок на разследване е значителен – над една година, над две години и най-вече- над три  и повече години</w:t>
      </w:r>
      <w:r w:rsidRPr="00FD507C">
        <w:rPr>
          <w:rFonts w:ascii="Times New Roman" w:eastAsia="Times New Roman" w:hAnsi="Times New Roman" w:cs="Times New Roman"/>
          <w:sz w:val="28"/>
          <w:szCs w:val="28"/>
          <w:lang w:eastAsia="bg-BG"/>
        </w:rPr>
        <w:t xml:space="preserve">. В тази връзка много често действията на разследващите органи, в това число на прокурорите, се оказват недостатъчни с оглед от години посочваните проблеми, които обективно </w:t>
      </w:r>
      <w:proofErr w:type="spellStart"/>
      <w:r w:rsidRPr="00FD507C">
        <w:rPr>
          <w:rFonts w:ascii="Times New Roman" w:eastAsia="Times New Roman" w:hAnsi="Times New Roman" w:cs="Times New Roman"/>
          <w:sz w:val="28"/>
          <w:szCs w:val="28"/>
          <w:lang w:eastAsia="bg-BG"/>
        </w:rPr>
        <w:t>водат</w:t>
      </w:r>
      <w:proofErr w:type="spellEnd"/>
      <w:r w:rsidRPr="00FD507C">
        <w:rPr>
          <w:rFonts w:ascii="Times New Roman" w:eastAsia="Times New Roman" w:hAnsi="Times New Roman" w:cs="Times New Roman"/>
          <w:sz w:val="28"/>
          <w:szCs w:val="28"/>
          <w:lang w:eastAsia="bg-BG"/>
        </w:rPr>
        <w:t xml:space="preserve"> до забавяне на разследванията по делата – недоброто материално и професионално обезпечаване на вещи лица; зависимост от извършване на действия и получаване на резултати от други органи.</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За пореден път , отбелязваме като </w:t>
      </w:r>
      <w:r w:rsidRPr="00FD507C">
        <w:rPr>
          <w:rFonts w:ascii="Times New Roman" w:eastAsia="Times New Roman" w:hAnsi="Times New Roman" w:cs="Times New Roman"/>
          <w:b/>
          <w:sz w:val="28"/>
          <w:szCs w:val="28"/>
          <w:lang w:eastAsia="bg-BG"/>
        </w:rPr>
        <w:t>съществен проблем  различната продължителност на законовите срокове за действие на различните институции и контролни органи, чиято компетентност служи за събиране на данни в етапа на проверката и сроковете на проверката, предвидени в ЗСВ.</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Тези проблеми са многократно поставяни в годишните отчетни доклади на ОП – Варна назад във времето. Същите имат материално и процедурно естество и цялостното им решаване не е във възможностите на ОП – Варна, но за нас са ежедневни проблеми, с които се сблъскваме и водят до забавяне на производствата. </w:t>
      </w:r>
    </w:p>
    <w:p w:rsidR="00FD507C" w:rsidRPr="00FD507C" w:rsidRDefault="00FD507C" w:rsidP="00F63914">
      <w:pPr>
        <w:tabs>
          <w:tab w:val="left" w:pos="851"/>
          <w:tab w:val="left" w:pos="993"/>
          <w:tab w:val="left" w:pos="1134"/>
        </w:tabs>
        <w:suppressAutoHyphens/>
        <w:autoSpaceDN w:val="0"/>
        <w:spacing w:after="0" w:line="240" w:lineRule="auto"/>
        <w:ind w:firstLine="426"/>
        <w:jc w:val="both"/>
        <w:textAlignment w:val="baseline"/>
        <w:rPr>
          <w:rFonts w:ascii="Times New Roman" w:eastAsia="Times New Roman" w:hAnsi="Times New Roman" w:cs="Times New Roman"/>
          <w:color w:val="FF0000"/>
          <w:sz w:val="28"/>
          <w:szCs w:val="28"/>
          <w:lang w:eastAsia="bg-BG"/>
        </w:rPr>
      </w:pPr>
      <w:r w:rsidRPr="00FD507C">
        <w:rPr>
          <w:rFonts w:ascii="Times New Roman" w:hAnsi="Times New Roman" w:cs="Times New Roman"/>
          <w:sz w:val="28"/>
          <w:szCs w:val="28"/>
        </w:rPr>
        <w:t xml:space="preserve">За пореден път отбелязваме  </w:t>
      </w:r>
      <w:r w:rsidRPr="00FD507C">
        <w:rPr>
          <w:rFonts w:ascii="Times New Roman" w:hAnsi="Times New Roman" w:cs="Times New Roman"/>
          <w:b/>
          <w:sz w:val="28"/>
          <w:szCs w:val="28"/>
        </w:rPr>
        <w:t>изключителния формализъм, с който се отличава наказателния процес(което често е пречка за предприемане на бързи действия за осъществяване на бързо и качествено разследване) и липса на законодателни мерки в тази насока, които да са в синхрон с обществените очаквания</w:t>
      </w:r>
      <w:r w:rsidRPr="00FD507C">
        <w:rPr>
          <w:b/>
          <w:sz w:val="28"/>
          <w:szCs w:val="28"/>
        </w:rPr>
        <w:t xml:space="preserve">. </w:t>
      </w:r>
    </w:p>
    <w:p w:rsidR="00FD507C" w:rsidRPr="00FD507C" w:rsidRDefault="00FD507C" w:rsidP="00F63914">
      <w:pPr>
        <w:tabs>
          <w:tab w:val="left" w:pos="993"/>
          <w:tab w:val="left" w:pos="1134"/>
        </w:tabs>
        <w:suppressAutoHyphens/>
        <w:autoSpaceDN w:val="0"/>
        <w:spacing w:after="0" w:line="240" w:lineRule="auto"/>
        <w:ind w:firstLine="426"/>
        <w:jc w:val="both"/>
        <w:textAlignment w:val="baseline"/>
        <w:rPr>
          <w:rFonts w:ascii="Times New Roman" w:eastAsia="Times New Roman" w:hAnsi="Times New Roman" w:cs="Times New Roman"/>
          <w:color w:val="0D0D0D" w:themeColor="text1" w:themeTint="F2"/>
          <w:sz w:val="28"/>
          <w:szCs w:val="28"/>
          <w:lang w:eastAsia="bg-BG"/>
        </w:rPr>
      </w:pPr>
      <w:r w:rsidRPr="00FD507C">
        <w:rPr>
          <w:rFonts w:ascii="Times New Roman" w:eastAsia="Times New Roman" w:hAnsi="Times New Roman" w:cs="Times New Roman"/>
          <w:color w:val="0D0D0D" w:themeColor="text1" w:themeTint="F2"/>
          <w:sz w:val="28"/>
          <w:szCs w:val="28"/>
          <w:lang w:eastAsia="bg-BG"/>
        </w:rPr>
        <w:t xml:space="preserve">За поредна година считаме, че </w:t>
      </w:r>
      <w:r w:rsidRPr="00FD507C">
        <w:rPr>
          <w:rFonts w:ascii="Times New Roman" w:eastAsia="Times New Roman" w:hAnsi="Times New Roman" w:cs="Times New Roman"/>
          <w:b/>
          <w:color w:val="0D0D0D" w:themeColor="text1" w:themeTint="F2"/>
          <w:sz w:val="28"/>
          <w:szCs w:val="28"/>
          <w:lang w:eastAsia="bg-BG"/>
        </w:rPr>
        <w:t xml:space="preserve">за повишаване ефективността на Прокуратурата в противодействието на престъпността и съсредоточаването й върху по-важни дела, следва да се провежда трайна политика за </w:t>
      </w:r>
      <w:proofErr w:type="spellStart"/>
      <w:r w:rsidRPr="00FD507C">
        <w:rPr>
          <w:rFonts w:ascii="Times New Roman" w:eastAsia="Times New Roman" w:hAnsi="Times New Roman" w:cs="Times New Roman"/>
          <w:b/>
          <w:color w:val="0D0D0D" w:themeColor="text1" w:themeTint="F2"/>
          <w:sz w:val="28"/>
          <w:szCs w:val="28"/>
          <w:lang w:eastAsia="bg-BG"/>
        </w:rPr>
        <w:t>декриминализация</w:t>
      </w:r>
      <w:proofErr w:type="spellEnd"/>
      <w:r w:rsidRPr="00FD507C">
        <w:rPr>
          <w:rFonts w:ascii="Times New Roman" w:eastAsia="Times New Roman" w:hAnsi="Times New Roman" w:cs="Times New Roman"/>
          <w:b/>
          <w:color w:val="0D0D0D" w:themeColor="text1" w:themeTint="F2"/>
          <w:sz w:val="28"/>
          <w:szCs w:val="28"/>
          <w:lang w:eastAsia="bg-BG"/>
        </w:rPr>
        <w:t xml:space="preserve"> на престъпления, които не отговарят на съвременните условия и предвиждане на административно-наказателна отговорност</w:t>
      </w:r>
      <w:r w:rsidRPr="00FD507C">
        <w:rPr>
          <w:rFonts w:ascii="Times New Roman" w:eastAsia="Times New Roman" w:hAnsi="Times New Roman" w:cs="Times New Roman"/>
          <w:color w:val="0D0D0D" w:themeColor="text1" w:themeTint="F2"/>
          <w:sz w:val="28"/>
          <w:szCs w:val="28"/>
          <w:lang w:eastAsia="bg-BG"/>
        </w:rPr>
        <w:t xml:space="preserve"> </w:t>
      </w:r>
    </w:p>
    <w:p w:rsidR="00FD507C" w:rsidRPr="00FD507C" w:rsidRDefault="00FD507C" w:rsidP="00F63914">
      <w:pPr>
        <w:tabs>
          <w:tab w:val="left" w:pos="851"/>
          <w:tab w:val="left" w:pos="993"/>
          <w:tab w:val="left" w:pos="1134"/>
        </w:tabs>
        <w:suppressAutoHyphens/>
        <w:autoSpaceDN w:val="0"/>
        <w:spacing w:after="0" w:line="240" w:lineRule="auto"/>
        <w:ind w:firstLine="426"/>
        <w:jc w:val="both"/>
        <w:textAlignment w:val="baseline"/>
        <w:rPr>
          <w:rFonts w:ascii="Times New Roman" w:eastAsia="Times New Roman" w:hAnsi="Times New Roman" w:cs="Times New Roman"/>
          <w:color w:val="0D0D0D" w:themeColor="text1" w:themeTint="F2"/>
          <w:sz w:val="28"/>
          <w:szCs w:val="28"/>
          <w:lang w:eastAsia="bg-BG"/>
        </w:rPr>
      </w:pPr>
      <w:r w:rsidRPr="00FD507C">
        <w:rPr>
          <w:rFonts w:ascii="Times New Roman" w:eastAsia="Times New Roman" w:hAnsi="Times New Roman" w:cs="Times New Roman"/>
          <w:color w:val="0D0D0D" w:themeColor="text1" w:themeTint="F2"/>
          <w:sz w:val="28"/>
          <w:szCs w:val="28"/>
          <w:lang w:eastAsia="bg-BG"/>
        </w:rPr>
        <w:lastRenderedPageBreak/>
        <w:t xml:space="preserve">Нужно е законът да </w:t>
      </w:r>
      <w:r w:rsidRPr="00FD507C">
        <w:rPr>
          <w:rFonts w:ascii="Times New Roman" w:eastAsia="Times New Roman" w:hAnsi="Times New Roman" w:cs="Times New Roman"/>
          <w:b/>
          <w:color w:val="0D0D0D" w:themeColor="text1" w:themeTint="F2"/>
          <w:sz w:val="28"/>
          <w:szCs w:val="28"/>
          <w:lang w:eastAsia="bg-BG"/>
        </w:rPr>
        <w:t xml:space="preserve">стесни рамката на съдържанието на обвинителния акт и да очертае изрично какво трябва да обхваща </w:t>
      </w:r>
      <w:proofErr w:type="spellStart"/>
      <w:r w:rsidRPr="00FD507C">
        <w:rPr>
          <w:rFonts w:ascii="Times New Roman" w:eastAsia="Times New Roman" w:hAnsi="Times New Roman" w:cs="Times New Roman"/>
          <w:b/>
          <w:color w:val="0D0D0D" w:themeColor="text1" w:themeTint="F2"/>
          <w:sz w:val="28"/>
          <w:szCs w:val="28"/>
          <w:lang w:eastAsia="bg-BG"/>
        </w:rPr>
        <w:t>диспозитива</w:t>
      </w:r>
      <w:proofErr w:type="spellEnd"/>
      <w:r w:rsidRPr="00FD507C">
        <w:rPr>
          <w:rFonts w:ascii="Times New Roman" w:eastAsia="Times New Roman" w:hAnsi="Times New Roman" w:cs="Times New Roman"/>
          <w:b/>
          <w:color w:val="0D0D0D" w:themeColor="text1" w:themeTint="F2"/>
          <w:sz w:val="28"/>
          <w:szCs w:val="28"/>
          <w:lang w:eastAsia="bg-BG"/>
        </w:rPr>
        <w:t xml:space="preserve"> на обвинителния акт по почина на редица европейски държави</w:t>
      </w:r>
      <w:r w:rsidRPr="00FD507C">
        <w:rPr>
          <w:rFonts w:ascii="Times New Roman" w:eastAsia="Times New Roman" w:hAnsi="Times New Roman" w:cs="Times New Roman"/>
          <w:color w:val="0D0D0D" w:themeColor="text1" w:themeTint="F2"/>
          <w:sz w:val="28"/>
          <w:szCs w:val="28"/>
          <w:lang w:eastAsia="bg-BG"/>
        </w:rPr>
        <w:t xml:space="preserve">. </w:t>
      </w:r>
    </w:p>
    <w:p w:rsidR="00FD507C" w:rsidRPr="00FD507C" w:rsidRDefault="00FD507C" w:rsidP="00F63914">
      <w:pPr>
        <w:spacing w:after="0" w:line="240" w:lineRule="auto"/>
        <w:ind w:firstLine="426"/>
        <w:jc w:val="both"/>
        <w:rPr>
          <w:rFonts w:ascii="Times New Roman" w:eastAsia="Times New Roman" w:hAnsi="Times New Roman" w:cs="Times New Roman"/>
          <w:sz w:val="28"/>
          <w:szCs w:val="28"/>
          <w:lang w:eastAsia="bg-BG"/>
        </w:rPr>
      </w:pPr>
      <w:r w:rsidRPr="00FD507C">
        <w:rPr>
          <w:rFonts w:ascii="Times New Roman" w:eastAsia="Times New Roman" w:hAnsi="Times New Roman" w:cs="Times New Roman"/>
          <w:sz w:val="28"/>
          <w:szCs w:val="28"/>
          <w:lang w:eastAsia="bg-BG"/>
        </w:rPr>
        <w:t xml:space="preserve">Отчита се </w:t>
      </w:r>
      <w:r w:rsidRPr="00FD507C">
        <w:rPr>
          <w:rFonts w:ascii="Times New Roman" w:eastAsia="Times New Roman" w:hAnsi="Times New Roman" w:cs="Times New Roman"/>
          <w:b/>
          <w:sz w:val="28"/>
          <w:szCs w:val="28"/>
          <w:lang w:eastAsia="bg-BG"/>
        </w:rPr>
        <w:t>необходимост от ангажиране на целия спектър от контролни органи в противопоставяне на правонарушенията и разкриване на престъпленията</w:t>
      </w:r>
      <w:r w:rsidRPr="00FD507C">
        <w:rPr>
          <w:rFonts w:ascii="Times New Roman" w:eastAsia="Times New Roman" w:hAnsi="Times New Roman" w:cs="Times New Roman"/>
          <w:sz w:val="28"/>
          <w:szCs w:val="28"/>
          <w:lang w:eastAsia="bg-BG"/>
        </w:rPr>
        <w:t xml:space="preserve">, доколкото за поредна година, въпреки отчетената по-голяма активност, част от тях отново остават дистанцирани при сигнализирането ни за извършени престъпления. </w:t>
      </w:r>
    </w:p>
    <w:p w:rsidR="00FD507C" w:rsidRPr="00FD507C" w:rsidRDefault="00FD507C" w:rsidP="00F63914">
      <w:pPr>
        <w:spacing w:after="0" w:line="240" w:lineRule="auto"/>
        <w:ind w:firstLine="426"/>
        <w:jc w:val="both"/>
      </w:pPr>
      <w:r w:rsidRPr="00FD507C">
        <w:rPr>
          <w:rFonts w:ascii="Times New Roman" w:eastAsia="Times New Roman" w:hAnsi="Times New Roman" w:cs="Times New Roman"/>
          <w:sz w:val="28"/>
          <w:szCs w:val="28"/>
          <w:lang w:eastAsia="bg-BG"/>
        </w:rPr>
        <w:t xml:space="preserve">И последния, но не по важност въпрос, който зависи единствено от нас  е необходимостта от </w:t>
      </w:r>
      <w:r w:rsidRPr="00FD507C">
        <w:rPr>
          <w:rFonts w:ascii="Times New Roman" w:eastAsia="Times New Roman" w:hAnsi="Times New Roman" w:cs="Times New Roman"/>
          <w:b/>
          <w:sz w:val="28"/>
          <w:szCs w:val="28"/>
          <w:lang w:eastAsia="bg-BG"/>
        </w:rPr>
        <w:t xml:space="preserve">подобряване на инициативността и работата след </w:t>
      </w:r>
      <w:proofErr w:type="spellStart"/>
      <w:r w:rsidRPr="00FD507C">
        <w:rPr>
          <w:rFonts w:ascii="Times New Roman" w:eastAsia="Times New Roman" w:hAnsi="Times New Roman" w:cs="Times New Roman"/>
          <w:b/>
          <w:sz w:val="28"/>
          <w:szCs w:val="28"/>
          <w:lang w:eastAsia="bg-BG"/>
        </w:rPr>
        <w:t>самосезиране</w:t>
      </w:r>
      <w:proofErr w:type="spellEnd"/>
      <w:r w:rsidRPr="00FD507C">
        <w:rPr>
          <w:rFonts w:ascii="Times New Roman" w:eastAsia="Times New Roman" w:hAnsi="Times New Roman" w:cs="Times New Roman"/>
          <w:b/>
          <w:sz w:val="28"/>
          <w:szCs w:val="28"/>
          <w:lang w:eastAsia="bg-BG"/>
        </w:rPr>
        <w:t xml:space="preserve"> от страна на прокурорите от ОП и РП-Варна</w:t>
      </w:r>
      <w:r w:rsidRPr="00FD507C">
        <w:rPr>
          <w:rFonts w:ascii="Times New Roman" w:eastAsia="Times New Roman" w:hAnsi="Times New Roman" w:cs="Times New Roman"/>
          <w:sz w:val="28"/>
          <w:szCs w:val="28"/>
          <w:lang w:eastAsia="bg-BG"/>
        </w:rPr>
        <w:t>. Това би  довело до значителни ползи както за обществото, което би получило адекватна защита на правата и интересите си, така и  за самата прокуратура.</w:t>
      </w:r>
      <w:r w:rsidRPr="00FD507C">
        <w:t xml:space="preserve"> </w:t>
      </w:r>
    </w:p>
    <w:p w:rsidR="00FD507C" w:rsidRDefault="00FD507C" w:rsidP="00F63914"/>
    <w:p w:rsidR="00FD507C" w:rsidRPr="00D834C5" w:rsidRDefault="00FD507C" w:rsidP="00F63914">
      <w:pPr>
        <w:keepNext/>
        <w:keepLines/>
        <w:spacing w:after="0" w:line="240" w:lineRule="auto"/>
        <w:ind w:firstLine="567"/>
        <w:jc w:val="both"/>
        <w:outlineLvl w:val="1"/>
        <w:rPr>
          <w:rFonts w:ascii="Times New Roman" w:eastAsiaTheme="majorEastAsia" w:hAnsi="Times New Roman" w:cs="Times New Roman"/>
          <w:b/>
          <w:bCs/>
          <w:smallCaps/>
          <w:color w:val="0070C0"/>
          <w:sz w:val="28"/>
          <w:szCs w:val="28"/>
          <w:lang w:eastAsia="bg-BG"/>
        </w:rPr>
      </w:pPr>
      <w:r w:rsidRPr="00D834C5">
        <w:rPr>
          <w:rFonts w:ascii="Times New Roman" w:eastAsiaTheme="majorEastAsia" w:hAnsi="Times New Roman" w:cs="Times New Roman"/>
          <w:b/>
          <w:bCs/>
          <w:smallCaps/>
          <w:color w:val="0070C0"/>
          <w:sz w:val="28"/>
          <w:szCs w:val="28"/>
          <w:lang w:eastAsia="bg-BG"/>
        </w:rPr>
        <w:t>ІІ. СЪДЕБНА ФАЗА.</w:t>
      </w:r>
    </w:p>
    <w:p w:rsidR="00FD507C" w:rsidRPr="00D834C5" w:rsidRDefault="00FD507C" w:rsidP="00F63914">
      <w:pPr>
        <w:keepNext/>
        <w:keepLines/>
        <w:spacing w:after="0" w:line="240" w:lineRule="auto"/>
        <w:ind w:left="567"/>
        <w:contextualSpacing/>
        <w:outlineLvl w:val="2"/>
        <w:rPr>
          <w:rFonts w:ascii="Times New Roman" w:eastAsiaTheme="majorEastAsia" w:hAnsi="Times New Roman" w:cs="Times New Roman"/>
          <w:b/>
          <w:bCs/>
          <w:color w:val="0070C0"/>
          <w:sz w:val="28"/>
          <w:szCs w:val="28"/>
          <w:lang w:eastAsia="bg-BG"/>
        </w:rPr>
      </w:pPr>
      <w:r w:rsidRPr="00D834C5">
        <w:rPr>
          <w:rFonts w:ascii="Times New Roman" w:eastAsiaTheme="majorEastAsia" w:hAnsi="Times New Roman" w:cs="Times New Roman"/>
          <w:b/>
          <w:bCs/>
          <w:color w:val="0070C0"/>
          <w:sz w:val="28"/>
          <w:szCs w:val="28"/>
          <w:lang w:eastAsia="bg-BG"/>
        </w:rPr>
        <w:t>НАКАЗАТЕЛНО-СЪДЕБЕН НАДЗОР</w:t>
      </w:r>
    </w:p>
    <w:p w:rsidR="00FD507C" w:rsidRPr="00D834C5" w:rsidRDefault="00FD507C" w:rsidP="00F63914">
      <w:pPr>
        <w:spacing w:after="0" w:line="240" w:lineRule="auto"/>
        <w:ind w:left="720" w:firstLine="567"/>
        <w:contextualSpacing/>
        <w:rPr>
          <w:rFonts w:ascii="Times New Roman" w:eastAsia="Times New Roman" w:hAnsi="Times New Roman" w:cs="Times New Roman"/>
          <w:sz w:val="24"/>
          <w:szCs w:val="24"/>
          <w:lang w:eastAsia="bg-BG"/>
        </w:rPr>
      </w:pPr>
    </w:p>
    <w:p w:rsidR="00FD507C" w:rsidRPr="00D834C5" w:rsidRDefault="00FD507C" w:rsidP="00C22CE6">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bCs/>
          <w:color w:val="FF0000"/>
          <w:sz w:val="28"/>
          <w:szCs w:val="28"/>
          <w:lang w:eastAsia="bg-BG"/>
        </w:rPr>
        <w:t xml:space="preserve">  </w:t>
      </w:r>
      <w:r w:rsidRPr="00D834C5">
        <w:rPr>
          <w:rFonts w:ascii="Times New Roman" w:eastAsia="Calibri" w:hAnsi="Times New Roman" w:cs="Times New Roman"/>
          <w:b/>
          <w:noProof/>
          <w:sz w:val="28"/>
          <w:szCs w:val="28"/>
          <w:u w:val="single"/>
          <w:lang w:eastAsia="bg-BG"/>
        </w:rPr>
        <w:t>Видове решения на съда по внесените прокурорски актове. Относителен дял на осъдителните и санкционни решения.</w:t>
      </w:r>
      <w:r w:rsidRPr="00D834C5">
        <w:rPr>
          <w:rFonts w:ascii="Times New Roman" w:eastAsia="Calibri" w:hAnsi="Times New Roman" w:cs="Times New Roman"/>
          <w:sz w:val="28"/>
          <w:szCs w:val="28"/>
          <w:lang w:eastAsia="bg-BG"/>
        </w:rPr>
        <w:t xml:space="preserve"> </w:t>
      </w:r>
    </w:p>
    <w:p w:rsidR="00FD507C" w:rsidRPr="00D834C5" w:rsidRDefault="00FD507C" w:rsidP="00F63914">
      <w:pPr>
        <w:spacing w:after="0" w:line="240" w:lineRule="auto"/>
        <w:ind w:firstLine="567"/>
        <w:contextualSpacing/>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През отчетния период 2021 г. </w:t>
      </w:r>
      <w:r w:rsidRPr="00D834C5">
        <w:rPr>
          <w:rFonts w:ascii="Times New Roman" w:eastAsia="Calibri" w:hAnsi="Times New Roman" w:cs="Times New Roman"/>
          <w:b/>
          <w:sz w:val="28"/>
          <w:szCs w:val="28"/>
          <w:u w:val="single"/>
          <w:lang w:eastAsia="bg-BG"/>
        </w:rPr>
        <w:t>прокурорите от района на ОП – Варна</w:t>
      </w:r>
      <w:r w:rsidRPr="00D834C5">
        <w:rPr>
          <w:rFonts w:ascii="Times New Roman" w:eastAsia="Calibri" w:hAnsi="Times New Roman" w:cs="Times New Roman"/>
          <w:sz w:val="28"/>
          <w:szCs w:val="28"/>
          <w:lang w:eastAsia="bg-BG"/>
        </w:rPr>
        <w:t xml:space="preserve"> са внесли в съда общо </w:t>
      </w:r>
      <w:r w:rsidRPr="00D834C5">
        <w:rPr>
          <w:rFonts w:ascii="Times New Roman" w:eastAsia="Calibri" w:hAnsi="Times New Roman" w:cs="Times New Roman"/>
          <w:b/>
          <w:sz w:val="28"/>
          <w:szCs w:val="28"/>
          <w:lang w:eastAsia="bg-BG"/>
        </w:rPr>
        <w:t>1680</w:t>
      </w:r>
      <w:r w:rsidRPr="00D834C5">
        <w:rPr>
          <w:rFonts w:ascii="Times New Roman" w:eastAsia="Calibri" w:hAnsi="Times New Roman" w:cs="Times New Roman"/>
          <w:sz w:val="28"/>
          <w:szCs w:val="28"/>
          <w:lang w:eastAsia="bg-BG"/>
        </w:rPr>
        <w:t xml:space="preserve"> акта, от които: 1081 обвинителни акта, 386 споразумения и 213 предложения за освобождаване от наказателна отговорност с налагане на административно наказание.</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Налице е ръст на внесените в съда прокурорски актове спрямо 2020 г. – с 1.3 % и увеличение спрямо 2019 г. – с 13.5 %.</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През 2021 г. общият брой внесени в съда актове </w:t>
      </w:r>
      <w:r w:rsidRPr="00D834C5">
        <w:rPr>
          <w:rFonts w:ascii="Times New Roman" w:eastAsia="Calibri" w:hAnsi="Times New Roman" w:cs="Times New Roman"/>
          <w:b/>
          <w:sz w:val="28"/>
          <w:szCs w:val="28"/>
          <w:u w:val="single"/>
          <w:lang w:eastAsia="bg-BG"/>
        </w:rPr>
        <w:t>от ОП – Варна</w:t>
      </w:r>
      <w:r w:rsidRPr="00D834C5">
        <w:rPr>
          <w:rFonts w:ascii="Times New Roman" w:eastAsia="Calibri" w:hAnsi="Times New Roman" w:cs="Times New Roman"/>
          <w:sz w:val="28"/>
          <w:szCs w:val="28"/>
          <w:lang w:eastAsia="bg-BG"/>
        </w:rPr>
        <w:t xml:space="preserve"> е 151 броя</w:t>
      </w:r>
      <w:r w:rsidR="00CD1ADF">
        <w:rPr>
          <w:rFonts w:ascii="Times New Roman" w:eastAsia="Calibri" w:hAnsi="Times New Roman" w:cs="Times New Roman"/>
          <w:sz w:val="28"/>
          <w:szCs w:val="28"/>
          <w:lang w:eastAsia="bg-BG"/>
        </w:rPr>
        <w:t xml:space="preserve">, през 2020 </w:t>
      </w:r>
      <w:proofErr w:type="spellStart"/>
      <w:r w:rsidR="00CD1ADF">
        <w:rPr>
          <w:rFonts w:ascii="Times New Roman" w:eastAsia="Calibri" w:hAnsi="Times New Roman" w:cs="Times New Roman"/>
          <w:sz w:val="28"/>
          <w:szCs w:val="28"/>
          <w:lang w:eastAsia="bg-BG"/>
        </w:rPr>
        <w:t>год</w:t>
      </w:r>
      <w:proofErr w:type="spellEnd"/>
      <w:r w:rsidR="00CD1ADF">
        <w:rPr>
          <w:rFonts w:ascii="Times New Roman" w:eastAsia="Calibri" w:hAnsi="Times New Roman" w:cs="Times New Roman"/>
          <w:sz w:val="28"/>
          <w:szCs w:val="28"/>
          <w:lang w:eastAsia="bg-BG"/>
        </w:rPr>
        <w:t>-</w:t>
      </w:r>
      <w:r w:rsidRPr="00D834C5">
        <w:rPr>
          <w:rFonts w:ascii="Times New Roman" w:eastAsia="Calibri" w:hAnsi="Times New Roman" w:cs="Times New Roman"/>
          <w:sz w:val="28"/>
          <w:szCs w:val="28"/>
          <w:lang w:eastAsia="bg-BG"/>
        </w:rPr>
        <w:t xml:space="preserve"> 150 броя, а за 2019 г. -  138 прокурорски актове.</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Прокурорите от РП – Варна са внесли през 2021 г. в съда общо 1529 броя прокурорски актове, като през 2020 г. този брой е бил 1509, а през 2019 г. – 1342.</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Налице е увеличение на внесените от прокурорите от региона в съда актове спрямо 2020 г. – с 1.3 % и увеличение спрямо 2019 г. – с 13.5 %.</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През 2021 г. се отчита макар и минимално  увеличение на внесените от прокурорите от ОП – Варна актове. Увеличението е с 0.7 % спрямо 2020 г. и с 9.4 % спрямо 2019 г.</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Отчита се и увеличение през 2021 г. на внесените от прокурорите от РП – Варна прокурорски актове, като то е с 1.3 % спрямо 2020 г. и с 13.9 % спрямо 2019 г.</w:t>
      </w:r>
    </w:p>
    <w:p w:rsidR="00FD507C" w:rsidRPr="00D834C5" w:rsidRDefault="00FD507C" w:rsidP="00F63914">
      <w:pPr>
        <w:spacing w:after="0" w:line="240" w:lineRule="auto"/>
        <w:ind w:firstLine="567"/>
        <w:jc w:val="both"/>
        <w:rPr>
          <w:rFonts w:ascii="Times New Roman" w:eastAsia="Calibri"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Общ брой внесени в съда прокурорски актове:</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p>
    <w:tbl>
      <w:tblPr>
        <w:tblStyle w:val="a5"/>
        <w:tblW w:w="9464" w:type="dxa"/>
        <w:tblLook w:val="04A0" w:firstRow="1" w:lastRow="0" w:firstColumn="1" w:lastColumn="0" w:noHBand="0" w:noVBand="1"/>
      </w:tblPr>
      <w:tblGrid>
        <w:gridCol w:w="4219"/>
        <w:gridCol w:w="1701"/>
        <w:gridCol w:w="1701"/>
        <w:gridCol w:w="1843"/>
      </w:tblGrid>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Прокуратура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2021 г.</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2020 г.</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2019 г.</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ОП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151</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150</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138</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РП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1529</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1509</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1342</w:t>
            </w:r>
          </w:p>
        </w:tc>
      </w:tr>
      <w:tr w:rsidR="00FD507C" w:rsidRPr="00D834C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 xml:space="preserve">Общо за региона на ОП </w:t>
            </w:r>
            <w:r w:rsidRPr="00835D05">
              <w:rPr>
                <w:rFonts w:ascii="Times New Roman" w:eastAsia="Calibri" w:hAnsi="Times New Roman" w:cs="Times New Roman"/>
                <w:b/>
                <w:sz w:val="28"/>
                <w:szCs w:val="28"/>
                <w:highlight w:val="yellow"/>
                <w:lang w:eastAsia="bg-BG"/>
              </w:rPr>
              <w:lastRenderedPageBreak/>
              <w:t>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lastRenderedPageBreak/>
              <w:t>1680</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1659</w:t>
            </w:r>
          </w:p>
        </w:tc>
        <w:tc>
          <w:tcPr>
            <w:tcW w:w="1843" w:type="dxa"/>
          </w:tcPr>
          <w:p w:rsidR="00FD507C" w:rsidRPr="00D834C5" w:rsidRDefault="00FD507C" w:rsidP="00F63914">
            <w:pPr>
              <w:ind w:firstLine="567"/>
              <w:jc w:val="center"/>
              <w:rPr>
                <w:rFonts w:ascii="Times New Roman" w:eastAsia="Calibri" w:hAnsi="Times New Roman" w:cs="Times New Roman"/>
                <w:b/>
                <w:sz w:val="28"/>
                <w:szCs w:val="28"/>
                <w:lang w:eastAsia="bg-BG"/>
              </w:rPr>
            </w:pPr>
            <w:r w:rsidRPr="00835D05">
              <w:rPr>
                <w:rFonts w:ascii="Times New Roman" w:eastAsia="Calibri" w:hAnsi="Times New Roman" w:cs="Times New Roman"/>
                <w:b/>
                <w:sz w:val="28"/>
                <w:szCs w:val="28"/>
                <w:highlight w:val="yellow"/>
                <w:lang w:eastAsia="bg-BG"/>
              </w:rPr>
              <w:t>1480</w:t>
            </w:r>
          </w:p>
        </w:tc>
      </w:tr>
    </w:tbl>
    <w:p w:rsidR="00FD507C" w:rsidRPr="00D834C5" w:rsidRDefault="00FD507C" w:rsidP="00F63914">
      <w:pPr>
        <w:spacing w:after="0" w:line="240" w:lineRule="auto"/>
        <w:ind w:firstLine="567"/>
        <w:jc w:val="both"/>
        <w:rPr>
          <w:rFonts w:ascii="Times New Roman" w:eastAsia="Calibri" w:hAnsi="Times New Roman" w:cs="Times New Roman"/>
          <w:b/>
          <w:sz w:val="28"/>
          <w:szCs w:val="28"/>
          <w:lang w:val="en-US" w:eastAsia="bg-BG"/>
        </w:rPr>
      </w:pPr>
    </w:p>
    <w:p w:rsidR="00FD507C" w:rsidRPr="00D834C5" w:rsidRDefault="00FD507C" w:rsidP="00F63914">
      <w:pPr>
        <w:spacing w:after="0" w:line="240" w:lineRule="auto"/>
        <w:ind w:firstLine="567"/>
        <w:jc w:val="center"/>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Общ брой внесени в съда прокурорски актове:</w:t>
      </w:r>
    </w:p>
    <w:p w:rsidR="00FD507C" w:rsidRPr="00D834C5" w:rsidRDefault="00FD507C" w:rsidP="00F63914">
      <w:pPr>
        <w:spacing w:after="0" w:line="240" w:lineRule="auto"/>
        <w:ind w:firstLine="567"/>
        <w:jc w:val="both"/>
        <w:rPr>
          <w:rFonts w:ascii="Times New Roman" w:eastAsia="Calibri" w:hAnsi="Times New Roman" w:cs="Times New Roman"/>
          <w:color w:val="FF0000"/>
          <w:sz w:val="28"/>
          <w:szCs w:val="28"/>
          <w:lang w:eastAsia="bg-BG"/>
        </w:rPr>
      </w:pPr>
      <w:r w:rsidRPr="00D834C5">
        <w:rPr>
          <w:rFonts w:ascii="Times New Roman" w:eastAsia="Calibri" w:hAnsi="Times New Roman" w:cs="Times New Roman"/>
          <w:noProof/>
          <w:color w:val="FF0000"/>
          <w:sz w:val="28"/>
          <w:szCs w:val="28"/>
          <w:lang w:eastAsia="bg-BG"/>
        </w:rPr>
        <w:drawing>
          <wp:inline distT="0" distB="0" distL="0" distR="0" wp14:anchorId="5157F912" wp14:editId="36FB0161">
            <wp:extent cx="5486400" cy="3200400"/>
            <wp:effectExtent l="0" t="0" r="19050" b="19050"/>
            <wp:docPr id="23" name="Диагра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507C" w:rsidRPr="00D834C5" w:rsidRDefault="00FD507C" w:rsidP="00F63914">
      <w:pPr>
        <w:spacing w:after="0" w:line="240" w:lineRule="auto"/>
        <w:ind w:firstLine="567"/>
        <w:jc w:val="both"/>
        <w:rPr>
          <w:rFonts w:ascii="Times New Roman" w:eastAsia="Calibri" w:hAnsi="Times New Roman" w:cs="Times New Roman"/>
          <w:color w:val="FF0000"/>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Разграничени по видове, изготвените прокурорски актове в съдебния район се разпределят така:</w:t>
      </w:r>
    </w:p>
    <w:p w:rsidR="00FD507C" w:rsidRPr="00D834C5" w:rsidRDefault="00FD507C" w:rsidP="00F63914">
      <w:pPr>
        <w:spacing w:after="0" w:line="240" w:lineRule="auto"/>
        <w:ind w:firstLine="567"/>
        <w:contextualSpacing/>
        <w:jc w:val="both"/>
        <w:rPr>
          <w:rFonts w:ascii="Times New Roman" w:eastAsia="Calibri" w:hAnsi="Times New Roman" w:cs="Times New Roman"/>
          <w:sz w:val="28"/>
          <w:szCs w:val="28"/>
          <w:lang w:eastAsia="bg-BG"/>
        </w:rPr>
      </w:pPr>
      <w:r w:rsidRPr="00D834C5">
        <w:rPr>
          <w:rFonts w:ascii="Times New Roman" w:eastAsia="Calibri" w:hAnsi="Times New Roman" w:cs="Times New Roman"/>
          <w:b/>
          <w:sz w:val="28"/>
          <w:szCs w:val="28"/>
          <w:lang w:eastAsia="bg-BG"/>
        </w:rPr>
        <w:t>1.</w:t>
      </w:r>
      <w:proofErr w:type="spellStart"/>
      <w:r w:rsidRPr="00D834C5">
        <w:rPr>
          <w:rFonts w:ascii="Times New Roman" w:eastAsia="Calibri" w:hAnsi="Times New Roman" w:cs="Times New Roman"/>
          <w:b/>
          <w:sz w:val="28"/>
          <w:szCs w:val="28"/>
          <w:lang w:eastAsia="bg-BG"/>
        </w:rPr>
        <w:t>1</w:t>
      </w:r>
      <w:proofErr w:type="spellEnd"/>
      <w:r w:rsidRPr="00D834C5">
        <w:rPr>
          <w:rFonts w:ascii="Times New Roman" w:eastAsia="Calibri" w:hAnsi="Times New Roman" w:cs="Times New Roman"/>
          <w:b/>
          <w:sz w:val="28"/>
          <w:szCs w:val="28"/>
          <w:lang w:eastAsia="bg-BG"/>
        </w:rPr>
        <w:t>.1.Изготвени обвинителни актове</w:t>
      </w:r>
      <w:r w:rsidRPr="00D834C5">
        <w:rPr>
          <w:rFonts w:ascii="Times New Roman" w:eastAsia="Calibri" w:hAnsi="Times New Roman" w:cs="Times New Roman"/>
          <w:sz w:val="28"/>
          <w:szCs w:val="28"/>
          <w:lang w:eastAsia="bg-BG"/>
        </w:rPr>
        <w:t xml:space="preserve"> </w:t>
      </w:r>
    </w:p>
    <w:p w:rsidR="00FD507C" w:rsidRPr="00D834C5" w:rsidRDefault="00FD507C" w:rsidP="00F63914">
      <w:pPr>
        <w:spacing w:after="0" w:line="240" w:lineRule="auto"/>
        <w:ind w:firstLine="567"/>
        <w:contextualSpacing/>
        <w:jc w:val="both"/>
        <w:rPr>
          <w:rFonts w:ascii="Times New Roman" w:eastAsia="Calibri" w:hAnsi="Times New Roman" w:cs="Times New Roman"/>
          <w:sz w:val="28"/>
          <w:szCs w:val="28"/>
          <w:lang w:eastAsia="bg-BG"/>
        </w:rPr>
      </w:pPr>
    </w:p>
    <w:tbl>
      <w:tblPr>
        <w:tblStyle w:val="a5"/>
        <w:tblW w:w="9464" w:type="dxa"/>
        <w:tblLook w:val="04A0" w:firstRow="1" w:lastRow="0" w:firstColumn="1" w:lastColumn="0" w:noHBand="0" w:noVBand="1"/>
      </w:tblPr>
      <w:tblGrid>
        <w:gridCol w:w="4219"/>
        <w:gridCol w:w="1701"/>
        <w:gridCol w:w="1701"/>
        <w:gridCol w:w="1843"/>
      </w:tblGrid>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Прокуратура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2021 г.</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2020 г.</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2019 г.</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ОП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101</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103</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89</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РП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980</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975</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827</w:t>
            </w:r>
          </w:p>
        </w:tc>
      </w:tr>
      <w:tr w:rsidR="00FD507C" w:rsidRPr="00D834C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Общо за региона на ОП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1081</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1078</w:t>
            </w:r>
          </w:p>
        </w:tc>
        <w:tc>
          <w:tcPr>
            <w:tcW w:w="1843" w:type="dxa"/>
          </w:tcPr>
          <w:p w:rsidR="00FD507C" w:rsidRPr="00D834C5" w:rsidRDefault="00FD507C" w:rsidP="00F63914">
            <w:pPr>
              <w:ind w:firstLine="567"/>
              <w:jc w:val="center"/>
              <w:rPr>
                <w:rFonts w:ascii="Times New Roman" w:eastAsia="Calibri" w:hAnsi="Times New Roman" w:cs="Times New Roman"/>
                <w:b/>
                <w:sz w:val="28"/>
                <w:szCs w:val="28"/>
                <w:lang w:eastAsia="bg-BG"/>
              </w:rPr>
            </w:pPr>
            <w:r w:rsidRPr="00835D05">
              <w:rPr>
                <w:rFonts w:ascii="Times New Roman" w:eastAsia="Calibri" w:hAnsi="Times New Roman" w:cs="Times New Roman"/>
                <w:b/>
                <w:sz w:val="28"/>
                <w:szCs w:val="28"/>
                <w:highlight w:val="yellow"/>
                <w:lang w:eastAsia="bg-BG"/>
              </w:rPr>
              <w:t>916</w:t>
            </w:r>
          </w:p>
        </w:tc>
      </w:tr>
    </w:tbl>
    <w:p w:rsidR="00FD507C" w:rsidRPr="00D834C5" w:rsidRDefault="00FD507C" w:rsidP="00F63914">
      <w:pPr>
        <w:spacing w:after="0" w:line="240" w:lineRule="auto"/>
        <w:ind w:firstLine="567"/>
        <w:contextualSpacing/>
        <w:jc w:val="both"/>
        <w:rPr>
          <w:rFonts w:ascii="Times New Roman" w:eastAsia="Calibri" w:hAnsi="Times New Roman" w:cs="Times New Roman"/>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През отчетния период 2021 г. общо за района на ОП – Варна е налице увеличение на внесените обвинителни актове, като то е с 0.3 % спрямо 2020 г. /с 3 броя/ и с 18 % спрямо 2019 г.</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ОП – Варна бележи  незначително намаление на внесените в съда обвинителни актове спрямо 2020 г. /с 2 броя/ и значително увеличение на внесените в съда обвинителни актове спрямо 2019 г. – увеличение с 13.5 %.</w:t>
      </w:r>
    </w:p>
    <w:p w:rsidR="00FD507C" w:rsidRPr="00D834C5" w:rsidRDefault="00FD507C" w:rsidP="00F63914">
      <w:pPr>
        <w:spacing w:after="0" w:line="240" w:lineRule="auto"/>
        <w:ind w:firstLine="567"/>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Увеличение през отчетния период бележат и внесените в съда обвинителни актове за прокурорите от РП – Варна, като то е с 0.5 % /с 5 броя/ спрямо 2020 г. и с 18.5 % спрямо 2019 г.</w:t>
      </w:r>
    </w:p>
    <w:p w:rsidR="00FD507C" w:rsidRPr="00D834C5" w:rsidRDefault="00FD507C" w:rsidP="00F63914">
      <w:pPr>
        <w:spacing w:after="0" w:line="240" w:lineRule="auto"/>
        <w:ind w:firstLine="567"/>
        <w:jc w:val="both"/>
        <w:rPr>
          <w:rFonts w:ascii="Times New Roman" w:eastAsia="Calibri" w:hAnsi="Times New Roman" w:cs="Times New Roman"/>
          <w:b/>
          <w:color w:val="FF0000"/>
          <w:sz w:val="28"/>
          <w:szCs w:val="28"/>
          <w:lang w:eastAsia="bg-BG"/>
        </w:rPr>
      </w:pPr>
    </w:p>
    <w:p w:rsidR="00FD507C" w:rsidRPr="00D834C5" w:rsidRDefault="00FD507C" w:rsidP="00F63914">
      <w:pPr>
        <w:spacing w:after="0" w:line="240" w:lineRule="auto"/>
        <w:ind w:firstLine="567"/>
        <w:jc w:val="center"/>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Внесени обвинителни актове:</w:t>
      </w:r>
    </w:p>
    <w:p w:rsidR="00FD507C" w:rsidRPr="00D834C5" w:rsidRDefault="00FD507C" w:rsidP="00F63914">
      <w:pPr>
        <w:spacing w:after="0" w:line="240" w:lineRule="auto"/>
        <w:ind w:firstLine="567"/>
        <w:jc w:val="both"/>
        <w:rPr>
          <w:rFonts w:ascii="Times New Roman" w:eastAsia="Calibri"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b/>
          <w:color w:val="FF0000"/>
          <w:sz w:val="28"/>
          <w:szCs w:val="28"/>
          <w:lang w:eastAsia="bg-BG"/>
        </w:rPr>
      </w:pPr>
      <w:r w:rsidRPr="00D834C5">
        <w:rPr>
          <w:rFonts w:ascii="Times New Roman" w:eastAsia="Calibri" w:hAnsi="Times New Roman" w:cs="Times New Roman"/>
          <w:noProof/>
          <w:color w:val="FF0000"/>
          <w:sz w:val="28"/>
          <w:szCs w:val="28"/>
          <w:lang w:eastAsia="bg-BG"/>
        </w:rPr>
        <w:lastRenderedPageBreak/>
        <w:drawing>
          <wp:inline distT="0" distB="0" distL="0" distR="0" wp14:anchorId="5670B7E9" wp14:editId="3D4C3F09">
            <wp:extent cx="4844956" cy="2238233"/>
            <wp:effectExtent l="0" t="0" r="13335" b="10160"/>
            <wp:docPr id="24" name="Диагра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507C" w:rsidRPr="00D834C5" w:rsidRDefault="00FD507C" w:rsidP="00F63914">
      <w:pPr>
        <w:spacing w:after="0" w:line="240" w:lineRule="auto"/>
        <w:ind w:firstLine="567"/>
        <w:jc w:val="both"/>
        <w:rPr>
          <w:rFonts w:ascii="Times New Roman" w:eastAsia="Calibri"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През </w:t>
      </w:r>
      <w:r w:rsidR="00CD1ADF">
        <w:rPr>
          <w:rFonts w:ascii="Times New Roman" w:eastAsia="Calibri" w:hAnsi="Times New Roman" w:cs="Times New Roman"/>
          <w:sz w:val="28"/>
          <w:szCs w:val="28"/>
          <w:lang w:eastAsia="bg-BG"/>
        </w:rPr>
        <w:t>2021 год.</w:t>
      </w:r>
      <w:r w:rsidRPr="00D834C5">
        <w:rPr>
          <w:rFonts w:ascii="Times New Roman" w:eastAsia="Calibri" w:hAnsi="Times New Roman" w:cs="Times New Roman"/>
          <w:sz w:val="28"/>
          <w:szCs w:val="28"/>
          <w:lang w:eastAsia="bg-BG"/>
        </w:rPr>
        <w:t xml:space="preserve"> общият брой на решенията на съдилищата за региона на ОП – Варна по внесените обвинителни актове е 1106, както следва: 350 осъдителни присъди; 35 оправдателни присъди; 650 споразумения; 34 решения с освобождаване от наказателна отговорност с налагане на административно наказание; 4 решения за прекратяване и 33 решения за връщане на прокуратурата. </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За региона на ОП – Варна няма обвинителни актове, по които да е била констатирана ОФГ.</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p>
    <w:p w:rsidR="00FD507C" w:rsidRPr="00D834C5" w:rsidRDefault="00FD507C" w:rsidP="00F63914">
      <w:pPr>
        <w:numPr>
          <w:ilvl w:val="2"/>
          <w:numId w:val="7"/>
        </w:numPr>
        <w:spacing w:after="0" w:line="240" w:lineRule="auto"/>
        <w:contextualSpacing/>
        <w:jc w:val="both"/>
        <w:rPr>
          <w:rFonts w:ascii="Times New Roman" w:eastAsia="Calibri" w:hAnsi="Times New Roman" w:cs="Times New Roman"/>
          <w:b/>
          <w:sz w:val="28"/>
          <w:szCs w:val="28"/>
          <w:lang w:eastAsia="bg-BG"/>
        </w:rPr>
      </w:pPr>
      <w:r w:rsidRPr="00D834C5">
        <w:rPr>
          <w:rFonts w:ascii="Times New Roman" w:eastAsia="Calibri" w:hAnsi="Times New Roman" w:cs="Times New Roman"/>
          <w:b/>
          <w:sz w:val="28"/>
          <w:szCs w:val="28"/>
          <w:lang w:eastAsia="bg-BG"/>
        </w:rPr>
        <w:t>Изготвени споразумения по чл. 381 от НПК</w:t>
      </w:r>
    </w:p>
    <w:p w:rsidR="00FD507C" w:rsidRPr="00D834C5" w:rsidRDefault="00FD507C" w:rsidP="00F63914">
      <w:pPr>
        <w:spacing w:after="0" w:line="240" w:lineRule="auto"/>
        <w:ind w:left="1316" w:firstLine="567"/>
        <w:contextualSpacing/>
        <w:jc w:val="both"/>
        <w:rPr>
          <w:rFonts w:ascii="Times New Roman" w:eastAsia="Calibri" w:hAnsi="Times New Roman" w:cs="Times New Roman"/>
          <w:b/>
          <w:sz w:val="28"/>
          <w:szCs w:val="28"/>
          <w:lang w:eastAsia="bg-BG"/>
        </w:rPr>
      </w:pPr>
    </w:p>
    <w:tbl>
      <w:tblPr>
        <w:tblStyle w:val="a5"/>
        <w:tblW w:w="9464" w:type="dxa"/>
        <w:tblLook w:val="04A0" w:firstRow="1" w:lastRow="0" w:firstColumn="1" w:lastColumn="0" w:noHBand="0" w:noVBand="1"/>
      </w:tblPr>
      <w:tblGrid>
        <w:gridCol w:w="4219"/>
        <w:gridCol w:w="1701"/>
        <w:gridCol w:w="1701"/>
        <w:gridCol w:w="1843"/>
      </w:tblGrid>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Прокуратура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2021 г.</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2020 г.</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2019 г.</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ОП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48</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47</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48</w:t>
            </w:r>
          </w:p>
        </w:tc>
      </w:tr>
      <w:tr w:rsidR="00FD507C" w:rsidRPr="00835D0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РП –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338</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316</w:t>
            </w:r>
          </w:p>
        </w:tc>
        <w:tc>
          <w:tcPr>
            <w:tcW w:w="1843"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314</w:t>
            </w:r>
          </w:p>
        </w:tc>
      </w:tr>
      <w:tr w:rsidR="00FD507C" w:rsidRPr="00D834C5" w:rsidTr="009658CD">
        <w:tc>
          <w:tcPr>
            <w:tcW w:w="4219" w:type="dxa"/>
          </w:tcPr>
          <w:p w:rsidR="00FD507C" w:rsidRPr="00835D05" w:rsidRDefault="00FD507C" w:rsidP="00F63914">
            <w:pPr>
              <w:ind w:firstLine="567"/>
              <w:jc w:val="both"/>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Общо за региона на ОП Варна</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386</w:t>
            </w:r>
          </w:p>
        </w:tc>
        <w:tc>
          <w:tcPr>
            <w:tcW w:w="1701" w:type="dxa"/>
          </w:tcPr>
          <w:p w:rsidR="00FD507C" w:rsidRPr="00835D05" w:rsidRDefault="00FD507C" w:rsidP="00F63914">
            <w:pPr>
              <w:ind w:firstLine="567"/>
              <w:jc w:val="center"/>
              <w:rPr>
                <w:rFonts w:ascii="Times New Roman" w:eastAsia="Calibri" w:hAnsi="Times New Roman" w:cs="Times New Roman"/>
                <w:b/>
                <w:sz w:val="28"/>
                <w:szCs w:val="28"/>
                <w:highlight w:val="yellow"/>
                <w:lang w:eastAsia="bg-BG"/>
              </w:rPr>
            </w:pPr>
            <w:r w:rsidRPr="00835D05">
              <w:rPr>
                <w:rFonts w:ascii="Times New Roman" w:eastAsia="Calibri" w:hAnsi="Times New Roman" w:cs="Times New Roman"/>
                <w:b/>
                <w:sz w:val="28"/>
                <w:szCs w:val="28"/>
                <w:highlight w:val="yellow"/>
                <w:lang w:eastAsia="bg-BG"/>
              </w:rPr>
              <w:t>363</w:t>
            </w:r>
          </w:p>
        </w:tc>
        <w:tc>
          <w:tcPr>
            <w:tcW w:w="1843" w:type="dxa"/>
          </w:tcPr>
          <w:p w:rsidR="00FD507C" w:rsidRPr="00D834C5" w:rsidRDefault="00FD507C" w:rsidP="00F63914">
            <w:pPr>
              <w:ind w:firstLine="567"/>
              <w:jc w:val="center"/>
              <w:rPr>
                <w:rFonts w:ascii="Times New Roman" w:eastAsia="Calibri" w:hAnsi="Times New Roman" w:cs="Times New Roman"/>
                <w:b/>
                <w:sz w:val="28"/>
                <w:szCs w:val="28"/>
                <w:lang w:eastAsia="bg-BG"/>
              </w:rPr>
            </w:pPr>
            <w:r w:rsidRPr="00835D05">
              <w:rPr>
                <w:rFonts w:ascii="Times New Roman" w:eastAsia="Calibri" w:hAnsi="Times New Roman" w:cs="Times New Roman"/>
                <w:b/>
                <w:sz w:val="28"/>
                <w:szCs w:val="28"/>
                <w:highlight w:val="yellow"/>
                <w:lang w:eastAsia="bg-BG"/>
              </w:rPr>
              <w:t>362</w:t>
            </w:r>
          </w:p>
        </w:tc>
      </w:tr>
    </w:tbl>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За района на ОП – Варна е налице увеличение на внесените през 2021 г. предложения за споразумения спрямо 2020 г. с 6.3 % и увеличение спрямо 2019 г. – с 6.6 %.</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За ОП –Варна почти няма разлика в броя на внесените споразумения спрямо предходните два отчетни периода. </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За РП – Варна се отчита увеличение на внесените споразумения спрямо 2020 г. – със 7 % и спрямо 2019 г. – със 7.6 %.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 xml:space="preserve">Процентът на одобрените от съда споразумения в региона на ОП Варна запазва изключително високи стойности. Горното е показател за високо качество на работата на прокурорите от региона на ОП Варна по този показател. </w:t>
      </w: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Внесени споразумения в съда:</w:t>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r w:rsidRPr="00D834C5">
        <w:rPr>
          <w:rFonts w:ascii="Times New Roman" w:eastAsia="Calibri" w:hAnsi="Times New Roman" w:cs="Times New Roman"/>
          <w:noProof/>
          <w:color w:val="FF0000"/>
          <w:sz w:val="28"/>
          <w:szCs w:val="28"/>
          <w:lang w:eastAsia="bg-BG"/>
        </w:rPr>
        <w:lastRenderedPageBreak/>
        <w:drawing>
          <wp:inline distT="0" distB="0" distL="0" distR="0" wp14:anchorId="311B0A7F" wp14:editId="756E75E3">
            <wp:extent cx="4858603" cy="2265529"/>
            <wp:effectExtent l="0" t="0" r="18415" b="20955"/>
            <wp:docPr id="25" name="Диагра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1.</w:t>
      </w:r>
      <w:proofErr w:type="spellStart"/>
      <w:r w:rsidRPr="00D834C5">
        <w:rPr>
          <w:rFonts w:ascii="Times New Roman" w:eastAsia="Times New Roman" w:hAnsi="Times New Roman" w:cs="Times New Roman"/>
          <w:b/>
          <w:sz w:val="28"/>
          <w:szCs w:val="28"/>
          <w:lang w:eastAsia="bg-BG"/>
        </w:rPr>
        <w:t>1</w:t>
      </w:r>
      <w:proofErr w:type="spellEnd"/>
      <w:r w:rsidRPr="00D834C5">
        <w:rPr>
          <w:rFonts w:ascii="Times New Roman" w:eastAsia="Times New Roman" w:hAnsi="Times New Roman" w:cs="Times New Roman"/>
          <w:b/>
          <w:sz w:val="28"/>
          <w:szCs w:val="28"/>
          <w:lang w:eastAsia="bg-BG"/>
        </w:rPr>
        <w:t>.3.</w:t>
      </w:r>
      <w:r w:rsidRPr="00D834C5">
        <w:rPr>
          <w:rFonts w:ascii="Times New Roman" w:eastAsia="Times New Roman" w:hAnsi="Times New Roman" w:cs="Times New Roman"/>
          <w:sz w:val="28"/>
          <w:szCs w:val="28"/>
          <w:lang w:eastAsia="bg-BG"/>
        </w:rPr>
        <w:t xml:space="preserve"> </w:t>
      </w:r>
      <w:r w:rsidRPr="00D834C5">
        <w:rPr>
          <w:rFonts w:ascii="Times New Roman" w:eastAsia="Times New Roman" w:hAnsi="Times New Roman" w:cs="Times New Roman"/>
          <w:b/>
          <w:sz w:val="28"/>
          <w:szCs w:val="28"/>
          <w:lang w:eastAsia="bg-BG"/>
        </w:rPr>
        <w:t>Изготвени предложения за освобождаване от наказателна отговорност с налагане на административно наказание по реда на чл. 78 а от НК</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 г. прокурорите от региона на ОП – Варна са изготвили 213 броя предложения по реда на чл.78 а от НК.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Налице е незначително намаление /с 5 броя/ на този вид прокурорски актове  спрямо 2020 г. и увеличение с 5.4 % спрямо 2019 г.</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2021 г. относителният дял на решенията на съда, с които той е уважил предложенията по реда на чл.78 а от НК спрямо общия брой решения на съдилищата по този ред е 89,95 %. През 2020 г. този дял е бил 88.83 %, а през 2019 г. - 87.32 %.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 xml:space="preserve">Налице е </w:t>
      </w:r>
      <w:r w:rsidRPr="00D834C5">
        <w:rPr>
          <w:rFonts w:ascii="Times New Roman" w:eastAsia="Times New Roman" w:hAnsi="Times New Roman" w:cs="Times New Roman"/>
          <w:b/>
          <w:sz w:val="28"/>
          <w:szCs w:val="28"/>
          <w:u w:val="single"/>
          <w:lang w:eastAsia="bg-BG"/>
        </w:rPr>
        <w:t>тенденция</w:t>
      </w:r>
      <w:r w:rsidRPr="00D834C5">
        <w:rPr>
          <w:rFonts w:ascii="Times New Roman" w:eastAsia="Times New Roman" w:hAnsi="Times New Roman" w:cs="Times New Roman"/>
          <w:b/>
          <w:sz w:val="28"/>
          <w:szCs w:val="28"/>
          <w:lang w:eastAsia="bg-BG"/>
        </w:rPr>
        <w:t xml:space="preserve"> в периода 2019 г. – 2021 г. за увеличение на показателя относителен дял на решенията на съда, с които той е уважил предложенията по реда на чл.78 а от НК спрямо общия брой решения на съдилищата по тези прокурорски актове.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 xml:space="preserve">1.2.Протести – </w:t>
      </w:r>
      <w:proofErr w:type="spellStart"/>
      <w:r w:rsidRPr="00D834C5">
        <w:rPr>
          <w:rFonts w:ascii="Times New Roman" w:eastAsia="Times New Roman" w:hAnsi="Times New Roman" w:cs="Times New Roman"/>
          <w:b/>
          <w:sz w:val="28"/>
          <w:szCs w:val="28"/>
          <w:lang w:eastAsia="bg-BG"/>
        </w:rPr>
        <w:t>въззивни</w:t>
      </w:r>
      <w:proofErr w:type="spellEnd"/>
      <w:r w:rsidRPr="00D834C5">
        <w:rPr>
          <w:rFonts w:ascii="Times New Roman" w:eastAsia="Times New Roman" w:hAnsi="Times New Roman" w:cs="Times New Roman"/>
          <w:b/>
          <w:sz w:val="28"/>
          <w:szCs w:val="28"/>
          <w:lang w:eastAsia="bg-BG"/>
        </w:rPr>
        <w:t xml:space="preserve"> и касационни</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 г. прокурорите от региона на ОП – Варна са изготвили общо 58 броя въззивни протести. </w:t>
      </w:r>
      <w:proofErr w:type="spellStart"/>
      <w:r w:rsidRPr="00D834C5">
        <w:rPr>
          <w:rFonts w:ascii="Times New Roman" w:eastAsia="Times New Roman" w:hAnsi="Times New Roman" w:cs="Times New Roman"/>
          <w:sz w:val="28"/>
          <w:szCs w:val="28"/>
          <w:lang w:eastAsia="bg-BG"/>
        </w:rPr>
        <w:t>Въззивните</w:t>
      </w:r>
      <w:proofErr w:type="spellEnd"/>
      <w:r w:rsidRPr="00D834C5">
        <w:rPr>
          <w:rFonts w:ascii="Times New Roman" w:eastAsia="Times New Roman" w:hAnsi="Times New Roman" w:cs="Times New Roman"/>
          <w:sz w:val="28"/>
          <w:szCs w:val="28"/>
          <w:lang w:eastAsia="bg-BG"/>
        </w:rPr>
        <w:t xml:space="preserve"> протести срещу изцяло и частично оправдателни присъди и решения са 42, от които общо разгледани са 22, уважени от съда са 8. Няма подадени касационни протести от ОП – Варна.</w:t>
      </w:r>
    </w:p>
    <w:p w:rsidR="00FD507C" w:rsidRPr="00D834C5" w:rsidRDefault="00FD507C" w:rsidP="00F63914">
      <w:pPr>
        <w:numPr>
          <w:ilvl w:val="0"/>
          <w:numId w:val="7"/>
        </w:numPr>
        <w:spacing w:after="0" w:line="240" w:lineRule="auto"/>
        <w:ind w:left="0" w:firstLine="567"/>
        <w:contextualSpacing/>
        <w:jc w:val="both"/>
        <w:rPr>
          <w:rFonts w:ascii="Times New Roman" w:eastAsia="Times New Roman" w:hAnsi="Times New Roman" w:cs="Times New Roman"/>
          <w:b/>
          <w:color w:val="548DD4" w:themeColor="text2" w:themeTint="99"/>
          <w:sz w:val="28"/>
          <w:szCs w:val="28"/>
          <w:lang w:eastAsia="bg-BG"/>
        </w:rPr>
      </w:pPr>
    </w:p>
    <w:p w:rsidR="00FD507C" w:rsidRPr="00D834C5" w:rsidRDefault="00FD507C" w:rsidP="00F63914">
      <w:pPr>
        <w:spacing w:after="0" w:line="240" w:lineRule="auto"/>
        <w:ind w:left="567"/>
        <w:contextualSpacing/>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color w:val="548DD4" w:themeColor="text2" w:themeTint="99"/>
          <w:sz w:val="28"/>
          <w:szCs w:val="28"/>
          <w:lang w:eastAsia="bg-BG"/>
        </w:rPr>
        <w:t xml:space="preserve">ВЪРНАТИ ОТ СЪДА ДЕЛА И ПОСТАНОВЕНИ ОПРАВДАТЕЛНИ ПРИСЪДИ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Върнати от съда дела: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2021 г. от съдилищата в региона на ОП – Варна по внесени прокурорски актове са върнати общо 45 дела /ОП – Варна – 9 броя, РП – Варна – 36 броя/.</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последните три години този показател се запазва като цяло в ниски стойности</w:t>
      </w:r>
      <w:r w:rsidR="00CD1ADF">
        <w:rPr>
          <w:rFonts w:ascii="Times New Roman" w:eastAsia="Times New Roman" w:hAnsi="Times New Roman" w:cs="Times New Roman"/>
          <w:sz w:val="28"/>
          <w:szCs w:val="28"/>
          <w:lang w:eastAsia="bg-BG"/>
        </w:rPr>
        <w:t>, макар и незначителното увеличение на върнатите дела</w:t>
      </w:r>
      <w:r w:rsidRPr="00D834C5">
        <w:rPr>
          <w:rFonts w:ascii="Times New Roman" w:eastAsia="Times New Roman" w:hAnsi="Times New Roman" w:cs="Times New Roman"/>
          <w:sz w:val="28"/>
          <w:szCs w:val="28"/>
          <w:lang w:eastAsia="bg-BG"/>
        </w:rPr>
        <w:t>.</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отчетния период 2021 г. общият брой протести за региона на ОП – Варна срещу върнати от съда дела е 13. От тях разгледани са били 12 броя протести, а уважени – 5 броя.</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jc w:val="center"/>
        <w:rPr>
          <w:rFonts w:ascii="Times New Roman" w:eastAsia="Times New Roman" w:hAnsi="Times New Roman" w:cs="Times New Roman"/>
          <w:color w:val="FF0000"/>
          <w:sz w:val="28"/>
          <w:szCs w:val="28"/>
          <w:lang w:eastAsia="bg-BG"/>
        </w:rPr>
      </w:pPr>
      <w:r w:rsidRPr="00D834C5">
        <w:rPr>
          <w:rFonts w:ascii="Times New Roman" w:eastAsia="Times New Roman" w:hAnsi="Times New Roman" w:cs="Times New Roman"/>
          <w:b/>
          <w:sz w:val="28"/>
          <w:szCs w:val="28"/>
          <w:lang w:eastAsia="bg-BG"/>
        </w:rPr>
        <w:t>Върнати дела по внесени в съда прокурорски актове:</w:t>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r w:rsidRPr="00D834C5">
        <w:rPr>
          <w:rFonts w:ascii="Times New Roman" w:eastAsia="Calibri" w:hAnsi="Times New Roman" w:cs="Times New Roman"/>
          <w:noProof/>
          <w:sz w:val="28"/>
          <w:szCs w:val="28"/>
          <w:lang w:eastAsia="bg-BG"/>
        </w:rPr>
        <w:lastRenderedPageBreak/>
        <w:drawing>
          <wp:inline distT="0" distB="0" distL="0" distR="0" wp14:anchorId="29AD77CF" wp14:editId="7ED9FADD">
            <wp:extent cx="5022377" cy="2361062"/>
            <wp:effectExtent l="0" t="0" r="26035" b="20320"/>
            <wp:docPr id="26" name="Диагра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p>
    <w:p w:rsidR="00FD507C" w:rsidRPr="00D834C5" w:rsidRDefault="00FD507C" w:rsidP="00F63914">
      <w:pPr>
        <w:numPr>
          <w:ilvl w:val="1"/>
          <w:numId w:val="7"/>
        </w:numPr>
        <w:spacing w:after="0" w:line="240" w:lineRule="auto"/>
        <w:ind w:firstLine="567"/>
        <w:contextualSpacing/>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Върнати от съда обвинителни актове</w:t>
      </w:r>
    </w:p>
    <w:p w:rsidR="00FD507C" w:rsidRPr="00D834C5" w:rsidRDefault="00FD507C" w:rsidP="00F63914">
      <w:pPr>
        <w:spacing w:after="0" w:line="240" w:lineRule="auto"/>
        <w:ind w:left="1697" w:firstLine="567"/>
        <w:contextualSpacing/>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u w:val="single"/>
          <w:lang w:eastAsia="bg-BG"/>
        </w:rPr>
      </w:pPr>
      <w:r w:rsidRPr="00D834C5">
        <w:rPr>
          <w:rFonts w:ascii="Times New Roman" w:eastAsia="Times New Roman" w:hAnsi="Times New Roman" w:cs="Times New Roman"/>
          <w:sz w:val="28"/>
          <w:szCs w:val="28"/>
          <w:u w:val="single"/>
          <w:lang w:eastAsia="bg-BG"/>
        </w:rPr>
        <w:t>Върнати дела, внесени с обвинителни актове:</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lang w:eastAsia="bg-BG"/>
        </w:rPr>
        <w:t>През 2021 г.</w:t>
      </w:r>
      <w:r w:rsidRPr="00D834C5">
        <w:rPr>
          <w:rFonts w:ascii="Times New Roman" w:eastAsia="Times New Roman" w:hAnsi="Times New Roman" w:cs="Times New Roman"/>
          <w:sz w:val="28"/>
          <w:szCs w:val="28"/>
          <w:lang w:eastAsia="bg-BG"/>
        </w:rPr>
        <w:t xml:space="preserve"> върнатите от съда дела по внесени обвинителни актове са както следва:</w:t>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r w:rsidRPr="00D834C5">
        <w:rPr>
          <w:rFonts w:ascii="Times New Roman" w:eastAsia="Times New Roman" w:hAnsi="Times New Roman" w:cs="Times New Roman"/>
          <w:sz w:val="28"/>
          <w:szCs w:val="28"/>
          <w:lang w:eastAsia="bg-BG"/>
        </w:rPr>
        <w:t xml:space="preserve">Общо да региона на ОП – Варна – </w:t>
      </w:r>
      <w:r w:rsidRPr="00D834C5">
        <w:rPr>
          <w:rFonts w:ascii="Times New Roman" w:eastAsia="Times New Roman" w:hAnsi="Times New Roman" w:cs="Times New Roman"/>
          <w:b/>
          <w:sz w:val="28"/>
          <w:szCs w:val="28"/>
          <w:u w:val="single"/>
          <w:lang w:eastAsia="bg-BG"/>
        </w:rPr>
        <w:t>33 броя</w:t>
      </w:r>
      <w:r w:rsidRPr="00D834C5">
        <w:rPr>
          <w:rFonts w:ascii="Times New Roman" w:eastAsia="Times New Roman" w:hAnsi="Times New Roman" w:cs="Times New Roman"/>
          <w:sz w:val="28"/>
          <w:szCs w:val="28"/>
          <w:lang w:eastAsia="bg-BG"/>
        </w:rPr>
        <w:t xml:space="preserve">. ОП – Варна отчита </w:t>
      </w:r>
      <w:r w:rsidRPr="00D834C5">
        <w:rPr>
          <w:rFonts w:ascii="Times New Roman" w:eastAsia="Times New Roman" w:hAnsi="Times New Roman" w:cs="Times New Roman"/>
          <w:b/>
          <w:sz w:val="28"/>
          <w:szCs w:val="28"/>
          <w:lang w:eastAsia="bg-BG"/>
        </w:rPr>
        <w:t>9 броя</w:t>
      </w:r>
      <w:r w:rsidRPr="00D834C5">
        <w:rPr>
          <w:rFonts w:ascii="Times New Roman" w:eastAsia="Times New Roman" w:hAnsi="Times New Roman" w:cs="Times New Roman"/>
          <w:sz w:val="28"/>
          <w:szCs w:val="28"/>
          <w:lang w:eastAsia="bg-BG"/>
        </w:rPr>
        <w:t xml:space="preserve"> върнати от съда дела. Върнатите дела от РС – Варна, РС – Девня и РС – Провадия са общо </w:t>
      </w:r>
      <w:r w:rsidRPr="00D834C5">
        <w:rPr>
          <w:rFonts w:ascii="Times New Roman" w:eastAsia="Times New Roman" w:hAnsi="Times New Roman" w:cs="Times New Roman"/>
          <w:b/>
          <w:sz w:val="28"/>
          <w:szCs w:val="28"/>
          <w:lang w:eastAsia="bg-BG"/>
        </w:rPr>
        <w:t>24 броя</w:t>
      </w:r>
      <w:r w:rsidRPr="00D834C5">
        <w:rPr>
          <w:rFonts w:ascii="Times New Roman" w:eastAsia="Times New Roman" w:hAnsi="Times New Roman" w:cs="Times New Roman"/>
          <w:sz w:val="28"/>
          <w:szCs w:val="28"/>
          <w:lang w:eastAsia="bg-BG"/>
        </w:rPr>
        <w:t>.</w:t>
      </w:r>
    </w:p>
    <w:p w:rsidR="00FD507C" w:rsidRPr="00D834C5" w:rsidRDefault="00FD507C" w:rsidP="00F63914">
      <w:pPr>
        <w:spacing w:after="0" w:line="240" w:lineRule="auto"/>
        <w:ind w:firstLine="567"/>
        <w:jc w:val="both"/>
        <w:rPr>
          <w:rFonts w:ascii="Times New Roman" w:eastAsia="Times New Roman" w:hAnsi="Times New Roman" w:cs="Times New Roman"/>
          <w:b/>
          <w:sz w:val="36"/>
          <w:szCs w:val="36"/>
          <w:u w:val="single"/>
          <w:lang w:eastAsia="bg-BG"/>
        </w:rPr>
      </w:pPr>
      <w:r w:rsidRPr="00D834C5">
        <w:rPr>
          <w:rFonts w:ascii="Times New Roman" w:eastAsia="Times New Roman" w:hAnsi="Times New Roman" w:cs="Times New Roman"/>
          <w:b/>
          <w:sz w:val="36"/>
          <w:szCs w:val="36"/>
          <w:u w:val="single"/>
          <w:lang w:eastAsia="bg-BG"/>
        </w:rPr>
        <w:t>Видно от горните данни:</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u w:val="single"/>
          <w:lang w:eastAsia="bg-BG"/>
        </w:rPr>
        <w:t>През отчетния период за региона на ОП – Варна</w:t>
      </w:r>
      <w:r w:rsidRPr="00D834C5">
        <w:rPr>
          <w:rFonts w:ascii="Times New Roman" w:eastAsia="Times New Roman" w:hAnsi="Times New Roman" w:cs="Times New Roman"/>
          <w:b/>
          <w:sz w:val="28"/>
          <w:szCs w:val="28"/>
          <w:lang w:eastAsia="bg-BG"/>
        </w:rPr>
        <w:t xml:space="preserve"> общият брой върнати дела по внесени в съда обвинителни актове запазва ниски стойности, както и през 2020 г. /с 3 броя по-малко върнати дела/. Спрямо 2019 г. е налице намаление с 4 броя.</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u w:val="single"/>
          <w:lang w:eastAsia="bg-BG"/>
        </w:rPr>
        <w:t>За ОП – Варна</w:t>
      </w:r>
      <w:r w:rsidRPr="00D834C5">
        <w:rPr>
          <w:rFonts w:ascii="Times New Roman" w:eastAsia="Times New Roman" w:hAnsi="Times New Roman" w:cs="Times New Roman"/>
          <w:b/>
          <w:sz w:val="28"/>
          <w:szCs w:val="28"/>
          <w:lang w:eastAsia="bg-BG"/>
        </w:rPr>
        <w:t xml:space="preserve"> се запазват ниски стойности на върнатите от съда дела по внесени обвинителни актове през последните три отчетни периода.</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u w:val="single"/>
          <w:lang w:eastAsia="bg-BG"/>
        </w:rPr>
        <w:t>За РП – Варна</w:t>
      </w:r>
      <w:r w:rsidRPr="00D834C5">
        <w:rPr>
          <w:rFonts w:ascii="Times New Roman" w:eastAsia="Times New Roman" w:hAnsi="Times New Roman" w:cs="Times New Roman"/>
          <w:b/>
          <w:sz w:val="28"/>
          <w:szCs w:val="28"/>
          <w:lang w:eastAsia="bg-BG"/>
        </w:rPr>
        <w:t xml:space="preserve"> е налице намаление на върнатите дела по внесени обвинителни актове за 2021 г. в сравнение с 2020 г. – с 22.6 %, в сравнение с 2019 г. – с 27.3 %.</w:t>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Върнати от съда дела по внесени обвинителни актове:</w:t>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u w:val="single"/>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u w:val="single"/>
          <w:lang w:eastAsia="bg-BG"/>
        </w:rPr>
      </w:pPr>
      <w:r w:rsidRPr="00D834C5">
        <w:rPr>
          <w:rFonts w:ascii="Times New Roman" w:eastAsia="Calibri" w:hAnsi="Times New Roman" w:cs="Times New Roman"/>
          <w:noProof/>
          <w:color w:val="FF0000"/>
          <w:sz w:val="28"/>
          <w:szCs w:val="28"/>
          <w:lang w:eastAsia="bg-BG"/>
        </w:rPr>
        <w:lastRenderedPageBreak/>
        <w:drawing>
          <wp:inline distT="0" distB="0" distL="0" distR="0" wp14:anchorId="0B79F91C" wp14:editId="61564E5C">
            <wp:extent cx="5486400" cy="3200400"/>
            <wp:effectExtent l="0" t="0" r="19050" b="19050"/>
            <wp:docPr id="27" name="Диагра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u w:val="single"/>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2.</w:t>
      </w:r>
      <w:proofErr w:type="spellStart"/>
      <w:r w:rsidRPr="00D834C5">
        <w:rPr>
          <w:rFonts w:ascii="Times New Roman" w:eastAsia="Times New Roman" w:hAnsi="Times New Roman" w:cs="Times New Roman"/>
          <w:b/>
          <w:sz w:val="28"/>
          <w:szCs w:val="28"/>
          <w:lang w:eastAsia="bg-BG"/>
        </w:rPr>
        <w:t>2</w:t>
      </w:r>
      <w:proofErr w:type="spellEnd"/>
      <w:r w:rsidRPr="00D834C5">
        <w:rPr>
          <w:rFonts w:ascii="Times New Roman" w:eastAsia="Times New Roman" w:hAnsi="Times New Roman" w:cs="Times New Roman"/>
          <w:b/>
          <w:sz w:val="28"/>
          <w:szCs w:val="28"/>
          <w:lang w:eastAsia="bg-BG"/>
        </w:rPr>
        <w:t>.Неодобрени споразумения</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lang w:eastAsia="bg-BG"/>
        </w:rPr>
        <w:t>През 2021 г.</w:t>
      </w:r>
      <w:r w:rsidRPr="00D834C5">
        <w:rPr>
          <w:rFonts w:ascii="Times New Roman" w:eastAsia="Times New Roman" w:hAnsi="Times New Roman" w:cs="Times New Roman"/>
          <w:sz w:val="28"/>
          <w:szCs w:val="28"/>
          <w:lang w:eastAsia="bg-BG"/>
        </w:rPr>
        <w:t xml:space="preserve"> неодобрените от съда споразумения са както следва: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Общо да региона на ОП – Варна </w:t>
      </w:r>
      <w:r w:rsidRPr="00D834C5">
        <w:rPr>
          <w:rFonts w:ascii="Times New Roman" w:eastAsia="Times New Roman" w:hAnsi="Times New Roman" w:cs="Times New Roman"/>
          <w:b/>
          <w:sz w:val="28"/>
          <w:szCs w:val="28"/>
          <w:lang w:eastAsia="bg-BG"/>
        </w:rPr>
        <w:t>9 броя</w:t>
      </w:r>
      <w:r w:rsidRPr="00D834C5">
        <w:rPr>
          <w:rFonts w:ascii="Times New Roman" w:eastAsia="Times New Roman" w:hAnsi="Times New Roman" w:cs="Times New Roman"/>
          <w:sz w:val="28"/>
          <w:szCs w:val="28"/>
          <w:lang w:eastAsia="bg-BG"/>
        </w:rPr>
        <w:t xml:space="preserve"> споразумения, всички внесени от РП - Варна. </w:t>
      </w:r>
    </w:p>
    <w:p w:rsidR="00FD507C" w:rsidRPr="00D834C5" w:rsidRDefault="00FD507C" w:rsidP="00F63914">
      <w:pPr>
        <w:spacing w:after="0" w:line="240" w:lineRule="auto"/>
        <w:ind w:firstLine="567"/>
        <w:jc w:val="both"/>
        <w:rPr>
          <w:rFonts w:ascii="Times New Roman" w:eastAsia="Times New Roman" w:hAnsi="Times New Roman" w:cs="Times New Roman"/>
          <w:b/>
          <w:sz w:val="36"/>
          <w:szCs w:val="36"/>
          <w:u w:val="single"/>
          <w:lang w:eastAsia="bg-BG"/>
        </w:rPr>
      </w:pPr>
      <w:r w:rsidRPr="00D834C5">
        <w:rPr>
          <w:rFonts w:ascii="Times New Roman" w:eastAsia="Times New Roman" w:hAnsi="Times New Roman" w:cs="Times New Roman"/>
          <w:b/>
          <w:sz w:val="36"/>
          <w:szCs w:val="36"/>
          <w:u w:val="single"/>
          <w:lang w:eastAsia="bg-BG"/>
        </w:rPr>
        <w:t>Видно от горните данни:</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Броят на неодобрените споразумения за региона на ОП – Варна се запазва нисък в периода 2019 – 2021 г. През 2021 г. те са с 2 броя по-малко от 2020 г., като броят им е същия, както през 2019 г.</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u w:val="single"/>
          <w:lang w:eastAsia="bg-BG"/>
        </w:rPr>
        <w:t>За ОП – Варна:</w:t>
      </w:r>
      <w:r w:rsidRPr="00D834C5">
        <w:rPr>
          <w:rFonts w:ascii="Times New Roman" w:eastAsia="Times New Roman" w:hAnsi="Times New Roman" w:cs="Times New Roman"/>
          <w:b/>
          <w:sz w:val="28"/>
          <w:szCs w:val="28"/>
          <w:lang w:eastAsia="bg-BG"/>
        </w:rPr>
        <w:t xml:space="preserve"> Налице е трайна тенденция за запазване в много ниски стойности на неодобрените споразумения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u w:val="single"/>
          <w:lang w:eastAsia="bg-BG"/>
        </w:rPr>
        <w:t>За РП – Варна</w:t>
      </w:r>
      <w:r w:rsidRPr="00D834C5">
        <w:rPr>
          <w:rFonts w:ascii="Times New Roman" w:eastAsia="Times New Roman" w:hAnsi="Times New Roman" w:cs="Times New Roman"/>
          <w:b/>
          <w:sz w:val="28"/>
          <w:szCs w:val="28"/>
          <w:lang w:eastAsia="bg-BG"/>
        </w:rPr>
        <w:t xml:space="preserve"> броят на неодобрените споразумения запазва ниски стойности през последните три години.</w:t>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Неодобрени от съда споразумения:</w:t>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r w:rsidRPr="00D834C5">
        <w:rPr>
          <w:rFonts w:ascii="Times New Roman" w:eastAsia="Calibri" w:hAnsi="Times New Roman" w:cs="Times New Roman"/>
          <w:noProof/>
          <w:color w:val="FF0000"/>
          <w:sz w:val="28"/>
          <w:szCs w:val="28"/>
          <w:lang w:eastAsia="bg-BG"/>
        </w:rPr>
        <w:lastRenderedPageBreak/>
        <w:drawing>
          <wp:inline distT="0" distB="0" distL="0" distR="0" wp14:anchorId="4708F930" wp14:editId="3E4C7124">
            <wp:extent cx="5131558" cy="2599898"/>
            <wp:effectExtent l="0" t="0" r="12065" b="10160"/>
            <wp:docPr id="28" name="Диагра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lang w:eastAsia="bg-BG"/>
        </w:rPr>
        <w:t>2.3. Върнати от съда дела с внесени постановления за освобождаване от наказателна отговорност с налагане на административно наказание</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 През 2021 г. върнатите от съда дела с внесени постановления по реда на чл. 78 а от НК са както следва: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Общо за региона на ОП – Варна – 12 броя /на РП – Варна/.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Общо да региона на ОП – Варна през 2020 г. са били върнати 15 броя дела по внесени постановления по чл. 78 а от НК. През 2019 г. общо за региона на ОП – Варна са били върнати 10 броя дела, внесени по този ред.</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В периода 2019 – 2021 г. няма върнати дела, внесени по този ред от ОП – Варна.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 xml:space="preserve">2.4.Върнати с влязъл в сила съдебен акт дела </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 г. с влязъл в сила съдебен акт от съдилищата в региона на ОП – Варна са били върнати общо </w:t>
      </w:r>
      <w:r w:rsidRPr="00D834C5">
        <w:rPr>
          <w:rFonts w:ascii="Times New Roman" w:eastAsia="Times New Roman" w:hAnsi="Times New Roman" w:cs="Times New Roman"/>
          <w:b/>
          <w:sz w:val="28"/>
          <w:szCs w:val="28"/>
          <w:u w:val="single"/>
          <w:lang w:eastAsia="bg-BG"/>
        </w:rPr>
        <w:t>57 дела /9 – на ОП – Варна и 48 – на РП – Варна/</w:t>
      </w:r>
      <w:r w:rsidRPr="00D834C5">
        <w:rPr>
          <w:rFonts w:ascii="Times New Roman" w:eastAsia="Times New Roman" w:hAnsi="Times New Roman" w:cs="Times New Roman"/>
          <w:sz w:val="28"/>
          <w:szCs w:val="28"/>
          <w:lang w:eastAsia="bg-BG"/>
        </w:rPr>
        <w:t>.В този брой влизат всички върнати дела</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u w:val="single"/>
          <w:lang w:eastAsia="bg-BG"/>
        </w:rPr>
      </w:pPr>
      <w:r w:rsidRPr="00D834C5">
        <w:rPr>
          <w:rFonts w:ascii="Times New Roman" w:eastAsia="Times New Roman" w:hAnsi="Times New Roman" w:cs="Times New Roman"/>
          <w:sz w:val="28"/>
          <w:szCs w:val="28"/>
          <w:lang w:eastAsia="bg-BG"/>
        </w:rPr>
        <w:t xml:space="preserve">През 2020 г. с влязъл в сила съдебен акт от съдилищата в региона на ОП – Варна са били върнати общо </w:t>
      </w:r>
      <w:r w:rsidRPr="00D834C5">
        <w:rPr>
          <w:rFonts w:ascii="Times New Roman" w:eastAsia="Times New Roman" w:hAnsi="Times New Roman" w:cs="Times New Roman"/>
          <w:b/>
          <w:sz w:val="28"/>
          <w:szCs w:val="28"/>
          <w:u w:val="single"/>
          <w:lang w:eastAsia="bg-BG"/>
        </w:rPr>
        <w:t xml:space="preserve">66 дела /8 – на ОП Варна и 58 – на РП – Варна/. </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u w:val="single"/>
          <w:lang w:eastAsia="bg-BG"/>
        </w:rPr>
      </w:pPr>
      <w:r w:rsidRPr="00D834C5">
        <w:rPr>
          <w:rFonts w:ascii="Times New Roman" w:eastAsia="Times New Roman" w:hAnsi="Times New Roman" w:cs="Times New Roman"/>
          <w:sz w:val="28"/>
          <w:szCs w:val="28"/>
          <w:lang w:eastAsia="bg-BG"/>
        </w:rPr>
        <w:t xml:space="preserve">През 2019 г. с влязъл в сила съдебен акт от съдилищата в региона на ОП – Варна са били върнати общо </w:t>
      </w:r>
      <w:r w:rsidRPr="00D834C5">
        <w:rPr>
          <w:rFonts w:ascii="Times New Roman" w:eastAsia="Times New Roman" w:hAnsi="Times New Roman" w:cs="Times New Roman"/>
          <w:b/>
          <w:sz w:val="28"/>
          <w:szCs w:val="28"/>
          <w:u w:val="single"/>
          <w:lang w:eastAsia="bg-BG"/>
        </w:rPr>
        <w:t>58 дела /6 на ОП – Варна и 52 – на РП – Варна/.</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Видно от горните данни, през 2021 г. за региона на ОП – Варна е налице намаление на върнатите с влязъл в сила съдебен акт дела спрямо 2020 г. с 13.64 %.</w:t>
      </w:r>
      <w:r w:rsidRPr="00D834C5">
        <w:rPr>
          <w:rFonts w:ascii="Times New Roman" w:eastAsia="Times New Roman" w:hAnsi="Times New Roman" w:cs="Times New Roman"/>
          <w:sz w:val="28"/>
          <w:szCs w:val="28"/>
          <w:lang w:eastAsia="bg-BG"/>
        </w:rPr>
        <w:t xml:space="preserve"> </w:t>
      </w:r>
      <w:r w:rsidRPr="00D834C5">
        <w:rPr>
          <w:rFonts w:ascii="Times New Roman" w:eastAsia="Times New Roman" w:hAnsi="Times New Roman" w:cs="Times New Roman"/>
          <w:b/>
          <w:sz w:val="28"/>
          <w:szCs w:val="28"/>
          <w:lang w:eastAsia="bg-BG"/>
        </w:rPr>
        <w:t>Спрямо 2019 г. почти няма промяна /намаление с 1 брой/.</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При анализ на причините, довели до връщане на делата с окончателен съдебен акт през 2021 г. е видно, че най-голям е броят на делата, попадащи </w:t>
      </w:r>
      <w:r w:rsidRPr="00D834C5">
        <w:rPr>
          <w:rFonts w:ascii="Times New Roman" w:eastAsia="Calibri" w:hAnsi="Times New Roman" w:cs="Times New Roman"/>
          <w:sz w:val="28"/>
          <w:szCs w:val="28"/>
        </w:rPr>
        <w:t xml:space="preserve">във </w:t>
      </w:r>
      <w:r w:rsidRPr="00D834C5">
        <w:rPr>
          <w:rFonts w:ascii="Times New Roman" w:eastAsia="Calibri" w:hAnsi="Times New Roman" w:cs="Times New Roman"/>
          <w:b/>
          <w:sz w:val="28"/>
          <w:szCs w:val="28"/>
        </w:rPr>
        <w:t>втората група причини</w:t>
      </w:r>
      <w:r w:rsidRPr="00D834C5">
        <w:rPr>
          <w:rFonts w:ascii="Times New Roman" w:eastAsia="Calibri" w:hAnsi="Times New Roman" w:cs="Times New Roman"/>
          <w:sz w:val="28"/>
          <w:szCs w:val="28"/>
        </w:rPr>
        <w:t xml:space="preserve"> - </w:t>
      </w:r>
      <w:r w:rsidRPr="00D834C5">
        <w:rPr>
          <w:rFonts w:ascii="Times New Roman" w:eastAsia="Calibri" w:hAnsi="Times New Roman" w:cs="Times New Roman"/>
          <w:sz w:val="28"/>
          <w:szCs w:val="28"/>
          <w:lang w:eastAsia="bg-BG"/>
        </w:rPr>
        <w:t>„връщането на делото се дължи на констатирани от съда пропуски при изготвянето на обвинителния акт, които са в голяма степен очевидни и са могли да бъдат избегнати при прецизната работа на прокурора“ – общо 23 броя или 40,3 % от общия брой върнати дела.</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На следващо място са върнатите дела, отнесени към </w:t>
      </w:r>
      <w:r w:rsidRPr="00D834C5">
        <w:rPr>
          <w:rFonts w:ascii="Times New Roman" w:eastAsia="Calibri" w:hAnsi="Times New Roman" w:cs="Times New Roman"/>
          <w:b/>
          <w:sz w:val="28"/>
          <w:szCs w:val="28"/>
          <w:lang w:eastAsia="bg-BG"/>
        </w:rPr>
        <w:t>първата група причини:</w:t>
      </w:r>
      <w:r w:rsidRPr="00D834C5">
        <w:rPr>
          <w:rFonts w:ascii="Times New Roman" w:eastAsia="Calibri" w:hAnsi="Times New Roman" w:cs="Times New Roman"/>
          <w:sz w:val="28"/>
          <w:szCs w:val="28"/>
          <w:lang w:eastAsia="bg-BG"/>
        </w:rPr>
        <w:t xml:space="preserve"> </w:t>
      </w:r>
      <w:r w:rsidRPr="00D834C5">
        <w:rPr>
          <w:rFonts w:ascii="Times New Roman" w:eastAsia="Calibri" w:hAnsi="Times New Roman" w:cs="Times New Roman"/>
          <w:sz w:val="28"/>
          <w:szCs w:val="28"/>
        </w:rPr>
        <w:t>„</w:t>
      </w:r>
      <w:r w:rsidRPr="00D834C5">
        <w:rPr>
          <w:rFonts w:ascii="Times New Roman" w:eastAsia="Calibri" w:hAnsi="Times New Roman" w:cs="Times New Roman"/>
          <w:sz w:val="28"/>
          <w:szCs w:val="28"/>
          <w:lang w:eastAsia="bg-BG"/>
        </w:rPr>
        <w:t xml:space="preserve">Връщането на делото се дължи на допуснато на досъдебното производство </w:t>
      </w:r>
      <w:proofErr w:type="spellStart"/>
      <w:r w:rsidRPr="00D834C5">
        <w:rPr>
          <w:rFonts w:ascii="Times New Roman" w:eastAsia="Calibri" w:hAnsi="Times New Roman" w:cs="Times New Roman"/>
          <w:sz w:val="28"/>
          <w:szCs w:val="28"/>
          <w:lang w:eastAsia="bg-BG"/>
        </w:rPr>
        <w:t>отстранимо</w:t>
      </w:r>
      <w:proofErr w:type="spellEnd"/>
      <w:r w:rsidRPr="00D834C5">
        <w:rPr>
          <w:rFonts w:ascii="Times New Roman" w:eastAsia="Calibri" w:hAnsi="Times New Roman" w:cs="Times New Roman"/>
          <w:sz w:val="28"/>
          <w:szCs w:val="28"/>
          <w:lang w:eastAsia="bg-BG"/>
        </w:rPr>
        <w:t xml:space="preserve"> съществено нарушение на процесуални правила в хода на разследването, довело до ограничаване на процесуалните права на обвиняем и/или негов защитник </w:t>
      </w:r>
      <w:r w:rsidRPr="00D834C5">
        <w:rPr>
          <w:rFonts w:ascii="Times New Roman" w:eastAsia="Calibri" w:hAnsi="Times New Roman" w:cs="Times New Roman"/>
          <w:sz w:val="28"/>
          <w:szCs w:val="28"/>
          <w:lang w:eastAsia="bg-BG"/>
        </w:rPr>
        <w:lastRenderedPageBreak/>
        <w:t>или на пострадал или негови наследници, като развитието на делото в голяма степен е било предвидимо и е могло да бъде избегнато при прецизна работа на разследващия орган и на наблюдаващия прокурор– 21 броя или 36,8 % от общия брой върнати дела.</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u w:val="single"/>
          <w:lang w:eastAsia="bg-BG"/>
        </w:rPr>
        <w:t>През 2020 г.</w:t>
      </w:r>
      <w:r w:rsidRPr="00D834C5">
        <w:rPr>
          <w:rFonts w:ascii="Times New Roman" w:eastAsia="Calibri" w:hAnsi="Times New Roman" w:cs="Times New Roman"/>
          <w:sz w:val="28"/>
          <w:szCs w:val="28"/>
          <w:lang w:eastAsia="bg-BG"/>
        </w:rPr>
        <w:t xml:space="preserve"> също най-голям е бил броят на постановените от съда актове за връщане на делата, попадащи във </w:t>
      </w:r>
      <w:r w:rsidRPr="00D834C5">
        <w:rPr>
          <w:rFonts w:ascii="Times New Roman" w:eastAsia="Calibri" w:hAnsi="Times New Roman" w:cs="Times New Roman"/>
          <w:b/>
          <w:sz w:val="28"/>
          <w:szCs w:val="28"/>
          <w:lang w:eastAsia="bg-BG"/>
        </w:rPr>
        <w:t>втората група причини</w:t>
      </w:r>
      <w:r w:rsidRPr="00D834C5">
        <w:rPr>
          <w:rFonts w:ascii="Times New Roman" w:eastAsia="Calibri" w:hAnsi="Times New Roman" w:cs="Times New Roman"/>
          <w:sz w:val="28"/>
          <w:szCs w:val="28"/>
          <w:lang w:eastAsia="bg-BG"/>
        </w:rPr>
        <w:t xml:space="preserve"> - 40.90 %</w:t>
      </w:r>
      <w:r w:rsidRPr="00D834C5">
        <w:rPr>
          <w:rFonts w:ascii="Times New Roman" w:eastAsia="Calibri" w:hAnsi="Times New Roman" w:cs="Times New Roman"/>
          <w:b/>
          <w:sz w:val="28"/>
          <w:szCs w:val="28"/>
          <w:lang w:eastAsia="bg-BG"/>
        </w:rPr>
        <w:t xml:space="preserve"> </w:t>
      </w:r>
      <w:r w:rsidRPr="00D834C5">
        <w:rPr>
          <w:rFonts w:ascii="Times New Roman" w:eastAsia="Calibri" w:hAnsi="Times New Roman" w:cs="Times New Roman"/>
          <w:sz w:val="28"/>
          <w:szCs w:val="28"/>
          <w:lang w:eastAsia="bg-BG"/>
        </w:rPr>
        <w:t>от общия брой върнати дела.</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На следващо място са били върнатите дела, отнесени към </w:t>
      </w:r>
      <w:r w:rsidRPr="00D834C5">
        <w:rPr>
          <w:rFonts w:ascii="Times New Roman" w:eastAsia="Calibri" w:hAnsi="Times New Roman" w:cs="Times New Roman"/>
          <w:b/>
          <w:sz w:val="28"/>
          <w:szCs w:val="28"/>
          <w:lang w:eastAsia="bg-BG"/>
        </w:rPr>
        <w:t xml:space="preserve">първата група причини </w:t>
      </w:r>
      <w:r w:rsidRPr="00D834C5">
        <w:rPr>
          <w:rFonts w:ascii="Times New Roman" w:eastAsia="Calibri" w:hAnsi="Times New Roman" w:cs="Times New Roman"/>
          <w:sz w:val="28"/>
          <w:szCs w:val="28"/>
          <w:lang w:eastAsia="bg-BG"/>
        </w:rPr>
        <w:t>-  27.27 % от общия брой върнати дела.</w:t>
      </w:r>
    </w:p>
    <w:p w:rsidR="00FD507C" w:rsidRPr="00D834C5" w:rsidRDefault="00FD507C" w:rsidP="00F6391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u w:val="single"/>
          <w:lang w:eastAsia="bg-BG"/>
        </w:rPr>
      </w:pPr>
      <w:r w:rsidRPr="00D834C5">
        <w:rPr>
          <w:rFonts w:ascii="Times New Roman" w:eastAsia="Times New Roman" w:hAnsi="Times New Roman" w:cs="Times New Roman"/>
          <w:sz w:val="28"/>
          <w:szCs w:val="28"/>
          <w:u w:val="single"/>
          <w:lang w:eastAsia="bg-BG"/>
        </w:rPr>
        <w:t>През 2019 г.:</w:t>
      </w:r>
    </w:p>
    <w:p w:rsidR="00FD507C" w:rsidRPr="00D834C5" w:rsidRDefault="00FD507C" w:rsidP="00F6391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Върнатите дела, отнесени към </w:t>
      </w:r>
      <w:r w:rsidRPr="00D834C5">
        <w:rPr>
          <w:rFonts w:ascii="Times New Roman" w:eastAsia="Times New Roman" w:hAnsi="Times New Roman" w:cs="Times New Roman"/>
          <w:b/>
          <w:sz w:val="28"/>
          <w:szCs w:val="28"/>
          <w:lang w:eastAsia="bg-BG"/>
        </w:rPr>
        <w:t>първата група причини</w:t>
      </w:r>
      <w:r w:rsidRPr="00D834C5">
        <w:rPr>
          <w:rFonts w:ascii="Times New Roman" w:eastAsia="Times New Roman" w:hAnsi="Times New Roman" w:cs="Times New Roman"/>
          <w:sz w:val="28"/>
          <w:szCs w:val="28"/>
          <w:lang w:eastAsia="bg-BG"/>
        </w:rPr>
        <w:t xml:space="preserve">, са съставлявали </w:t>
      </w:r>
      <w:r w:rsidRPr="00D834C5">
        <w:rPr>
          <w:rFonts w:ascii="Times New Roman" w:eastAsia="Times New Roman" w:hAnsi="Times New Roman" w:cs="Times New Roman"/>
          <w:b/>
          <w:sz w:val="28"/>
          <w:szCs w:val="28"/>
          <w:u w:val="single"/>
          <w:lang w:eastAsia="bg-BG"/>
        </w:rPr>
        <w:t>43,10 %</w:t>
      </w:r>
      <w:r w:rsidRPr="00D834C5">
        <w:rPr>
          <w:rFonts w:ascii="Times New Roman" w:eastAsia="Times New Roman" w:hAnsi="Times New Roman" w:cs="Times New Roman"/>
          <w:sz w:val="28"/>
          <w:szCs w:val="28"/>
          <w:lang w:eastAsia="bg-BG"/>
        </w:rPr>
        <w:t xml:space="preserve"> от всички върнати с окончателен съдебен акт 58 дела.</w:t>
      </w:r>
    </w:p>
    <w:p w:rsidR="00FD507C" w:rsidRPr="00D834C5" w:rsidRDefault="00FD507C" w:rsidP="00F6391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Върнатите съгласно </w:t>
      </w:r>
      <w:r w:rsidRPr="00D834C5">
        <w:rPr>
          <w:rFonts w:ascii="Times New Roman" w:eastAsia="Times New Roman" w:hAnsi="Times New Roman" w:cs="Times New Roman"/>
          <w:b/>
          <w:sz w:val="28"/>
          <w:szCs w:val="28"/>
          <w:lang w:eastAsia="bg-BG"/>
        </w:rPr>
        <w:t>втория критерий</w:t>
      </w:r>
      <w:r w:rsidRPr="00D834C5">
        <w:rPr>
          <w:rFonts w:ascii="Times New Roman" w:eastAsia="Times New Roman" w:hAnsi="Times New Roman" w:cs="Times New Roman"/>
          <w:sz w:val="28"/>
          <w:szCs w:val="28"/>
          <w:lang w:eastAsia="bg-BG"/>
        </w:rPr>
        <w:t xml:space="preserve"> дела са съставлявали </w:t>
      </w:r>
      <w:r w:rsidRPr="00D834C5">
        <w:rPr>
          <w:rFonts w:ascii="Times New Roman" w:eastAsia="Times New Roman" w:hAnsi="Times New Roman" w:cs="Times New Roman"/>
          <w:b/>
          <w:sz w:val="28"/>
          <w:szCs w:val="28"/>
          <w:u w:val="single"/>
          <w:lang w:eastAsia="bg-BG"/>
        </w:rPr>
        <w:t>36.20 %</w:t>
      </w:r>
      <w:r w:rsidRPr="00D834C5">
        <w:rPr>
          <w:rFonts w:ascii="Times New Roman" w:eastAsia="Times New Roman" w:hAnsi="Times New Roman" w:cs="Times New Roman"/>
          <w:sz w:val="28"/>
          <w:szCs w:val="28"/>
          <w:lang w:eastAsia="bg-BG"/>
        </w:rPr>
        <w:t xml:space="preserve"> от общо върнатите от съда дела.</w:t>
      </w:r>
    </w:p>
    <w:p w:rsidR="00FD507C" w:rsidRPr="00D834C5" w:rsidRDefault="00FD507C" w:rsidP="00F6391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Данните сочат, че е повече от наложително да се подобри работата на прокурорите при ръководството и надзора на досъдебните производства, както и при изготвяне на обвинителните актове.</w:t>
      </w:r>
    </w:p>
    <w:p w:rsidR="00FD507C" w:rsidRPr="00D834C5" w:rsidRDefault="00FD507C" w:rsidP="00F63914">
      <w:pPr>
        <w:overflowPunct w:val="0"/>
        <w:autoSpaceDE w:val="0"/>
        <w:autoSpaceDN w:val="0"/>
        <w:adjustRightInd w:val="0"/>
        <w:spacing w:after="0" w:line="240" w:lineRule="auto"/>
        <w:ind w:firstLine="567"/>
        <w:jc w:val="both"/>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rPr>
          <w:rFonts w:ascii="Times New Roman" w:eastAsia="Times New Roman" w:hAnsi="Times New Roman" w:cs="Times New Roman"/>
          <w:i/>
          <w:color w:val="FF0000"/>
          <w:sz w:val="28"/>
          <w:szCs w:val="28"/>
          <w:lang w:eastAsia="bg-BG"/>
        </w:rPr>
      </w:pPr>
      <w:r w:rsidRPr="00D834C5">
        <w:rPr>
          <w:rFonts w:ascii="Times New Roman" w:eastAsia="Times New Roman" w:hAnsi="Times New Roman" w:cs="Times New Roman"/>
          <w:i/>
          <w:noProof/>
          <w:color w:val="FF0000"/>
          <w:sz w:val="28"/>
          <w:szCs w:val="28"/>
          <w:lang w:eastAsia="bg-BG"/>
        </w:rPr>
        <w:drawing>
          <wp:inline distT="0" distB="0" distL="0" distR="0" wp14:anchorId="159D4F97" wp14:editId="4F0321B5">
            <wp:extent cx="5008729" cy="2715905"/>
            <wp:effectExtent l="0" t="0" r="20955" b="27305"/>
            <wp:docPr id="29" name="Диагра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507C" w:rsidRPr="00D834C5" w:rsidRDefault="00FD507C" w:rsidP="00F63914">
      <w:pPr>
        <w:spacing w:after="0" w:line="240" w:lineRule="auto"/>
        <w:ind w:firstLine="567"/>
        <w:rPr>
          <w:rFonts w:ascii="Times New Roman" w:eastAsia="Times New Roman" w:hAnsi="Times New Roman" w:cs="Times New Roman"/>
          <w:i/>
          <w:color w:val="FF0000"/>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color w:val="FF0000"/>
          <w:sz w:val="28"/>
          <w:szCs w:val="28"/>
          <w:lang w:eastAsia="bg-BG"/>
        </w:rPr>
      </w:pPr>
      <w:r w:rsidRPr="00D834C5">
        <w:rPr>
          <w:rFonts w:ascii="Times New Roman" w:eastAsia="Times New Roman" w:hAnsi="Times New Roman" w:cs="Times New Roman"/>
          <w:b/>
          <w:sz w:val="28"/>
          <w:szCs w:val="28"/>
          <w:lang w:eastAsia="bg-BG"/>
        </w:rPr>
        <w:t xml:space="preserve"> 2.5.Постановени оправдателни присъди и решения</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b/>
          <w:sz w:val="28"/>
          <w:szCs w:val="28"/>
          <w:u w:val="single"/>
          <w:lang w:eastAsia="bg-BG"/>
        </w:rPr>
      </w:pPr>
      <w:r w:rsidRPr="00D834C5">
        <w:rPr>
          <w:rFonts w:ascii="Times New Roman" w:eastAsia="Calibri" w:hAnsi="Times New Roman" w:cs="Times New Roman"/>
          <w:b/>
          <w:sz w:val="28"/>
          <w:szCs w:val="28"/>
          <w:u w:val="single"/>
          <w:lang w:eastAsia="bg-BG"/>
        </w:rPr>
        <w:t>Общо за региона на ОП – Варна:</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През 2021 г. </w:t>
      </w:r>
      <w:r w:rsidR="00163256">
        <w:rPr>
          <w:rFonts w:ascii="Times New Roman" w:eastAsia="Calibri" w:hAnsi="Times New Roman" w:cs="Times New Roman"/>
          <w:sz w:val="28"/>
          <w:szCs w:val="28"/>
          <w:lang w:eastAsia="bg-BG"/>
        </w:rPr>
        <w:t>съдилищата в съдебния район</w:t>
      </w:r>
      <w:r w:rsidRPr="00D834C5">
        <w:rPr>
          <w:rFonts w:ascii="Times New Roman" w:eastAsia="Calibri" w:hAnsi="Times New Roman" w:cs="Times New Roman"/>
          <w:sz w:val="28"/>
          <w:szCs w:val="28"/>
          <w:lang w:eastAsia="bg-BG"/>
        </w:rPr>
        <w:t xml:space="preserve"> са постановили общо </w:t>
      </w:r>
      <w:r w:rsidRPr="00D834C5">
        <w:rPr>
          <w:rFonts w:ascii="Times New Roman" w:eastAsia="Calibri" w:hAnsi="Times New Roman" w:cs="Times New Roman"/>
          <w:b/>
          <w:sz w:val="28"/>
          <w:szCs w:val="28"/>
          <w:u w:val="single"/>
          <w:lang w:eastAsia="bg-BG"/>
        </w:rPr>
        <w:t>42 броя оправдателни съдебни актове</w:t>
      </w:r>
      <w:r w:rsidRPr="00D834C5">
        <w:rPr>
          <w:rFonts w:ascii="Times New Roman" w:eastAsia="Calibri" w:hAnsi="Times New Roman" w:cs="Times New Roman"/>
          <w:sz w:val="28"/>
          <w:szCs w:val="28"/>
          <w:lang w:eastAsia="bg-BG"/>
        </w:rPr>
        <w:t xml:space="preserve"> по внесени в съда дела от прокурорите в региона на ОП - Варна. 35 от тях са по внесени обвинителни актове, а 7 -  по внесени предложения по чл. 78 а от НК.</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t xml:space="preserve">През 2020 г. в региона на ОП – Варна са били постановени общо </w:t>
      </w:r>
      <w:r w:rsidRPr="00D834C5">
        <w:rPr>
          <w:rFonts w:ascii="Times New Roman" w:eastAsia="Calibri" w:hAnsi="Times New Roman" w:cs="Times New Roman"/>
          <w:b/>
          <w:sz w:val="28"/>
          <w:szCs w:val="28"/>
          <w:u w:val="single"/>
          <w:lang w:eastAsia="bg-BG"/>
        </w:rPr>
        <w:t>23 броя оправдателни съдебни актове</w:t>
      </w:r>
      <w:r w:rsidRPr="00D834C5">
        <w:rPr>
          <w:rFonts w:ascii="Times New Roman" w:eastAsia="Calibri" w:hAnsi="Times New Roman" w:cs="Times New Roman"/>
          <w:sz w:val="28"/>
          <w:szCs w:val="28"/>
          <w:lang w:eastAsia="bg-BG"/>
        </w:rPr>
        <w:t xml:space="preserve"> по внесени в съда дела от прокурорите в региона на ОП - Варна. 17 от тях са по внесени обвинителни актове, а 6 -  по внесени предложения по чл. 78 а от НК.</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lang w:eastAsia="bg-BG"/>
        </w:rPr>
        <w:lastRenderedPageBreak/>
        <w:t xml:space="preserve">През 2019 г. </w:t>
      </w:r>
      <w:r w:rsidRPr="00D834C5">
        <w:rPr>
          <w:rFonts w:ascii="Times New Roman" w:eastAsia="Times New Roman" w:hAnsi="Times New Roman" w:cs="Times New Roman"/>
          <w:sz w:val="28"/>
          <w:szCs w:val="28"/>
          <w:lang w:eastAsia="bg-BG"/>
        </w:rPr>
        <w:t xml:space="preserve">в региона на ОП Варна са били постановени от съдилищата </w:t>
      </w:r>
      <w:r w:rsidRPr="00D834C5">
        <w:rPr>
          <w:rFonts w:ascii="Times New Roman" w:eastAsia="Calibri" w:hAnsi="Times New Roman" w:cs="Times New Roman"/>
          <w:b/>
          <w:sz w:val="28"/>
          <w:szCs w:val="28"/>
          <w:u w:val="single"/>
          <w:lang w:eastAsia="bg-BG"/>
        </w:rPr>
        <w:t>55 оправдателни съдебни акта</w:t>
      </w:r>
      <w:r w:rsidRPr="00D834C5">
        <w:rPr>
          <w:rFonts w:ascii="Times New Roman" w:eastAsia="Calibri" w:hAnsi="Times New Roman" w:cs="Times New Roman"/>
          <w:sz w:val="28"/>
          <w:szCs w:val="28"/>
          <w:lang w:eastAsia="bg-BG"/>
        </w:rPr>
        <w:t xml:space="preserve">. </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Горните данни сочат влошаване на показателя спрямо 2020 г. – увеличение с 82.6 %. Спрямо 2019 г. показателят е подобрен – намаление с 23.64 %.</w:t>
      </w:r>
    </w:p>
    <w:p w:rsidR="00FD507C" w:rsidRPr="00D834C5" w:rsidRDefault="00FD507C" w:rsidP="00F63914">
      <w:pPr>
        <w:spacing w:after="0" w:line="240" w:lineRule="auto"/>
        <w:ind w:firstLine="567"/>
        <w:jc w:val="both"/>
        <w:rPr>
          <w:rFonts w:ascii="Times New Roman" w:eastAsia="Times New Roman" w:hAnsi="Times New Roman" w:cs="Times New Roman"/>
          <w:b/>
          <w:color w:val="FF0000"/>
          <w:sz w:val="28"/>
          <w:szCs w:val="28"/>
          <w:lang w:eastAsia="bg-BG"/>
        </w:rPr>
      </w:pP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Постановени оправдателни присъди и решения:</w:t>
      </w: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u w:val="single"/>
          <w:lang w:eastAsia="bg-BG"/>
        </w:rPr>
      </w:pPr>
      <w:r w:rsidRPr="00D834C5">
        <w:rPr>
          <w:rFonts w:ascii="Times New Roman" w:eastAsia="Calibri" w:hAnsi="Times New Roman" w:cs="Times New Roman"/>
          <w:noProof/>
          <w:sz w:val="28"/>
          <w:szCs w:val="28"/>
          <w:lang w:eastAsia="bg-BG"/>
        </w:rPr>
        <w:drawing>
          <wp:inline distT="0" distB="0" distL="0" distR="0" wp14:anchorId="4630EC07" wp14:editId="5DDBA920">
            <wp:extent cx="4558353" cy="1692322"/>
            <wp:effectExtent l="0" t="0" r="13970" b="22225"/>
            <wp:docPr id="30" name="Диагра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u w:val="single"/>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u w:val="single"/>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u w:val="single"/>
          <w:lang w:eastAsia="bg-BG"/>
        </w:rPr>
        <w:t>Оправдателни присъди по внесени обвинителни актове:</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u w:val="single"/>
          <w:lang w:eastAsia="bg-BG"/>
        </w:rPr>
        <w:t>За региона на ОП – Варна</w:t>
      </w:r>
      <w:r w:rsidRPr="00D834C5">
        <w:rPr>
          <w:rFonts w:ascii="Times New Roman" w:eastAsia="Times New Roman" w:hAnsi="Times New Roman" w:cs="Times New Roman"/>
          <w:sz w:val="28"/>
          <w:szCs w:val="28"/>
          <w:lang w:eastAsia="bg-BG"/>
        </w:rPr>
        <w:t xml:space="preserve"> по внесени обвинителни актове през 2021 г. са постановени общо 35 оправдателни присъди, като през 2020 г. те са били 17 и през 2019 г. -  40 броя.</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Налице е значително влошаване на показателя спрямо 2020 г. и подобрение спрямо 2019 г</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u w:val="single"/>
          <w:lang w:eastAsia="bg-BG"/>
        </w:rPr>
        <w:t>За ОП – Варна</w:t>
      </w:r>
      <w:r w:rsidRPr="00D834C5">
        <w:rPr>
          <w:rFonts w:ascii="Times New Roman" w:eastAsia="Times New Roman" w:hAnsi="Times New Roman" w:cs="Times New Roman"/>
          <w:sz w:val="28"/>
          <w:szCs w:val="28"/>
          <w:lang w:eastAsia="bg-BG"/>
        </w:rPr>
        <w:t xml:space="preserve"> постановените през 2021 г. оправдателни присъди по внесени обвинителни актове са 8 , като те са били 3 броя през 2020 г. и 8 броя през 2019 г. </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u w:val="single"/>
          <w:lang w:eastAsia="bg-BG"/>
        </w:rPr>
        <w:t>За РП – Варна</w:t>
      </w:r>
      <w:r w:rsidRPr="00D834C5">
        <w:rPr>
          <w:rFonts w:ascii="Times New Roman" w:eastAsia="Times New Roman" w:hAnsi="Times New Roman" w:cs="Times New Roman"/>
          <w:sz w:val="28"/>
          <w:szCs w:val="28"/>
          <w:lang w:eastAsia="bg-BG"/>
        </w:rPr>
        <w:t xml:space="preserve"> постановените през 2021 г. оправдателни присъди по внесени обвинителни актове са 27 броя, като те са били 14 броя през 2020 г. и 32 броя спрямо 2019 г.</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И през настоящия отчетен период 2021 г. няма постановени оправдателни присъди по разгледани дела по реда на чл. 373 ал.3, вр. чл. 372 ал.4, вр. чл. 371 т.2 от НПК.  </w:t>
      </w:r>
    </w:p>
    <w:p w:rsidR="00FD507C" w:rsidRPr="00D834C5" w:rsidRDefault="00835D05" w:rsidP="00F63914">
      <w:pPr>
        <w:spacing w:after="0" w:line="240" w:lineRule="auto"/>
        <w:ind w:firstLine="567"/>
        <w:jc w:val="both"/>
        <w:rPr>
          <w:rFonts w:ascii="Times New Roman" w:eastAsia="Times New Roman" w:hAnsi="Times New Roman" w:cs="Times New Roman"/>
          <w:color w:val="FF0000"/>
          <w:sz w:val="28"/>
          <w:szCs w:val="28"/>
          <w:lang w:eastAsia="bg-BG"/>
        </w:rPr>
      </w:pPr>
      <w:r>
        <w:rPr>
          <w:rFonts w:ascii="Times New Roman" w:eastAsia="Times New Roman" w:hAnsi="Times New Roman" w:cs="Times New Roman"/>
          <w:sz w:val="28"/>
          <w:szCs w:val="28"/>
          <w:lang w:eastAsia="bg-BG"/>
        </w:rPr>
        <w:t>Постановени оправдателни присъди по внесени обвинителни актове:</w:t>
      </w:r>
      <w:r w:rsidR="00FD507C" w:rsidRPr="00D834C5">
        <w:rPr>
          <w:rFonts w:ascii="Times New Roman" w:eastAsia="Calibri" w:hAnsi="Times New Roman" w:cs="Times New Roman"/>
          <w:noProof/>
          <w:sz w:val="28"/>
          <w:szCs w:val="28"/>
          <w:lang w:eastAsia="bg-BG"/>
        </w:rPr>
        <w:drawing>
          <wp:inline distT="0" distB="0" distL="0" distR="0" wp14:anchorId="4EF40FA2" wp14:editId="04089FFC">
            <wp:extent cx="4441371" cy="2090057"/>
            <wp:effectExtent l="0" t="0" r="16510" b="24765"/>
            <wp:docPr id="31" name="Диагра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color w:val="FF0000"/>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u w:val="single"/>
          <w:lang w:eastAsia="bg-BG"/>
        </w:rPr>
      </w:pPr>
      <w:r w:rsidRPr="00D834C5">
        <w:rPr>
          <w:rFonts w:ascii="Times New Roman" w:eastAsia="Times New Roman" w:hAnsi="Times New Roman" w:cs="Times New Roman"/>
          <w:sz w:val="28"/>
          <w:szCs w:val="28"/>
          <w:u w:val="single"/>
          <w:lang w:eastAsia="bg-BG"/>
        </w:rPr>
        <w:lastRenderedPageBreak/>
        <w:t>Оправдателни решения по внесени предложения за освобождаване от наказателна отговорност с налагане на административно наказание по реда на чл.78а НК</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 г. по внесени предложения по реда на чл. 78 а от НК са постановени общо </w:t>
      </w:r>
      <w:r w:rsidRPr="00D834C5">
        <w:rPr>
          <w:rFonts w:ascii="Times New Roman" w:eastAsia="Times New Roman" w:hAnsi="Times New Roman" w:cs="Times New Roman"/>
          <w:b/>
          <w:sz w:val="28"/>
          <w:szCs w:val="28"/>
          <w:lang w:eastAsia="bg-BG"/>
        </w:rPr>
        <w:t>7</w:t>
      </w:r>
      <w:r w:rsidRPr="00D834C5">
        <w:rPr>
          <w:rFonts w:ascii="Times New Roman" w:eastAsia="Times New Roman" w:hAnsi="Times New Roman" w:cs="Times New Roman"/>
          <w:sz w:val="28"/>
          <w:szCs w:val="28"/>
          <w:lang w:eastAsia="bg-BG"/>
        </w:rPr>
        <w:t xml:space="preserve"> оправдателни решения /6 - на РП – Варна и 1 – на ОП - Варна/.</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2020 г. по внесени предложения по реда на чл. 78 а от НК са били постановени общо </w:t>
      </w:r>
      <w:r w:rsidRPr="00D834C5">
        <w:rPr>
          <w:rFonts w:ascii="Times New Roman" w:eastAsia="Times New Roman" w:hAnsi="Times New Roman" w:cs="Times New Roman"/>
          <w:b/>
          <w:sz w:val="28"/>
          <w:szCs w:val="28"/>
          <w:lang w:eastAsia="bg-BG"/>
        </w:rPr>
        <w:t>6</w:t>
      </w:r>
      <w:r w:rsidRPr="00D834C5">
        <w:rPr>
          <w:rFonts w:ascii="Times New Roman" w:eastAsia="Times New Roman" w:hAnsi="Times New Roman" w:cs="Times New Roman"/>
          <w:sz w:val="28"/>
          <w:szCs w:val="28"/>
          <w:lang w:eastAsia="bg-BG"/>
        </w:rPr>
        <w:t xml:space="preserve"> оправдателни решения /на РП – Варна/. През 2019 г. по внесени такива актове са били постановени общо </w:t>
      </w:r>
      <w:r w:rsidRPr="00D834C5">
        <w:rPr>
          <w:rFonts w:ascii="Times New Roman" w:eastAsia="Times New Roman" w:hAnsi="Times New Roman" w:cs="Times New Roman"/>
          <w:b/>
          <w:sz w:val="28"/>
          <w:szCs w:val="28"/>
          <w:lang w:eastAsia="bg-BG"/>
        </w:rPr>
        <w:t xml:space="preserve">15 </w:t>
      </w:r>
      <w:r w:rsidRPr="00D834C5">
        <w:rPr>
          <w:rFonts w:ascii="Times New Roman" w:eastAsia="Times New Roman" w:hAnsi="Times New Roman" w:cs="Times New Roman"/>
          <w:sz w:val="28"/>
          <w:szCs w:val="28"/>
          <w:lang w:eastAsia="bg-BG"/>
        </w:rPr>
        <w:t>оправдателни решения /от РС – Варна, РС – Девня и РС – Провадия/.</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b/>
          <w:sz w:val="28"/>
          <w:szCs w:val="28"/>
          <w:lang w:eastAsia="bg-BG"/>
        </w:rPr>
        <w:t>Видно от горните данни, показателят е стабилен и в ниски стойности през последните две години, като спрямо 2019 г. е налице подобрение /намаление/ повече от два пъти.</w:t>
      </w:r>
    </w:p>
    <w:p w:rsidR="00FD507C" w:rsidRPr="00D834C5" w:rsidRDefault="00FD507C" w:rsidP="00F63914">
      <w:pPr>
        <w:spacing w:after="0" w:line="240" w:lineRule="auto"/>
        <w:ind w:firstLine="567"/>
        <w:jc w:val="center"/>
        <w:rPr>
          <w:rFonts w:ascii="Times New Roman" w:eastAsia="Times New Roman" w:hAnsi="Times New Roman" w:cs="Times New Roman"/>
          <w:b/>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835D05">
        <w:rPr>
          <w:rFonts w:ascii="Times New Roman" w:eastAsia="Times New Roman" w:hAnsi="Times New Roman" w:cs="Times New Roman"/>
          <w:b/>
          <w:sz w:val="28"/>
          <w:szCs w:val="28"/>
          <w:highlight w:val="yellow"/>
          <w:lang w:eastAsia="bg-BG"/>
        </w:rPr>
        <w:t>Оправдателни решения по внесени предложения за освобождаване на наказателна отговорност с налагане на административно наказание по реда на чл. 78 а от НК:</w:t>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D834C5">
        <w:rPr>
          <w:rFonts w:ascii="Times New Roman" w:eastAsia="Calibri" w:hAnsi="Times New Roman" w:cs="Times New Roman"/>
          <w:noProof/>
          <w:sz w:val="28"/>
          <w:szCs w:val="28"/>
          <w:lang w:eastAsia="bg-BG"/>
        </w:rPr>
        <w:drawing>
          <wp:inline distT="0" distB="0" distL="0" distR="0" wp14:anchorId="59EE29C3" wp14:editId="20C505EB">
            <wp:extent cx="4585648" cy="2156346"/>
            <wp:effectExtent l="0" t="0" r="24765" b="15875"/>
            <wp:docPr id="32" name="Диагра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p>
    <w:p w:rsidR="00FD507C" w:rsidRPr="00D834C5" w:rsidRDefault="00FD507C" w:rsidP="00F63914">
      <w:pPr>
        <w:spacing w:after="0" w:line="240" w:lineRule="auto"/>
        <w:ind w:firstLine="567"/>
        <w:jc w:val="both"/>
        <w:rPr>
          <w:rFonts w:ascii="Times New Roman" w:eastAsia="Times New Roman" w:hAnsi="Times New Roman" w:cs="Times New Roman"/>
          <w:b/>
          <w:sz w:val="28"/>
          <w:szCs w:val="28"/>
          <w:lang w:eastAsia="bg-BG"/>
        </w:rPr>
      </w:pPr>
      <w:r w:rsidRPr="00835D05">
        <w:rPr>
          <w:rFonts w:ascii="Times New Roman" w:eastAsia="Times New Roman" w:hAnsi="Times New Roman" w:cs="Times New Roman"/>
          <w:b/>
          <w:sz w:val="28"/>
          <w:szCs w:val="28"/>
          <w:highlight w:val="yellow"/>
          <w:lang w:eastAsia="bg-BG"/>
        </w:rPr>
        <w:t>2.6.Влезли в сила оправдателни присъди и решения:</w:t>
      </w:r>
    </w:p>
    <w:p w:rsidR="00FD507C" w:rsidRPr="00D834C5" w:rsidRDefault="00FD507C" w:rsidP="00F63914">
      <w:pPr>
        <w:spacing w:after="0" w:line="240" w:lineRule="auto"/>
        <w:ind w:firstLine="567"/>
        <w:jc w:val="both"/>
        <w:rPr>
          <w:rFonts w:ascii="Times New Roman" w:eastAsia="Calibri" w:hAnsi="Times New Roman" w:cs="Times New Roman"/>
          <w:sz w:val="28"/>
          <w:szCs w:val="28"/>
          <w:lang w:eastAsia="bg-BG"/>
        </w:rPr>
      </w:pPr>
    </w:p>
    <w:p w:rsidR="00FD507C" w:rsidRPr="00D834C5" w:rsidRDefault="00FD507C" w:rsidP="00F63914">
      <w:pPr>
        <w:spacing w:after="0" w:line="240" w:lineRule="auto"/>
        <w:ind w:firstLine="653"/>
        <w:jc w:val="both"/>
        <w:rPr>
          <w:rFonts w:ascii="Times New Roman" w:eastAsia="Calibri" w:hAnsi="Times New Roman" w:cs="Times New Roman"/>
          <w:sz w:val="28"/>
          <w:szCs w:val="28"/>
        </w:rPr>
      </w:pPr>
      <w:r w:rsidRPr="00D834C5">
        <w:rPr>
          <w:rFonts w:ascii="Times New Roman" w:eastAsia="Calibri" w:hAnsi="Times New Roman" w:cs="Times New Roman"/>
          <w:sz w:val="28"/>
          <w:szCs w:val="28"/>
        </w:rPr>
        <w:t xml:space="preserve">През 2021г. влезлите в сила оправдателни присъди и решения /по лица/, постановени от съдилищата от региона на ОП – Варна, са </w:t>
      </w:r>
      <w:r w:rsidRPr="00D834C5">
        <w:rPr>
          <w:rFonts w:ascii="Times New Roman" w:eastAsia="Calibri" w:hAnsi="Times New Roman" w:cs="Times New Roman"/>
          <w:b/>
          <w:sz w:val="28"/>
          <w:szCs w:val="28"/>
          <w:u w:val="single"/>
        </w:rPr>
        <w:t>общо 69</w:t>
      </w:r>
      <w:r w:rsidRPr="00D834C5">
        <w:rPr>
          <w:rFonts w:ascii="Times New Roman" w:eastAsia="Calibri" w:hAnsi="Times New Roman" w:cs="Times New Roman"/>
          <w:sz w:val="28"/>
          <w:szCs w:val="28"/>
        </w:rPr>
        <w:t xml:space="preserve"> броя. От тях:</w:t>
      </w:r>
    </w:p>
    <w:p w:rsidR="00FD507C" w:rsidRPr="00D834C5" w:rsidRDefault="00FD507C" w:rsidP="00F63914">
      <w:pPr>
        <w:spacing w:after="0" w:line="240" w:lineRule="auto"/>
        <w:ind w:firstLine="653"/>
        <w:jc w:val="both"/>
        <w:rPr>
          <w:rFonts w:ascii="Times New Roman" w:eastAsia="Calibri" w:hAnsi="Times New Roman" w:cs="Times New Roman"/>
          <w:sz w:val="28"/>
          <w:szCs w:val="28"/>
        </w:rPr>
      </w:pPr>
      <w:r w:rsidRPr="00D834C5">
        <w:rPr>
          <w:rFonts w:ascii="Times New Roman" w:eastAsia="Calibri" w:hAnsi="Times New Roman" w:cs="Times New Roman"/>
          <w:sz w:val="28"/>
          <w:szCs w:val="28"/>
        </w:rPr>
        <w:t xml:space="preserve">За ОП – Варна влезлите в сила оправдателни присъди са </w:t>
      </w:r>
      <w:r w:rsidRPr="00D834C5">
        <w:rPr>
          <w:rFonts w:ascii="Times New Roman" w:eastAsia="Calibri" w:hAnsi="Times New Roman" w:cs="Times New Roman"/>
          <w:b/>
          <w:sz w:val="28"/>
          <w:szCs w:val="28"/>
        </w:rPr>
        <w:t>6 броя.</w:t>
      </w:r>
    </w:p>
    <w:p w:rsidR="00FD507C" w:rsidRPr="00D834C5" w:rsidRDefault="00FD507C" w:rsidP="00F63914">
      <w:pPr>
        <w:spacing w:after="0" w:line="240" w:lineRule="auto"/>
        <w:ind w:firstLine="653"/>
        <w:jc w:val="both"/>
        <w:rPr>
          <w:rFonts w:ascii="Times New Roman" w:eastAsia="Calibri" w:hAnsi="Times New Roman" w:cs="Times New Roman"/>
          <w:sz w:val="28"/>
          <w:szCs w:val="28"/>
          <w:lang w:eastAsia="bg-BG"/>
        </w:rPr>
      </w:pPr>
      <w:r w:rsidRPr="00D834C5">
        <w:rPr>
          <w:rFonts w:ascii="Times New Roman" w:eastAsia="Calibri" w:hAnsi="Times New Roman" w:cs="Times New Roman"/>
          <w:sz w:val="28"/>
          <w:szCs w:val="28"/>
        </w:rPr>
        <w:t xml:space="preserve">За РП – Варна влезлите в сила оправдателни присъди са </w:t>
      </w:r>
      <w:r w:rsidRPr="00D834C5">
        <w:rPr>
          <w:rFonts w:ascii="Times New Roman" w:eastAsia="Calibri" w:hAnsi="Times New Roman" w:cs="Times New Roman"/>
          <w:b/>
          <w:sz w:val="28"/>
          <w:szCs w:val="28"/>
        </w:rPr>
        <w:t>63 броя.</w:t>
      </w:r>
    </w:p>
    <w:p w:rsidR="00FD507C" w:rsidRPr="00D834C5" w:rsidRDefault="00FD507C" w:rsidP="00F63914">
      <w:pPr>
        <w:spacing w:after="0" w:line="240" w:lineRule="auto"/>
        <w:ind w:firstLine="567"/>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Видно от горните данни, налице е значително увеличение на този показател спрямо 2020 г. /с 41 броя/ и увеличение спрямо 2019 г. с 23.21 %.</w:t>
      </w:r>
    </w:p>
    <w:p w:rsidR="00FD507C" w:rsidRPr="00D834C5" w:rsidRDefault="00FD507C" w:rsidP="00F63914">
      <w:pPr>
        <w:spacing w:after="0" w:line="240" w:lineRule="auto"/>
        <w:ind w:firstLine="567"/>
        <w:jc w:val="both"/>
        <w:outlineLvl w:val="0"/>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Конкретните дела и причините за постановяване на влезлите в сила оправдателни присъди и решения през отчетния период, са посочени в анализа на оправдателните присъди за района на ОП – Варна</w:t>
      </w:r>
    </w:p>
    <w:p w:rsidR="00FD507C" w:rsidRPr="00D834C5" w:rsidRDefault="00FD507C" w:rsidP="00F63914">
      <w:pPr>
        <w:spacing w:after="0" w:line="240" w:lineRule="auto"/>
        <w:ind w:firstLine="567"/>
        <w:jc w:val="both"/>
        <w:outlineLvl w:val="0"/>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jc w:val="both"/>
        <w:outlineLvl w:val="0"/>
        <w:rPr>
          <w:rFonts w:ascii="Times New Roman" w:eastAsia="Times New Roman" w:hAnsi="Times New Roman" w:cs="Times New Roman"/>
          <w:b/>
          <w:sz w:val="32"/>
          <w:szCs w:val="32"/>
          <w:u w:val="single"/>
          <w:lang w:eastAsia="bg-BG"/>
        </w:rPr>
      </w:pPr>
      <w:proofErr w:type="spellStart"/>
      <w:r w:rsidRPr="00D834C5">
        <w:rPr>
          <w:rFonts w:ascii="Times New Roman" w:eastAsia="Times New Roman" w:hAnsi="Times New Roman" w:cs="Times New Roman"/>
          <w:b/>
          <w:sz w:val="28"/>
          <w:szCs w:val="28"/>
          <w:lang w:eastAsia="bg-BG"/>
        </w:rPr>
        <w:t>Находящата</w:t>
      </w:r>
      <w:proofErr w:type="spellEnd"/>
      <w:r w:rsidRPr="00D834C5">
        <w:rPr>
          <w:rFonts w:ascii="Times New Roman" w:eastAsia="Times New Roman" w:hAnsi="Times New Roman" w:cs="Times New Roman"/>
          <w:b/>
          <w:sz w:val="28"/>
          <w:szCs w:val="28"/>
          <w:lang w:eastAsia="bg-BG"/>
        </w:rPr>
        <w:t xml:space="preserve"> се по-долу графика илюстрира броя на влезлите в сила оправдателни присъди за периода 2019-2021 г. </w:t>
      </w:r>
      <w:r w:rsidRPr="00D834C5">
        <w:rPr>
          <w:rFonts w:ascii="Times New Roman" w:eastAsia="Times New Roman" w:hAnsi="Times New Roman" w:cs="Times New Roman"/>
          <w:b/>
          <w:sz w:val="32"/>
          <w:szCs w:val="32"/>
          <w:u w:val="single"/>
          <w:lang w:eastAsia="bg-BG"/>
        </w:rPr>
        <w:t>по лица.</w:t>
      </w:r>
    </w:p>
    <w:p w:rsidR="00FD507C" w:rsidRPr="00D834C5" w:rsidRDefault="00FD507C" w:rsidP="00F63914">
      <w:pPr>
        <w:spacing w:after="0" w:line="240" w:lineRule="auto"/>
        <w:ind w:firstLine="567"/>
        <w:jc w:val="both"/>
        <w:outlineLvl w:val="0"/>
        <w:rPr>
          <w:rFonts w:ascii="Times New Roman" w:eastAsia="Times New Roman" w:hAnsi="Times New Roman" w:cs="Times New Roman"/>
          <w:color w:val="FF0000"/>
          <w:sz w:val="28"/>
          <w:szCs w:val="28"/>
          <w:lang w:eastAsia="bg-BG"/>
        </w:rPr>
      </w:pPr>
    </w:p>
    <w:p w:rsidR="00FD507C" w:rsidRPr="00D834C5" w:rsidRDefault="00FD507C" w:rsidP="00F63914">
      <w:pPr>
        <w:spacing w:after="0" w:line="240" w:lineRule="auto"/>
        <w:ind w:firstLine="567"/>
        <w:jc w:val="both"/>
        <w:outlineLvl w:val="0"/>
        <w:rPr>
          <w:rFonts w:ascii="Times New Roman" w:eastAsia="Times New Roman" w:hAnsi="Times New Roman" w:cs="Times New Roman"/>
          <w:color w:val="FF0000"/>
          <w:sz w:val="28"/>
          <w:szCs w:val="28"/>
          <w:lang w:eastAsia="bg-BG"/>
        </w:rPr>
      </w:pPr>
      <w:r w:rsidRPr="00D834C5">
        <w:rPr>
          <w:rFonts w:ascii="Times New Roman" w:eastAsia="Times New Roman" w:hAnsi="Times New Roman" w:cs="Times New Roman"/>
          <w:noProof/>
          <w:color w:val="FF0000"/>
          <w:sz w:val="28"/>
          <w:szCs w:val="28"/>
          <w:lang w:eastAsia="bg-BG"/>
        </w:rPr>
        <w:lastRenderedPageBreak/>
        <w:drawing>
          <wp:inline distT="0" distB="0" distL="0" distR="0" wp14:anchorId="4180C750" wp14:editId="046B11B9">
            <wp:extent cx="5589767" cy="3101009"/>
            <wp:effectExtent l="0" t="0" r="11430" b="23495"/>
            <wp:docPr id="33" name="Диагра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D507C" w:rsidRPr="00D834C5" w:rsidRDefault="00FD507C" w:rsidP="00F63914">
      <w:pPr>
        <w:spacing w:after="0" w:line="240" w:lineRule="auto"/>
        <w:ind w:firstLine="567"/>
        <w:jc w:val="both"/>
        <w:rPr>
          <w:rFonts w:ascii="Times New Roman" w:eastAsia="Calibri" w:hAnsi="Times New Roman" w:cs="Times New Roman"/>
          <w:bCs/>
          <w:color w:val="FF0000"/>
          <w:sz w:val="28"/>
          <w:szCs w:val="28"/>
          <w:lang w:eastAsia="bg-BG"/>
        </w:rPr>
      </w:pP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Влезлите в сила оправдателни присъди, попадащи в </w:t>
      </w:r>
      <w:r w:rsidRPr="00D834C5">
        <w:rPr>
          <w:rFonts w:ascii="Times New Roman" w:eastAsia="Calibri" w:hAnsi="Times New Roman" w:cs="Times New Roman"/>
          <w:b/>
          <w:bCs/>
          <w:sz w:val="28"/>
          <w:szCs w:val="28"/>
          <w:u w:val="single"/>
        </w:rPr>
        <w:t>първата група</w:t>
      </w:r>
      <w:r w:rsidRPr="00D834C5">
        <w:rPr>
          <w:rFonts w:ascii="Times New Roman" w:eastAsia="Calibri" w:hAnsi="Times New Roman" w:cs="Times New Roman"/>
          <w:bCs/>
          <w:sz w:val="28"/>
          <w:szCs w:val="28"/>
        </w:rPr>
        <w:t xml:space="preserve"> причини - „оправдателната присъда се дължи в голяма степен на неправилно квалифициране на деянието с обвинителния акт“ през 2021г. са общо 48 броя, което представлява </w:t>
      </w:r>
      <w:r w:rsidRPr="00D834C5">
        <w:rPr>
          <w:rFonts w:ascii="Times New Roman" w:eastAsia="Calibri" w:hAnsi="Times New Roman" w:cs="Times New Roman"/>
          <w:b/>
          <w:bCs/>
          <w:sz w:val="28"/>
          <w:szCs w:val="28"/>
        </w:rPr>
        <w:t>69,5 %</w:t>
      </w:r>
      <w:r w:rsidRPr="00D834C5">
        <w:rPr>
          <w:rFonts w:ascii="Times New Roman" w:eastAsia="Calibri" w:hAnsi="Times New Roman" w:cs="Times New Roman"/>
          <w:bCs/>
          <w:sz w:val="28"/>
          <w:szCs w:val="28"/>
        </w:rPr>
        <w:t xml:space="preserve"> от общия брой влезли в сила оправдателни присъди. </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През 2020г.  делът по тази група е бил </w:t>
      </w:r>
      <w:r w:rsidRPr="00D834C5">
        <w:rPr>
          <w:rFonts w:ascii="Times New Roman" w:eastAsia="Calibri" w:hAnsi="Times New Roman" w:cs="Times New Roman"/>
          <w:b/>
          <w:bCs/>
          <w:sz w:val="28"/>
          <w:szCs w:val="28"/>
        </w:rPr>
        <w:t>57,1%</w:t>
      </w:r>
      <w:r w:rsidRPr="00D834C5">
        <w:rPr>
          <w:rFonts w:ascii="Times New Roman" w:eastAsia="Calibri" w:hAnsi="Times New Roman" w:cs="Times New Roman"/>
          <w:bCs/>
          <w:sz w:val="28"/>
          <w:szCs w:val="28"/>
        </w:rPr>
        <w:t xml:space="preserve"> .</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lang w:eastAsia="bg-BG"/>
        </w:rPr>
      </w:pPr>
      <w:r w:rsidRPr="00D834C5">
        <w:rPr>
          <w:rFonts w:ascii="Times New Roman" w:eastAsia="Calibri" w:hAnsi="Times New Roman" w:cs="Times New Roman"/>
          <w:bCs/>
          <w:sz w:val="28"/>
          <w:szCs w:val="28"/>
          <w:lang w:eastAsia="bg-BG"/>
        </w:rPr>
        <w:t xml:space="preserve">През 2019г. към група първа са били отчетени 26 броя влезли в сила присъди, които са били </w:t>
      </w:r>
      <w:r w:rsidRPr="00D834C5">
        <w:rPr>
          <w:rFonts w:ascii="Times New Roman" w:eastAsia="Calibri" w:hAnsi="Times New Roman" w:cs="Times New Roman"/>
          <w:b/>
          <w:bCs/>
          <w:sz w:val="28"/>
          <w:szCs w:val="28"/>
          <w:lang w:eastAsia="bg-BG"/>
        </w:rPr>
        <w:t>46,4 %</w:t>
      </w:r>
      <w:r w:rsidRPr="00D834C5">
        <w:rPr>
          <w:rFonts w:ascii="Times New Roman" w:eastAsia="Calibri" w:hAnsi="Times New Roman" w:cs="Times New Roman"/>
          <w:bCs/>
          <w:sz w:val="28"/>
          <w:szCs w:val="28"/>
          <w:lang w:eastAsia="bg-BG"/>
        </w:rPr>
        <w:t xml:space="preserve"> от общия брой влезли в сила оправдателни присъди. </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lang w:eastAsia="bg-BG"/>
        </w:rPr>
      </w:pPr>
      <w:r w:rsidRPr="00D834C5">
        <w:rPr>
          <w:rFonts w:ascii="Times New Roman" w:eastAsia="Calibri" w:hAnsi="Times New Roman" w:cs="Times New Roman"/>
          <w:bCs/>
          <w:sz w:val="28"/>
          <w:szCs w:val="28"/>
          <w:lang w:eastAsia="bg-BG"/>
        </w:rPr>
        <w:t>За  периода 2019-2021 г. се увеличава относителният дял на влезлите в сила оправдателни присъди, отнесени към първа група спрямо общия дял влезли в сила оправдателни присъди.</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Оправдателните присъди, попадащи във </w:t>
      </w:r>
      <w:r w:rsidRPr="00D834C5">
        <w:rPr>
          <w:rFonts w:ascii="Times New Roman" w:eastAsia="Calibri" w:hAnsi="Times New Roman" w:cs="Times New Roman"/>
          <w:b/>
          <w:bCs/>
          <w:sz w:val="28"/>
          <w:szCs w:val="28"/>
          <w:u w:val="single"/>
        </w:rPr>
        <w:t>втората група</w:t>
      </w:r>
      <w:r w:rsidRPr="00D834C5">
        <w:rPr>
          <w:rFonts w:ascii="Times New Roman" w:eastAsia="Calibri" w:hAnsi="Times New Roman" w:cs="Times New Roman"/>
          <w:bCs/>
          <w:sz w:val="28"/>
          <w:szCs w:val="28"/>
        </w:rPr>
        <w:t xml:space="preserve"> причини -“</w:t>
      </w:r>
      <w:r w:rsidR="00163256">
        <w:rPr>
          <w:rFonts w:ascii="Times New Roman" w:eastAsia="Calibri" w:hAnsi="Times New Roman" w:cs="Times New Roman"/>
          <w:bCs/>
          <w:sz w:val="28"/>
          <w:szCs w:val="28"/>
        </w:rPr>
        <w:t>поради</w:t>
      </w:r>
      <w:r w:rsidRPr="00D834C5">
        <w:rPr>
          <w:rFonts w:ascii="Times New Roman" w:eastAsia="Calibri" w:hAnsi="Times New Roman" w:cs="Times New Roman"/>
          <w:bCs/>
          <w:sz w:val="28"/>
          <w:szCs w:val="28"/>
        </w:rPr>
        <w:t xml:space="preserve"> пропуски и грешки или пасивност при събиране на доказателствата в хода на досъдебното производство“ през 2021г. са </w:t>
      </w:r>
      <w:r w:rsidRPr="00D834C5">
        <w:rPr>
          <w:rFonts w:ascii="Times New Roman" w:eastAsia="Calibri" w:hAnsi="Times New Roman" w:cs="Times New Roman"/>
          <w:b/>
          <w:bCs/>
          <w:sz w:val="28"/>
          <w:szCs w:val="28"/>
        </w:rPr>
        <w:t>5 броя</w:t>
      </w:r>
      <w:r w:rsidRPr="00D834C5">
        <w:rPr>
          <w:rFonts w:ascii="Times New Roman" w:eastAsia="Calibri" w:hAnsi="Times New Roman" w:cs="Times New Roman"/>
          <w:bCs/>
          <w:sz w:val="28"/>
          <w:szCs w:val="28"/>
        </w:rPr>
        <w:t xml:space="preserve"> или </w:t>
      </w:r>
      <w:r w:rsidRPr="00D834C5">
        <w:rPr>
          <w:rFonts w:ascii="Times New Roman" w:eastAsia="Calibri" w:hAnsi="Times New Roman" w:cs="Times New Roman"/>
          <w:b/>
          <w:bCs/>
          <w:sz w:val="28"/>
          <w:szCs w:val="28"/>
        </w:rPr>
        <w:t>7,2%</w:t>
      </w:r>
      <w:r w:rsidRPr="00D834C5">
        <w:rPr>
          <w:rFonts w:ascii="Times New Roman" w:eastAsia="Calibri" w:hAnsi="Times New Roman" w:cs="Times New Roman"/>
          <w:bCs/>
          <w:sz w:val="28"/>
          <w:szCs w:val="28"/>
        </w:rPr>
        <w:t xml:space="preserve"> от общия брой влезли в сила оправдателни присъди. </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През 2020г. е нямало влезли в сила оправдателни присъди, отнесени към втора група.</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lang w:eastAsia="bg-BG"/>
        </w:rPr>
      </w:pPr>
      <w:r w:rsidRPr="00D834C5">
        <w:rPr>
          <w:rFonts w:ascii="Times New Roman" w:eastAsia="Calibri" w:hAnsi="Times New Roman" w:cs="Times New Roman"/>
          <w:bCs/>
          <w:sz w:val="28"/>
          <w:szCs w:val="28"/>
          <w:lang w:eastAsia="bg-BG"/>
        </w:rPr>
        <w:t xml:space="preserve">През 2019г. по тази група са били отчетени 6 броя присъди, представляващи </w:t>
      </w:r>
      <w:r w:rsidRPr="00D834C5">
        <w:rPr>
          <w:rFonts w:ascii="Times New Roman" w:eastAsia="Calibri" w:hAnsi="Times New Roman" w:cs="Times New Roman"/>
          <w:b/>
          <w:bCs/>
          <w:sz w:val="28"/>
          <w:szCs w:val="28"/>
          <w:lang w:eastAsia="bg-BG"/>
        </w:rPr>
        <w:t>10,7%</w:t>
      </w:r>
      <w:r w:rsidRPr="00D834C5">
        <w:rPr>
          <w:rFonts w:ascii="Times New Roman" w:eastAsia="Calibri" w:hAnsi="Times New Roman" w:cs="Times New Roman"/>
          <w:bCs/>
          <w:sz w:val="28"/>
          <w:szCs w:val="28"/>
          <w:lang w:eastAsia="bg-BG"/>
        </w:rPr>
        <w:t xml:space="preserve"> от общия брой влезли в сила оправдателни присъди. </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Оправдателните присъди, попадащи в </w:t>
      </w:r>
      <w:r w:rsidRPr="00D834C5">
        <w:rPr>
          <w:rFonts w:ascii="Times New Roman" w:eastAsia="Calibri" w:hAnsi="Times New Roman" w:cs="Times New Roman"/>
          <w:b/>
          <w:bCs/>
          <w:sz w:val="28"/>
          <w:szCs w:val="28"/>
          <w:u w:val="single"/>
        </w:rPr>
        <w:t>третата група</w:t>
      </w:r>
      <w:r w:rsidRPr="00D834C5">
        <w:rPr>
          <w:rFonts w:ascii="Times New Roman" w:eastAsia="Calibri" w:hAnsi="Times New Roman" w:cs="Times New Roman"/>
          <w:bCs/>
          <w:sz w:val="28"/>
          <w:szCs w:val="28"/>
        </w:rPr>
        <w:t xml:space="preserve"> причини </w:t>
      </w:r>
      <w:r w:rsidR="00163256">
        <w:rPr>
          <w:rFonts w:ascii="Times New Roman" w:eastAsia="Calibri" w:hAnsi="Times New Roman" w:cs="Times New Roman"/>
          <w:bCs/>
          <w:sz w:val="28"/>
          <w:szCs w:val="28"/>
        </w:rPr>
        <w:t xml:space="preserve">, които се дължат на </w:t>
      </w:r>
      <w:r w:rsidRPr="00D834C5">
        <w:rPr>
          <w:rFonts w:ascii="Times New Roman" w:eastAsia="Calibri" w:hAnsi="Times New Roman" w:cs="Times New Roman"/>
          <w:bCs/>
          <w:sz w:val="28"/>
          <w:szCs w:val="28"/>
        </w:rPr>
        <w:t>пропуски и процесуална пасивност в съдебната фаза или на неподаване на съответен протест“, са 1</w:t>
      </w:r>
      <w:r w:rsidRPr="00D834C5">
        <w:rPr>
          <w:rFonts w:ascii="Times New Roman" w:eastAsia="Calibri" w:hAnsi="Times New Roman" w:cs="Times New Roman"/>
          <w:b/>
          <w:bCs/>
          <w:sz w:val="28"/>
          <w:szCs w:val="28"/>
        </w:rPr>
        <w:t xml:space="preserve"> броя или 1,4%</w:t>
      </w:r>
      <w:r w:rsidRPr="00D834C5">
        <w:rPr>
          <w:rFonts w:ascii="Times New Roman" w:eastAsia="Calibri" w:hAnsi="Times New Roman" w:cs="Times New Roman"/>
          <w:bCs/>
          <w:sz w:val="28"/>
          <w:szCs w:val="28"/>
        </w:rPr>
        <w:t>. от общия брой влезли в сила оправдателни присъди.</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През 2020г. , както и през 2019 г. е нямало влезли в сила оправдателни присъди, отчетени по горния критерий. </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В </w:t>
      </w:r>
      <w:r w:rsidRPr="00D834C5">
        <w:rPr>
          <w:rFonts w:ascii="Times New Roman" w:eastAsia="Calibri" w:hAnsi="Times New Roman" w:cs="Times New Roman"/>
          <w:b/>
          <w:bCs/>
          <w:sz w:val="28"/>
          <w:szCs w:val="28"/>
          <w:u w:val="single"/>
        </w:rPr>
        <w:t>четвъртата група</w:t>
      </w:r>
      <w:r w:rsidRPr="00D834C5">
        <w:rPr>
          <w:rFonts w:ascii="Times New Roman" w:eastAsia="Calibri" w:hAnsi="Times New Roman" w:cs="Times New Roman"/>
          <w:bCs/>
          <w:sz w:val="28"/>
          <w:szCs w:val="28"/>
        </w:rPr>
        <w:t xml:space="preserve"> причини „оправдателната присъда се дължи на събирането на нови доказателства в съдебната фаза, които не са могли да бъдат установени на досъдебното производство“ попадат общо </w:t>
      </w:r>
      <w:r w:rsidRPr="00D834C5">
        <w:rPr>
          <w:rFonts w:ascii="Times New Roman" w:eastAsia="Calibri" w:hAnsi="Times New Roman" w:cs="Times New Roman"/>
          <w:b/>
          <w:bCs/>
          <w:sz w:val="28"/>
          <w:szCs w:val="28"/>
        </w:rPr>
        <w:t>5 броя</w:t>
      </w:r>
      <w:r w:rsidRPr="00D834C5">
        <w:rPr>
          <w:rFonts w:ascii="Times New Roman" w:eastAsia="Calibri" w:hAnsi="Times New Roman" w:cs="Times New Roman"/>
          <w:bCs/>
          <w:sz w:val="28"/>
          <w:szCs w:val="28"/>
        </w:rPr>
        <w:t xml:space="preserve">, които съставляват  </w:t>
      </w:r>
      <w:r w:rsidRPr="00D834C5">
        <w:rPr>
          <w:rFonts w:ascii="Times New Roman" w:eastAsia="Calibri" w:hAnsi="Times New Roman" w:cs="Times New Roman"/>
          <w:b/>
          <w:bCs/>
          <w:sz w:val="28"/>
          <w:szCs w:val="28"/>
        </w:rPr>
        <w:t>7,2 %</w:t>
      </w:r>
      <w:r w:rsidRPr="00D834C5">
        <w:rPr>
          <w:rFonts w:ascii="Times New Roman" w:eastAsia="Calibri" w:hAnsi="Times New Roman" w:cs="Times New Roman"/>
          <w:bCs/>
          <w:sz w:val="28"/>
          <w:szCs w:val="28"/>
        </w:rPr>
        <w:t xml:space="preserve"> от общия брой влезли в сила оправдателни присъди.</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lastRenderedPageBreak/>
        <w:t xml:space="preserve">Сравнено с данните за 2020г., когато  делът по този показател е бил </w:t>
      </w:r>
      <w:r w:rsidRPr="00D834C5">
        <w:rPr>
          <w:rFonts w:ascii="Times New Roman" w:eastAsia="Calibri" w:hAnsi="Times New Roman" w:cs="Times New Roman"/>
          <w:b/>
          <w:bCs/>
          <w:sz w:val="28"/>
          <w:szCs w:val="28"/>
        </w:rPr>
        <w:t>21,4%</w:t>
      </w:r>
      <w:r w:rsidRPr="00D834C5">
        <w:rPr>
          <w:rFonts w:ascii="Times New Roman" w:eastAsia="Calibri" w:hAnsi="Times New Roman" w:cs="Times New Roman"/>
          <w:bCs/>
          <w:sz w:val="28"/>
          <w:szCs w:val="28"/>
        </w:rPr>
        <w:t xml:space="preserve"> , е видно, че е налице значително намаляване на оправдателните присъди по тази причина.</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 </w:t>
      </w:r>
      <w:r w:rsidRPr="00D834C5">
        <w:rPr>
          <w:rFonts w:ascii="Times New Roman" w:eastAsia="Calibri" w:hAnsi="Times New Roman" w:cs="Times New Roman"/>
          <w:bCs/>
          <w:sz w:val="28"/>
          <w:szCs w:val="28"/>
          <w:lang w:eastAsia="bg-BG"/>
        </w:rPr>
        <w:t xml:space="preserve">През 2019 г. те са били </w:t>
      </w:r>
      <w:r w:rsidRPr="00D834C5">
        <w:rPr>
          <w:rFonts w:ascii="Times New Roman" w:eastAsia="Calibri" w:hAnsi="Times New Roman" w:cs="Times New Roman"/>
          <w:b/>
          <w:bCs/>
          <w:sz w:val="28"/>
          <w:szCs w:val="28"/>
          <w:lang w:eastAsia="bg-BG"/>
        </w:rPr>
        <w:t>5 броя</w:t>
      </w:r>
      <w:r w:rsidRPr="00D834C5">
        <w:rPr>
          <w:rFonts w:ascii="Times New Roman" w:eastAsia="Calibri" w:hAnsi="Times New Roman" w:cs="Times New Roman"/>
          <w:bCs/>
          <w:sz w:val="28"/>
          <w:szCs w:val="28"/>
          <w:lang w:eastAsia="bg-BG"/>
        </w:rPr>
        <w:t xml:space="preserve"> и са съставлявали </w:t>
      </w:r>
      <w:r w:rsidRPr="00D834C5">
        <w:rPr>
          <w:rFonts w:ascii="Times New Roman" w:eastAsia="Calibri" w:hAnsi="Times New Roman" w:cs="Times New Roman"/>
          <w:b/>
          <w:bCs/>
          <w:sz w:val="28"/>
          <w:szCs w:val="28"/>
          <w:lang w:eastAsia="bg-BG"/>
        </w:rPr>
        <w:t>8.9 %</w:t>
      </w:r>
      <w:r w:rsidRPr="00D834C5">
        <w:rPr>
          <w:rFonts w:ascii="Times New Roman" w:eastAsia="Calibri" w:hAnsi="Times New Roman" w:cs="Times New Roman"/>
          <w:bCs/>
          <w:sz w:val="28"/>
          <w:szCs w:val="28"/>
          <w:lang w:eastAsia="bg-BG"/>
        </w:rPr>
        <w:t xml:space="preserve"> от общия брой влезли в сила оправдателни присъди и решения.</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През 2021 г. оправдателните присъди, попадащи в </w:t>
      </w:r>
      <w:r w:rsidRPr="00D834C5">
        <w:rPr>
          <w:rFonts w:ascii="Times New Roman" w:eastAsia="Calibri" w:hAnsi="Times New Roman" w:cs="Times New Roman"/>
          <w:b/>
          <w:bCs/>
          <w:sz w:val="28"/>
          <w:szCs w:val="28"/>
          <w:u w:val="single"/>
        </w:rPr>
        <w:t>петата група</w:t>
      </w:r>
      <w:r w:rsidRPr="00D834C5">
        <w:rPr>
          <w:rFonts w:ascii="Times New Roman" w:eastAsia="Calibri" w:hAnsi="Times New Roman" w:cs="Times New Roman"/>
          <w:bCs/>
          <w:sz w:val="28"/>
          <w:szCs w:val="28"/>
        </w:rPr>
        <w:t xml:space="preserve"> причини</w:t>
      </w:r>
      <w:r w:rsidR="00163256">
        <w:rPr>
          <w:rFonts w:ascii="Times New Roman" w:eastAsia="Calibri" w:hAnsi="Times New Roman" w:cs="Times New Roman"/>
          <w:bCs/>
          <w:sz w:val="28"/>
          <w:szCs w:val="28"/>
        </w:rPr>
        <w:t>, поради</w:t>
      </w:r>
      <w:r w:rsidRPr="00D834C5">
        <w:rPr>
          <w:rFonts w:ascii="Times New Roman" w:eastAsia="Calibri" w:hAnsi="Times New Roman" w:cs="Times New Roman"/>
          <w:bCs/>
          <w:sz w:val="28"/>
          <w:szCs w:val="28"/>
        </w:rPr>
        <w:t xml:space="preserve"> противоречива съдебна практика, промяна на доминиращата практика или други обстоятелства, свързани с тълкуването на закона, които не компрометират тезата на прокурора, внесъл обвинителния акт или поддържал обвинението“ - са общо </w:t>
      </w:r>
      <w:r w:rsidRPr="00D834C5">
        <w:rPr>
          <w:rFonts w:ascii="Times New Roman" w:eastAsia="Calibri" w:hAnsi="Times New Roman" w:cs="Times New Roman"/>
          <w:b/>
          <w:bCs/>
          <w:sz w:val="28"/>
          <w:szCs w:val="28"/>
        </w:rPr>
        <w:t>10 броя</w:t>
      </w:r>
      <w:r w:rsidRPr="00D834C5">
        <w:rPr>
          <w:rFonts w:ascii="Times New Roman" w:eastAsia="Calibri" w:hAnsi="Times New Roman" w:cs="Times New Roman"/>
          <w:bCs/>
          <w:sz w:val="28"/>
          <w:szCs w:val="28"/>
        </w:rPr>
        <w:t xml:space="preserve">, което съставлява </w:t>
      </w:r>
      <w:r w:rsidRPr="00D834C5">
        <w:rPr>
          <w:rFonts w:ascii="Times New Roman" w:eastAsia="Calibri" w:hAnsi="Times New Roman" w:cs="Times New Roman"/>
          <w:b/>
          <w:bCs/>
          <w:sz w:val="28"/>
          <w:szCs w:val="28"/>
        </w:rPr>
        <w:t>14,5  %</w:t>
      </w:r>
      <w:r w:rsidRPr="00D834C5">
        <w:rPr>
          <w:rFonts w:ascii="Times New Roman" w:eastAsia="Calibri" w:hAnsi="Times New Roman" w:cs="Times New Roman"/>
          <w:bCs/>
          <w:sz w:val="28"/>
          <w:szCs w:val="28"/>
        </w:rPr>
        <w:t xml:space="preserve"> от общия брой. </w:t>
      </w:r>
    </w:p>
    <w:p w:rsidR="00FD507C" w:rsidRPr="00D834C5" w:rsidRDefault="00FD507C" w:rsidP="00F63914">
      <w:pPr>
        <w:spacing w:after="0" w:line="240" w:lineRule="auto"/>
        <w:ind w:firstLine="653"/>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rPr>
        <w:t xml:space="preserve">Сравнено с данните за 2020г., когато  делът по този показател е бил </w:t>
      </w:r>
      <w:r w:rsidRPr="00D834C5">
        <w:rPr>
          <w:rFonts w:ascii="Times New Roman" w:eastAsia="Calibri" w:hAnsi="Times New Roman" w:cs="Times New Roman"/>
          <w:b/>
          <w:bCs/>
          <w:sz w:val="28"/>
          <w:szCs w:val="28"/>
        </w:rPr>
        <w:t>21,4%</w:t>
      </w:r>
      <w:r w:rsidRPr="00D834C5">
        <w:rPr>
          <w:rFonts w:ascii="Times New Roman" w:eastAsia="Calibri" w:hAnsi="Times New Roman" w:cs="Times New Roman"/>
          <w:bCs/>
          <w:sz w:val="28"/>
          <w:szCs w:val="28"/>
        </w:rPr>
        <w:t xml:space="preserve">, е видно, че е налице значително намаляване дела на оправдателните присъди и по тази причина. </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lang w:eastAsia="bg-BG"/>
        </w:rPr>
      </w:pPr>
      <w:r w:rsidRPr="00D834C5">
        <w:rPr>
          <w:rFonts w:ascii="Times New Roman" w:eastAsia="Calibri" w:hAnsi="Times New Roman" w:cs="Times New Roman"/>
          <w:bCs/>
          <w:sz w:val="28"/>
          <w:szCs w:val="28"/>
          <w:lang w:eastAsia="bg-BG"/>
        </w:rPr>
        <w:t xml:space="preserve">През 2019 г. към пета група са били отнесени </w:t>
      </w:r>
      <w:r w:rsidRPr="00D834C5">
        <w:rPr>
          <w:rFonts w:ascii="Times New Roman" w:eastAsia="Calibri" w:hAnsi="Times New Roman" w:cs="Times New Roman"/>
          <w:b/>
          <w:bCs/>
          <w:sz w:val="28"/>
          <w:szCs w:val="28"/>
          <w:lang w:eastAsia="bg-BG"/>
        </w:rPr>
        <w:t>19 броя</w:t>
      </w:r>
      <w:r w:rsidRPr="00D834C5">
        <w:rPr>
          <w:rFonts w:ascii="Times New Roman" w:eastAsia="Calibri" w:hAnsi="Times New Roman" w:cs="Times New Roman"/>
          <w:bCs/>
          <w:sz w:val="28"/>
          <w:szCs w:val="28"/>
          <w:lang w:eastAsia="bg-BG"/>
        </w:rPr>
        <w:t xml:space="preserve"> или </w:t>
      </w:r>
      <w:r w:rsidRPr="00D834C5">
        <w:rPr>
          <w:rFonts w:ascii="Times New Roman" w:eastAsia="Calibri" w:hAnsi="Times New Roman" w:cs="Times New Roman"/>
          <w:b/>
          <w:bCs/>
          <w:sz w:val="28"/>
          <w:szCs w:val="28"/>
          <w:lang w:eastAsia="bg-BG"/>
        </w:rPr>
        <w:t>34  %</w:t>
      </w:r>
      <w:r w:rsidRPr="00D834C5">
        <w:rPr>
          <w:rFonts w:ascii="Times New Roman" w:eastAsia="Calibri" w:hAnsi="Times New Roman" w:cs="Times New Roman"/>
          <w:bCs/>
          <w:sz w:val="28"/>
          <w:szCs w:val="28"/>
          <w:lang w:eastAsia="bg-BG"/>
        </w:rPr>
        <w:t xml:space="preserve"> от общия брой влезли в сила оправдателни присъди. </w:t>
      </w:r>
    </w:p>
    <w:p w:rsidR="00FD507C" w:rsidRPr="00D834C5" w:rsidRDefault="00FD507C" w:rsidP="00F63914">
      <w:pPr>
        <w:spacing w:after="0" w:line="240" w:lineRule="auto"/>
        <w:ind w:firstLine="567"/>
        <w:contextualSpacing/>
        <w:jc w:val="both"/>
        <w:rPr>
          <w:rFonts w:ascii="Times New Roman" w:eastAsia="Calibri" w:hAnsi="Times New Roman" w:cs="Times New Roman"/>
          <w:bCs/>
          <w:sz w:val="28"/>
          <w:szCs w:val="28"/>
        </w:rPr>
      </w:pPr>
      <w:r w:rsidRPr="00D834C5">
        <w:rPr>
          <w:rFonts w:ascii="Times New Roman" w:eastAsia="Calibri" w:hAnsi="Times New Roman" w:cs="Times New Roman"/>
          <w:bCs/>
          <w:sz w:val="28"/>
          <w:szCs w:val="28"/>
          <w:lang w:eastAsia="bg-BG"/>
        </w:rPr>
        <w:t>Видно от горното, в периода 2019-2021 г. намалява относителният дял на влезлите в сила оправдателни присъди, отнесени към група пет.</w:t>
      </w:r>
    </w:p>
    <w:p w:rsidR="00FD507C" w:rsidRDefault="00EB435B" w:rsidP="00F63914">
      <w:pPr>
        <w:spacing w:after="0" w:line="240" w:lineRule="auto"/>
        <w:ind w:firstLine="567"/>
        <w:contextualSpacing/>
        <w:jc w:val="both"/>
        <w:rPr>
          <w:rFonts w:ascii="Times New Roman" w:eastAsia="Calibri" w:hAnsi="Times New Roman" w:cs="Times New Roman"/>
          <w:b/>
          <w:bCs/>
          <w:sz w:val="28"/>
          <w:szCs w:val="28"/>
          <w:u w:val="single"/>
          <w:lang w:eastAsia="bg-BG"/>
        </w:rPr>
      </w:pPr>
      <w:r>
        <w:rPr>
          <w:rFonts w:ascii="Times New Roman" w:eastAsia="Calibri" w:hAnsi="Times New Roman" w:cs="Times New Roman"/>
          <w:b/>
          <w:bCs/>
          <w:sz w:val="28"/>
          <w:szCs w:val="28"/>
          <w:u w:val="single"/>
          <w:lang w:eastAsia="bg-BG"/>
        </w:rPr>
        <w:t>Анализът на тези резултати показва недотам добър показател на дейността на прокурорите по отношение на прилагането на правото, нещо, което следва да бъде променено през настоящата година.</w:t>
      </w:r>
    </w:p>
    <w:p w:rsidR="00EB435B" w:rsidRPr="00D834C5" w:rsidRDefault="00EB435B" w:rsidP="00F63914">
      <w:pPr>
        <w:spacing w:after="0" w:line="240" w:lineRule="auto"/>
        <w:ind w:firstLine="567"/>
        <w:contextualSpacing/>
        <w:jc w:val="both"/>
        <w:rPr>
          <w:rFonts w:ascii="Times New Roman" w:eastAsia="Calibri" w:hAnsi="Times New Roman" w:cs="Times New Roman"/>
          <w:b/>
          <w:bCs/>
          <w:sz w:val="28"/>
          <w:szCs w:val="28"/>
          <w:u w:val="single"/>
          <w:lang w:eastAsia="bg-BG"/>
        </w:rPr>
      </w:pPr>
    </w:p>
    <w:p w:rsidR="00FD507C" w:rsidRPr="00D834C5" w:rsidRDefault="00FD507C" w:rsidP="00F63914">
      <w:pPr>
        <w:numPr>
          <w:ilvl w:val="1"/>
          <w:numId w:val="5"/>
        </w:numPr>
        <w:spacing w:after="0" w:line="240" w:lineRule="auto"/>
        <w:ind w:left="0" w:firstLine="567"/>
        <w:contextualSpacing/>
        <w:jc w:val="both"/>
        <w:outlineLvl w:val="0"/>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lang w:eastAsia="bg-BG"/>
        </w:rPr>
        <w:t>Относителен дял на оправданите лица с влезли в сила оправдателни присъди/решения спрямо осъдените и санкционирани лица с влезли в сила осъдителни и санкционни решения</w:t>
      </w:r>
      <w:r w:rsidRPr="00D834C5">
        <w:rPr>
          <w:rFonts w:ascii="Times New Roman" w:eastAsia="Times New Roman" w:hAnsi="Times New Roman" w:cs="Times New Roman"/>
          <w:sz w:val="28"/>
          <w:szCs w:val="28"/>
          <w:lang w:eastAsia="bg-BG"/>
        </w:rPr>
        <w:t xml:space="preserve"> </w:t>
      </w:r>
    </w:p>
    <w:p w:rsidR="00FD507C" w:rsidRPr="00D834C5" w:rsidRDefault="00FD507C" w:rsidP="00F63914">
      <w:pPr>
        <w:spacing w:after="0" w:line="240" w:lineRule="auto"/>
        <w:ind w:left="567"/>
        <w:contextualSpacing/>
        <w:jc w:val="both"/>
        <w:outlineLvl w:val="0"/>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b/>
          <w:sz w:val="28"/>
          <w:szCs w:val="28"/>
          <w:u w:val="single"/>
          <w:lang w:eastAsia="bg-BG"/>
        </w:rPr>
      </w:pPr>
      <w:r w:rsidRPr="00D834C5">
        <w:rPr>
          <w:rFonts w:ascii="Times New Roman" w:eastAsia="Times New Roman" w:hAnsi="Times New Roman" w:cs="Times New Roman"/>
          <w:b/>
          <w:sz w:val="28"/>
          <w:szCs w:val="28"/>
          <w:u w:val="single"/>
          <w:lang w:eastAsia="bg-BG"/>
        </w:rPr>
        <w:t>Общо за региона на ОП – Варна:</w:t>
      </w: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b/>
          <w:color w:val="FF0000"/>
          <w:sz w:val="28"/>
          <w:szCs w:val="28"/>
          <w:u w:val="single"/>
          <w:lang w:eastAsia="bg-BG"/>
        </w:rPr>
      </w:pP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b/>
          <w:sz w:val="28"/>
          <w:szCs w:val="28"/>
          <w:u w:val="single"/>
          <w:lang w:eastAsia="bg-BG"/>
        </w:rPr>
      </w:pPr>
      <w:r w:rsidRPr="00D834C5">
        <w:rPr>
          <w:rFonts w:ascii="Times New Roman" w:eastAsia="Times New Roman" w:hAnsi="Times New Roman" w:cs="Times New Roman"/>
          <w:sz w:val="28"/>
          <w:szCs w:val="28"/>
          <w:lang w:eastAsia="bg-BG"/>
        </w:rPr>
        <w:t>През отчетния период 2021 г. общо за региона на ОП – Варна относителният дял на оправданите лица с влезли в сила оправдателни присъди и решения /69 броя/ спрямо осъдените и санкционирани лица с влязъл в сила съдебен акт /1658/ е 4.16 %.</w:t>
      </w: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2020 г. относителният дял на оправданите лица с влезли в сила оправдателни присъди и решения /25 броя/ спрямо осъдените и санкционирани лица с влязъл в сила съдебен акт /1532/ е бил 1.63 %.</w:t>
      </w: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b/>
          <w:sz w:val="28"/>
          <w:szCs w:val="28"/>
          <w:lang w:eastAsia="bg-BG"/>
        </w:rPr>
      </w:pPr>
      <w:r w:rsidRPr="00D834C5">
        <w:rPr>
          <w:rFonts w:ascii="Times New Roman" w:eastAsia="Times New Roman" w:hAnsi="Times New Roman" w:cs="Times New Roman"/>
          <w:sz w:val="28"/>
          <w:szCs w:val="28"/>
          <w:lang w:eastAsia="bg-BG"/>
        </w:rPr>
        <w:t>През 2019 г. този показател е бил 3.33 %.</w:t>
      </w:r>
    </w:p>
    <w:p w:rsidR="00FD507C" w:rsidRPr="00D834C5" w:rsidRDefault="00FD507C" w:rsidP="00F63914">
      <w:pPr>
        <w:spacing w:after="0" w:line="240" w:lineRule="auto"/>
        <w:ind w:firstLine="567"/>
        <w:contextualSpacing/>
        <w:jc w:val="both"/>
        <w:outlineLvl w:val="0"/>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Тези данни сочат на увеличение на показателя спрямо предходните два отчетни периода. </w:t>
      </w:r>
    </w:p>
    <w:p w:rsidR="00FD507C" w:rsidRDefault="00FD507C" w:rsidP="00F63914">
      <w:pPr>
        <w:spacing w:line="240" w:lineRule="auto"/>
        <w:contextualSpacing/>
      </w:pPr>
    </w:p>
    <w:p w:rsidR="00FD507C" w:rsidRPr="001A2348" w:rsidRDefault="00FD507C" w:rsidP="001A2348">
      <w:pPr>
        <w:spacing w:after="0" w:line="240" w:lineRule="auto"/>
        <w:ind w:firstLine="567"/>
        <w:jc w:val="both"/>
        <w:rPr>
          <w:rFonts w:ascii="Times New Roman" w:eastAsia="Times New Roman" w:hAnsi="Times New Roman" w:cs="Times New Roman"/>
          <w:b/>
          <w:color w:val="948A54"/>
          <w:sz w:val="28"/>
          <w:szCs w:val="28"/>
          <w:lang w:eastAsia="bg-BG"/>
        </w:rPr>
      </w:pPr>
      <w:r w:rsidRPr="001A2348">
        <w:rPr>
          <w:rFonts w:ascii="Times New Roman" w:eastAsia="Times New Roman" w:hAnsi="Times New Roman" w:cs="Times New Roman"/>
          <w:b/>
          <w:color w:val="948A54"/>
          <w:sz w:val="28"/>
          <w:szCs w:val="28"/>
          <w:lang w:eastAsia="bg-BG"/>
        </w:rPr>
        <w:t>Гражданско-съдебен надзор.</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b/>
          <w:color w:val="948A54"/>
          <w:sz w:val="28"/>
          <w:szCs w:val="28"/>
          <w:lang w:eastAsia="bg-BG"/>
        </w:rPr>
      </w:pPr>
      <w:r w:rsidRPr="00D834C5">
        <w:rPr>
          <w:rFonts w:ascii="Times New Roman" w:eastAsia="Times New Roman" w:hAnsi="Times New Roman" w:cs="Times New Roman"/>
          <w:b/>
          <w:color w:val="948A54"/>
          <w:sz w:val="28"/>
          <w:szCs w:val="28"/>
          <w:lang w:eastAsia="bg-BG"/>
        </w:rPr>
        <w:t>Предявени искове от прокурор. Уважени и неуважени искове.</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И през 2021 г., искови молби са изготвяни основно от прокурорите в ОП – Варна. Причината за това е, че исковете с правно основание чл. 155, чл. 252 от ТЗ и чл. 5 от ЗЛС са подсъдни на ОС - Варна. Наблюдава се значително увеличаване – 84 % на броят им в сравнение с предходната 2020 година.             </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lastRenderedPageBreak/>
        <w:t xml:space="preserve">Броят разгледани искови молби на ВОП от ОС – Варна през отчетният период е с 39,47% по-голям от разгледаните искови молби през 2020 г. </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 г. и през 2020 г. се наблюдава почти равен брой съдебни заседания и разгледани в открито заседание граждански дела. Причина за това, въпреки значително завишения брой искови молби е в това, че там, където закона позволява,  се разглеждат в закрито съдебно заседание. В сравнение с 2020 г. се наблюдава 34 % завишаване на </w:t>
      </w:r>
      <w:proofErr w:type="spellStart"/>
      <w:r w:rsidRPr="00D834C5">
        <w:rPr>
          <w:rFonts w:ascii="Times New Roman" w:eastAsia="Times New Roman" w:hAnsi="Times New Roman" w:cs="Times New Roman"/>
          <w:sz w:val="28"/>
          <w:szCs w:val="28"/>
          <w:lang w:eastAsia="bg-BG"/>
        </w:rPr>
        <w:t>първоинстанционните</w:t>
      </w:r>
      <w:proofErr w:type="spellEnd"/>
      <w:r w:rsidRPr="00D834C5">
        <w:rPr>
          <w:rFonts w:ascii="Times New Roman" w:eastAsia="Times New Roman" w:hAnsi="Times New Roman" w:cs="Times New Roman"/>
          <w:sz w:val="28"/>
          <w:szCs w:val="28"/>
          <w:lang w:eastAsia="bg-BG"/>
        </w:rPr>
        <w:t xml:space="preserve"> граждански дела, по които се е явявала ОП- Варна и 29 % по-малко въззивни граждански дела </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За РП – Варна се наблюдава тенденция към намаляване броя на заседанията, в които участват прокурорите от тази прокуратура-  с 18 % в сравнение с 2020 г. и с 29 % в сравнение с 2019 г. Това се дължи от една страна на намаляване общия брой на гражданските дела, по които РП – Варна е била страна, като общият брой на тези дела е намалял с 1 % в сравнение с отчетната 2020 г. и с 19,9 % в сравнение с отчетната 2019 г. От друга страна намалял е и броят на делата, по които законът задължително предвижда участието на прокурор.</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Създадена е стройна организация за участие във всички дела, за които законът задължително предвижда участието на прокурор, както в ОП- Вана, така и в РП- Варна.</w:t>
      </w:r>
    </w:p>
    <w:p w:rsidR="00FD507C" w:rsidRPr="00835D05" w:rsidRDefault="00FD507C" w:rsidP="00F63914">
      <w:pPr>
        <w:spacing w:after="0" w:line="240" w:lineRule="auto"/>
        <w:ind w:right="-567" w:firstLine="709"/>
        <w:contextualSpacing/>
        <w:jc w:val="both"/>
        <w:rPr>
          <w:rFonts w:ascii="Times New Roman" w:eastAsia="Times New Roman" w:hAnsi="Times New Roman" w:cs="Times New Roman"/>
          <w:b/>
          <w:color w:val="948A54"/>
          <w:sz w:val="28"/>
          <w:szCs w:val="28"/>
          <w:highlight w:val="yellow"/>
          <w:lang w:eastAsia="bg-BG"/>
        </w:rPr>
      </w:pPr>
      <w:r w:rsidRPr="00835D05">
        <w:rPr>
          <w:rFonts w:ascii="Times New Roman" w:eastAsia="Times New Roman" w:hAnsi="Times New Roman" w:cs="Times New Roman"/>
          <w:b/>
          <w:color w:val="948A54"/>
          <w:sz w:val="28"/>
          <w:szCs w:val="28"/>
          <w:highlight w:val="yellow"/>
          <w:lang w:eastAsia="bg-BG"/>
        </w:rPr>
        <w:t>Дейност на Прокуратурата по Закона за отнемане в полза на държавата на незаконно придобито имущество</w:t>
      </w:r>
    </w:p>
    <w:p w:rsidR="00FD507C" w:rsidRPr="00835D05" w:rsidRDefault="00FD507C" w:rsidP="00F63914">
      <w:pPr>
        <w:spacing w:after="0" w:line="240" w:lineRule="auto"/>
        <w:ind w:right="-567" w:firstLine="709"/>
        <w:contextualSpacing/>
        <w:jc w:val="both"/>
        <w:rPr>
          <w:rFonts w:ascii="Times New Roman" w:eastAsia="Times New Roman" w:hAnsi="Times New Roman" w:cs="Times New Roman"/>
          <w:sz w:val="28"/>
          <w:szCs w:val="28"/>
          <w:highlight w:val="yellow"/>
          <w:lang w:eastAsia="bg-BG"/>
        </w:rPr>
      </w:pPr>
      <w:r w:rsidRPr="00835D05">
        <w:rPr>
          <w:rFonts w:ascii="Times New Roman" w:eastAsia="Times New Roman" w:hAnsi="Times New Roman" w:cs="Times New Roman"/>
          <w:sz w:val="28"/>
          <w:szCs w:val="28"/>
          <w:highlight w:val="yellow"/>
          <w:lang w:eastAsia="bg-BG"/>
        </w:rPr>
        <w:t xml:space="preserve">През 2021 г. ОП – Варна е изпратила със 77, 84 % повече уведомления до КП КОНПИ, в сравнение с 2020 г. и със 152 % повече уведомления от изпратените през 2019 г. През отчетния период РП – Варна е сезирала КОНПИ с 23 % по-малко уведомления от изпратените през 2020 г. </w:t>
      </w:r>
    </w:p>
    <w:p w:rsidR="00FD507C" w:rsidRPr="00D834C5" w:rsidRDefault="00FD507C" w:rsidP="00F63914">
      <w:pPr>
        <w:spacing w:after="0" w:line="240" w:lineRule="auto"/>
        <w:ind w:right="-567" w:firstLine="708"/>
        <w:contextualSpacing/>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През отчетния период е създаден един съвместен екип между КПКОНПИ и ПРБ, през 2021 г. не е имало създаден съвместен екип, а през 2020 г. също е</w:t>
      </w:r>
      <w:r w:rsidRPr="00D834C5">
        <w:rPr>
          <w:rFonts w:ascii="Times New Roman" w:eastAsia="Times New Roman" w:hAnsi="Times New Roman" w:cs="Times New Roman"/>
          <w:sz w:val="28"/>
          <w:szCs w:val="28"/>
          <w:lang w:eastAsia="bg-BG"/>
        </w:rPr>
        <w:t xml:space="preserve"> имало един съвместен екип.</w:t>
      </w:r>
    </w:p>
    <w:p w:rsidR="00FD507C" w:rsidRPr="00D834C5" w:rsidRDefault="00FD507C" w:rsidP="00F63914">
      <w:pPr>
        <w:spacing w:after="0" w:line="240" w:lineRule="auto"/>
        <w:ind w:right="-567"/>
        <w:contextualSpacing/>
        <w:jc w:val="both"/>
        <w:rPr>
          <w:rFonts w:ascii="Times New Roman" w:eastAsia="Times New Roman" w:hAnsi="Times New Roman" w:cs="Times New Roman"/>
          <w:sz w:val="28"/>
          <w:szCs w:val="28"/>
          <w:highlight w:val="yellow"/>
          <w:lang w:eastAsia="bg-BG"/>
        </w:rPr>
      </w:pPr>
    </w:p>
    <w:p w:rsidR="00FD507C" w:rsidRPr="00835D05" w:rsidRDefault="00FD507C" w:rsidP="00F63914">
      <w:pPr>
        <w:pStyle w:val="a6"/>
        <w:numPr>
          <w:ilvl w:val="0"/>
          <w:numId w:val="5"/>
        </w:numPr>
        <w:spacing w:after="0" w:line="240" w:lineRule="auto"/>
        <w:ind w:right="-567"/>
        <w:jc w:val="both"/>
        <w:rPr>
          <w:rFonts w:ascii="Times New Roman" w:eastAsia="Times New Roman" w:hAnsi="Times New Roman" w:cs="Times New Roman"/>
          <w:b/>
          <w:color w:val="948A54"/>
          <w:sz w:val="28"/>
          <w:szCs w:val="28"/>
          <w:highlight w:val="yellow"/>
          <w:lang w:eastAsia="bg-BG"/>
        </w:rPr>
      </w:pPr>
      <w:r w:rsidRPr="00835D05">
        <w:rPr>
          <w:rFonts w:ascii="Times New Roman" w:eastAsia="Times New Roman" w:hAnsi="Times New Roman" w:cs="Times New Roman"/>
          <w:b/>
          <w:color w:val="948A54"/>
          <w:sz w:val="28"/>
          <w:szCs w:val="28"/>
          <w:highlight w:val="yellow"/>
          <w:lang w:eastAsia="bg-BG"/>
        </w:rPr>
        <w:t xml:space="preserve">Осъдителни решения срещу Прокуратурата на РБ на основание Закона за отговорността на държавата и общините за вреди (ЗОДОВ). Изпълнение на индивидуални общи мерки във връзка с решенията на Европейския съд по правата на човека по дела срещу България. </w:t>
      </w:r>
    </w:p>
    <w:p w:rsidR="00D90146" w:rsidRDefault="00D90146" w:rsidP="00F63914">
      <w:pPr>
        <w:spacing w:after="0" w:line="240" w:lineRule="auto"/>
        <w:ind w:right="-567" w:firstLine="709"/>
        <w:contextualSpacing/>
        <w:jc w:val="both"/>
        <w:rPr>
          <w:rFonts w:ascii="Times New Roman" w:eastAsia="Times New Roman" w:hAnsi="Times New Roman" w:cs="Times New Roman"/>
          <w:sz w:val="28"/>
          <w:szCs w:val="28"/>
          <w:lang w:eastAsia="bg-BG"/>
        </w:rPr>
      </w:pP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835D05">
        <w:rPr>
          <w:rFonts w:ascii="Times New Roman" w:eastAsia="Times New Roman" w:hAnsi="Times New Roman" w:cs="Times New Roman"/>
          <w:sz w:val="28"/>
          <w:szCs w:val="28"/>
          <w:highlight w:val="yellow"/>
          <w:lang w:eastAsia="bg-BG"/>
        </w:rPr>
        <w:t>За последните три години се наблюдава постепенно завишаване броя на подадените в ОС – Варна искове по ЗОДОВ срещу Прокуратурата на Р. България. В същото време се наблюдава постепенно намаляване на исковете по ЗОДОВ срещу Прокуратурата на Р България подадени в РС – Варна, като през 2021 г. исковете подадени в РС – Варна са намалели с 9,52 % спрямо 2020 г. и с 26,92 % спрямо 2019 г. Налага се извод, че за последните три години исковете по чл. 2 от ЗОДОВ са със завишени претенции и по тази причина се насочват основно към ОС – Варна.</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Основанието за отговорността на Прокуратурата по тези дела е основно, както и в предходните периоди, водени срещу ищците наказателни производства, приключили с оправдателна присъда - в 17 от делата. Пет от претенциите са били на основание водено и прекратено досъдебно производство. В един от случаите Прокуратурата е била осъдена да възмезди ищците поради нарушаване на правото на разглеждане на делото в разумен срок. </w:t>
      </w:r>
      <w:r w:rsidRPr="00D834C5">
        <w:rPr>
          <w:rFonts w:ascii="Times New Roman" w:eastAsia="Times New Roman" w:hAnsi="Times New Roman" w:cs="Times New Roman"/>
          <w:sz w:val="28"/>
          <w:szCs w:val="28"/>
          <w:lang w:eastAsia="bg-BG"/>
        </w:rPr>
        <w:lastRenderedPageBreak/>
        <w:t xml:space="preserve">В този случай ищецът е пострадал от престъпление, за което подсъдимият е признат за невиновен с влязла в сила присъда. Следва да се отбележи, че в този случай присъдената от съда сума е почти двойно по-висока от сумата, предложена като обезщетение от заместник - министъра на правосъдието, съгласно проведената административна процедура по глава 3а от ЗСВ, по която не е било постигнато споразумение. </w:t>
      </w:r>
    </w:p>
    <w:p w:rsidR="00FD507C" w:rsidRPr="00D834C5" w:rsidRDefault="00FD507C" w:rsidP="00F63914">
      <w:pPr>
        <w:spacing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последните три години се наблюдава намаляване броя на влезлите в сила решения по ЗОДОВ, с които е била осъдена Прокуратурата на Р. България. През 2021 г. влезлите в сила осъдителни решения са с 16,67 % по-малко от тези през 2020 г. и с почти 42 % по-малко от осъдителните решения през 2019 г. , което се дължи от една страна на намаляване броя на заведените пред РС – Варна искови претенции и от друга на специфичната обстановка, в която се намира страната ни през 2020 г. и през 2021 г. /пандемия от </w:t>
      </w:r>
      <w:r w:rsidRPr="00D834C5">
        <w:rPr>
          <w:rFonts w:ascii="Times New Roman" w:eastAsia="Times New Roman" w:hAnsi="Times New Roman" w:cs="Times New Roman"/>
          <w:sz w:val="28"/>
          <w:szCs w:val="28"/>
          <w:lang w:val="en-US" w:eastAsia="bg-BG"/>
        </w:rPr>
        <w:t>COVID</w:t>
      </w:r>
      <w:r w:rsidRPr="00D834C5">
        <w:rPr>
          <w:rFonts w:ascii="Times New Roman" w:eastAsia="Times New Roman" w:hAnsi="Times New Roman" w:cs="Times New Roman"/>
          <w:sz w:val="28"/>
          <w:szCs w:val="28"/>
          <w:lang w:eastAsia="bg-BG"/>
        </w:rPr>
        <w:t xml:space="preserve"> 19/.</w:t>
      </w:r>
    </w:p>
    <w:p w:rsidR="00FD507C" w:rsidRPr="00D834C5" w:rsidRDefault="00FD507C" w:rsidP="00F63914">
      <w:pPr>
        <w:shd w:val="clear" w:color="auto" w:fill="FFFFFF"/>
        <w:spacing w:before="5" w:after="0" w:line="240" w:lineRule="auto"/>
        <w:ind w:right="-567"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Общия размер на присъдените обезщетения по ЗОДОВ също е намалял - с 41 % спрямо общия размер на присъдените обезщетения за предходната година. Това се дължи от една страна на намалелия общ брой искови претенции, а от друга на положените усилия от страна на прокурорите защитавали интересите на ответника в гражданския процес. Предвид факта, че през отчетния период се наблюдава завишаване броя на предявени искове в ОС - Варна срещу Прокуратурата на Р. България със завишени искови претенции /над 25 000 лв./, може да се направи извод, че намаляване на общия размер на присъдените обезщетения се дължи в по-голяма степен на положените усилия от страна на прокурорите защитавали интересите на ответника в гражданския процес.</w:t>
      </w:r>
    </w:p>
    <w:p w:rsidR="00FD507C" w:rsidRPr="00D834C5" w:rsidRDefault="00FD507C" w:rsidP="00C22CE6">
      <w:pPr>
        <w:shd w:val="clear" w:color="auto" w:fill="FFFFFF"/>
        <w:spacing w:before="5" w:after="0" w:line="240" w:lineRule="auto"/>
        <w:ind w:firstLine="709"/>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Прокуратурата е упражнявала пълноценно функциите си като ответник. Изготвяните отговори са обхващали всички възможни възражения по исковете, правилно са били организирани </w:t>
      </w:r>
      <w:proofErr w:type="spellStart"/>
      <w:r w:rsidRPr="00D834C5">
        <w:rPr>
          <w:rFonts w:ascii="Times New Roman" w:eastAsia="Times New Roman" w:hAnsi="Times New Roman" w:cs="Times New Roman"/>
          <w:sz w:val="28"/>
          <w:szCs w:val="28"/>
          <w:lang w:eastAsia="bg-BG"/>
        </w:rPr>
        <w:t>доказателствените</w:t>
      </w:r>
      <w:proofErr w:type="spellEnd"/>
      <w:r w:rsidRPr="00D834C5">
        <w:rPr>
          <w:rFonts w:ascii="Times New Roman" w:eastAsia="Times New Roman" w:hAnsi="Times New Roman" w:cs="Times New Roman"/>
          <w:sz w:val="28"/>
          <w:szCs w:val="28"/>
          <w:lang w:eastAsia="bg-BG"/>
        </w:rPr>
        <w:t xml:space="preserve"> искания, съдебните актове са били обжалвани с мотивирани жалби, а решенията, с които претенциите са били уважени, са обжалвани пред втора инстанция.  </w:t>
      </w:r>
    </w:p>
    <w:p w:rsidR="00FD507C" w:rsidRPr="00D834C5" w:rsidRDefault="00FD507C" w:rsidP="00C22CE6">
      <w:pPr>
        <w:spacing w:after="0" w:line="240" w:lineRule="auto"/>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          През отчетния период Прокуратурите в съдебния район не са предвиждали и предприемали „индивидуални и общи мерки във връзка с решенията на Европейския съд по правата на човека по дела срещу България“.  </w:t>
      </w:r>
    </w:p>
    <w:p w:rsidR="00FD507C" w:rsidRDefault="00FD507C" w:rsidP="00C22CE6">
      <w:pPr>
        <w:spacing w:line="240" w:lineRule="auto"/>
        <w:contextualSpacing/>
      </w:pPr>
    </w:p>
    <w:p w:rsidR="00D90146" w:rsidRPr="00D90146" w:rsidRDefault="00D90146" w:rsidP="00C22CE6">
      <w:pPr>
        <w:pStyle w:val="a6"/>
        <w:numPr>
          <w:ilvl w:val="0"/>
          <w:numId w:val="5"/>
        </w:numPr>
        <w:spacing w:after="0" w:line="240" w:lineRule="auto"/>
        <w:jc w:val="center"/>
        <w:rPr>
          <w:rFonts w:ascii="Times New Roman" w:eastAsia="Times New Roman" w:hAnsi="Times New Roman" w:cs="Times New Roman"/>
          <w:b/>
          <w:sz w:val="28"/>
          <w:szCs w:val="28"/>
          <w:lang w:eastAsia="bg-BG"/>
        </w:rPr>
      </w:pPr>
      <w:r w:rsidRPr="00D90146">
        <w:rPr>
          <w:rFonts w:ascii="Times New Roman" w:eastAsia="Times New Roman" w:hAnsi="Times New Roman" w:cs="Times New Roman"/>
          <w:b/>
          <w:sz w:val="28"/>
          <w:szCs w:val="28"/>
          <w:lang w:eastAsia="bg-BG"/>
        </w:rPr>
        <w:t>Надзор „Изпълнение на наказанията и другите принудителни мерки“ в ОП – Варна и                         РП – Варна за 2021г.</w:t>
      </w:r>
    </w:p>
    <w:p w:rsidR="00D90146" w:rsidRPr="00D834C5" w:rsidRDefault="00D90146" w:rsidP="00C22CE6">
      <w:pPr>
        <w:spacing w:after="0" w:line="240" w:lineRule="auto"/>
        <w:contextualSpacing/>
        <w:jc w:val="center"/>
        <w:rPr>
          <w:rFonts w:ascii="Times New Roman" w:eastAsia="Times New Roman" w:hAnsi="Times New Roman" w:cs="Times New Roman"/>
          <w:b/>
          <w:sz w:val="28"/>
          <w:szCs w:val="28"/>
          <w:lang w:eastAsia="bg-BG"/>
        </w:rPr>
      </w:pPr>
    </w:p>
    <w:p w:rsidR="00D90146" w:rsidRPr="00D834C5" w:rsidRDefault="00D90146" w:rsidP="00C22CE6">
      <w:pPr>
        <w:spacing w:after="0" w:line="240" w:lineRule="auto"/>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b/>
          <w:sz w:val="28"/>
          <w:szCs w:val="28"/>
          <w:lang w:eastAsia="bg-BG"/>
        </w:rPr>
        <w:tab/>
      </w:r>
      <w:r w:rsidRPr="00D834C5">
        <w:rPr>
          <w:rFonts w:ascii="Times New Roman" w:eastAsia="Times New Roman" w:hAnsi="Times New Roman" w:cs="Times New Roman"/>
          <w:sz w:val="28"/>
          <w:szCs w:val="28"/>
          <w:lang w:eastAsia="bg-BG"/>
        </w:rPr>
        <w:t xml:space="preserve">През 2021г. в Окръжна прокуратура – Варна са получавани за изпълнение съдебни актове на Окръжен съд – Варна, </w:t>
      </w:r>
      <w:r w:rsidRPr="00D834C5">
        <w:rPr>
          <w:rFonts w:ascii="Times New Roman" w:eastAsia="Times New Roman" w:hAnsi="Times New Roman" w:cs="Times New Roman"/>
          <w:sz w:val="24"/>
          <w:szCs w:val="24"/>
          <w:lang w:eastAsia="bg-BG"/>
        </w:rPr>
        <w:t>както и съдебни актове на други съдилища, изпълнението на които е било делегирано от съответната прокуратура на ОП – Варна</w:t>
      </w:r>
      <w:r w:rsidRPr="00D834C5">
        <w:rPr>
          <w:rFonts w:ascii="Times New Roman" w:eastAsia="Times New Roman" w:hAnsi="Times New Roman" w:cs="Times New Roman"/>
          <w:sz w:val="28"/>
          <w:szCs w:val="28"/>
          <w:lang w:eastAsia="bg-BG"/>
        </w:rPr>
        <w:t xml:space="preserve">. През 2021г. в Районна прокуратура – Варна са получавани за изпълнение съдебни актове на Районен съд – Варна, Районен съд – Девня и Районен съд – Провадия, </w:t>
      </w:r>
      <w:r w:rsidRPr="00D834C5">
        <w:rPr>
          <w:rFonts w:ascii="Times New Roman" w:eastAsia="Times New Roman" w:hAnsi="Times New Roman" w:cs="Times New Roman"/>
          <w:sz w:val="24"/>
          <w:szCs w:val="24"/>
          <w:lang w:eastAsia="bg-BG"/>
        </w:rPr>
        <w:t>както и съдебни актове на други съдилища, изпълнението на които е било делегирано от съответната прокуратура на РП – Варна</w:t>
      </w:r>
      <w:r w:rsidRPr="00D834C5">
        <w:rPr>
          <w:rFonts w:ascii="Times New Roman" w:eastAsia="Times New Roman" w:hAnsi="Times New Roman" w:cs="Times New Roman"/>
          <w:sz w:val="28"/>
          <w:szCs w:val="28"/>
          <w:lang w:eastAsia="bg-BG"/>
        </w:rPr>
        <w:t>.</w:t>
      </w:r>
    </w:p>
    <w:p w:rsidR="00D90146" w:rsidRPr="00D834C5" w:rsidRDefault="00D90146" w:rsidP="00C22CE6">
      <w:pPr>
        <w:spacing w:after="0" w:line="240" w:lineRule="auto"/>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ab/>
        <w:t>През 2021г. дейността в надзора в ОП – Варна е осъществявана от                 4 прокурора, а в РП – Варна   -   от 6 прокурора.</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B76566">
        <w:rPr>
          <w:rFonts w:ascii="Times New Roman" w:eastAsia="Times New Roman" w:hAnsi="Times New Roman" w:cs="Times New Roman"/>
          <w:sz w:val="28"/>
          <w:szCs w:val="28"/>
          <w:highlight w:val="yellow"/>
          <w:lang w:eastAsia="bg-BG"/>
        </w:rPr>
        <w:t>През 2021г. общият брой на съдебните актове, получени за изпълнение в ОП – Варна и РП – Варна, възлиза на 954 бр. /</w:t>
      </w:r>
      <w:r w:rsidRPr="00B76566">
        <w:rPr>
          <w:rFonts w:ascii="Times New Roman" w:eastAsia="Times New Roman" w:hAnsi="Times New Roman" w:cs="Times New Roman"/>
          <w:b/>
          <w:sz w:val="24"/>
          <w:szCs w:val="24"/>
          <w:highlight w:val="yellow"/>
          <w:lang w:eastAsia="bg-BG"/>
        </w:rPr>
        <w:t xml:space="preserve">от които: в                   ОП – Варна – 104 бр., в РП – </w:t>
      </w:r>
      <w:r w:rsidRPr="00B76566">
        <w:rPr>
          <w:rFonts w:ascii="Times New Roman" w:eastAsia="Times New Roman" w:hAnsi="Times New Roman" w:cs="Times New Roman"/>
          <w:b/>
          <w:sz w:val="24"/>
          <w:szCs w:val="24"/>
          <w:highlight w:val="yellow"/>
          <w:lang w:eastAsia="bg-BG"/>
        </w:rPr>
        <w:lastRenderedPageBreak/>
        <w:t>Варна – 850 бр.</w:t>
      </w:r>
      <w:r w:rsidRPr="00B76566">
        <w:rPr>
          <w:rFonts w:ascii="Times New Roman" w:eastAsia="Times New Roman" w:hAnsi="Times New Roman" w:cs="Times New Roman"/>
          <w:sz w:val="28"/>
          <w:szCs w:val="28"/>
          <w:highlight w:val="yellow"/>
          <w:lang w:eastAsia="bg-BG"/>
        </w:rPr>
        <w:t>/.     През 2020г. общият брой на</w:t>
      </w:r>
      <w:r w:rsidRPr="00D834C5">
        <w:rPr>
          <w:rFonts w:ascii="Times New Roman" w:eastAsia="Times New Roman" w:hAnsi="Times New Roman" w:cs="Times New Roman"/>
          <w:sz w:val="28"/>
          <w:szCs w:val="28"/>
          <w:lang w:eastAsia="bg-BG"/>
        </w:rPr>
        <w:t xml:space="preserve"> получените за изпълнение съдебни актове е бил 913 /</w:t>
      </w:r>
      <w:r w:rsidRPr="00D834C5">
        <w:rPr>
          <w:rFonts w:ascii="Times New Roman" w:eastAsia="Times New Roman" w:hAnsi="Times New Roman" w:cs="Times New Roman"/>
          <w:b/>
          <w:sz w:val="24"/>
          <w:szCs w:val="24"/>
          <w:lang w:eastAsia="bg-BG"/>
        </w:rPr>
        <w:t>от които: в ОП – Варна – 75 бр., в РП – Варна – 838 бр.</w:t>
      </w:r>
      <w:r w:rsidRPr="00D834C5">
        <w:rPr>
          <w:rFonts w:ascii="Times New Roman" w:eastAsia="Times New Roman" w:hAnsi="Times New Roman" w:cs="Times New Roman"/>
          <w:sz w:val="28"/>
          <w:szCs w:val="28"/>
          <w:lang w:eastAsia="bg-BG"/>
        </w:rPr>
        <w:t>/, а през 2019 година – 783 бр. /</w:t>
      </w:r>
      <w:r w:rsidRPr="00D834C5">
        <w:rPr>
          <w:rFonts w:ascii="Times New Roman" w:eastAsia="Times New Roman" w:hAnsi="Times New Roman" w:cs="Times New Roman"/>
          <w:b/>
          <w:sz w:val="24"/>
          <w:szCs w:val="24"/>
          <w:lang w:eastAsia="bg-BG"/>
        </w:rPr>
        <w:t>от които: в ОП – Варна – 102 бр., в РП – Варна – 681 бр.</w:t>
      </w:r>
      <w:r w:rsidRPr="00D834C5">
        <w:rPr>
          <w:rFonts w:ascii="Times New Roman" w:eastAsia="Times New Roman" w:hAnsi="Times New Roman" w:cs="Times New Roman"/>
          <w:sz w:val="28"/>
          <w:szCs w:val="28"/>
          <w:lang w:eastAsia="bg-BG"/>
        </w:rPr>
        <w:t>/. За ОП – Варна е налице увеличение с 38.7 % спрямо 2020г. и увеличение с 2 % спрямо 2019г. За РП – Варна е налице увеличение с 1.4 % спрямо 2020г. и увеличение с 24.8 % спрямо 2019г.</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За 2021г. най – голям е броят на получените за изпълнение съдебни актове, с които е било наложено наказание „лишаване от свобода“, а именно – 458 бр., което бележи увеличение с 9.6 % спрямо 2020г. и съвпадение на резултатите спрямо 2019г.</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Броят на получените за изпълнение през 2021г. съдебни актове с наложено наказание „</w:t>
      </w:r>
      <w:proofErr w:type="spellStart"/>
      <w:r w:rsidRPr="00D834C5">
        <w:rPr>
          <w:rFonts w:ascii="Times New Roman" w:eastAsia="Times New Roman" w:hAnsi="Times New Roman" w:cs="Times New Roman"/>
          <w:sz w:val="28"/>
          <w:szCs w:val="28"/>
          <w:lang w:eastAsia="bg-BG"/>
        </w:rPr>
        <w:t>пробация</w:t>
      </w:r>
      <w:proofErr w:type="spellEnd"/>
      <w:r w:rsidRPr="00D834C5">
        <w:rPr>
          <w:rFonts w:ascii="Times New Roman" w:eastAsia="Times New Roman" w:hAnsi="Times New Roman" w:cs="Times New Roman"/>
          <w:sz w:val="28"/>
          <w:szCs w:val="28"/>
          <w:lang w:eastAsia="bg-BG"/>
        </w:rPr>
        <w:t>“ е 198, което бележи намаление с 3.5 % спрямо 2020г. и намаление с 13.2 % спрямо 2019г.</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За 2021г. броят на получените за изпълнение съдебни актове с наложено наказание „лишаване от права“ е 311, което бележи увеличение с 5.8 % спрямо 2020г. и намаление с 2.8 % спрямо 2019г.</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Броят на получените за изпълнение през 2021г. съдебни актове с наложено наказание „обществено порицание“ е 18 /</w:t>
      </w:r>
      <w:r w:rsidRPr="00D834C5">
        <w:rPr>
          <w:rFonts w:ascii="Times New Roman" w:eastAsia="Times New Roman" w:hAnsi="Times New Roman" w:cs="Times New Roman"/>
          <w:b/>
          <w:sz w:val="24"/>
          <w:szCs w:val="24"/>
          <w:lang w:eastAsia="bg-BG"/>
        </w:rPr>
        <w:t>като всички са получени за изпълнение в РП – Варна</w:t>
      </w:r>
      <w:r w:rsidRPr="00D834C5">
        <w:rPr>
          <w:rFonts w:ascii="Times New Roman" w:eastAsia="Times New Roman" w:hAnsi="Times New Roman" w:cs="Times New Roman"/>
          <w:sz w:val="28"/>
          <w:szCs w:val="28"/>
          <w:lang w:eastAsia="bg-BG"/>
        </w:rPr>
        <w:t>/, което бележи увеличение с 5.9 % спрямо 2020г. и увеличение с 28.6 % спрямо 2019г.</w:t>
      </w: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 xml:space="preserve">През 2021г., както и през 2020г. и 2019г. </w:t>
      </w:r>
      <w:r w:rsidRPr="00D834C5">
        <w:rPr>
          <w:rFonts w:ascii="Times New Roman" w:eastAsia="Times New Roman" w:hAnsi="Times New Roman" w:cs="Times New Roman"/>
          <w:sz w:val="32"/>
          <w:szCs w:val="32"/>
          <w:lang w:eastAsia="bg-BG"/>
        </w:rPr>
        <w:t>не</w:t>
      </w:r>
      <w:r w:rsidRPr="00D834C5">
        <w:rPr>
          <w:rFonts w:ascii="Times New Roman" w:eastAsia="Times New Roman" w:hAnsi="Times New Roman" w:cs="Times New Roman"/>
          <w:sz w:val="28"/>
          <w:szCs w:val="28"/>
          <w:lang w:eastAsia="bg-BG"/>
        </w:rPr>
        <w:t xml:space="preserve"> са получавани за изпълнение съдебни актове с наложено наказание „доживотен затвор“ или „доживотен затвор без замяна“.</w:t>
      </w:r>
    </w:p>
    <w:p w:rsidR="00D90146"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B76566">
        <w:rPr>
          <w:rFonts w:ascii="Times New Roman" w:eastAsia="Times New Roman" w:hAnsi="Times New Roman" w:cs="Times New Roman"/>
          <w:sz w:val="28"/>
          <w:szCs w:val="28"/>
          <w:highlight w:val="yellow"/>
          <w:lang w:eastAsia="bg-BG"/>
        </w:rPr>
        <w:t>Към 31.12.2021г. броят на неприведените в изпълнение съдебни актове е общо 20 бр., от които: за ОП – Варна – 12 бр., а  за РП – Варна                 – 8 бр.     По този показател е налице увеличение както спрямо 2020г. когато неприведените в изпълнение съдебни актове са били общо 11 бр. /</w:t>
      </w:r>
      <w:r w:rsidRPr="00B76566">
        <w:rPr>
          <w:rFonts w:ascii="Times New Roman" w:eastAsia="Times New Roman" w:hAnsi="Times New Roman" w:cs="Times New Roman"/>
          <w:b/>
          <w:sz w:val="24"/>
          <w:szCs w:val="24"/>
          <w:highlight w:val="yellow"/>
          <w:lang w:eastAsia="bg-BG"/>
        </w:rPr>
        <w:t>от които: за ОП – Варна - 4 бр., за РП – Варна - 7 бр.</w:t>
      </w:r>
      <w:r w:rsidRPr="00B76566">
        <w:rPr>
          <w:rFonts w:ascii="Times New Roman" w:eastAsia="Times New Roman" w:hAnsi="Times New Roman" w:cs="Times New Roman"/>
          <w:sz w:val="28"/>
          <w:szCs w:val="28"/>
          <w:highlight w:val="yellow"/>
          <w:lang w:eastAsia="bg-BG"/>
        </w:rPr>
        <w:t>/ , така и спрямо 2019г. когато неприведени в изпълнение съдебни актове са били общо 18 бр. /</w:t>
      </w:r>
      <w:r w:rsidRPr="00B76566">
        <w:rPr>
          <w:rFonts w:ascii="Times New Roman" w:eastAsia="Times New Roman" w:hAnsi="Times New Roman" w:cs="Times New Roman"/>
          <w:b/>
          <w:sz w:val="24"/>
          <w:szCs w:val="24"/>
          <w:highlight w:val="yellow"/>
          <w:lang w:eastAsia="bg-BG"/>
        </w:rPr>
        <w:t>от които: за                   ОП – Варна – 10 бр., за РП – Варна – 7 бр., за РП – Девня – 1 бр.</w:t>
      </w:r>
      <w:r w:rsidRPr="00B76566">
        <w:rPr>
          <w:rFonts w:ascii="Times New Roman" w:eastAsia="Times New Roman" w:hAnsi="Times New Roman" w:cs="Times New Roman"/>
          <w:sz w:val="28"/>
          <w:szCs w:val="28"/>
          <w:highlight w:val="yellow"/>
          <w:lang w:eastAsia="bg-BG"/>
        </w:rPr>
        <w:t>/</w:t>
      </w:r>
    </w:p>
    <w:p w:rsidR="00AF1BA0" w:rsidRDefault="00AF1BA0" w:rsidP="00C22CE6">
      <w:pPr>
        <w:ind w:firstLine="708"/>
        <w:jc w:val="both"/>
        <w:rPr>
          <w:sz w:val="28"/>
          <w:szCs w:val="28"/>
        </w:rPr>
      </w:pPr>
    </w:p>
    <w:p w:rsidR="00AF1BA0" w:rsidRPr="00EB2610" w:rsidRDefault="00AF1BA0" w:rsidP="00C22CE6">
      <w:pPr>
        <w:ind w:firstLine="708"/>
        <w:jc w:val="both"/>
        <w:rPr>
          <w:sz w:val="28"/>
          <w:szCs w:val="28"/>
          <w:highlight w:val="yellow"/>
        </w:rPr>
      </w:pPr>
      <w:r w:rsidRPr="00EB2610">
        <w:rPr>
          <w:sz w:val="28"/>
          <w:szCs w:val="28"/>
          <w:highlight w:val="yellow"/>
        </w:rPr>
        <w:t>През 2021 година общият брой на преписките с оглед прилагане на принудителни мерки по чл. 155 от Закона за здравето и по чл. 89 от НК за района на ОП - Варна възлиза както следва:</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общ брой наблюдавани преписки          </w:t>
      </w:r>
      <w:r w:rsidRPr="00EB2610">
        <w:rPr>
          <w:sz w:val="28"/>
          <w:szCs w:val="28"/>
          <w:highlight w:val="yellow"/>
        </w:rPr>
        <w:tab/>
        <w:t>- 382 бр.</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новообразувани преписки                       </w:t>
      </w:r>
      <w:r w:rsidRPr="00EB2610">
        <w:rPr>
          <w:sz w:val="28"/>
          <w:szCs w:val="28"/>
          <w:highlight w:val="yellow"/>
        </w:rPr>
        <w:tab/>
        <w:t>- 366 бр.</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внесени предложения и искания в съда </w:t>
      </w:r>
      <w:r w:rsidRPr="00EB2610">
        <w:rPr>
          <w:sz w:val="28"/>
          <w:szCs w:val="28"/>
          <w:highlight w:val="yellow"/>
        </w:rPr>
        <w:tab/>
        <w:t>- 286 бр.</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разгледани от съда                                  </w:t>
      </w:r>
      <w:r w:rsidRPr="00EB2610">
        <w:rPr>
          <w:sz w:val="28"/>
          <w:szCs w:val="28"/>
          <w:highlight w:val="yellow"/>
        </w:rPr>
        <w:tab/>
        <w:t>- 268 бр.</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уважени от съда                                       </w:t>
      </w:r>
      <w:r w:rsidRPr="00EB2610">
        <w:rPr>
          <w:sz w:val="28"/>
          <w:szCs w:val="28"/>
          <w:highlight w:val="yellow"/>
        </w:rPr>
        <w:tab/>
        <w:t>- 123 бр.</w:t>
      </w:r>
    </w:p>
    <w:p w:rsidR="00AF1BA0" w:rsidRPr="00EB2610" w:rsidRDefault="00AF1BA0" w:rsidP="00C22CE6">
      <w:pPr>
        <w:numPr>
          <w:ilvl w:val="0"/>
          <w:numId w:val="14"/>
        </w:numPr>
        <w:overflowPunct w:val="0"/>
        <w:autoSpaceDE w:val="0"/>
        <w:autoSpaceDN w:val="0"/>
        <w:adjustRightInd w:val="0"/>
        <w:spacing w:after="0" w:line="240" w:lineRule="auto"/>
        <w:jc w:val="both"/>
        <w:textAlignment w:val="baseline"/>
        <w:rPr>
          <w:sz w:val="28"/>
          <w:szCs w:val="28"/>
          <w:highlight w:val="yellow"/>
        </w:rPr>
      </w:pPr>
      <w:r w:rsidRPr="00EB2610">
        <w:rPr>
          <w:sz w:val="28"/>
          <w:szCs w:val="28"/>
          <w:highlight w:val="yellow"/>
        </w:rPr>
        <w:t xml:space="preserve">прекратени от съда                                  </w:t>
      </w:r>
      <w:r w:rsidRPr="00EB2610">
        <w:rPr>
          <w:sz w:val="28"/>
          <w:szCs w:val="28"/>
          <w:highlight w:val="yellow"/>
        </w:rPr>
        <w:tab/>
        <w:t>- 145 бр.</w:t>
      </w:r>
    </w:p>
    <w:p w:rsidR="00AF1BA0" w:rsidRPr="00D834C5" w:rsidRDefault="00AF1BA0" w:rsidP="00C22CE6">
      <w:pPr>
        <w:spacing w:after="0" w:line="240" w:lineRule="auto"/>
        <w:ind w:firstLine="708"/>
        <w:contextualSpacing/>
        <w:jc w:val="both"/>
        <w:rPr>
          <w:rFonts w:ascii="Times New Roman" w:eastAsia="Times New Roman" w:hAnsi="Times New Roman" w:cs="Times New Roman"/>
          <w:sz w:val="28"/>
          <w:szCs w:val="28"/>
          <w:lang w:eastAsia="bg-BG"/>
        </w:rPr>
      </w:pPr>
    </w:p>
    <w:p w:rsidR="00D90146" w:rsidRPr="00D834C5" w:rsidRDefault="00D90146" w:rsidP="00C22CE6">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Във връзка с отлагане на изпълнението на наказание „лишаване от свобода“ или „</w:t>
      </w:r>
      <w:proofErr w:type="spellStart"/>
      <w:r w:rsidRPr="00D834C5">
        <w:rPr>
          <w:rFonts w:ascii="Times New Roman" w:eastAsia="Times New Roman" w:hAnsi="Times New Roman" w:cs="Times New Roman"/>
          <w:sz w:val="28"/>
          <w:szCs w:val="28"/>
          <w:lang w:eastAsia="bg-BG"/>
        </w:rPr>
        <w:t>пробация</w:t>
      </w:r>
      <w:proofErr w:type="spellEnd"/>
      <w:r w:rsidRPr="00D834C5">
        <w:rPr>
          <w:rFonts w:ascii="Times New Roman" w:eastAsia="Times New Roman" w:hAnsi="Times New Roman" w:cs="Times New Roman"/>
          <w:sz w:val="28"/>
          <w:szCs w:val="28"/>
          <w:lang w:eastAsia="bg-BG"/>
        </w:rPr>
        <w:t xml:space="preserve">“ по реда на чл.415 от НПК, през 2021г. от страна на окръжния прокурор на </w:t>
      </w:r>
      <w:r w:rsidRPr="00D834C5">
        <w:rPr>
          <w:rFonts w:ascii="Times New Roman" w:eastAsia="Times New Roman" w:hAnsi="Times New Roman" w:cs="Times New Roman"/>
          <w:sz w:val="28"/>
          <w:szCs w:val="28"/>
          <w:lang w:eastAsia="bg-BG"/>
        </w:rPr>
        <w:lastRenderedPageBreak/>
        <w:t>ОП – Варна няма такива произнасяния, а от страна на районния прокурор на РП – Варна са налице такива произнасяния по общо 7 преписки.     За сравнение с предходни отчетни периоди: през 2020г. няма случай, при който да е било отложено изпълнението на наказание „лишаване от свобода“ или „</w:t>
      </w:r>
      <w:proofErr w:type="spellStart"/>
      <w:r w:rsidRPr="00D834C5">
        <w:rPr>
          <w:rFonts w:ascii="Times New Roman" w:eastAsia="Times New Roman" w:hAnsi="Times New Roman" w:cs="Times New Roman"/>
          <w:sz w:val="28"/>
          <w:szCs w:val="28"/>
          <w:lang w:eastAsia="bg-BG"/>
        </w:rPr>
        <w:t>пробация</w:t>
      </w:r>
      <w:proofErr w:type="spellEnd"/>
      <w:r w:rsidRPr="00D834C5">
        <w:rPr>
          <w:rFonts w:ascii="Times New Roman" w:eastAsia="Times New Roman" w:hAnsi="Times New Roman" w:cs="Times New Roman"/>
          <w:sz w:val="28"/>
          <w:szCs w:val="28"/>
          <w:lang w:eastAsia="bg-BG"/>
        </w:rPr>
        <w:t>“, а за 2019г. е налице един такъв случай, като произнасянето за отлагане е осъществено от районния прокурор на РП – Провадия.</w:t>
      </w:r>
    </w:p>
    <w:p w:rsidR="00D90146" w:rsidRPr="00D834C5"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2021г. са налице 13 случая, при които от окръжния прокурор на ОП – Варна по реда на чл.448 от НПК е прекъснато изпълнението на наказание „лишаване от свобода“.     По този показател е налице увеличение спрямо 2020г., когато са били налице 8 такива случая и намаление спрямо 2019г. когато са били  налице 17 такива случая.</w:t>
      </w:r>
    </w:p>
    <w:p w:rsidR="00D90146" w:rsidRPr="00D834C5"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D834C5">
        <w:rPr>
          <w:rFonts w:ascii="Times New Roman" w:eastAsia="Times New Roman" w:hAnsi="Times New Roman" w:cs="Times New Roman"/>
          <w:sz w:val="28"/>
          <w:szCs w:val="28"/>
          <w:lang w:eastAsia="bg-BG"/>
        </w:rPr>
        <w:t>През 2021г. прокурорите от „Надзор „Изпълнение на наказанията и другите принудителни мерки в ОП – Варна и в РП – Варна всеки месец са извършвали проверки в Сектор „Арести“ при ОС „ИН“ – Варна.     Прокурорите от „Надзор „Изпълнение на наказанията и другите принудителни мерки в ОП – Варна са извършвали проверки и в Затвора – гр.Варна и двете затворнически общежития към него /ЗО – Варна и ЗО – Разделна/.</w:t>
      </w:r>
    </w:p>
    <w:p w:rsidR="00D90146" w:rsidRDefault="00D90146" w:rsidP="00F63914">
      <w:pPr>
        <w:spacing w:line="240" w:lineRule="auto"/>
        <w:contextualSpacing/>
        <w:rPr>
          <w:rFonts w:ascii="Times New Roman" w:hAnsi="Times New Roman" w:cs="Times New Roman"/>
          <w:sz w:val="28"/>
          <w:szCs w:val="28"/>
        </w:rPr>
      </w:pPr>
    </w:p>
    <w:p w:rsidR="00D90146" w:rsidRDefault="00D90146" w:rsidP="00F63914">
      <w:pPr>
        <w:keepNext/>
        <w:keepLines/>
        <w:spacing w:before="480" w:after="0" w:line="240" w:lineRule="auto"/>
        <w:contextualSpacing/>
        <w:jc w:val="both"/>
        <w:outlineLvl w:val="0"/>
        <w:rPr>
          <w:rFonts w:ascii="Times New Roman" w:eastAsiaTheme="majorEastAsia" w:hAnsi="Times New Roman" w:cs="Times New Roman"/>
          <w:smallCaps/>
          <w:color w:val="0070C0"/>
          <w:sz w:val="28"/>
          <w:szCs w:val="28"/>
        </w:rPr>
      </w:pPr>
      <w:r>
        <w:rPr>
          <w:rFonts w:ascii="Times New Roman" w:eastAsiaTheme="majorEastAsia" w:hAnsi="Times New Roman" w:cs="Times New Roman"/>
          <w:smallCaps/>
          <w:color w:val="0070C0"/>
          <w:sz w:val="28"/>
          <w:szCs w:val="28"/>
        </w:rPr>
        <w:t>ІІІ. ДЕЙНОСТ ПО ИЗПЪЛНЕНИЕ НА ПРЕПОРЪКИТЕ В РАМКИТЕ НА МЕХАНИЗМА ЗА СЪТРУДНИЧЕСТВО И ПРОВЕРКА. СПЕЦИАЛЕН НАДЗОР И НАКАЗАТЕЛНИ ПРОИЗВОДСТВА, ОБРАЗУВАНИ ЗА НЯКОИ КАТЕГОРИИ ТЕЖКИ ПРЕСТЪПЛЕНИЯ И ТАКИВА ОТ ОСОБЕН ОБЩЕСТВЕН ИНТЕРЕС.</w:t>
      </w:r>
    </w:p>
    <w:p w:rsidR="00D90146" w:rsidRDefault="00D90146" w:rsidP="00F63914">
      <w:pPr>
        <w:spacing w:after="0" w:line="240" w:lineRule="auto"/>
        <w:ind w:firstLine="426"/>
        <w:contextualSpacing/>
        <w:jc w:val="both"/>
        <w:rPr>
          <w:rFonts w:ascii="Times New Roman" w:eastAsia="Times New Roman" w:hAnsi="Times New Roman" w:cs="Times New Roman"/>
          <w:bCs/>
          <w:smallCaps/>
          <w:sz w:val="28"/>
          <w:szCs w:val="28"/>
          <w:lang w:eastAsia="bg-BG"/>
        </w:rPr>
      </w:pPr>
    </w:p>
    <w:p w:rsidR="00D90146" w:rsidRDefault="00D90146" w:rsidP="00F63914">
      <w:pPr>
        <w:keepNext/>
        <w:keepLines/>
        <w:spacing w:before="480" w:after="0" w:line="240" w:lineRule="auto"/>
        <w:contextualSpacing/>
        <w:jc w:val="both"/>
        <w:outlineLvl w:val="0"/>
        <w:rPr>
          <w:rFonts w:ascii="Times New Roman" w:eastAsiaTheme="majorEastAsia" w:hAnsi="Times New Roman" w:cs="Times New Roman"/>
          <w:bCs/>
          <w:color w:val="365F91" w:themeColor="accent1" w:themeShade="BF"/>
          <w:sz w:val="28"/>
          <w:szCs w:val="28"/>
        </w:rPr>
      </w:pPr>
      <w:bookmarkStart w:id="10" w:name="_Toc506557847"/>
      <w:r>
        <w:rPr>
          <w:rFonts w:ascii="Times New Roman" w:eastAsiaTheme="majorEastAsia" w:hAnsi="Times New Roman" w:cs="Times New Roman"/>
          <w:bCs/>
          <w:color w:val="365F91" w:themeColor="accent1" w:themeShade="BF"/>
          <w:sz w:val="28"/>
          <w:szCs w:val="28"/>
        </w:rPr>
        <w:t>1. СПЕЦИАЛЕН НАДЗОР /таблица 3.2/</w:t>
      </w:r>
      <w:bookmarkEnd w:id="10"/>
    </w:p>
    <w:p w:rsidR="00D90146" w:rsidRDefault="00D90146" w:rsidP="00F63914">
      <w:pPr>
        <w:spacing w:after="0" w:line="240" w:lineRule="auto"/>
        <w:ind w:firstLine="709"/>
        <w:contextualSpacing/>
        <w:jc w:val="both"/>
        <w:rPr>
          <w:rFonts w:ascii="Times New Roman" w:eastAsia="Times New Roman" w:hAnsi="Times New Roman" w:cs="Times New Roman"/>
          <w:sz w:val="28"/>
          <w:szCs w:val="28"/>
          <w:lang w:eastAsia="bg-BG"/>
        </w:rPr>
      </w:pP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Общо наблюдаваните в района на ОП - Варна през 2021 г. досъдебни производства, взети на специален надзор възлизат на 299 броя, като 22 от тях са наблюдавани от ОП – Варна и 277 бр. от РП – Варна.</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Новообразуваните дела за района на ОП – Варна за 2021 г. са 178 броя, като от тях 4 броя са били наблюдавани от ОП – Варна, а 174 броя от РП – Варна.</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През 2021 г. броя на новообразуваните дела също е висок в сравнение с 2019 г. и предишните години, но двойно по-малък в сравнение с 2020 г. Това обстоятелство се дължи на делата по чл.355 от НК, които през отчетната година са силно намалели. Без тях е налице повишаване на броя на делата, водени за корупционни престъпления с 42,9% и с 300 % са се повишили делата, водени за злоупотреба с фондове на ЕС</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color w:val="FF0000"/>
          <w:sz w:val="28"/>
          <w:szCs w:val="28"/>
          <w:lang w:eastAsia="bg-BG"/>
        </w:rPr>
        <w:tab/>
      </w:r>
      <w:r>
        <w:rPr>
          <w:rFonts w:ascii="Times New Roman" w:eastAsia="Times New Roman" w:hAnsi="Times New Roman" w:cs="Times New Roman"/>
          <w:sz w:val="28"/>
          <w:szCs w:val="28"/>
          <w:lang w:eastAsia="bg-BG"/>
        </w:rPr>
        <w:t>Броят на досъдебните производства с приключено разследване от разследващия орган през 2021 г. е  177 бр., което показва почти двойно увеличение спрямо 2020 г. и повече от 7 пъти увеличение спрямо 2019 г.</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Внесени в съда за разглеждане са 41 дела с предадени на съд 56 лица, а прекратените производства са 115 броя.</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Прекратените през 2021 г. дела са 115 и като се приспадне бройката по чл.355 е очевидно значително повишаване на показателите в сравнение с преходните години.  </w:t>
      </w:r>
    </w:p>
    <w:p w:rsidR="00D90146" w:rsidRDefault="00D90146" w:rsidP="00F63914">
      <w:pPr>
        <w:keepNext/>
        <w:keepLines/>
        <w:spacing w:before="480" w:after="0" w:line="240" w:lineRule="auto"/>
        <w:contextualSpacing/>
        <w:jc w:val="both"/>
        <w:outlineLvl w:val="0"/>
        <w:rPr>
          <w:rFonts w:ascii="Times New Roman" w:eastAsiaTheme="majorEastAsia" w:hAnsi="Times New Roman" w:cs="Times New Roman"/>
          <w:bCs/>
          <w:color w:val="365F91" w:themeColor="accent1" w:themeShade="BF"/>
          <w:sz w:val="28"/>
          <w:szCs w:val="28"/>
        </w:rPr>
      </w:pPr>
      <w:bookmarkStart w:id="11" w:name="_Toc506557848"/>
      <w:r>
        <w:rPr>
          <w:rFonts w:ascii="Times New Roman" w:eastAsiaTheme="majorEastAsia" w:hAnsi="Times New Roman" w:cs="Times New Roman"/>
          <w:bCs/>
          <w:color w:val="365F91" w:themeColor="accent1" w:themeShade="BF"/>
          <w:sz w:val="28"/>
          <w:szCs w:val="28"/>
        </w:rPr>
        <w:lastRenderedPageBreak/>
        <w:t>2. ДОСЪДЕБНИ ПРОИЗВОДСТВА, ОБРАЗУВАНИ ЗА НЯКОИ КАТЕГОРИИ ТЕЖКИ ПРЕСТЪПЛЕНИЯ И ТАКИВА ОТ ОСОБЕН ОБЩЕСТВЕН ИНТЕРЕС.</w:t>
      </w:r>
      <w:bookmarkEnd w:id="11"/>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p>
    <w:p w:rsidR="00D90146" w:rsidRPr="00AF1BA0" w:rsidRDefault="00D90146" w:rsidP="00F63914">
      <w:pPr>
        <w:spacing w:after="0" w:line="240" w:lineRule="auto"/>
        <w:contextualSpacing/>
        <w:jc w:val="both"/>
        <w:rPr>
          <w:rFonts w:ascii="Times New Roman" w:eastAsia="Times New Roman" w:hAnsi="Times New Roman" w:cs="Times New Roman"/>
          <w:sz w:val="28"/>
          <w:szCs w:val="28"/>
          <w:highlight w:val="yellow"/>
          <w:lang w:eastAsia="bg-BG"/>
        </w:rPr>
      </w:pPr>
      <w:r>
        <w:rPr>
          <w:rFonts w:ascii="Times New Roman" w:eastAsia="Times New Roman" w:hAnsi="Times New Roman" w:cs="Times New Roman"/>
          <w:sz w:val="28"/>
          <w:szCs w:val="28"/>
          <w:lang w:eastAsia="bg-BG"/>
        </w:rPr>
        <w:tab/>
      </w:r>
      <w:r w:rsidRPr="00AF1BA0">
        <w:rPr>
          <w:rFonts w:ascii="Times New Roman" w:eastAsia="Times New Roman" w:hAnsi="Times New Roman" w:cs="Times New Roman"/>
          <w:sz w:val="28"/>
          <w:szCs w:val="28"/>
          <w:highlight w:val="yellow"/>
          <w:lang w:eastAsia="bg-BG"/>
        </w:rPr>
        <w:t xml:space="preserve">През 2021 г. ОП - Варна е наблюдавала 31 досъдебни производства с предмет пране на пари, като за 2020 г. и 2019 г. тези дела са били  също 31.  </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За  трафик на хора общо за района на ОП – Варна през отчетната година са наблюдавани 14 досъдебни производства, през 2020 г. и  2019 г – по 20.</w:t>
      </w:r>
      <w:r>
        <w:rPr>
          <w:rFonts w:ascii="Times New Roman" w:eastAsia="Times New Roman" w:hAnsi="Times New Roman" w:cs="Times New Roman"/>
          <w:sz w:val="28"/>
          <w:szCs w:val="28"/>
          <w:lang w:eastAsia="bg-BG"/>
        </w:rPr>
        <w:t xml:space="preserve">   </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Наблюдаваните през 2021 г. дела за престъпления, свързани с </w:t>
      </w:r>
      <w:proofErr w:type="spellStart"/>
      <w:r>
        <w:rPr>
          <w:rFonts w:ascii="Times New Roman" w:eastAsia="Times New Roman" w:hAnsi="Times New Roman" w:cs="Times New Roman"/>
          <w:sz w:val="28"/>
          <w:szCs w:val="28"/>
          <w:lang w:eastAsia="bg-BG"/>
        </w:rPr>
        <w:t>Еврофондове</w:t>
      </w:r>
      <w:proofErr w:type="spellEnd"/>
      <w:r>
        <w:rPr>
          <w:rFonts w:ascii="Times New Roman" w:eastAsia="Times New Roman" w:hAnsi="Times New Roman" w:cs="Times New Roman"/>
          <w:sz w:val="28"/>
          <w:szCs w:val="28"/>
          <w:lang w:eastAsia="bg-BG"/>
        </w:rPr>
        <w:t xml:space="preserve"> са били 13, през 2020 – 11 бр., а през 2019 г. – 13 бр.  </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За корупционни престъпления – общо за региона на ОП - Варна за 2021 г.  са 134, за 2020 г. – 135 бр. и за 2019 г. са 128 бр.   </w:t>
      </w:r>
    </w:p>
    <w:p w:rsidR="00D90146" w:rsidRPr="00AF1BA0" w:rsidRDefault="00D90146" w:rsidP="00F63914">
      <w:pPr>
        <w:spacing w:after="0" w:line="240" w:lineRule="auto"/>
        <w:contextualSpacing/>
        <w:jc w:val="both"/>
        <w:rPr>
          <w:rFonts w:ascii="Times New Roman" w:eastAsia="Times New Roman" w:hAnsi="Times New Roman" w:cs="Times New Roman"/>
          <w:i/>
          <w:sz w:val="28"/>
          <w:szCs w:val="28"/>
          <w:highlight w:val="yellow"/>
          <w:lang w:eastAsia="bg-BG"/>
        </w:rPr>
      </w:pPr>
      <w:r>
        <w:rPr>
          <w:rFonts w:ascii="Times New Roman" w:eastAsia="Times New Roman" w:hAnsi="Times New Roman" w:cs="Times New Roman"/>
          <w:i/>
          <w:sz w:val="28"/>
          <w:szCs w:val="28"/>
          <w:lang w:eastAsia="bg-BG"/>
        </w:rPr>
        <w:tab/>
      </w:r>
      <w:bookmarkStart w:id="12" w:name="_Toc506557850"/>
      <w:r w:rsidRPr="00AF1BA0">
        <w:rPr>
          <w:rFonts w:ascii="Times New Roman" w:eastAsiaTheme="majorEastAsia" w:hAnsi="Times New Roman" w:cs="Times New Roman"/>
          <w:bCs/>
          <w:color w:val="4F81BD" w:themeColor="accent1"/>
          <w:sz w:val="28"/>
          <w:szCs w:val="28"/>
          <w:highlight w:val="yellow"/>
        </w:rPr>
        <w:t>2.</w:t>
      </w:r>
      <w:proofErr w:type="spellStart"/>
      <w:r w:rsidRPr="00AF1BA0">
        <w:rPr>
          <w:rFonts w:ascii="Times New Roman" w:eastAsiaTheme="majorEastAsia" w:hAnsi="Times New Roman" w:cs="Times New Roman"/>
          <w:bCs/>
          <w:color w:val="4F81BD" w:themeColor="accent1"/>
          <w:sz w:val="28"/>
          <w:szCs w:val="28"/>
          <w:highlight w:val="yellow"/>
        </w:rPr>
        <w:t>2</w:t>
      </w:r>
      <w:proofErr w:type="spellEnd"/>
      <w:r w:rsidRPr="00AF1BA0">
        <w:rPr>
          <w:rFonts w:ascii="Times New Roman" w:eastAsiaTheme="majorEastAsia" w:hAnsi="Times New Roman" w:cs="Times New Roman"/>
          <w:bCs/>
          <w:color w:val="4F81BD" w:themeColor="accent1"/>
          <w:sz w:val="28"/>
          <w:szCs w:val="28"/>
          <w:highlight w:val="yellow"/>
        </w:rPr>
        <w:t>. Корупционни престъпления /таблица 4.2.1./</w:t>
      </w:r>
      <w:bookmarkEnd w:id="12"/>
    </w:p>
    <w:p w:rsidR="00D90146" w:rsidRPr="00AF1BA0" w:rsidRDefault="00D90146" w:rsidP="00F63914">
      <w:pPr>
        <w:spacing w:after="0" w:line="240" w:lineRule="auto"/>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ab/>
        <w:t xml:space="preserve">Общият брой на делата за корупционните престъпления за района на окръжна прокуратура  Варна през 2021 г. е 134.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ab/>
        <w:t>За ОП – Варна през отчетната година от всички наблюдавани досъдебни производства от тази категория, най-характерните и най-често проявяващи се корупционни престъпления са тези по</w:t>
      </w:r>
      <w:r w:rsidRPr="00AF1BA0">
        <w:rPr>
          <w:highlight w:val="yellow"/>
        </w:rPr>
        <w:t xml:space="preserve"> </w:t>
      </w:r>
      <w:r w:rsidRPr="00AF1BA0">
        <w:rPr>
          <w:rFonts w:ascii="Times New Roman" w:hAnsi="Times New Roman" w:cs="Times New Roman"/>
          <w:sz w:val="28"/>
          <w:szCs w:val="28"/>
          <w:highlight w:val="yellow"/>
        </w:rPr>
        <w:t>т.</w:t>
      </w:r>
      <w:r w:rsidRPr="00AF1BA0">
        <w:rPr>
          <w:rFonts w:ascii="Times New Roman" w:eastAsia="Times New Roman" w:hAnsi="Times New Roman" w:cs="Times New Roman"/>
          <w:sz w:val="28"/>
          <w:szCs w:val="28"/>
          <w:highlight w:val="yellow"/>
          <w:lang w:eastAsia="bg-BG"/>
        </w:rPr>
        <w:t>3 от Каталога на корупционните престъпления, а именно   „Злоупотреба    със    служебно</w:t>
      </w:r>
      <w:r>
        <w:rPr>
          <w:rFonts w:ascii="Times New Roman" w:eastAsia="Times New Roman" w:hAnsi="Times New Roman" w:cs="Times New Roman"/>
          <w:sz w:val="28"/>
          <w:szCs w:val="28"/>
          <w:lang w:eastAsia="bg-BG"/>
        </w:rPr>
        <w:t xml:space="preserve">    положение    на   длъжностни   лица   и престъпления на недлъжностни лица с вероятен корупционен мотив“(72). Следват престъпленията по  т.2 от Каталога на корупционните престъпления, а именно „Престъпления на длъжностни лица с вероятен корупционен мотив“ (49) и след тях са  същинските корупционни престъпления по т.1 от Каталога, а именно тези по  Глава Осма, Раздел ІV „Подкуп“(13).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Обобщено за ОП - Варна се констатира, че през 2021 г. е налице увеличение на броя на досъдебните производства, водени за корупционни престъпления с около 10 % спрямо преходните два периода.</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p>
    <w:p w:rsidR="00D90146" w:rsidRPr="00AF1BA0" w:rsidRDefault="00D90146" w:rsidP="00F63914">
      <w:pPr>
        <w:keepNext/>
        <w:keepLines/>
        <w:spacing w:before="200" w:after="0" w:line="240" w:lineRule="auto"/>
        <w:contextualSpacing/>
        <w:jc w:val="both"/>
        <w:outlineLvl w:val="1"/>
        <w:rPr>
          <w:rFonts w:ascii="Times New Roman" w:eastAsiaTheme="majorEastAsia" w:hAnsi="Times New Roman" w:cs="Times New Roman"/>
          <w:bCs/>
          <w:color w:val="4F81BD" w:themeColor="accent1"/>
          <w:sz w:val="28"/>
          <w:szCs w:val="28"/>
          <w:highlight w:val="yellow"/>
        </w:rPr>
      </w:pPr>
      <w:bookmarkStart w:id="13" w:name="_Toc506557852"/>
      <w:r>
        <w:rPr>
          <w:rFonts w:ascii="Times New Roman" w:eastAsiaTheme="majorEastAsia" w:hAnsi="Times New Roman" w:cs="Times New Roman"/>
          <w:bCs/>
          <w:color w:val="4F81BD" w:themeColor="accent1"/>
          <w:sz w:val="28"/>
          <w:szCs w:val="28"/>
        </w:rPr>
        <w:tab/>
      </w:r>
      <w:r w:rsidRPr="00AF1BA0">
        <w:rPr>
          <w:rFonts w:ascii="Times New Roman" w:eastAsiaTheme="majorEastAsia" w:hAnsi="Times New Roman" w:cs="Times New Roman"/>
          <w:bCs/>
          <w:color w:val="4F81BD" w:themeColor="accent1"/>
          <w:sz w:val="28"/>
          <w:szCs w:val="28"/>
          <w:highlight w:val="yellow"/>
        </w:rPr>
        <w:t>2.3. Изпиране на пари /таблица 4.2.</w:t>
      </w:r>
      <w:proofErr w:type="spellStart"/>
      <w:r w:rsidRPr="00AF1BA0">
        <w:rPr>
          <w:rFonts w:ascii="Times New Roman" w:eastAsiaTheme="majorEastAsia" w:hAnsi="Times New Roman" w:cs="Times New Roman"/>
          <w:bCs/>
          <w:color w:val="4F81BD" w:themeColor="accent1"/>
          <w:sz w:val="28"/>
          <w:szCs w:val="28"/>
          <w:highlight w:val="yellow"/>
        </w:rPr>
        <w:t>2</w:t>
      </w:r>
      <w:proofErr w:type="spellEnd"/>
      <w:r w:rsidRPr="00AF1BA0">
        <w:rPr>
          <w:rFonts w:ascii="Times New Roman" w:eastAsiaTheme="majorEastAsia" w:hAnsi="Times New Roman" w:cs="Times New Roman"/>
          <w:bCs/>
          <w:color w:val="4F81BD" w:themeColor="accent1"/>
          <w:sz w:val="28"/>
          <w:szCs w:val="28"/>
          <w:highlight w:val="yellow"/>
        </w:rPr>
        <w:t>./</w:t>
      </w:r>
      <w:bookmarkEnd w:id="13"/>
    </w:p>
    <w:p w:rsidR="00D90146" w:rsidRPr="00AF1BA0" w:rsidRDefault="00D90146" w:rsidP="00F63914">
      <w:pPr>
        <w:spacing w:after="0" w:line="240" w:lineRule="auto"/>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ab/>
        <w:t xml:space="preserve">През 2021 г. ОП – Варна е наблюдавала 31 досъдебни производства, водени за престъпления по чл.253 от НК. През 2020 и 2019 г. бройката е била същата.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ab/>
        <w:t>При сравнение на актуалните данни с тези от предходните две години е видно, че броят на наблюдаваните през последните три отчетни години досъдебни производства за престъпления по чл.253 от НК се запазва относително устойчив. През 2021 г. се констатира увеличение на новообразуваните дела и внесените в съда.</w:t>
      </w:r>
      <w:r>
        <w:rPr>
          <w:rFonts w:ascii="Times New Roman" w:eastAsia="Times New Roman" w:hAnsi="Times New Roman" w:cs="Times New Roman"/>
          <w:sz w:val="28"/>
          <w:szCs w:val="28"/>
          <w:lang w:eastAsia="bg-BG"/>
        </w:rPr>
        <w:t xml:space="preserve">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r>
    </w:p>
    <w:p w:rsidR="00D90146" w:rsidRDefault="00D90146" w:rsidP="00F63914">
      <w:pPr>
        <w:pStyle w:val="a6"/>
        <w:spacing w:line="240" w:lineRule="auto"/>
        <w:ind w:left="0" w:firstLine="709"/>
        <w:jc w:val="both"/>
        <w:outlineLvl w:val="1"/>
        <w:rPr>
          <w:rFonts w:ascii="Times New Roman" w:eastAsia="Times New Roman" w:hAnsi="Times New Roman" w:cs="Times New Roman"/>
          <w:color w:val="4F81BD" w:themeColor="accent1"/>
          <w:sz w:val="28"/>
          <w:szCs w:val="28"/>
          <w:lang w:eastAsia="bg-BG"/>
        </w:rPr>
      </w:pPr>
      <w:r>
        <w:rPr>
          <w:color w:val="4F81BD" w:themeColor="accent1"/>
          <w:sz w:val="28"/>
          <w:szCs w:val="28"/>
        </w:rPr>
        <w:t>2.5 Престъпления с предмет – имущество и/или средства от фондове, принадлежащи на ЕС или предоставени от ЕС на българската държава /таблица 4.2.</w:t>
      </w:r>
      <w:proofErr w:type="spellStart"/>
      <w:r>
        <w:rPr>
          <w:color w:val="4F81BD" w:themeColor="accent1"/>
          <w:sz w:val="28"/>
          <w:szCs w:val="28"/>
        </w:rPr>
        <w:t>2</w:t>
      </w:r>
      <w:proofErr w:type="spellEnd"/>
      <w:r>
        <w:rPr>
          <w:color w:val="4F81BD" w:themeColor="accent1"/>
          <w:sz w:val="28"/>
          <w:szCs w:val="28"/>
        </w:rPr>
        <w:t>./</w:t>
      </w:r>
      <w:bookmarkStart w:id="14" w:name="_Toc506557856"/>
    </w:p>
    <w:p w:rsidR="00D90146" w:rsidRPr="00D834C5" w:rsidRDefault="00D90146" w:rsidP="00F63914">
      <w:pPr>
        <w:pStyle w:val="a6"/>
        <w:spacing w:line="240" w:lineRule="auto"/>
        <w:ind w:left="0" w:firstLine="709"/>
        <w:jc w:val="both"/>
        <w:outlineLvl w:val="1"/>
        <w:rPr>
          <w:rFonts w:ascii="Times New Roman" w:hAnsi="Times New Roman" w:cs="Times New Roman"/>
          <w:sz w:val="28"/>
          <w:szCs w:val="28"/>
        </w:rPr>
      </w:pPr>
      <w:r w:rsidRPr="00D834C5">
        <w:rPr>
          <w:rFonts w:ascii="Times New Roman" w:hAnsi="Times New Roman" w:cs="Times New Roman"/>
          <w:sz w:val="28"/>
          <w:szCs w:val="28"/>
        </w:rPr>
        <w:t>През преходните 3 отчетни години РП – Варна не е наблюдавала дела от този вид, като за 2021 г. е отчетено едно новообразувано.</w:t>
      </w:r>
    </w:p>
    <w:p w:rsidR="00D90146" w:rsidRPr="00D834C5" w:rsidRDefault="00D90146" w:rsidP="00F63914">
      <w:pPr>
        <w:pStyle w:val="a6"/>
        <w:spacing w:line="240" w:lineRule="auto"/>
        <w:ind w:left="0" w:firstLine="709"/>
        <w:jc w:val="both"/>
        <w:outlineLvl w:val="1"/>
        <w:rPr>
          <w:rFonts w:ascii="Times New Roman" w:hAnsi="Times New Roman" w:cs="Times New Roman"/>
          <w:sz w:val="28"/>
          <w:szCs w:val="28"/>
        </w:rPr>
      </w:pPr>
      <w:r w:rsidRPr="00D834C5">
        <w:rPr>
          <w:rFonts w:ascii="Times New Roman" w:hAnsi="Times New Roman" w:cs="Times New Roman"/>
          <w:sz w:val="28"/>
          <w:szCs w:val="28"/>
        </w:rPr>
        <w:t xml:space="preserve">През 2021 г. ОП – Варна е наблюдавала 13 ДП с предмет злоупотреби с пари на фондове на ЕС, от които 2 са новообразувани.  </w:t>
      </w:r>
    </w:p>
    <w:p w:rsidR="00D90146" w:rsidRPr="00D834C5" w:rsidRDefault="00D90146" w:rsidP="00F63914">
      <w:pPr>
        <w:pStyle w:val="a6"/>
        <w:spacing w:line="240" w:lineRule="auto"/>
        <w:ind w:left="0" w:firstLine="709"/>
        <w:jc w:val="both"/>
        <w:outlineLvl w:val="1"/>
        <w:rPr>
          <w:rFonts w:ascii="Times New Roman" w:hAnsi="Times New Roman" w:cs="Times New Roman"/>
          <w:sz w:val="28"/>
          <w:szCs w:val="28"/>
        </w:rPr>
      </w:pPr>
      <w:r w:rsidRPr="00D834C5">
        <w:rPr>
          <w:rFonts w:ascii="Times New Roman" w:hAnsi="Times New Roman" w:cs="Times New Roman"/>
          <w:sz w:val="28"/>
          <w:szCs w:val="28"/>
        </w:rPr>
        <w:t xml:space="preserve">През 2021 г. са били решени 6 броя досъдебни производства, от които 1 е  внесено в съда с обвинителен акт.   </w:t>
      </w:r>
    </w:p>
    <w:p w:rsidR="00D90146" w:rsidRPr="00D834C5" w:rsidRDefault="00D90146" w:rsidP="00F63914">
      <w:pPr>
        <w:pStyle w:val="a6"/>
        <w:spacing w:line="240" w:lineRule="auto"/>
        <w:ind w:left="0" w:firstLine="709"/>
        <w:jc w:val="both"/>
        <w:outlineLvl w:val="1"/>
        <w:rPr>
          <w:rFonts w:ascii="Times New Roman" w:hAnsi="Times New Roman" w:cs="Times New Roman"/>
          <w:sz w:val="28"/>
          <w:szCs w:val="28"/>
        </w:rPr>
      </w:pPr>
      <w:r w:rsidRPr="00D834C5">
        <w:rPr>
          <w:rFonts w:ascii="Times New Roman" w:hAnsi="Times New Roman" w:cs="Times New Roman"/>
          <w:sz w:val="28"/>
          <w:szCs w:val="28"/>
        </w:rPr>
        <w:lastRenderedPageBreak/>
        <w:t xml:space="preserve">Налице е двойно увеличение на броя на решените дела в сравнение с 2020 г. </w:t>
      </w:r>
    </w:p>
    <w:p w:rsidR="00D90146" w:rsidRPr="00AF1BA0" w:rsidRDefault="00D90146" w:rsidP="00F63914">
      <w:pPr>
        <w:keepNext/>
        <w:keepLines/>
        <w:spacing w:before="200" w:after="0" w:line="240" w:lineRule="auto"/>
        <w:contextualSpacing/>
        <w:jc w:val="both"/>
        <w:outlineLvl w:val="1"/>
        <w:rPr>
          <w:rFonts w:ascii="Times New Roman" w:eastAsiaTheme="majorEastAsia" w:hAnsi="Times New Roman" w:cs="Times New Roman"/>
          <w:bCs/>
          <w:color w:val="4F81BD" w:themeColor="accent1"/>
          <w:sz w:val="28"/>
          <w:szCs w:val="28"/>
          <w:highlight w:val="yellow"/>
        </w:rPr>
      </w:pPr>
      <w:r>
        <w:rPr>
          <w:rFonts w:ascii="Times New Roman" w:eastAsiaTheme="majorEastAsia" w:hAnsi="Times New Roman" w:cs="Times New Roman"/>
          <w:bCs/>
          <w:color w:val="4F81BD" w:themeColor="accent1"/>
          <w:sz w:val="28"/>
          <w:szCs w:val="28"/>
        </w:rPr>
        <w:tab/>
      </w:r>
      <w:r w:rsidRPr="00AF1BA0">
        <w:rPr>
          <w:rFonts w:ascii="Times New Roman" w:eastAsiaTheme="majorEastAsia" w:hAnsi="Times New Roman" w:cs="Times New Roman"/>
          <w:bCs/>
          <w:color w:val="4F81BD" w:themeColor="accent1"/>
          <w:sz w:val="28"/>
          <w:szCs w:val="28"/>
          <w:highlight w:val="yellow"/>
        </w:rPr>
        <w:t>2.5. Престъпления против паричната и кредитната система – изготвяне и прокарване в обръщение и използване на неистински и преправени парични и други знаци и платежни инструменти. /таблица 4.2.3/</w:t>
      </w:r>
      <w:bookmarkEnd w:id="14"/>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ab/>
        <w:t>Наблюдаваните от ОП – Варна през отчетната година досъдебни производства за престъпления от тази категория са 344. През  2020 г. те са били 287 броя, а през  2019 г. – 273 бр.</w:t>
      </w:r>
      <w:r>
        <w:rPr>
          <w:rFonts w:ascii="Times New Roman" w:eastAsia="Times New Roman" w:hAnsi="Times New Roman" w:cs="Times New Roman"/>
          <w:sz w:val="28"/>
          <w:szCs w:val="28"/>
          <w:lang w:eastAsia="bg-BG"/>
        </w:rPr>
        <w:t xml:space="preserve"> </w:t>
      </w:r>
    </w:p>
    <w:p w:rsidR="00D90146" w:rsidRDefault="00D90146"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Налице е увеличение с 20 %  в сравнение с 2020 г. и с 26 %  в сравнение с 2019 г.</w:t>
      </w:r>
      <w:r>
        <w:rPr>
          <w:rFonts w:ascii="Times New Roman" w:eastAsia="Times New Roman" w:hAnsi="Times New Roman" w:cs="Times New Roman"/>
          <w:sz w:val="28"/>
          <w:szCs w:val="28"/>
          <w:lang w:eastAsia="bg-BG"/>
        </w:rPr>
        <w:t xml:space="preserve">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При съпоставяне на данните се налага извода, че броят на решените дела през отчетната година се е увеличил с 33 % за 2020 г. и 35% за 2019 г.</w:t>
      </w:r>
    </w:p>
    <w:p w:rsidR="00D90146" w:rsidRDefault="00D90146" w:rsidP="00F63914">
      <w:pPr>
        <w:spacing w:after="0" w:line="240" w:lineRule="auto"/>
        <w:contextualSpacing/>
        <w:jc w:val="both"/>
        <w:rPr>
          <w:rFonts w:ascii="Times New Roman" w:eastAsia="Times New Roman" w:hAnsi="Times New Roman" w:cs="Times New Roman"/>
          <w:b/>
          <w:sz w:val="28"/>
          <w:szCs w:val="28"/>
          <w:lang w:eastAsia="bg-BG"/>
        </w:rPr>
      </w:pPr>
      <w:r>
        <w:rPr>
          <w:rFonts w:ascii="Times New Roman" w:eastAsia="Times New Roman" w:hAnsi="Times New Roman" w:cs="Times New Roman"/>
          <w:sz w:val="28"/>
          <w:szCs w:val="28"/>
          <w:lang w:eastAsia="bg-BG"/>
        </w:rPr>
        <w:tab/>
      </w:r>
    </w:p>
    <w:p w:rsidR="00D90146" w:rsidRDefault="00D90146" w:rsidP="00F63914">
      <w:pPr>
        <w:keepNext/>
        <w:keepLines/>
        <w:spacing w:before="200" w:after="0" w:line="240" w:lineRule="auto"/>
        <w:contextualSpacing/>
        <w:jc w:val="both"/>
        <w:outlineLvl w:val="1"/>
        <w:rPr>
          <w:rFonts w:ascii="Times New Roman" w:eastAsiaTheme="majorEastAsia" w:hAnsi="Times New Roman" w:cs="Times New Roman"/>
          <w:bCs/>
          <w:color w:val="4F81BD" w:themeColor="accent1"/>
          <w:sz w:val="28"/>
          <w:szCs w:val="28"/>
        </w:rPr>
      </w:pPr>
      <w:bookmarkStart w:id="15" w:name="_Toc506557857"/>
      <w:r>
        <w:rPr>
          <w:rFonts w:ascii="Times New Roman" w:eastAsiaTheme="majorEastAsia" w:hAnsi="Times New Roman" w:cs="Times New Roman"/>
          <w:bCs/>
          <w:color w:val="4F81BD" w:themeColor="accent1"/>
          <w:sz w:val="28"/>
          <w:szCs w:val="28"/>
        </w:rPr>
        <w:tab/>
        <w:t>2.6. Данъчни престъпления. Престъпления с предмет ДДС.</w:t>
      </w:r>
      <w:bookmarkEnd w:id="15"/>
      <w:r>
        <w:rPr>
          <w:rFonts w:ascii="Times New Roman" w:eastAsiaTheme="majorEastAsia" w:hAnsi="Times New Roman" w:cs="Times New Roman"/>
          <w:bCs/>
          <w:color w:val="4F81BD" w:themeColor="accent1"/>
          <w:sz w:val="28"/>
          <w:szCs w:val="28"/>
        </w:rPr>
        <w:t xml:space="preserve"> </w:t>
      </w:r>
      <w:bookmarkStart w:id="16" w:name="_Toc506557858"/>
      <w:r>
        <w:rPr>
          <w:rFonts w:ascii="Times New Roman" w:eastAsiaTheme="majorEastAsia" w:hAnsi="Times New Roman" w:cs="Times New Roman"/>
          <w:bCs/>
          <w:color w:val="4F81BD" w:themeColor="accent1"/>
          <w:sz w:val="28"/>
          <w:szCs w:val="28"/>
        </w:rPr>
        <w:t>/таблица 4.2.</w:t>
      </w:r>
      <w:proofErr w:type="spellStart"/>
      <w:r>
        <w:rPr>
          <w:rFonts w:ascii="Times New Roman" w:eastAsiaTheme="majorEastAsia" w:hAnsi="Times New Roman" w:cs="Times New Roman"/>
          <w:bCs/>
          <w:color w:val="4F81BD" w:themeColor="accent1"/>
          <w:sz w:val="28"/>
          <w:szCs w:val="28"/>
        </w:rPr>
        <w:t>2</w:t>
      </w:r>
      <w:proofErr w:type="spellEnd"/>
      <w:r>
        <w:rPr>
          <w:rFonts w:ascii="Times New Roman" w:eastAsiaTheme="majorEastAsia" w:hAnsi="Times New Roman" w:cs="Times New Roman"/>
          <w:bCs/>
          <w:color w:val="4F81BD" w:themeColor="accent1"/>
          <w:sz w:val="28"/>
          <w:szCs w:val="28"/>
        </w:rPr>
        <w:t>./</w:t>
      </w:r>
      <w:bookmarkEnd w:id="16"/>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През 2021 г. в района на ОП - Варна са наблюдавани общо 310 досъдебни производства за данъчни престъпления, от които най-голям дял традиционно имат тези, свързани с ДДС, чийто брой е 145. От общия брой дела от тази категория, наблюдаваните от ОП - Варна са 259, а от РП - Варна – 51. </w:t>
      </w:r>
    </w:p>
    <w:p w:rsidR="00D90146" w:rsidRDefault="00D90146" w:rsidP="00F63914">
      <w:pPr>
        <w:spacing w:after="0" w:line="240" w:lineRule="auto"/>
        <w:ind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Констатира се увеличение с 8% на наблюдаваните досъдебни производства спрямо 2020 г. и увеличение с 4 % спрямо 2019 г.  </w:t>
      </w:r>
    </w:p>
    <w:p w:rsidR="00D90146" w:rsidRDefault="00D90146" w:rsidP="00F63914">
      <w:pPr>
        <w:spacing w:after="0" w:line="240" w:lineRule="auto"/>
        <w:ind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През 2021 г. от орган по разследването са приключени 73 досъдебни производства. С неприключено разследване са 169 дела. Решените дела са 83 бр., от които спрени - 25 бр., прекратени - 38 бр., внесени в съда - 15 бр.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p>
    <w:p w:rsidR="00D90146" w:rsidRDefault="00D90146" w:rsidP="00F63914">
      <w:pPr>
        <w:keepNext/>
        <w:keepLines/>
        <w:spacing w:before="200" w:after="0" w:line="240" w:lineRule="auto"/>
        <w:contextualSpacing/>
        <w:jc w:val="both"/>
        <w:outlineLvl w:val="1"/>
        <w:rPr>
          <w:rFonts w:ascii="Times New Roman" w:eastAsiaTheme="majorEastAsia" w:hAnsi="Times New Roman" w:cs="Times New Roman"/>
          <w:b/>
          <w:bCs/>
          <w:color w:val="4F81BD" w:themeColor="accent1"/>
          <w:sz w:val="28"/>
          <w:szCs w:val="28"/>
        </w:rPr>
      </w:pPr>
      <w:bookmarkStart w:id="17" w:name="_Toc506557859"/>
      <w:r>
        <w:rPr>
          <w:rFonts w:ascii="Times New Roman" w:eastAsiaTheme="majorEastAsia" w:hAnsi="Times New Roman" w:cs="Times New Roman"/>
          <w:bCs/>
          <w:color w:val="4F81BD" w:themeColor="accent1"/>
          <w:sz w:val="28"/>
          <w:szCs w:val="28"/>
        </w:rPr>
        <w:tab/>
        <w:t xml:space="preserve">2.7. Престъпления с предмет наркотични вещества и </w:t>
      </w:r>
      <w:proofErr w:type="spellStart"/>
      <w:r>
        <w:rPr>
          <w:rFonts w:ascii="Times New Roman" w:eastAsiaTheme="majorEastAsia" w:hAnsi="Times New Roman" w:cs="Times New Roman"/>
          <w:bCs/>
          <w:color w:val="4F81BD" w:themeColor="accent1"/>
          <w:sz w:val="28"/>
          <w:szCs w:val="28"/>
        </w:rPr>
        <w:t>прекурсори</w:t>
      </w:r>
      <w:proofErr w:type="spellEnd"/>
      <w:r>
        <w:rPr>
          <w:rFonts w:ascii="Times New Roman" w:eastAsiaTheme="majorEastAsia" w:hAnsi="Times New Roman" w:cs="Times New Roman"/>
          <w:bCs/>
          <w:color w:val="4F81BD" w:themeColor="accent1"/>
          <w:sz w:val="28"/>
          <w:szCs w:val="28"/>
        </w:rPr>
        <w:t>. Контрабанда /таблица 4.3.1./</w:t>
      </w:r>
      <w:bookmarkEnd w:id="17"/>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През отчетния период в района на ОП – Варна са наблюдавани общо 1080 досъдебни производства за престъпления по Глава ХІ, раздел ІІІ и по Глава VІ, раздел ІІІ /престъпления против митническия режим/, от които тези по Глава ХІ са 1047 броя, а за контрабанда – 8 броя. Новообразуваните за периода дела са 591.</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Налице е увеличение в новообразуваните дела през 2021 г. с 12.6 % спрямо 2020 г. и с 3.12 % спрямо 2019 г.</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Решените от прокурор дела през отчетния период са 782, при 700 за 2020 г. и 622 за 2019 г. Видно е, осезаемо увеличение спрямо преходните години по този показател.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ab/>
        <w:t xml:space="preserve">През отчетния период внесените в съда досъдебни производства са общо 298, срещу 309 лица. </w:t>
      </w:r>
    </w:p>
    <w:p w:rsidR="00D90146" w:rsidRDefault="00D90146" w:rsidP="00F63914">
      <w:pPr>
        <w:spacing w:after="0" w:line="240" w:lineRule="auto"/>
        <w:ind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Налице е видимо увеличение на внесените в съда през 2021 г. досъдебни производства спрямо предходните години, като спрямо 2020 г. увеличението е 21,1 %, а спрямо 2019 г. с 60 дела или с 43,3 %. </w:t>
      </w:r>
    </w:p>
    <w:p w:rsidR="00D90146" w:rsidRDefault="00D90146" w:rsidP="00F63914">
      <w:pPr>
        <w:spacing w:after="0" w:line="240" w:lineRule="auto"/>
        <w:ind w:firstLine="426"/>
        <w:contextualSpacing/>
        <w:jc w:val="both"/>
        <w:rPr>
          <w:rFonts w:ascii="Times New Roman" w:eastAsia="Times New Roman" w:hAnsi="Times New Roman" w:cs="Times New Roman"/>
          <w:sz w:val="28"/>
          <w:szCs w:val="28"/>
          <w:lang w:eastAsia="bg-BG"/>
        </w:rPr>
      </w:pPr>
    </w:p>
    <w:p w:rsidR="00D90146" w:rsidRDefault="00D90146" w:rsidP="00F63914">
      <w:pPr>
        <w:keepNext/>
        <w:keepLines/>
        <w:spacing w:before="200" w:after="0" w:line="240" w:lineRule="auto"/>
        <w:contextualSpacing/>
        <w:jc w:val="both"/>
        <w:outlineLvl w:val="1"/>
        <w:rPr>
          <w:rFonts w:ascii="Times New Roman" w:eastAsiaTheme="majorEastAsia" w:hAnsi="Times New Roman" w:cs="Times New Roman"/>
          <w:bCs/>
          <w:color w:val="4F81BD" w:themeColor="accent1"/>
          <w:sz w:val="28"/>
          <w:szCs w:val="28"/>
        </w:rPr>
      </w:pPr>
      <w:bookmarkStart w:id="18" w:name="_Toc506557860"/>
      <w:r>
        <w:rPr>
          <w:rFonts w:ascii="Times New Roman" w:eastAsiaTheme="majorEastAsia" w:hAnsi="Times New Roman" w:cs="Times New Roman"/>
          <w:bCs/>
          <w:color w:val="4F81BD" w:themeColor="accent1"/>
          <w:sz w:val="28"/>
          <w:szCs w:val="28"/>
        </w:rPr>
        <w:lastRenderedPageBreak/>
        <w:tab/>
        <w:t>2.8. Незаконен трафик на хора /таблица 4.</w:t>
      </w:r>
      <w:proofErr w:type="spellStart"/>
      <w:r>
        <w:rPr>
          <w:rFonts w:ascii="Times New Roman" w:eastAsiaTheme="majorEastAsia" w:hAnsi="Times New Roman" w:cs="Times New Roman"/>
          <w:bCs/>
          <w:color w:val="4F81BD" w:themeColor="accent1"/>
          <w:sz w:val="28"/>
          <w:szCs w:val="28"/>
        </w:rPr>
        <w:t>4</w:t>
      </w:r>
      <w:proofErr w:type="spellEnd"/>
      <w:r>
        <w:rPr>
          <w:rFonts w:ascii="Times New Roman" w:eastAsiaTheme="majorEastAsia" w:hAnsi="Times New Roman" w:cs="Times New Roman"/>
          <w:bCs/>
          <w:color w:val="4F81BD" w:themeColor="accent1"/>
          <w:sz w:val="28"/>
          <w:szCs w:val="28"/>
        </w:rPr>
        <w:t>.1./</w:t>
      </w:r>
      <w:bookmarkEnd w:id="18"/>
    </w:p>
    <w:p w:rsidR="00D90146" w:rsidRDefault="00D90146" w:rsidP="00F63914">
      <w:pPr>
        <w:spacing w:after="0" w:line="240" w:lineRule="auto"/>
        <w:ind w:firstLine="709"/>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През 2021 г. в района на Окръжна прокуратура – Варна са наблюдавани общо 14 производства, свързани с различни форми на трафик на хора. За 2020 и 2019 г.  г. техният брой е бил по 20.    </w:t>
      </w:r>
      <w:r>
        <w:rPr>
          <w:rFonts w:ascii="Times New Roman" w:eastAsia="Times New Roman" w:hAnsi="Times New Roman" w:cs="Times New Roman"/>
          <w:i/>
          <w:sz w:val="28"/>
          <w:szCs w:val="28"/>
          <w:lang w:eastAsia="bg-BG"/>
        </w:rPr>
        <w:t xml:space="preserve"> </w:t>
      </w:r>
    </w:p>
    <w:p w:rsidR="00D90146" w:rsidRDefault="00D90146"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 xml:space="preserve">И тази година продължава тенденцията за  намаляване на новообразуваните дела за трафик на хора във връзка с </w:t>
      </w:r>
      <w:proofErr w:type="spellStart"/>
      <w:r>
        <w:rPr>
          <w:rFonts w:ascii="Times New Roman" w:eastAsia="Times New Roman" w:hAnsi="Times New Roman" w:cs="Times New Roman"/>
          <w:sz w:val="28"/>
          <w:szCs w:val="28"/>
          <w:lang w:eastAsia="bg-BG"/>
        </w:rPr>
        <w:t>пандемичнатата</w:t>
      </w:r>
      <w:proofErr w:type="spellEnd"/>
      <w:r>
        <w:rPr>
          <w:rFonts w:ascii="Times New Roman" w:eastAsia="Times New Roman" w:hAnsi="Times New Roman" w:cs="Times New Roman"/>
          <w:sz w:val="28"/>
          <w:szCs w:val="28"/>
          <w:lang w:eastAsia="bg-BG"/>
        </w:rPr>
        <w:t xml:space="preserve"> обстановка. Ограничаването на придвижването в страната и особено извън нея и затварянето на обичайните места, където лицата биват експлоатирани, неминуемо е довело до намаляване на този род деяния.  </w:t>
      </w:r>
    </w:p>
    <w:p w:rsidR="00EB435B" w:rsidRDefault="00EB435B" w:rsidP="00F63914">
      <w:pPr>
        <w:spacing w:after="0" w:line="240" w:lineRule="auto"/>
        <w:contextualSpacing/>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ab/>
        <w:t>С оглед на резултатите по това направление, прокурорите от РП- Варна следва да активизират дейността си по отношение на неприключилите производства, касаещи трафика на хора</w:t>
      </w:r>
    </w:p>
    <w:p w:rsidR="009658CD" w:rsidRPr="00AF1BA0" w:rsidRDefault="009658CD" w:rsidP="00F63914">
      <w:pPr>
        <w:spacing w:line="240" w:lineRule="auto"/>
        <w:contextualSpacing/>
        <w:rPr>
          <w:rFonts w:ascii="Times New Roman" w:eastAsia="Calibri" w:hAnsi="Times New Roman" w:cs="Times New Roman"/>
          <w:b/>
          <w:sz w:val="28"/>
          <w:szCs w:val="28"/>
          <w:highlight w:val="yellow"/>
          <w:u w:val="single"/>
        </w:rPr>
      </w:pPr>
      <w:r w:rsidRPr="00AF1BA0">
        <w:rPr>
          <w:rFonts w:ascii="Times New Roman" w:eastAsia="Calibri" w:hAnsi="Times New Roman" w:cs="Times New Roman"/>
          <w:b/>
          <w:sz w:val="28"/>
          <w:szCs w:val="28"/>
          <w:highlight w:val="yellow"/>
          <w:u w:val="single"/>
        </w:rPr>
        <w:t>Наказателни производства, образувани за престъпления, извършени от непълнолетни лица</w:t>
      </w:r>
    </w:p>
    <w:p w:rsidR="009658CD" w:rsidRPr="00880ECD" w:rsidRDefault="009658CD" w:rsidP="00F63914">
      <w:pPr>
        <w:spacing w:after="0" w:line="240" w:lineRule="auto"/>
        <w:contextualSpacing/>
        <w:jc w:val="both"/>
        <w:rPr>
          <w:rFonts w:ascii="Times New Roman" w:eastAsia="Calibri" w:hAnsi="Times New Roman" w:cs="Times New Roman"/>
          <w:color w:val="000000"/>
          <w:sz w:val="28"/>
          <w:szCs w:val="28"/>
        </w:rPr>
      </w:pPr>
      <w:r w:rsidRPr="00AF1BA0">
        <w:rPr>
          <w:rFonts w:ascii="Times New Roman" w:eastAsia="Calibri" w:hAnsi="Times New Roman" w:cs="Times New Roman"/>
          <w:b/>
          <w:sz w:val="28"/>
          <w:szCs w:val="28"/>
          <w:highlight w:val="yellow"/>
        </w:rPr>
        <w:tab/>
      </w:r>
      <w:r w:rsidRPr="00AF1BA0">
        <w:rPr>
          <w:rFonts w:ascii="Times New Roman" w:eastAsia="Calibri" w:hAnsi="Times New Roman" w:cs="Times New Roman"/>
          <w:sz w:val="28"/>
          <w:szCs w:val="28"/>
          <w:highlight w:val="yellow"/>
        </w:rPr>
        <w:t xml:space="preserve">Броят на наблюдаваните досъдебни производства срещу непълнолетни лица през 2021 г. </w:t>
      </w:r>
      <w:r w:rsidR="00EB435B" w:rsidRPr="00AF1BA0">
        <w:rPr>
          <w:rFonts w:ascii="Times New Roman" w:eastAsia="Calibri" w:hAnsi="Times New Roman" w:cs="Times New Roman"/>
          <w:sz w:val="28"/>
          <w:szCs w:val="28"/>
          <w:highlight w:val="yellow"/>
        </w:rPr>
        <w:t>в съдебния район</w:t>
      </w:r>
      <w:r w:rsidRPr="00AF1BA0">
        <w:rPr>
          <w:rFonts w:ascii="Times New Roman" w:eastAsia="Calibri" w:hAnsi="Times New Roman" w:cs="Times New Roman"/>
          <w:sz w:val="28"/>
          <w:szCs w:val="28"/>
          <w:highlight w:val="yellow"/>
        </w:rPr>
        <w:t xml:space="preserve"> е </w:t>
      </w:r>
      <w:r w:rsidRPr="00AF1BA0">
        <w:rPr>
          <w:rFonts w:ascii="Times New Roman" w:eastAsia="Calibri" w:hAnsi="Times New Roman" w:cs="Times New Roman"/>
          <w:b/>
          <w:sz w:val="28"/>
          <w:szCs w:val="28"/>
          <w:highlight w:val="yellow"/>
        </w:rPr>
        <w:t xml:space="preserve">58. </w:t>
      </w:r>
      <w:r w:rsidRPr="00AF1BA0">
        <w:rPr>
          <w:rFonts w:ascii="Times New Roman" w:eastAsia="Calibri" w:hAnsi="Times New Roman" w:cs="Times New Roman"/>
          <w:sz w:val="28"/>
          <w:szCs w:val="28"/>
          <w:highlight w:val="yellow"/>
        </w:rPr>
        <w:t xml:space="preserve">От тях новообразуваните са </w:t>
      </w:r>
      <w:r w:rsidRPr="00AF1BA0">
        <w:rPr>
          <w:rFonts w:ascii="Times New Roman" w:eastAsia="Calibri" w:hAnsi="Times New Roman" w:cs="Times New Roman"/>
          <w:b/>
          <w:sz w:val="28"/>
          <w:szCs w:val="28"/>
          <w:highlight w:val="yellow"/>
        </w:rPr>
        <w:t xml:space="preserve">16. </w:t>
      </w:r>
      <w:r w:rsidRPr="00AF1BA0">
        <w:rPr>
          <w:rFonts w:ascii="Times New Roman" w:eastAsia="Calibri" w:hAnsi="Times New Roman" w:cs="Times New Roman"/>
          <w:sz w:val="28"/>
          <w:szCs w:val="28"/>
          <w:highlight w:val="yellow"/>
        </w:rPr>
        <w:t xml:space="preserve">Тези дела съставляват </w:t>
      </w:r>
      <w:r w:rsidRPr="00AF1BA0">
        <w:rPr>
          <w:rFonts w:ascii="Times New Roman" w:eastAsia="Calibri" w:hAnsi="Times New Roman" w:cs="Times New Roman"/>
          <w:b/>
          <w:sz w:val="28"/>
          <w:szCs w:val="28"/>
          <w:highlight w:val="yellow"/>
        </w:rPr>
        <w:t>0,38%</w:t>
      </w:r>
      <w:r w:rsidRPr="00AF1BA0">
        <w:rPr>
          <w:rFonts w:ascii="Times New Roman" w:eastAsia="Calibri" w:hAnsi="Times New Roman" w:cs="Times New Roman"/>
          <w:sz w:val="28"/>
          <w:szCs w:val="28"/>
          <w:highlight w:val="yellow"/>
        </w:rPr>
        <w:t xml:space="preserve"> от всички наблюдавани ДП в региона </w:t>
      </w:r>
      <w:r w:rsidRPr="00AF1BA0">
        <w:rPr>
          <w:rFonts w:ascii="Times New Roman" w:eastAsia="Calibri" w:hAnsi="Times New Roman" w:cs="Times New Roman"/>
          <w:b/>
          <w:sz w:val="28"/>
          <w:szCs w:val="28"/>
          <w:highlight w:val="yellow"/>
        </w:rPr>
        <w:t>/15 286/</w:t>
      </w:r>
      <w:r w:rsidRPr="00AF1BA0">
        <w:rPr>
          <w:rFonts w:ascii="Times New Roman" w:eastAsia="Calibri" w:hAnsi="Times New Roman" w:cs="Times New Roman"/>
          <w:sz w:val="28"/>
          <w:szCs w:val="28"/>
          <w:highlight w:val="yellow"/>
        </w:rPr>
        <w:t xml:space="preserve">, а новообразуваните от тях съставляват </w:t>
      </w:r>
      <w:r w:rsidRPr="00AF1BA0">
        <w:rPr>
          <w:rFonts w:ascii="Times New Roman" w:eastAsia="Calibri" w:hAnsi="Times New Roman" w:cs="Times New Roman"/>
          <w:b/>
          <w:sz w:val="28"/>
          <w:szCs w:val="28"/>
          <w:highlight w:val="yellow"/>
        </w:rPr>
        <w:t>0,22%</w:t>
      </w:r>
      <w:r w:rsidRPr="00AF1BA0">
        <w:rPr>
          <w:rFonts w:ascii="Times New Roman" w:eastAsia="Calibri" w:hAnsi="Times New Roman" w:cs="Times New Roman"/>
          <w:sz w:val="28"/>
          <w:szCs w:val="28"/>
          <w:highlight w:val="yellow"/>
        </w:rPr>
        <w:t xml:space="preserve"> от всички новообразувани ДП в района на ОП – Варна </w:t>
      </w:r>
      <w:r w:rsidRPr="00AF1BA0">
        <w:rPr>
          <w:rFonts w:ascii="Times New Roman" w:eastAsia="Calibri" w:hAnsi="Times New Roman" w:cs="Times New Roman"/>
          <w:b/>
          <w:sz w:val="28"/>
          <w:szCs w:val="28"/>
          <w:highlight w:val="yellow"/>
        </w:rPr>
        <w:t>/7 234/</w:t>
      </w:r>
      <w:r w:rsidRPr="00AF1BA0">
        <w:rPr>
          <w:rFonts w:ascii="Times New Roman" w:eastAsia="Calibri" w:hAnsi="Times New Roman" w:cs="Times New Roman"/>
          <w:sz w:val="28"/>
          <w:szCs w:val="28"/>
          <w:highlight w:val="yellow"/>
        </w:rPr>
        <w:t xml:space="preserve">. Наблюдава се почти еднакъв брой наблюдавани досъдебни производства срещу непълнолетни лица и леко завишаване на новообразуваните дела срещу такива лица спрямо предходната година. През 2020 г. наблюдаваните досъдебни производства срещу непълнолетни са били </w:t>
      </w:r>
      <w:r w:rsidRPr="00AF1BA0">
        <w:rPr>
          <w:rFonts w:ascii="Times New Roman" w:eastAsia="Calibri" w:hAnsi="Times New Roman" w:cs="Times New Roman"/>
          <w:b/>
          <w:sz w:val="28"/>
          <w:szCs w:val="28"/>
          <w:highlight w:val="yellow"/>
        </w:rPr>
        <w:t>59</w:t>
      </w:r>
      <w:r w:rsidRPr="00AF1BA0">
        <w:rPr>
          <w:rFonts w:ascii="Times New Roman" w:eastAsia="Calibri" w:hAnsi="Times New Roman" w:cs="Times New Roman"/>
          <w:sz w:val="28"/>
          <w:szCs w:val="28"/>
          <w:highlight w:val="yellow"/>
        </w:rPr>
        <w:t xml:space="preserve">, от които </w:t>
      </w:r>
      <w:r w:rsidRPr="00AF1BA0">
        <w:rPr>
          <w:rFonts w:ascii="Times New Roman" w:eastAsia="Calibri" w:hAnsi="Times New Roman" w:cs="Times New Roman"/>
          <w:b/>
          <w:sz w:val="28"/>
          <w:szCs w:val="28"/>
          <w:highlight w:val="yellow"/>
        </w:rPr>
        <w:t>12</w:t>
      </w:r>
      <w:r w:rsidRPr="00AF1BA0">
        <w:rPr>
          <w:rFonts w:ascii="Times New Roman" w:eastAsia="Calibri" w:hAnsi="Times New Roman" w:cs="Times New Roman"/>
          <w:sz w:val="28"/>
          <w:szCs w:val="28"/>
          <w:highlight w:val="yellow"/>
        </w:rPr>
        <w:t xml:space="preserve"> новообразувани. През 2019 г. наблюдаваните досъдебни производства срещу непълнолетни са били значително повече - </w:t>
      </w:r>
      <w:r w:rsidRPr="00AF1BA0">
        <w:rPr>
          <w:rFonts w:ascii="Times New Roman" w:eastAsia="Calibri" w:hAnsi="Times New Roman" w:cs="Times New Roman"/>
          <w:b/>
          <w:sz w:val="28"/>
          <w:szCs w:val="28"/>
          <w:highlight w:val="yellow"/>
        </w:rPr>
        <w:t>92</w:t>
      </w:r>
      <w:r w:rsidRPr="00AF1BA0">
        <w:rPr>
          <w:rFonts w:ascii="Times New Roman" w:eastAsia="Calibri" w:hAnsi="Times New Roman" w:cs="Times New Roman"/>
          <w:sz w:val="28"/>
          <w:szCs w:val="28"/>
          <w:highlight w:val="yellow"/>
        </w:rPr>
        <w:t xml:space="preserve">, от които </w:t>
      </w:r>
      <w:r w:rsidRPr="00AF1BA0">
        <w:rPr>
          <w:rFonts w:ascii="Times New Roman" w:eastAsia="Calibri" w:hAnsi="Times New Roman" w:cs="Times New Roman"/>
          <w:b/>
          <w:sz w:val="28"/>
          <w:szCs w:val="28"/>
          <w:highlight w:val="yellow"/>
        </w:rPr>
        <w:t>30</w:t>
      </w:r>
      <w:r w:rsidRPr="00AF1BA0">
        <w:rPr>
          <w:rFonts w:ascii="Times New Roman" w:eastAsia="Calibri" w:hAnsi="Times New Roman" w:cs="Times New Roman"/>
          <w:sz w:val="28"/>
          <w:szCs w:val="28"/>
          <w:highlight w:val="yellow"/>
        </w:rPr>
        <w:t xml:space="preserve"> новообразувани.</w:t>
      </w:r>
      <w:r w:rsidRPr="00880ECD">
        <w:rPr>
          <w:rFonts w:ascii="Times New Roman" w:eastAsia="Calibri" w:hAnsi="Times New Roman" w:cs="Times New Roman"/>
          <w:sz w:val="28"/>
          <w:szCs w:val="28"/>
        </w:rPr>
        <w:t xml:space="preserve"> </w:t>
      </w:r>
    </w:p>
    <w:p w:rsidR="009658CD" w:rsidRPr="00880ECD" w:rsidRDefault="009658CD" w:rsidP="00F63914">
      <w:pPr>
        <w:spacing w:after="0" w:line="240" w:lineRule="auto"/>
        <w:ind w:firstLine="720"/>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color w:val="000000"/>
          <w:sz w:val="28"/>
          <w:szCs w:val="28"/>
        </w:rPr>
        <w:t xml:space="preserve">Най-голям е делът на производствата, образувани за престъпления против собствеността  – </w:t>
      </w:r>
      <w:r w:rsidRPr="00880ECD">
        <w:rPr>
          <w:rFonts w:ascii="Times New Roman" w:eastAsia="Calibri" w:hAnsi="Times New Roman" w:cs="Times New Roman"/>
          <w:b/>
          <w:color w:val="000000"/>
          <w:sz w:val="28"/>
          <w:szCs w:val="28"/>
        </w:rPr>
        <w:t xml:space="preserve">41, </w:t>
      </w:r>
      <w:r w:rsidRPr="00880ECD">
        <w:rPr>
          <w:rFonts w:ascii="Times New Roman" w:eastAsia="Calibri" w:hAnsi="Times New Roman" w:cs="Times New Roman"/>
          <w:color w:val="000000"/>
          <w:sz w:val="28"/>
          <w:szCs w:val="28"/>
        </w:rPr>
        <w:t xml:space="preserve">или </w:t>
      </w:r>
      <w:r w:rsidRPr="00880ECD">
        <w:rPr>
          <w:rFonts w:ascii="Times New Roman" w:eastAsia="Calibri" w:hAnsi="Times New Roman" w:cs="Times New Roman"/>
          <w:b/>
          <w:sz w:val="28"/>
          <w:szCs w:val="28"/>
        </w:rPr>
        <w:t>71%</w:t>
      </w:r>
      <w:r w:rsidRPr="00880ECD">
        <w:rPr>
          <w:rFonts w:ascii="Times New Roman" w:eastAsia="Calibri" w:hAnsi="Times New Roman" w:cs="Times New Roman"/>
          <w:color w:val="C00000"/>
          <w:sz w:val="28"/>
          <w:szCs w:val="28"/>
        </w:rPr>
        <w:t xml:space="preserve"> </w:t>
      </w:r>
      <w:r w:rsidRPr="00880ECD">
        <w:rPr>
          <w:rFonts w:ascii="Times New Roman" w:eastAsia="Calibri" w:hAnsi="Times New Roman" w:cs="Times New Roman"/>
          <w:color w:val="000000"/>
          <w:sz w:val="28"/>
          <w:szCs w:val="28"/>
        </w:rPr>
        <w:t>от наблюдаваните.</w:t>
      </w:r>
      <w:r w:rsidRPr="00880ECD">
        <w:rPr>
          <w:rFonts w:ascii="Times New Roman" w:eastAsia="Calibri" w:hAnsi="Times New Roman" w:cs="Times New Roman"/>
          <w:b/>
          <w:color w:val="000000"/>
          <w:sz w:val="28"/>
          <w:szCs w:val="28"/>
        </w:rPr>
        <w:t xml:space="preserve"> </w:t>
      </w:r>
      <w:r w:rsidRPr="00880ECD">
        <w:rPr>
          <w:rFonts w:ascii="Times New Roman" w:eastAsia="Calibri" w:hAnsi="Times New Roman" w:cs="Times New Roman"/>
          <w:color w:val="000000"/>
          <w:sz w:val="28"/>
          <w:szCs w:val="28"/>
        </w:rPr>
        <w:t xml:space="preserve">Следват ги </w:t>
      </w:r>
      <w:proofErr w:type="spellStart"/>
      <w:r w:rsidRPr="00880ECD">
        <w:rPr>
          <w:rFonts w:ascii="Times New Roman" w:eastAsia="Calibri" w:hAnsi="Times New Roman" w:cs="Times New Roman"/>
          <w:color w:val="000000"/>
          <w:sz w:val="28"/>
          <w:szCs w:val="28"/>
        </w:rPr>
        <w:t>общоопасните</w:t>
      </w:r>
      <w:proofErr w:type="spellEnd"/>
      <w:r w:rsidRPr="00880ECD">
        <w:rPr>
          <w:rFonts w:ascii="Times New Roman" w:eastAsia="Calibri" w:hAnsi="Times New Roman" w:cs="Times New Roman"/>
          <w:color w:val="000000"/>
          <w:sz w:val="28"/>
          <w:szCs w:val="28"/>
        </w:rPr>
        <w:t xml:space="preserve"> престъпления  – </w:t>
      </w:r>
      <w:r w:rsidRPr="00880ECD">
        <w:rPr>
          <w:rFonts w:ascii="Times New Roman" w:eastAsia="Calibri" w:hAnsi="Times New Roman" w:cs="Times New Roman"/>
          <w:b/>
          <w:color w:val="000000"/>
          <w:sz w:val="28"/>
          <w:szCs w:val="28"/>
        </w:rPr>
        <w:t>9</w:t>
      </w:r>
      <w:r w:rsidRPr="00880ECD">
        <w:rPr>
          <w:rFonts w:ascii="Times New Roman" w:eastAsia="Calibri" w:hAnsi="Times New Roman" w:cs="Times New Roman"/>
          <w:color w:val="000000"/>
          <w:sz w:val="28"/>
          <w:szCs w:val="28"/>
        </w:rPr>
        <w:t xml:space="preserve">, или </w:t>
      </w:r>
      <w:r w:rsidRPr="00880ECD">
        <w:rPr>
          <w:rFonts w:ascii="Times New Roman" w:eastAsia="Calibri" w:hAnsi="Times New Roman" w:cs="Times New Roman"/>
          <w:b/>
          <w:sz w:val="28"/>
          <w:szCs w:val="28"/>
        </w:rPr>
        <w:t>16%</w:t>
      </w:r>
      <w:r w:rsidRPr="00880ECD">
        <w:rPr>
          <w:rFonts w:ascii="Times New Roman" w:eastAsia="Calibri" w:hAnsi="Times New Roman" w:cs="Times New Roman"/>
          <w:color w:val="C00000"/>
          <w:sz w:val="28"/>
          <w:szCs w:val="28"/>
        </w:rPr>
        <w:t xml:space="preserve"> </w:t>
      </w:r>
      <w:r w:rsidRPr="00880ECD">
        <w:rPr>
          <w:rFonts w:ascii="Times New Roman" w:eastAsia="Calibri" w:hAnsi="Times New Roman" w:cs="Times New Roman"/>
          <w:color w:val="000000"/>
          <w:sz w:val="28"/>
          <w:szCs w:val="28"/>
        </w:rPr>
        <w:t xml:space="preserve">от наблюдаваните. Делата за престъпления против личността са </w:t>
      </w:r>
      <w:r w:rsidRPr="00880ECD">
        <w:rPr>
          <w:rFonts w:ascii="Times New Roman" w:eastAsia="Calibri" w:hAnsi="Times New Roman" w:cs="Times New Roman"/>
          <w:b/>
          <w:color w:val="000000"/>
          <w:sz w:val="28"/>
          <w:szCs w:val="28"/>
        </w:rPr>
        <w:t>6</w:t>
      </w:r>
      <w:r w:rsidRPr="00880ECD">
        <w:rPr>
          <w:rFonts w:ascii="Times New Roman" w:eastAsia="Calibri" w:hAnsi="Times New Roman" w:cs="Times New Roman"/>
          <w:color w:val="000000"/>
          <w:sz w:val="28"/>
          <w:szCs w:val="28"/>
        </w:rPr>
        <w:t>, Прави впечатление намаляването броя на тези дела спрямо предходната година, когато те са били доста повече /</w:t>
      </w:r>
      <w:r w:rsidRPr="00880ECD">
        <w:rPr>
          <w:rFonts w:ascii="Times New Roman" w:eastAsia="Calibri" w:hAnsi="Times New Roman" w:cs="Times New Roman"/>
          <w:b/>
          <w:color w:val="000000"/>
          <w:sz w:val="28"/>
          <w:szCs w:val="28"/>
        </w:rPr>
        <w:t>11</w:t>
      </w:r>
      <w:r w:rsidRPr="00880ECD">
        <w:rPr>
          <w:rFonts w:ascii="Times New Roman" w:eastAsia="Calibri" w:hAnsi="Times New Roman" w:cs="Times New Roman"/>
          <w:color w:val="000000"/>
          <w:sz w:val="28"/>
          <w:szCs w:val="28"/>
        </w:rPr>
        <w:t xml:space="preserve">/ </w:t>
      </w:r>
    </w:p>
    <w:p w:rsidR="009658CD" w:rsidRPr="00880ECD" w:rsidRDefault="009658CD" w:rsidP="00F63914">
      <w:pPr>
        <w:spacing w:after="0" w:line="240" w:lineRule="auto"/>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ab/>
        <w:t xml:space="preserve">Приключените дела са </w:t>
      </w:r>
      <w:r w:rsidRPr="00880ECD">
        <w:rPr>
          <w:rFonts w:ascii="Times New Roman" w:eastAsia="Calibri" w:hAnsi="Times New Roman" w:cs="Times New Roman"/>
          <w:b/>
          <w:sz w:val="28"/>
          <w:szCs w:val="28"/>
        </w:rPr>
        <w:t>51</w:t>
      </w:r>
      <w:r w:rsidRPr="00880ECD">
        <w:rPr>
          <w:rFonts w:ascii="Times New Roman" w:eastAsia="Calibri" w:hAnsi="Times New Roman" w:cs="Times New Roman"/>
          <w:sz w:val="28"/>
          <w:szCs w:val="28"/>
        </w:rPr>
        <w:t xml:space="preserve">, спрямо </w:t>
      </w:r>
      <w:r w:rsidRPr="00880ECD">
        <w:rPr>
          <w:rFonts w:ascii="Times New Roman" w:eastAsia="Calibri" w:hAnsi="Times New Roman" w:cs="Times New Roman"/>
          <w:b/>
          <w:sz w:val="28"/>
          <w:szCs w:val="28"/>
        </w:rPr>
        <w:t>52 за 2020 г.</w:t>
      </w:r>
      <w:r w:rsidRPr="00880ECD">
        <w:rPr>
          <w:rFonts w:ascii="Times New Roman" w:eastAsia="Calibri" w:hAnsi="Times New Roman" w:cs="Times New Roman"/>
          <w:sz w:val="28"/>
          <w:szCs w:val="28"/>
        </w:rPr>
        <w:t xml:space="preserve"> и </w:t>
      </w:r>
      <w:r w:rsidRPr="00880ECD">
        <w:rPr>
          <w:rFonts w:ascii="Times New Roman" w:eastAsia="Calibri" w:hAnsi="Times New Roman" w:cs="Times New Roman"/>
          <w:b/>
          <w:sz w:val="28"/>
          <w:szCs w:val="28"/>
        </w:rPr>
        <w:t>71 за 2019 г.</w:t>
      </w:r>
      <w:r w:rsidRPr="00880ECD">
        <w:rPr>
          <w:rFonts w:ascii="Times New Roman" w:eastAsia="Calibri" w:hAnsi="Times New Roman" w:cs="Times New Roman"/>
          <w:sz w:val="28"/>
          <w:szCs w:val="28"/>
        </w:rPr>
        <w:t xml:space="preserve"> Броят приключили досъдебни производства се запазва спрямо предходната година. Той е значително по-малък спрямо 2019 г., което е последица от по-малкия брой наблюдавани производства през 2021 г. спрямо 2019 г.</w:t>
      </w:r>
    </w:p>
    <w:p w:rsidR="009658CD" w:rsidRPr="00880ECD" w:rsidRDefault="009658CD" w:rsidP="00F63914">
      <w:pPr>
        <w:spacing w:after="0" w:line="240" w:lineRule="auto"/>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ab/>
        <w:t xml:space="preserve">Неприключилите дела срещу непълнолетни са </w:t>
      </w:r>
      <w:r w:rsidRPr="00880ECD">
        <w:rPr>
          <w:rFonts w:ascii="Times New Roman" w:eastAsia="Calibri" w:hAnsi="Times New Roman" w:cs="Times New Roman"/>
          <w:b/>
          <w:sz w:val="28"/>
          <w:szCs w:val="28"/>
        </w:rPr>
        <w:t>7</w:t>
      </w:r>
      <w:r w:rsidRPr="00880ECD">
        <w:rPr>
          <w:rFonts w:ascii="Times New Roman" w:eastAsia="Calibri" w:hAnsi="Times New Roman" w:cs="Times New Roman"/>
          <w:sz w:val="28"/>
          <w:szCs w:val="28"/>
        </w:rPr>
        <w:t xml:space="preserve">  от наблюдаваните/</w:t>
      </w:r>
      <w:r w:rsidRPr="00880ECD">
        <w:rPr>
          <w:rFonts w:ascii="Times New Roman" w:eastAsia="Calibri" w:hAnsi="Times New Roman" w:cs="Times New Roman"/>
          <w:color w:val="C00000"/>
          <w:sz w:val="28"/>
          <w:szCs w:val="28"/>
        </w:rPr>
        <w:t xml:space="preserve"> </w:t>
      </w:r>
      <w:r w:rsidRPr="00880ECD">
        <w:rPr>
          <w:rFonts w:ascii="Times New Roman" w:eastAsia="Calibri" w:hAnsi="Times New Roman" w:cs="Times New Roman"/>
          <w:sz w:val="28"/>
          <w:szCs w:val="28"/>
        </w:rPr>
        <w:t xml:space="preserve">спрямо </w:t>
      </w:r>
      <w:r w:rsidRPr="00880ECD">
        <w:rPr>
          <w:rFonts w:ascii="Times New Roman" w:eastAsia="Calibri" w:hAnsi="Times New Roman" w:cs="Times New Roman"/>
          <w:b/>
          <w:sz w:val="28"/>
          <w:szCs w:val="28"/>
        </w:rPr>
        <w:t>5 за 2020 г.</w:t>
      </w:r>
      <w:r w:rsidRPr="00880ECD">
        <w:rPr>
          <w:rFonts w:ascii="Times New Roman" w:eastAsia="Calibri" w:hAnsi="Times New Roman" w:cs="Times New Roman"/>
          <w:sz w:val="28"/>
          <w:szCs w:val="28"/>
        </w:rPr>
        <w:t xml:space="preserve"> от наблюдаваните/ и </w:t>
      </w:r>
      <w:r w:rsidRPr="00880ECD">
        <w:rPr>
          <w:rFonts w:ascii="Times New Roman" w:eastAsia="Calibri" w:hAnsi="Times New Roman" w:cs="Times New Roman"/>
          <w:b/>
          <w:sz w:val="28"/>
          <w:szCs w:val="28"/>
        </w:rPr>
        <w:t xml:space="preserve">13 за 2019 г. </w:t>
      </w:r>
      <w:r w:rsidRPr="00880ECD">
        <w:rPr>
          <w:rFonts w:ascii="Times New Roman" w:eastAsia="Calibri" w:hAnsi="Times New Roman" w:cs="Times New Roman"/>
          <w:sz w:val="28"/>
          <w:szCs w:val="28"/>
        </w:rPr>
        <w:t xml:space="preserve">от наблюдаваните/. Съпоставено с предходната година, </w:t>
      </w:r>
      <w:r w:rsidRPr="00880ECD">
        <w:rPr>
          <w:rFonts w:ascii="Times New Roman" w:eastAsia="Calibri" w:hAnsi="Times New Roman" w:cs="Times New Roman"/>
          <w:sz w:val="28"/>
          <w:szCs w:val="28"/>
          <w:shd w:val="clear" w:color="auto" w:fill="FFFFFF"/>
        </w:rPr>
        <w:t>н</w:t>
      </w:r>
      <w:r w:rsidRPr="00880ECD">
        <w:rPr>
          <w:rFonts w:ascii="Times New Roman" w:eastAsia="Calibri" w:hAnsi="Times New Roman" w:cs="Times New Roman"/>
          <w:sz w:val="28"/>
          <w:szCs w:val="28"/>
        </w:rPr>
        <w:t xml:space="preserve">алице е леко завишаване на останалите неприключени производства спрямо наблюдаваните през периода, а съпоставено с 2019 г. е налице леко намаляване. </w:t>
      </w:r>
    </w:p>
    <w:p w:rsidR="009658CD" w:rsidRPr="00880ECD" w:rsidRDefault="009658CD" w:rsidP="00F63914">
      <w:pPr>
        <w:spacing w:after="0" w:line="240" w:lineRule="auto"/>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ab/>
        <w:t>През периода по наблюдаваните производства не е било задържано нито едно непълнолетно лице.</w:t>
      </w:r>
    </w:p>
    <w:p w:rsidR="009658CD" w:rsidRPr="00880ECD" w:rsidRDefault="009658CD" w:rsidP="00F63914">
      <w:pPr>
        <w:spacing w:after="0" w:line="240" w:lineRule="auto"/>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color w:val="FF0000"/>
          <w:sz w:val="28"/>
          <w:szCs w:val="28"/>
        </w:rPr>
        <w:tab/>
      </w:r>
      <w:r w:rsidRPr="00880ECD">
        <w:rPr>
          <w:rFonts w:ascii="Times New Roman" w:eastAsia="Calibri" w:hAnsi="Times New Roman" w:cs="Times New Roman"/>
          <w:color w:val="000000"/>
          <w:sz w:val="28"/>
          <w:szCs w:val="28"/>
        </w:rPr>
        <w:t xml:space="preserve">Общият брой решени от прокурор дела по същество през отчетния период са </w:t>
      </w:r>
      <w:r w:rsidRPr="00880ECD">
        <w:rPr>
          <w:rFonts w:ascii="Times New Roman" w:eastAsia="Calibri" w:hAnsi="Times New Roman" w:cs="Times New Roman"/>
          <w:b/>
          <w:color w:val="000000"/>
          <w:sz w:val="28"/>
          <w:szCs w:val="28"/>
        </w:rPr>
        <w:t>47</w:t>
      </w:r>
      <w:r w:rsidRPr="00880ECD">
        <w:rPr>
          <w:rFonts w:ascii="Times New Roman" w:eastAsia="Calibri" w:hAnsi="Times New Roman" w:cs="Times New Roman"/>
          <w:color w:val="000000"/>
          <w:sz w:val="28"/>
          <w:szCs w:val="28"/>
        </w:rPr>
        <w:t xml:space="preserve">, спрямо </w:t>
      </w:r>
      <w:r w:rsidRPr="00880ECD">
        <w:rPr>
          <w:rFonts w:ascii="Times New Roman" w:eastAsia="Calibri" w:hAnsi="Times New Roman" w:cs="Times New Roman"/>
          <w:b/>
          <w:color w:val="000000"/>
          <w:sz w:val="28"/>
          <w:szCs w:val="28"/>
        </w:rPr>
        <w:t xml:space="preserve">51 за 2020 г. </w:t>
      </w:r>
      <w:r w:rsidRPr="00880ECD">
        <w:rPr>
          <w:rFonts w:ascii="Times New Roman" w:eastAsia="Calibri" w:hAnsi="Times New Roman" w:cs="Times New Roman"/>
          <w:color w:val="000000"/>
          <w:sz w:val="28"/>
          <w:szCs w:val="28"/>
        </w:rPr>
        <w:t xml:space="preserve">и </w:t>
      </w:r>
      <w:r w:rsidRPr="00880ECD">
        <w:rPr>
          <w:rFonts w:ascii="Times New Roman" w:eastAsia="Calibri" w:hAnsi="Times New Roman" w:cs="Times New Roman"/>
          <w:b/>
          <w:color w:val="000000"/>
          <w:sz w:val="28"/>
          <w:szCs w:val="28"/>
        </w:rPr>
        <w:t xml:space="preserve">74 за 2019 г. </w:t>
      </w:r>
      <w:r w:rsidRPr="00880ECD">
        <w:rPr>
          <w:rFonts w:ascii="Times New Roman" w:eastAsia="Calibri" w:hAnsi="Times New Roman" w:cs="Times New Roman"/>
          <w:color w:val="000000"/>
          <w:sz w:val="28"/>
          <w:szCs w:val="28"/>
        </w:rPr>
        <w:t>От тях:</w:t>
      </w:r>
    </w:p>
    <w:p w:rsidR="009658CD" w:rsidRPr="00880ECD" w:rsidRDefault="009658CD" w:rsidP="00F63914">
      <w:pPr>
        <w:spacing w:after="0" w:line="240" w:lineRule="auto"/>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color w:val="000000"/>
          <w:sz w:val="28"/>
          <w:szCs w:val="28"/>
        </w:rPr>
        <w:tab/>
        <w:t xml:space="preserve">-прекратени наказателни производства – </w:t>
      </w:r>
      <w:r w:rsidRPr="00880ECD">
        <w:rPr>
          <w:rFonts w:ascii="Times New Roman" w:eastAsia="Calibri" w:hAnsi="Times New Roman" w:cs="Times New Roman"/>
          <w:b/>
          <w:color w:val="000000"/>
          <w:sz w:val="28"/>
          <w:szCs w:val="28"/>
        </w:rPr>
        <w:t>11</w:t>
      </w:r>
      <w:r w:rsidRPr="00880ECD">
        <w:rPr>
          <w:rFonts w:ascii="Times New Roman" w:eastAsia="Calibri" w:hAnsi="Times New Roman" w:cs="Times New Roman"/>
          <w:color w:val="000000"/>
          <w:sz w:val="28"/>
          <w:szCs w:val="28"/>
        </w:rPr>
        <w:t xml:space="preserve"> /при </w:t>
      </w:r>
      <w:r w:rsidRPr="00880ECD">
        <w:rPr>
          <w:rFonts w:ascii="Times New Roman" w:eastAsia="Calibri" w:hAnsi="Times New Roman" w:cs="Times New Roman"/>
          <w:b/>
          <w:color w:val="000000"/>
          <w:sz w:val="28"/>
          <w:szCs w:val="28"/>
        </w:rPr>
        <w:t>9 за 2020 г.</w:t>
      </w:r>
      <w:r w:rsidRPr="00880ECD">
        <w:rPr>
          <w:rFonts w:ascii="Times New Roman" w:eastAsia="Calibri" w:hAnsi="Times New Roman" w:cs="Times New Roman"/>
          <w:color w:val="000000"/>
          <w:sz w:val="28"/>
          <w:szCs w:val="28"/>
        </w:rPr>
        <w:t xml:space="preserve"> и </w:t>
      </w:r>
      <w:r w:rsidRPr="00880ECD">
        <w:rPr>
          <w:rFonts w:ascii="Times New Roman" w:eastAsia="Calibri" w:hAnsi="Times New Roman" w:cs="Times New Roman"/>
          <w:b/>
          <w:color w:val="000000"/>
          <w:sz w:val="28"/>
          <w:szCs w:val="28"/>
        </w:rPr>
        <w:t>20 за 2019 г.</w:t>
      </w:r>
      <w:r w:rsidRPr="00880ECD">
        <w:rPr>
          <w:rFonts w:ascii="Times New Roman" w:eastAsia="Calibri" w:hAnsi="Times New Roman" w:cs="Times New Roman"/>
          <w:color w:val="000000"/>
          <w:sz w:val="28"/>
          <w:szCs w:val="28"/>
        </w:rPr>
        <w:t xml:space="preserve"> /, от които 4</w:t>
      </w:r>
      <w:r w:rsidRPr="00880ECD">
        <w:rPr>
          <w:rFonts w:ascii="Times New Roman" w:eastAsia="Calibri" w:hAnsi="Times New Roman" w:cs="Times New Roman"/>
          <w:b/>
          <w:color w:val="000000"/>
          <w:sz w:val="28"/>
          <w:szCs w:val="28"/>
        </w:rPr>
        <w:t xml:space="preserve"> </w:t>
      </w:r>
      <w:r w:rsidRPr="00880ECD">
        <w:rPr>
          <w:rFonts w:ascii="Times New Roman" w:eastAsia="Calibri" w:hAnsi="Times New Roman" w:cs="Times New Roman"/>
          <w:color w:val="000000"/>
          <w:sz w:val="28"/>
          <w:szCs w:val="28"/>
        </w:rPr>
        <w:t xml:space="preserve">по чл. 61 НК /при </w:t>
      </w:r>
      <w:r w:rsidRPr="00880ECD">
        <w:rPr>
          <w:rFonts w:ascii="Times New Roman" w:eastAsia="Calibri" w:hAnsi="Times New Roman" w:cs="Times New Roman"/>
          <w:b/>
          <w:color w:val="000000"/>
          <w:sz w:val="28"/>
          <w:szCs w:val="28"/>
        </w:rPr>
        <w:t>1 за 2020 г.</w:t>
      </w:r>
      <w:r w:rsidRPr="00880ECD">
        <w:rPr>
          <w:rFonts w:ascii="Times New Roman" w:eastAsia="Calibri" w:hAnsi="Times New Roman" w:cs="Times New Roman"/>
          <w:color w:val="000000"/>
          <w:sz w:val="28"/>
          <w:szCs w:val="28"/>
        </w:rPr>
        <w:t xml:space="preserve"> и </w:t>
      </w:r>
      <w:r w:rsidRPr="00880ECD">
        <w:rPr>
          <w:rFonts w:ascii="Times New Roman" w:eastAsia="Calibri" w:hAnsi="Times New Roman" w:cs="Times New Roman"/>
          <w:b/>
          <w:color w:val="000000"/>
          <w:sz w:val="28"/>
          <w:szCs w:val="28"/>
        </w:rPr>
        <w:t>11 за 2019 г.</w:t>
      </w:r>
      <w:r w:rsidRPr="00880ECD">
        <w:rPr>
          <w:rFonts w:ascii="Times New Roman" w:eastAsia="Calibri" w:hAnsi="Times New Roman" w:cs="Times New Roman"/>
          <w:color w:val="000000"/>
          <w:sz w:val="28"/>
          <w:szCs w:val="28"/>
        </w:rPr>
        <w:t xml:space="preserve"> /;</w:t>
      </w:r>
    </w:p>
    <w:p w:rsidR="009658CD" w:rsidRPr="00880ECD" w:rsidRDefault="009658CD" w:rsidP="00F63914">
      <w:pPr>
        <w:spacing w:after="0" w:line="240" w:lineRule="auto"/>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color w:val="000000"/>
          <w:sz w:val="28"/>
          <w:szCs w:val="28"/>
        </w:rPr>
        <w:lastRenderedPageBreak/>
        <w:tab/>
        <w:t xml:space="preserve">-внесени в съда наказателни производства – </w:t>
      </w:r>
      <w:r w:rsidRPr="00880ECD">
        <w:rPr>
          <w:rFonts w:ascii="Times New Roman" w:eastAsia="Calibri" w:hAnsi="Times New Roman" w:cs="Times New Roman"/>
          <w:b/>
          <w:color w:val="000000"/>
          <w:sz w:val="28"/>
          <w:szCs w:val="28"/>
        </w:rPr>
        <w:t>36</w:t>
      </w:r>
      <w:r w:rsidRPr="00880ECD">
        <w:rPr>
          <w:rFonts w:ascii="Times New Roman" w:eastAsia="Calibri" w:hAnsi="Times New Roman" w:cs="Times New Roman"/>
          <w:color w:val="000000"/>
          <w:sz w:val="28"/>
          <w:szCs w:val="28"/>
        </w:rPr>
        <w:t xml:space="preserve"> /при </w:t>
      </w:r>
      <w:r w:rsidRPr="00880ECD">
        <w:rPr>
          <w:rFonts w:ascii="Times New Roman" w:eastAsia="Calibri" w:hAnsi="Times New Roman" w:cs="Times New Roman"/>
          <w:b/>
          <w:color w:val="000000"/>
          <w:sz w:val="28"/>
          <w:szCs w:val="28"/>
        </w:rPr>
        <w:t>39 за 2020 г.</w:t>
      </w:r>
      <w:r w:rsidRPr="00880ECD">
        <w:rPr>
          <w:rFonts w:ascii="Times New Roman" w:eastAsia="Calibri" w:hAnsi="Times New Roman" w:cs="Times New Roman"/>
          <w:color w:val="000000"/>
          <w:sz w:val="28"/>
          <w:szCs w:val="28"/>
        </w:rPr>
        <w:t xml:space="preserve"> и </w:t>
      </w:r>
      <w:r w:rsidRPr="00880ECD">
        <w:rPr>
          <w:rFonts w:ascii="Times New Roman" w:eastAsia="Calibri" w:hAnsi="Times New Roman" w:cs="Times New Roman"/>
          <w:b/>
          <w:color w:val="000000"/>
          <w:sz w:val="28"/>
          <w:szCs w:val="28"/>
        </w:rPr>
        <w:t>50 за 2019 г.</w:t>
      </w:r>
      <w:r w:rsidRPr="00880ECD">
        <w:rPr>
          <w:rFonts w:ascii="Times New Roman" w:eastAsia="Calibri" w:hAnsi="Times New Roman" w:cs="Times New Roman"/>
          <w:color w:val="000000"/>
          <w:sz w:val="28"/>
          <w:szCs w:val="28"/>
        </w:rPr>
        <w:t xml:space="preserve"> / по отношение на </w:t>
      </w:r>
      <w:r w:rsidRPr="00880ECD">
        <w:rPr>
          <w:rFonts w:ascii="Times New Roman" w:eastAsia="Calibri" w:hAnsi="Times New Roman" w:cs="Times New Roman"/>
          <w:b/>
          <w:color w:val="000000"/>
          <w:sz w:val="28"/>
          <w:szCs w:val="28"/>
        </w:rPr>
        <w:t>49</w:t>
      </w:r>
      <w:r w:rsidRPr="00880ECD">
        <w:rPr>
          <w:rFonts w:ascii="Times New Roman" w:eastAsia="Calibri" w:hAnsi="Times New Roman" w:cs="Times New Roman"/>
          <w:color w:val="000000"/>
          <w:sz w:val="28"/>
          <w:szCs w:val="28"/>
        </w:rPr>
        <w:t xml:space="preserve"> лица, :</w:t>
      </w:r>
    </w:p>
    <w:p w:rsidR="009658CD" w:rsidRPr="00880ECD" w:rsidRDefault="009658CD" w:rsidP="00F63914">
      <w:pPr>
        <w:spacing w:after="0" w:line="240" w:lineRule="auto"/>
        <w:ind w:firstLine="720"/>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Видно е, че броят на решените през периода досъдебни производства срещу непълнолетни е близък до този през предходната година и значително по-малък спрямо 2019 г., като причината за това, както вече се посочи по-горе отново е броят наблюдавани производства – почти еднакъв с този през 2020 г. и по-малък спрямо 2019 г. </w:t>
      </w:r>
    </w:p>
    <w:p w:rsidR="009658CD" w:rsidRPr="00880ECD" w:rsidRDefault="009658CD" w:rsidP="00F63914">
      <w:pPr>
        <w:spacing w:after="0" w:line="240" w:lineRule="auto"/>
        <w:ind w:firstLine="720"/>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През 2020 г. делът на внесените в съда наказателни производства срещу непълнолетни спрямо решените е </w:t>
      </w:r>
      <w:r w:rsidRPr="00880ECD">
        <w:rPr>
          <w:rFonts w:ascii="Times New Roman" w:eastAsia="Calibri" w:hAnsi="Times New Roman" w:cs="Times New Roman"/>
          <w:b/>
          <w:sz w:val="28"/>
          <w:szCs w:val="28"/>
        </w:rPr>
        <w:t>76%,</w:t>
      </w:r>
      <w:r w:rsidRPr="00880ECD">
        <w:rPr>
          <w:rFonts w:ascii="Times New Roman" w:eastAsia="Calibri" w:hAnsi="Times New Roman" w:cs="Times New Roman"/>
          <w:sz w:val="28"/>
          <w:szCs w:val="28"/>
        </w:rPr>
        <w:t xml:space="preserve"> при </w:t>
      </w:r>
      <w:r w:rsidRPr="00880ECD">
        <w:rPr>
          <w:rFonts w:ascii="Times New Roman" w:eastAsia="Calibri" w:hAnsi="Times New Roman" w:cs="Times New Roman"/>
          <w:b/>
          <w:sz w:val="28"/>
          <w:szCs w:val="28"/>
        </w:rPr>
        <w:t xml:space="preserve">76% за 2020 г. </w:t>
      </w:r>
      <w:r w:rsidRPr="00880ECD">
        <w:rPr>
          <w:rFonts w:ascii="Times New Roman" w:eastAsia="Calibri" w:hAnsi="Times New Roman" w:cs="Times New Roman"/>
          <w:sz w:val="28"/>
          <w:szCs w:val="28"/>
        </w:rPr>
        <w:t xml:space="preserve">и </w:t>
      </w:r>
      <w:r w:rsidRPr="00880ECD">
        <w:rPr>
          <w:rFonts w:ascii="Times New Roman" w:eastAsia="Calibri" w:hAnsi="Times New Roman" w:cs="Times New Roman"/>
          <w:b/>
          <w:sz w:val="28"/>
          <w:szCs w:val="28"/>
        </w:rPr>
        <w:t>67% за 2019 г.</w:t>
      </w:r>
      <w:r w:rsidRPr="00880ECD">
        <w:rPr>
          <w:rFonts w:ascii="Times New Roman" w:eastAsia="Calibri" w:hAnsi="Times New Roman" w:cs="Times New Roman"/>
          <w:sz w:val="28"/>
          <w:szCs w:val="28"/>
        </w:rPr>
        <w:t xml:space="preserve"> При съпоставка с предходните две години е видно, че е налице запазване съотношението на внесените в съда дела спрямо решените спрямо 2020 г. и завишаване спрямо 2019 г.</w:t>
      </w:r>
    </w:p>
    <w:p w:rsidR="009658CD" w:rsidRPr="00880ECD" w:rsidRDefault="009658CD" w:rsidP="00F63914">
      <w:pPr>
        <w:spacing w:after="0" w:line="240" w:lineRule="auto"/>
        <w:ind w:firstLine="720"/>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color w:val="000000"/>
          <w:sz w:val="28"/>
          <w:szCs w:val="28"/>
        </w:rPr>
        <w:t xml:space="preserve">През периода няма нито едно върнато от съда дело срещу непълнолетни лица. За съпоставка през 2020 г. е било върнато едно дело, а през 2019 г. – 4 наказателни производства. </w:t>
      </w:r>
    </w:p>
    <w:p w:rsidR="009658CD" w:rsidRPr="00880ECD" w:rsidRDefault="009658CD" w:rsidP="00F63914">
      <w:pPr>
        <w:spacing w:after="0" w:line="240" w:lineRule="auto"/>
        <w:ind w:firstLine="720"/>
        <w:contextualSpacing/>
        <w:jc w:val="both"/>
        <w:rPr>
          <w:rFonts w:ascii="Times New Roman" w:eastAsia="Calibri" w:hAnsi="Times New Roman" w:cs="Times New Roman"/>
          <w:color w:val="000000"/>
          <w:sz w:val="28"/>
          <w:szCs w:val="28"/>
        </w:rPr>
      </w:pPr>
      <w:r w:rsidRPr="00880ECD">
        <w:rPr>
          <w:rFonts w:ascii="Times New Roman" w:eastAsia="Calibri" w:hAnsi="Times New Roman" w:cs="Times New Roman"/>
          <w:sz w:val="28"/>
          <w:szCs w:val="28"/>
        </w:rPr>
        <w:t xml:space="preserve">Броят на осъдените с влезли в сила присъди непълнолетни лица през отчетния период е </w:t>
      </w:r>
      <w:r w:rsidRPr="00880ECD">
        <w:rPr>
          <w:rFonts w:ascii="Times New Roman" w:eastAsia="Calibri" w:hAnsi="Times New Roman" w:cs="Times New Roman"/>
          <w:b/>
          <w:sz w:val="28"/>
          <w:szCs w:val="28"/>
        </w:rPr>
        <w:t>37</w:t>
      </w:r>
      <w:r w:rsidRPr="00880ECD">
        <w:rPr>
          <w:rFonts w:ascii="Times New Roman" w:eastAsia="Calibri" w:hAnsi="Times New Roman" w:cs="Times New Roman"/>
          <w:sz w:val="28"/>
          <w:szCs w:val="28"/>
        </w:rPr>
        <w:t xml:space="preserve">, спрямо </w:t>
      </w:r>
      <w:r w:rsidRPr="00880ECD">
        <w:rPr>
          <w:rFonts w:ascii="Times New Roman" w:eastAsia="Calibri" w:hAnsi="Times New Roman" w:cs="Times New Roman"/>
          <w:b/>
          <w:sz w:val="28"/>
          <w:szCs w:val="28"/>
        </w:rPr>
        <w:t xml:space="preserve">44 за 2020 г. </w:t>
      </w:r>
      <w:r w:rsidRPr="00880ECD">
        <w:rPr>
          <w:rFonts w:ascii="Times New Roman" w:eastAsia="Calibri" w:hAnsi="Times New Roman" w:cs="Times New Roman"/>
          <w:sz w:val="28"/>
          <w:szCs w:val="28"/>
        </w:rPr>
        <w:t xml:space="preserve">и </w:t>
      </w:r>
      <w:r w:rsidRPr="00880ECD">
        <w:rPr>
          <w:rFonts w:ascii="Times New Roman" w:eastAsia="Calibri" w:hAnsi="Times New Roman" w:cs="Times New Roman"/>
          <w:b/>
          <w:sz w:val="28"/>
          <w:szCs w:val="28"/>
        </w:rPr>
        <w:t xml:space="preserve">61 за 2019 г. </w:t>
      </w:r>
      <w:r w:rsidRPr="00880ECD">
        <w:rPr>
          <w:rFonts w:ascii="Times New Roman" w:eastAsia="Calibri" w:hAnsi="Times New Roman" w:cs="Times New Roman"/>
          <w:sz w:val="28"/>
          <w:szCs w:val="28"/>
        </w:rPr>
        <w:t xml:space="preserve">Намаляването на осъдените спрямо предходната година се дължи на по-малкия брой внесени в съда дела спрямо непълнолетни лица през отчетния период - </w:t>
      </w:r>
      <w:r w:rsidRPr="00880ECD">
        <w:rPr>
          <w:rFonts w:ascii="Times New Roman" w:eastAsia="Calibri" w:hAnsi="Times New Roman" w:cs="Times New Roman"/>
          <w:b/>
          <w:color w:val="000000"/>
          <w:sz w:val="28"/>
          <w:szCs w:val="28"/>
        </w:rPr>
        <w:t>36</w:t>
      </w:r>
      <w:r w:rsidRPr="00880ECD">
        <w:rPr>
          <w:rFonts w:ascii="Times New Roman" w:eastAsia="Calibri" w:hAnsi="Times New Roman" w:cs="Times New Roman"/>
          <w:color w:val="000000"/>
          <w:sz w:val="28"/>
          <w:szCs w:val="28"/>
        </w:rPr>
        <w:t xml:space="preserve"> /при </w:t>
      </w:r>
      <w:r w:rsidRPr="00880ECD">
        <w:rPr>
          <w:rFonts w:ascii="Times New Roman" w:eastAsia="Calibri" w:hAnsi="Times New Roman" w:cs="Times New Roman"/>
          <w:b/>
          <w:color w:val="000000"/>
          <w:sz w:val="28"/>
          <w:szCs w:val="28"/>
        </w:rPr>
        <w:t>39 за 2020 г.</w:t>
      </w:r>
      <w:r w:rsidRPr="00880ECD">
        <w:rPr>
          <w:rFonts w:ascii="Times New Roman" w:eastAsia="Calibri" w:hAnsi="Times New Roman" w:cs="Times New Roman"/>
          <w:color w:val="000000"/>
          <w:sz w:val="28"/>
          <w:szCs w:val="28"/>
        </w:rPr>
        <w:t xml:space="preserve"> и </w:t>
      </w:r>
      <w:r w:rsidRPr="00880ECD">
        <w:rPr>
          <w:rFonts w:ascii="Times New Roman" w:eastAsia="Calibri" w:hAnsi="Times New Roman" w:cs="Times New Roman"/>
          <w:b/>
          <w:color w:val="000000"/>
          <w:sz w:val="28"/>
          <w:szCs w:val="28"/>
        </w:rPr>
        <w:t>50 за 2019 г.</w:t>
      </w:r>
      <w:r w:rsidRPr="00880ECD">
        <w:rPr>
          <w:rFonts w:ascii="Times New Roman" w:eastAsia="Calibri" w:hAnsi="Times New Roman" w:cs="Times New Roman"/>
          <w:color w:val="000000"/>
          <w:sz w:val="28"/>
          <w:szCs w:val="28"/>
        </w:rPr>
        <w:t xml:space="preserve"> /.</w:t>
      </w:r>
      <w:r w:rsidRPr="00880ECD">
        <w:rPr>
          <w:rFonts w:ascii="Times New Roman" w:eastAsia="Calibri" w:hAnsi="Times New Roman" w:cs="Times New Roman"/>
          <w:sz w:val="28"/>
          <w:szCs w:val="28"/>
        </w:rPr>
        <w:t xml:space="preserve"> През периода оправданите непълнолетни лица са 4.</w:t>
      </w:r>
    </w:p>
    <w:p w:rsidR="009658CD" w:rsidRPr="00880ECD" w:rsidRDefault="009658CD" w:rsidP="00F63914">
      <w:pPr>
        <w:spacing w:after="0" w:line="240" w:lineRule="auto"/>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ab/>
        <w:t>През отчетната година се наблюдава запазване на тенденцията най-често налаганите наказания спрямо непълнолетни да бъдат „Обществено порицание” и „</w:t>
      </w:r>
      <w:proofErr w:type="spellStart"/>
      <w:r w:rsidRPr="00880ECD">
        <w:rPr>
          <w:rFonts w:ascii="Times New Roman" w:eastAsia="Calibri" w:hAnsi="Times New Roman" w:cs="Times New Roman"/>
          <w:sz w:val="28"/>
          <w:szCs w:val="28"/>
        </w:rPr>
        <w:t>Пробация</w:t>
      </w:r>
      <w:proofErr w:type="spellEnd"/>
      <w:r w:rsidRPr="00880ECD">
        <w:rPr>
          <w:rFonts w:ascii="Times New Roman" w:eastAsia="Calibri" w:hAnsi="Times New Roman" w:cs="Times New Roman"/>
          <w:sz w:val="28"/>
          <w:szCs w:val="28"/>
        </w:rPr>
        <w:t xml:space="preserve">” за лица над 16 години. Както и през предходните години тези наказания са следвани по честота на налагане от наказанието „Лишаване от свобода” с приложение на чл. 69, във вр.чл. 66 НК. Налагането на наказание „Лишаване от свобода“ с ефективно изтърпяване бележи значително намаляване спрямо предходните години - </w:t>
      </w:r>
      <w:r w:rsidRPr="00880ECD">
        <w:rPr>
          <w:rFonts w:ascii="Times New Roman" w:eastAsia="Calibri" w:hAnsi="Times New Roman" w:cs="Times New Roman"/>
          <w:b/>
          <w:sz w:val="28"/>
          <w:szCs w:val="28"/>
        </w:rPr>
        <w:t>2</w:t>
      </w:r>
      <w:r w:rsidRPr="00880ECD">
        <w:rPr>
          <w:rFonts w:ascii="Times New Roman" w:eastAsia="Calibri" w:hAnsi="Times New Roman" w:cs="Times New Roman"/>
          <w:sz w:val="28"/>
          <w:szCs w:val="28"/>
        </w:rPr>
        <w:t xml:space="preserve">, спрямо </w:t>
      </w:r>
      <w:r w:rsidRPr="00880ECD">
        <w:rPr>
          <w:rFonts w:ascii="Times New Roman" w:eastAsia="Calibri" w:hAnsi="Times New Roman" w:cs="Times New Roman"/>
          <w:b/>
          <w:sz w:val="28"/>
          <w:szCs w:val="28"/>
        </w:rPr>
        <w:t xml:space="preserve">8 за 2020 г. </w:t>
      </w:r>
      <w:r w:rsidRPr="00880ECD">
        <w:rPr>
          <w:rFonts w:ascii="Times New Roman" w:eastAsia="Calibri" w:hAnsi="Times New Roman" w:cs="Times New Roman"/>
          <w:sz w:val="28"/>
          <w:szCs w:val="28"/>
        </w:rPr>
        <w:t xml:space="preserve">и </w:t>
      </w:r>
      <w:r w:rsidRPr="00880ECD">
        <w:rPr>
          <w:rFonts w:ascii="Times New Roman" w:eastAsia="Calibri" w:hAnsi="Times New Roman" w:cs="Times New Roman"/>
          <w:b/>
          <w:sz w:val="28"/>
          <w:szCs w:val="28"/>
        </w:rPr>
        <w:t>5 за 2019 г.</w:t>
      </w:r>
      <w:r w:rsidRPr="00880ECD">
        <w:rPr>
          <w:rFonts w:ascii="Times New Roman" w:eastAsia="Calibri" w:hAnsi="Times New Roman" w:cs="Times New Roman"/>
          <w:sz w:val="28"/>
          <w:szCs w:val="28"/>
        </w:rPr>
        <w:t xml:space="preserve"> Този факт е положителен на фона на неблагоприятната тенденция за завишаване броя на ефективните присъди, налагани на непълнолетни лица спрямо предходни периоди както през 2020 г., така и през 2019 г. </w:t>
      </w:r>
    </w:p>
    <w:p w:rsidR="009658CD" w:rsidRDefault="009658CD" w:rsidP="00F63914">
      <w:pPr>
        <w:spacing w:after="0" w:line="240" w:lineRule="auto"/>
        <w:ind w:firstLine="720"/>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На база изнесените по-горе данни може да бъде направен извод за това, че по досъдебните производства, образувани за престъпления, извършени от непълнолетни лица прокурорите от региона на ОП – Варна са работили отговорно, задълбочено и качествено. Наред с това, през годината е продължила дейността за подобряване взаимодействието с други органи в борбата с детската престъпност.</w:t>
      </w:r>
    </w:p>
    <w:p w:rsidR="009658CD" w:rsidRPr="00A32BEF" w:rsidRDefault="009658CD" w:rsidP="00F63914">
      <w:pPr>
        <w:pStyle w:val="1"/>
        <w:spacing w:line="240" w:lineRule="auto"/>
        <w:ind w:firstLine="567"/>
        <w:contextualSpacing/>
        <w:jc w:val="left"/>
        <w:rPr>
          <w:b w:val="0"/>
          <w:color w:val="0070C0"/>
        </w:rPr>
      </w:pPr>
      <w:r w:rsidRPr="00892557">
        <w:rPr>
          <w:b w:val="0"/>
          <w:color w:val="0070C0"/>
          <w:lang w:val="en-US"/>
        </w:rPr>
        <w:t>IV</w:t>
      </w:r>
      <w:r w:rsidRPr="00A32BEF">
        <w:rPr>
          <w:b w:val="0"/>
          <w:color w:val="0070C0"/>
        </w:rPr>
        <w:t xml:space="preserve">. </w:t>
      </w:r>
      <w:r w:rsidRPr="00892557">
        <w:rPr>
          <w:b w:val="0"/>
          <w:color w:val="0070C0"/>
        </w:rPr>
        <w:t>МЕЖДУНАРОДНО</w:t>
      </w:r>
      <w:r w:rsidRPr="00A32BEF">
        <w:rPr>
          <w:b w:val="0"/>
          <w:color w:val="0070C0"/>
        </w:rPr>
        <w:t>-</w:t>
      </w:r>
      <w:r w:rsidRPr="00892557">
        <w:rPr>
          <w:b w:val="0"/>
          <w:color w:val="0070C0"/>
        </w:rPr>
        <w:t>ПРАВНО СЪТРУДНИЧЕСТВО.</w:t>
      </w:r>
    </w:p>
    <w:p w:rsidR="009658CD" w:rsidRPr="00AF1BA0" w:rsidRDefault="009658CD" w:rsidP="00F63914">
      <w:pPr>
        <w:spacing w:line="240" w:lineRule="auto"/>
        <w:ind w:right="-709" w:firstLine="709"/>
        <w:contextualSpacing/>
        <w:jc w:val="both"/>
        <w:rPr>
          <w:sz w:val="28"/>
          <w:szCs w:val="28"/>
          <w:highlight w:val="yellow"/>
        </w:rPr>
      </w:pPr>
      <w:r w:rsidRPr="00AF1BA0">
        <w:rPr>
          <w:sz w:val="28"/>
          <w:szCs w:val="28"/>
          <w:highlight w:val="yellow"/>
        </w:rPr>
        <w:t xml:space="preserve">През 2021 г. от ОП – Варна са били изготвени 6 молби за правна помощ и 39 европейски заповеди за разследване. От издадените ЕЗР до края на периода са изпълнени 28. Неизпълнени са били 11 ЕЗР, като по една от тях неизпълнението е било по обективни причини – лицето, чийто разпит е искан се е завърнало своевременно в Р България. </w:t>
      </w:r>
    </w:p>
    <w:p w:rsidR="009658CD" w:rsidRPr="00AF1BA0" w:rsidRDefault="009658CD" w:rsidP="00F63914">
      <w:pPr>
        <w:spacing w:line="240" w:lineRule="auto"/>
        <w:ind w:right="-709" w:firstLine="709"/>
        <w:contextualSpacing/>
        <w:jc w:val="both"/>
        <w:rPr>
          <w:sz w:val="28"/>
          <w:szCs w:val="28"/>
          <w:highlight w:val="yellow"/>
        </w:rPr>
      </w:pPr>
      <w:r w:rsidRPr="00AF1BA0">
        <w:rPr>
          <w:sz w:val="28"/>
          <w:szCs w:val="28"/>
          <w:highlight w:val="yellow"/>
        </w:rPr>
        <w:t xml:space="preserve">През 2020 г. от ОП – Варна са били изготвени 14 молби за правна помощ и 40 европейски заповеди за разследване, а през 2019 г. - 9 молби за правна помощ и 20 ЕЗР. </w:t>
      </w:r>
    </w:p>
    <w:p w:rsidR="009658CD" w:rsidRPr="00AF1BA0" w:rsidRDefault="009658CD" w:rsidP="00F63914">
      <w:pPr>
        <w:spacing w:line="240" w:lineRule="auto"/>
        <w:ind w:right="-709" w:firstLine="709"/>
        <w:contextualSpacing/>
        <w:jc w:val="both"/>
        <w:rPr>
          <w:sz w:val="28"/>
          <w:szCs w:val="28"/>
          <w:highlight w:val="yellow"/>
        </w:rPr>
      </w:pPr>
      <w:r w:rsidRPr="00AF1BA0">
        <w:rPr>
          <w:sz w:val="28"/>
          <w:szCs w:val="28"/>
          <w:highlight w:val="yellow"/>
        </w:rPr>
        <w:lastRenderedPageBreak/>
        <w:t xml:space="preserve">През 2021 г. ОП – Варна е работила по изпълнението на 44 МПП и на 59 ЕЗР. През 2020 г. ОП – Варна е изпълнявала 69 МПП и 48 ЕЗР, а през 2019 г. -  42 МПП и 45 ЕЗР.  </w:t>
      </w:r>
    </w:p>
    <w:p w:rsidR="009658CD" w:rsidRDefault="009658CD" w:rsidP="00F63914">
      <w:pPr>
        <w:spacing w:line="240" w:lineRule="auto"/>
        <w:ind w:right="-709" w:firstLine="709"/>
        <w:contextualSpacing/>
        <w:jc w:val="both"/>
        <w:rPr>
          <w:sz w:val="28"/>
          <w:szCs w:val="28"/>
        </w:rPr>
      </w:pPr>
      <w:r w:rsidRPr="00AF1BA0">
        <w:rPr>
          <w:sz w:val="28"/>
          <w:szCs w:val="28"/>
          <w:highlight w:val="yellow"/>
        </w:rPr>
        <w:t xml:space="preserve">През 2021 г. за нуждите на наблюдаваните от РП – Варна досъдебни производства са били изготвени 98 МПП и 76 ЕЗР и е изпълнявана една МПП. По 36 от </w:t>
      </w:r>
      <w:proofErr w:type="spellStart"/>
      <w:r w:rsidRPr="00AF1BA0">
        <w:rPr>
          <w:sz w:val="28"/>
          <w:szCs w:val="28"/>
          <w:highlight w:val="yellow"/>
        </w:rPr>
        <w:t>изготовените</w:t>
      </w:r>
      <w:proofErr w:type="spellEnd"/>
      <w:r w:rsidRPr="00AF1BA0">
        <w:rPr>
          <w:sz w:val="28"/>
          <w:szCs w:val="28"/>
          <w:highlight w:val="yellow"/>
        </w:rPr>
        <w:t xml:space="preserve"> ЕЗР районната прокуратура е получила резултати – изпълнени са били 35 от тях, а по една исканите ПСД не са могли да бъдат извършени /не е била изпълнена/. По останалите 40 ЕЗР се очаква отговор.  През 2020 г. от РП – Варна са изготвени 29 МПП и 54 ЕЗР, а през 2019 г. - 124 МПП и 83 ЕЗР.</w:t>
      </w:r>
      <w:r>
        <w:rPr>
          <w:sz w:val="28"/>
          <w:szCs w:val="28"/>
        </w:rPr>
        <w:t xml:space="preserve"> </w:t>
      </w:r>
    </w:p>
    <w:p w:rsidR="009658CD" w:rsidRDefault="009658CD" w:rsidP="00F63914">
      <w:pPr>
        <w:spacing w:line="240" w:lineRule="auto"/>
        <w:ind w:right="-709" w:firstLine="709"/>
        <w:contextualSpacing/>
        <w:jc w:val="both"/>
        <w:rPr>
          <w:sz w:val="28"/>
          <w:szCs w:val="28"/>
        </w:rPr>
      </w:pPr>
      <w:r>
        <w:rPr>
          <w:sz w:val="28"/>
          <w:szCs w:val="28"/>
        </w:rPr>
        <w:t xml:space="preserve">През 2020 г. РП – Варна е работила по изпълнението на 7 молби за правна помощ, а през 2019 г. - по изпълнението на 9 МПП. </w:t>
      </w:r>
    </w:p>
    <w:p w:rsidR="009658CD" w:rsidRDefault="009658CD" w:rsidP="00F63914">
      <w:pPr>
        <w:spacing w:line="240" w:lineRule="auto"/>
        <w:ind w:right="-709" w:firstLine="709"/>
        <w:contextualSpacing/>
        <w:jc w:val="both"/>
        <w:rPr>
          <w:sz w:val="28"/>
          <w:szCs w:val="28"/>
        </w:rPr>
      </w:pPr>
      <w:r>
        <w:rPr>
          <w:sz w:val="28"/>
          <w:szCs w:val="28"/>
        </w:rPr>
        <w:t xml:space="preserve">През отчетния период ОП – Варна не е изготвяла предложения за трансфер на наказателни производства. Получила е и се е произнесла по 6 предложения за трансфер. </w:t>
      </w:r>
    </w:p>
    <w:p w:rsidR="009658CD" w:rsidRDefault="009658CD" w:rsidP="00F63914">
      <w:pPr>
        <w:spacing w:line="240" w:lineRule="auto"/>
        <w:ind w:right="-709" w:firstLine="709"/>
        <w:contextualSpacing/>
        <w:jc w:val="both"/>
        <w:rPr>
          <w:sz w:val="28"/>
          <w:szCs w:val="28"/>
        </w:rPr>
      </w:pPr>
      <w:r>
        <w:rPr>
          <w:sz w:val="28"/>
          <w:szCs w:val="28"/>
        </w:rPr>
        <w:t xml:space="preserve">През 2020 г. ОП – Варна не е била адресат  и не е изготвяла предложения за трансфер на наказателни производства. През 2019 г. година тя е получила 4 предложения за трансфер и е изготвила едно предложение по чл. 479 от НПК. </w:t>
      </w:r>
    </w:p>
    <w:p w:rsidR="009658CD" w:rsidRDefault="009658CD" w:rsidP="00F63914">
      <w:pPr>
        <w:spacing w:line="240" w:lineRule="auto"/>
        <w:ind w:right="-709" w:firstLine="709"/>
        <w:contextualSpacing/>
        <w:jc w:val="both"/>
        <w:rPr>
          <w:sz w:val="28"/>
          <w:szCs w:val="28"/>
        </w:rPr>
      </w:pPr>
      <w:r>
        <w:rPr>
          <w:sz w:val="28"/>
          <w:szCs w:val="28"/>
        </w:rPr>
        <w:t>През 2021 г. г. РП – Варна не е изготвяла предложения за трансфер на наказателни производство. Произнесла се е по две предложения за трансфер.</w:t>
      </w:r>
    </w:p>
    <w:p w:rsidR="009658CD" w:rsidRDefault="009658CD" w:rsidP="00F63914">
      <w:pPr>
        <w:spacing w:line="240" w:lineRule="auto"/>
        <w:ind w:right="-709" w:firstLine="709"/>
        <w:contextualSpacing/>
        <w:jc w:val="both"/>
        <w:rPr>
          <w:sz w:val="28"/>
          <w:szCs w:val="28"/>
        </w:rPr>
      </w:pPr>
      <w:r>
        <w:rPr>
          <w:sz w:val="28"/>
          <w:szCs w:val="28"/>
        </w:rPr>
        <w:t xml:space="preserve">През 2020 г. РП – Варна е изготвила едно предложение за трансфер на наказателно производство и се е произнесла по постъпило едно предложение за трансфер. През 2019 г. районната прокуратура е получила две предложения за трансфер и е изготвила едно такова. </w:t>
      </w:r>
    </w:p>
    <w:p w:rsidR="009658CD" w:rsidRDefault="009658CD" w:rsidP="00F63914">
      <w:pPr>
        <w:spacing w:line="240" w:lineRule="auto"/>
        <w:ind w:right="-709" w:firstLine="709"/>
        <w:contextualSpacing/>
        <w:jc w:val="both"/>
        <w:rPr>
          <w:sz w:val="28"/>
          <w:szCs w:val="28"/>
        </w:rPr>
      </w:pPr>
      <w:r>
        <w:rPr>
          <w:sz w:val="28"/>
          <w:szCs w:val="28"/>
        </w:rPr>
        <w:t>През 2021 г. ОП – Варна не е издавала ЕЗА. Участвала в разглеждането на 19 европейски заповеди за арест.</w:t>
      </w:r>
    </w:p>
    <w:p w:rsidR="009658CD" w:rsidRDefault="009658CD" w:rsidP="00F63914">
      <w:pPr>
        <w:spacing w:line="240" w:lineRule="auto"/>
        <w:ind w:right="-709" w:firstLine="709"/>
        <w:contextualSpacing/>
        <w:jc w:val="both"/>
        <w:rPr>
          <w:sz w:val="28"/>
          <w:szCs w:val="28"/>
        </w:rPr>
      </w:pPr>
      <w:r>
        <w:rPr>
          <w:sz w:val="28"/>
          <w:szCs w:val="28"/>
        </w:rPr>
        <w:t>През 2020 г. ЕЗА, по чието изпълнение ОП – Варна е участвала са били 13, а през 2019 г. - 16</w:t>
      </w:r>
      <w:r w:rsidRPr="009411AA">
        <w:rPr>
          <w:sz w:val="28"/>
          <w:szCs w:val="28"/>
        </w:rPr>
        <w:t>.</w:t>
      </w:r>
    </w:p>
    <w:p w:rsidR="009658CD" w:rsidRDefault="009658CD" w:rsidP="00F63914">
      <w:pPr>
        <w:spacing w:line="240" w:lineRule="auto"/>
        <w:ind w:right="-709" w:firstLine="709"/>
        <w:contextualSpacing/>
        <w:jc w:val="both"/>
        <w:rPr>
          <w:sz w:val="28"/>
          <w:szCs w:val="28"/>
        </w:rPr>
      </w:pPr>
      <w:r>
        <w:rPr>
          <w:sz w:val="28"/>
          <w:szCs w:val="28"/>
        </w:rPr>
        <w:t>През отчетния период ОП – Варна не е издавала ЕЗА. През 2020 г. тази прокуратура е издала 5 ЕЗА, а през 2019 г. - 4.</w:t>
      </w:r>
    </w:p>
    <w:p w:rsidR="009658CD" w:rsidRDefault="009658CD" w:rsidP="00F63914">
      <w:pPr>
        <w:spacing w:line="240" w:lineRule="auto"/>
        <w:ind w:right="-709" w:firstLine="709"/>
        <w:contextualSpacing/>
        <w:jc w:val="both"/>
        <w:rPr>
          <w:sz w:val="28"/>
          <w:szCs w:val="28"/>
        </w:rPr>
      </w:pPr>
      <w:proofErr w:type="spellStart"/>
      <w:r>
        <w:rPr>
          <w:sz w:val="28"/>
          <w:szCs w:val="28"/>
        </w:rPr>
        <w:t>Прз</w:t>
      </w:r>
      <w:proofErr w:type="spellEnd"/>
      <w:r>
        <w:rPr>
          <w:sz w:val="28"/>
          <w:szCs w:val="28"/>
        </w:rPr>
        <w:t xml:space="preserve"> 2021 г. РП – Варна е издала 7 ЕЗА, всичките във връзка с изпълнение на присъди. До края на периода изпълнени са били три от тях.През 2020 г. тя е издала 10 ЕЗА, а през 2019 г.  6 ЕЗА.</w:t>
      </w:r>
    </w:p>
    <w:p w:rsidR="009658CD" w:rsidRDefault="009658CD" w:rsidP="00F63914">
      <w:pPr>
        <w:spacing w:line="240" w:lineRule="auto"/>
        <w:ind w:right="-709" w:firstLine="709"/>
        <w:contextualSpacing/>
        <w:jc w:val="both"/>
        <w:rPr>
          <w:sz w:val="28"/>
          <w:szCs w:val="28"/>
        </w:rPr>
      </w:pPr>
      <w:r>
        <w:rPr>
          <w:sz w:val="28"/>
          <w:szCs w:val="28"/>
        </w:rPr>
        <w:t xml:space="preserve">По повод изпълнението на ЕЗА през </w:t>
      </w:r>
      <w:r w:rsidRPr="00EA54EC">
        <w:rPr>
          <w:sz w:val="28"/>
          <w:szCs w:val="28"/>
          <w:lang w:val="ru-RU"/>
        </w:rPr>
        <w:t>20</w:t>
      </w:r>
      <w:r>
        <w:rPr>
          <w:sz w:val="28"/>
          <w:szCs w:val="28"/>
          <w:lang w:val="ru-RU"/>
        </w:rPr>
        <w:t xml:space="preserve">21 г. </w:t>
      </w:r>
      <w:proofErr w:type="spellStart"/>
      <w:r>
        <w:rPr>
          <w:sz w:val="28"/>
          <w:szCs w:val="28"/>
          <w:lang w:val="ru-RU"/>
        </w:rPr>
        <w:t>са</w:t>
      </w:r>
      <w:proofErr w:type="spellEnd"/>
      <w:r>
        <w:rPr>
          <w:sz w:val="28"/>
          <w:szCs w:val="28"/>
          <w:lang w:val="ru-RU"/>
        </w:rPr>
        <w:t xml:space="preserve"> били </w:t>
      </w:r>
      <w:proofErr w:type="spellStart"/>
      <w:r>
        <w:rPr>
          <w:sz w:val="28"/>
          <w:szCs w:val="28"/>
          <w:lang w:val="ru-RU"/>
        </w:rPr>
        <w:t>задържани</w:t>
      </w:r>
      <w:proofErr w:type="spellEnd"/>
      <w:r>
        <w:rPr>
          <w:sz w:val="28"/>
          <w:szCs w:val="28"/>
          <w:lang w:val="ru-RU"/>
        </w:rPr>
        <w:t xml:space="preserve"> 16 лица – толкова </w:t>
      </w:r>
      <w:proofErr w:type="spellStart"/>
      <w:r>
        <w:rPr>
          <w:sz w:val="28"/>
          <w:szCs w:val="28"/>
          <w:lang w:val="ru-RU"/>
        </w:rPr>
        <w:t>колкото</w:t>
      </w:r>
      <w:proofErr w:type="spellEnd"/>
      <w:r>
        <w:rPr>
          <w:sz w:val="28"/>
          <w:szCs w:val="28"/>
          <w:lang w:val="ru-RU"/>
        </w:rPr>
        <w:t xml:space="preserve"> и </w:t>
      </w:r>
      <w:proofErr w:type="spellStart"/>
      <w:r>
        <w:rPr>
          <w:sz w:val="28"/>
          <w:szCs w:val="28"/>
          <w:lang w:val="ru-RU"/>
        </w:rPr>
        <w:t>през</w:t>
      </w:r>
      <w:proofErr w:type="spellEnd"/>
      <w:r>
        <w:rPr>
          <w:sz w:val="28"/>
          <w:szCs w:val="28"/>
          <w:lang w:val="ru-RU"/>
        </w:rPr>
        <w:t xml:space="preserve"> </w:t>
      </w:r>
      <w:proofErr w:type="spellStart"/>
      <w:r>
        <w:rPr>
          <w:sz w:val="28"/>
          <w:szCs w:val="28"/>
          <w:lang w:val="ru-RU"/>
        </w:rPr>
        <w:t>предходната</w:t>
      </w:r>
      <w:proofErr w:type="spellEnd"/>
      <w:r>
        <w:rPr>
          <w:sz w:val="28"/>
          <w:szCs w:val="28"/>
          <w:lang w:val="ru-RU"/>
        </w:rPr>
        <w:t xml:space="preserve"> 2020</w:t>
      </w:r>
      <w:r w:rsidRPr="00EA54EC">
        <w:rPr>
          <w:sz w:val="28"/>
          <w:szCs w:val="28"/>
          <w:lang w:val="ru-RU"/>
        </w:rPr>
        <w:t xml:space="preserve"> </w:t>
      </w:r>
      <w:r>
        <w:rPr>
          <w:sz w:val="28"/>
          <w:szCs w:val="28"/>
        </w:rPr>
        <w:t>г. Задържаните на тези основания лица през  2019 г. са били 20</w:t>
      </w:r>
      <w:r w:rsidRPr="009411AA">
        <w:rPr>
          <w:sz w:val="28"/>
          <w:szCs w:val="28"/>
        </w:rPr>
        <w:t xml:space="preserve">. </w:t>
      </w:r>
    </w:p>
    <w:p w:rsidR="009658CD" w:rsidRDefault="009658CD" w:rsidP="00F63914">
      <w:pPr>
        <w:spacing w:line="240" w:lineRule="auto"/>
        <w:ind w:right="-709" w:firstLine="709"/>
        <w:contextualSpacing/>
        <w:jc w:val="both"/>
        <w:rPr>
          <w:sz w:val="28"/>
          <w:szCs w:val="28"/>
        </w:rPr>
      </w:pPr>
      <w:r>
        <w:rPr>
          <w:sz w:val="28"/>
          <w:szCs w:val="28"/>
        </w:rPr>
        <w:t>През 2021 г. прокурорите от ОП – Варна са участвали в чет</w:t>
      </w:r>
      <w:r w:rsidR="00C952C6">
        <w:rPr>
          <w:sz w:val="28"/>
          <w:szCs w:val="28"/>
        </w:rPr>
        <w:t>ири производства по екстрадиция,</w:t>
      </w:r>
      <w:r>
        <w:rPr>
          <w:sz w:val="28"/>
          <w:szCs w:val="28"/>
        </w:rPr>
        <w:t xml:space="preserve"> </w:t>
      </w:r>
      <w:r w:rsidR="00C952C6">
        <w:rPr>
          <w:sz w:val="28"/>
          <w:szCs w:val="28"/>
        </w:rPr>
        <w:t>п</w:t>
      </w:r>
      <w:r>
        <w:rPr>
          <w:sz w:val="28"/>
          <w:szCs w:val="28"/>
        </w:rPr>
        <w:t xml:space="preserve">рез 2020 г. </w:t>
      </w:r>
      <w:r w:rsidR="00C952C6">
        <w:rPr>
          <w:sz w:val="28"/>
          <w:szCs w:val="28"/>
        </w:rPr>
        <w:t>по 3</w:t>
      </w:r>
      <w:r>
        <w:rPr>
          <w:sz w:val="28"/>
          <w:szCs w:val="28"/>
        </w:rPr>
        <w:t xml:space="preserve"> три, а през 2019 г. - две. През 2021 г., както и през предходната година ОП – Варна не е изготвяла предложения до ВПК за изготвяне на молби по чл. 24 от ЗЕЕЗА. През 2019 г. ОП – Варна е изготвила 1 предложение за изготвяне на молба за екстрадиция.</w:t>
      </w:r>
    </w:p>
    <w:p w:rsidR="009658CD" w:rsidRDefault="009658CD" w:rsidP="00F63914">
      <w:pPr>
        <w:spacing w:line="240" w:lineRule="auto"/>
        <w:ind w:right="-709" w:firstLine="709"/>
        <w:contextualSpacing/>
        <w:jc w:val="both"/>
        <w:rPr>
          <w:sz w:val="28"/>
          <w:szCs w:val="28"/>
        </w:rPr>
      </w:pPr>
      <w:r>
        <w:rPr>
          <w:sz w:val="28"/>
          <w:szCs w:val="28"/>
        </w:rPr>
        <w:t>През 2021 г. Прокурорите от ОП – Варна са участвали в десет производства по признаване и изпълнение на присъди на чуждестранни съдилища. Признати са били осем от тези присъди.</w:t>
      </w:r>
    </w:p>
    <w:p w:rsidR="009658CD" w:rsidRDefault="009658CD" w:rsidP="00F63914">
      <w:pPr>
        <w:spacing w:line="240" w:lineRule="auto"/>
        <w:ind w:right="-709" w:firstLine="709"/>
        <w:contextualSpacing/>
        <w:jc w:val="both"/>
        <w:rPr>
          <w:sz w:val="28"/>
          <w:szCs w:val="28"/>
        </w:rPr>
      </w:pPr>
      <w:r>
        <w:rPr>
          <w:sz w:val="28"/>
          <w:szCs w:val="28"/>
        </w:rPr>
        <w:lastRenderedPageBreak/>
        <w:t xml:space="preserve"> </w:t>
      </w:r>
      <w:r w:rsidRPr="009411AA">
        <w:rPr>
          <w:sz w:val="28"/>
          <w:szCs w:val="28"/>
        </w:rPr>
        <w:t xml:space="preserve">Общият брой на заседанията </w:t>
      </w:r>
      <w:r>
        <w:rPr>
          <w:sz w:val="28"/>
          <w:szCs w:val="28"/>
        </w:rPr>
        <w:t xml:space="preserve"> през 2021 г. свързани с международното правно сътрудничество, в които ОП – Варна е участвала са били 125. През 2020 г. броят им е бил 84, а през 2019 г. - 87. </w:t>
      </w:r>
    </w:p>
    <w:p w:rsidR="009658CD" w:rsidRDefault="009658CD" w:rsidP="00F63914">
      <w:pPr>
        <w:spacing w:line="240" w:lineRule="auto"/>
        <w:ind w:right="-709" w:firstLine="709"/>
        <w:contextualSpacing/>
        <w:jc w:val="both"/>
        <w:rPr>
          <w:sz w:val="28"/>
          <w:szCs w:val="28"/>
        </w:rPr>
      </w:pPr>
      <w:r w:rsidRPr="009411AA">
        <w:rPr>
          <w:sz w:val="28"/>
          <w:szCs w:val="28"/>
        </w:rPr>
        <w:t xml:space="preserve"> </w:t>
      </w:r>
      <w:r>
        <w:rPr>
          <w:sz w:val="28"/>
          <w:szCs w:val="28"/>
        </w:rPr>
        <w:t xml:space="preserve">Преписките с </w:t>
      </w:r>
      <w:proofErr w:type="spellStart"/>
      <w:r>
        <w:rPr>
          <w:sz w:val="28"/>
          <w:szCs w:val="28"/>
        </w:rPr>
        <w:t>международнен</w:t>
      </w:r>
      <w:proofErr w:type="spellEnd"/>
      <w:r>
        <w:rPr>
          <w:sz w:val="28"/>
          <w:szCs w:val="28"/>
        </w:rPr>
        <w:t xml:space="preserve"> елемент в ОП – Варна през 2021 г. са били 246. През 2020 г. броят им е бил 215, а през 2019 г. - 184. </w:t>
      </w:r>
    </w:p>
    <w:p w:rsidR="009658CD" w:rsidRDefault="009658CD" w:rsidP="00F63914">
      <w:pPr>
        <w:spacing w:line="240" w:lineRule="auto"/>
        <w:ind w:right="-709" w:firstLine="709"/>
        <w:contextualSpacing/>
        <w:jc w:val="both"/>
      </w:pPr>
      <w:r>
        <w:rPr>
          <w:sz w:val="28"/>
          <w:szCs w:val="28"/>
        </w:rPr>
        <w:t>През 2021 г. преписките с международен елемент в РП – Варна са били 686. През 2020 г. РП – Варна е имала 343 преписки с международен елемент. През 2019 г. тази прокуратура е имала 443 такива преписки.</w:t>
      </w:r>
    </w:p>
    <w:p w:rsidR="009658CD" w:rsidRPr="00880ECD" w:rsidRDefault="009658CD" w:rsidP="00F63914">
      <w:pPr>
        <w:keepNext/>
        <w:spacing w:after="0" w:line="240" w:lineRule="auto"/>
        <w:contextualSpacing/>
        <w:jc w:val="center"/>
        <w:outlineLvl w:val="0"/>
        <w:rPr>
          <w:rFonts w:ascii="Times New Roman" w:eastAsia="Times New Roman" w:hAnsi="Times New Roman" w:cs="Times New Roman"/>
          <w:b/>
          <w:bCs/>
          <w:kern w:val="32"/>
          <w:sz w:val="28"/>
          <w:szCs w:val="28"/>
          <w:lang w:eastAsia="bg-BG"/>
        </w:rPr>
      </w:pPr>
      <w:r w:rsidRPr="00880ECD">
        <w:rPr>
          <w:rFonts w:ascii="Times New Roman" w:eastAsia="Times New Roman" w:hAnsi="Times New Roman" w:cs="Times New Roman"/>
          <w:b/>
          <w:bCs/>
          <w:kern w:val="32"/>
          <w:sz w:val="28"/>
          <w:szCs w:val="28"/>
          <w:lang w:eastAsia="bg-BG"/>
        </w:rPr>
        <w:t>РАЗДЕЛ ІV</w:t>
      </w:r>
    </w:p>
    <w:p w:rsidR="009658CD" w:rsidRPr="00880ECD" w:rsidRDefault="009658CD" w:rsidP="00F63914">
      <w:pPr>
        <w:keepNext/>
        <w:spacing w:after="0" w:line="240" w:lineRule="auto"/>
        <w:contextualSpacing/>
        <w:jc w:val="center"/>
        <w:outlineLvl w:val="0"/>
        <w:rPr>
          <w:rFonts w:ascii="Times New Roman" w:eastAsia="Times New Roman" w:hAnsi="Times New Roman" w:cs="Times New Roman"/>
          <w:b/>
          <w:bCs/>
          <w:kern w:val="32"/>
          <w:sz w:val="28"/>
          <w:szCs w:val="28"/>
          <w:lang w:eastAsia="bg-BG"/>
        </w:rPr>
      </w:pPr>
      <w:r w:rsidRPr="00880ECD">
        <w:rPr>
          <w:rFonts w:ascii="Times New Roman" w:eastAsia="Times New Roman" w:hAnsi="Times New Roman" w:cs="Times New Roman"/>
          <w:b/>
          <w:bCs/>
          <w:kern w:val="32"/>
          <w:sz w:val="28"/>
          <w:szCs w:val="28"/>
          <w:lang w:eastAsia="bg-BG"/>
        </w:rPr>
        <w:t>ДЕЙНОСТ НА ПРОКУРАТУРИТЕ ПО АДМИНИСТРАТИВНО-СЪДЕБНИЯ НАДЗОР И НАДЗОРА ЗА ЗАКОННОСТ</w:t>
      </w:r>
    </w:p>
    <w:p w:rsidR="009658CD" w:rsidRPr="00880ECD" w:rsidRDefault="009658CD" w:rsidP="00F63914">
      <w:pPr>
        <w:spacing w:after="0" w:line="240" w:lineRule="auto"/>
        <w:ind w:firstLine="709"/>
        <w:contextualSpacing/>
        <w:jc w:val="both"/>
        <w:rPr>
          <w:rFonts w:ascii="Times New Roman" w:eastAsia="Calibri" w:hAnsi="Times New Roman" w:cs="Times New Roman"/>
          <w:b/>
          <w:sz w:val="28"/>
          <w:szCs w:val="28"/>
        </w:rPr>
      </w:pP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С</w:t>
      </w:r>
      <w:r w:rsidRPr="00880ECD">
        <w:rPr>
          <w:rFonts w:ascii="Times New Roman" w:eastAsia="Calibri" w:hAnsi="Times New Roman" w:cs="Times New Roman"/>
          <w:b/>
          <w:bCs/>
          <w:sz w:val="28"/>
          <w:szCs w:val="28"/>
        </w:rPr>
        <w:t>редната натовареност на прокурор</w:t>
      </w:r>
      <w:r w:rsidRPr="00880ECD">
        <w:rPr>
          <w:rFonts w:ascii="Times New Roman" w:eastAsia="Calibri" w:hAnsi="Times New Roman" w:cs="Times New Roman"/>
          <w:sz w:val="28"/>
          <w:szCs w:val="28"/>
        </w:rPr>
        <w:t xml:space="preserve"> за отчетния период 2021г. в надзора за законност и правата на гражданите, е както следва:</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b/>
          <w:bCs/>
          <w:sz w:val="28"/>
          <w:szCs w:val="28"/>
        </w:rPr>
        <w:t xml:space="preserve">ОП – Варна: 17, при 22,4 за 2020г, при 19,4 за 2019г По този показател </w:t>
      </w:r>
      <w:r w:rsidRPr="00880ECD">
        <w:rPr>
          <w:rFonts w:ascii="Times New Roman" w:eastAsia="Calibri" w:hAnsi="Times New Roman" w:cs="Times New Roman"/>
          <w:bCs/>
          <w:sz w:val="28"/>
          <w:szCs w:val="28"/>
        </w:rPr>
        <w:t>се констатира</w:t>
      </w:r>
      <w:r w:rsidRPr="00880ECD">
        <w:rPr>
          <w:rFonts w:ascii="Times New Roman" w:eastAsia="Calibri" w:hAnsi="Times New Roman" w:cs="Times New Roman"/>
          <w:b/>
          <w:bCs/>
          <w:sz w:val="28"/>
          <w:szCs w:val="28"/>
        </w:rPr>
        <w:t xml:space="preserve"> намаление</w:t>
      </w:r>
      <w:r w:rsidRPr="00880ECD">
        <w:rPr>
          <w:rFonts w:ascii="Times New Roman" w:eastAsia="Calibri" w:hAnsi="Times New Roman" w:cs="Times New Roman"/>
          <w:bCs/>
          <w:sz w:val="28"/>
          <w:szCs w:val="28"/>
        </w:rPr>
        <w:t xml:space="preserve"> с 24,11 % спрямо 2020г</w:t>
      </w:r>
      <w:r w:rsidRPr="00880ECD">
        <w:rPr>
          <w:rFonts w:ascii="Times New Roman" w:eastAsia="Calibri" w:hAnsi="Times New Roman" w:cs="Times New Roman"/>
          <w:sz w:val="28"/>
          <w:szCs w:val="28"/>
        </w:rPr>
        <w:t xml:space="preserve">. и намаление с 12,37% спрямо 2019г. </w:t>
      </w:r>
      <w:r w:rsidRPr="00880ECD">
        <w:rPr>
          <w:rFonts w:ascii="Times New Roman" w:eastAsia="Calibri" w:hAnsi="Times New Roman" w:cs="Times New Roman"/>
          <w:b/>
          <w:bCs/>
          <w:sz w:val="28"/>
          <w:szCs w:val="28"/>
        </w:rPr>
        <w:t xml:space="preserve"> </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b/>
          <w:bCs/>
          <w:sz w:val="28"/>
          <w:szCs w:val="28"/>
        </w:rPr>
        <w:t xml:space="preserve"> РП – Варна: </w:t>
      </w:r>
      <w:r w:rsidRPr="00880ECD">
        <w:rPr>
          <w:rFonts w:ascii="Times New Roman" w:eastAsia="Calibri" w:hAnsi="Times New Roman" w:cs="Times New Roman"/>
          <w:spacing w:val="-6"/>
          <w:sz w:val="28"/>
          <w:szCs w:val="28"/>
        </w:rPr>
        <w:t xml:space="preserve"> </w:t>
      </w:r>
      <w:r w:rsidRPr="00880ECD">
        <w:rPr>
          <w:rFonts w:ascii="Times New Roman" w:eastAsia="Calibri" w:hAnsi="Times New Roman" w:cs="Times New Roman"/>
          <w:sz w:val="28"/>
          <w:szCs w:val="28"/>
        </w:rPr>
        <w:t xml:space="preserve">Средната натовареност на прокурор за отчетния период </w:t>
      </w:r>
      <w:r w:rsidRPr="00880ECD">
        <w:rPr>
          <w:rFonts w:ascii="Times New Roman" w:eastAsia="Calibri" w:hAnsi="Times New Roman" w:cs="Times New Roman"/>
          <w:b/>
          <w:sz w:val="28"/>
          <w:szCs w:val="28"/>
        </w:rPr>
        <w:t>е 33,1 при 30,2 за 2020г, при 20,6</w:t>
      </w:r>
      <w:r w:rsidRPr="00880ECD">
        <w:rPr>
          <w:rFonts w:ascii="Times New Roman" w:eastAsia="Calibri" w:hAnsi="Times New Roman" w:cs="Times New Roman"/>
          <w:sz w:val="28"/>
          <w:szCs w:val="28"/>
        </w:rPr>
        <w:t xml:space="preserve"> за 2019г. </w:t>
      </w:r>
    </w:p>
    <w:p w:rsidR="009658CD" w:rsidRPr="00880ECD" w:rsidRDefault="009658CD" w:rsidP="00F63914">
      <w:pPr>
        <w:spacing w:line="240" w:lineRule="auto"/>
        <w:ind w:firstLine="720"/>
        <w:contextualSpacing/>
        <w:jc w:val="both"/>
        <w:rPr>
          <w:rFonts w:ascii="Times New Roman" w:eastAsia="Calibri" w:hAnsi="Times New Roman" w:cs="Calibri"/>
          <w:sz w:val="28"/>
          <w:szCs w:val="28"/>
        </w:rPr>
      </w:pPr>
      <w:r w:rsidRPr="00880ECD">
        <w:rPr>
          <w:rFonts w:ascii="Times New Roman" w:eastAsia="Calibri" w:hAnsi="Times New Roman" w:cs="Times New Roman"/>
          <w:bCs/>
          <w:sz w:val="28"/>
          <w:szCs w:val="28"/>
        </w:rPr>
        <w:t>За РП – Варна се н</w:t>
      </w:r>
      <w:r w:rsidRPr="00880ECD">
        <w:rPr>
          <w:rFonts w:ascii="Times New Roman" w:eastAsia="Calibri" w:hAnsi="Times New Roman" w:cs="Calibri"/>
          <w:sz w:val="28"/>
          <w:szCs w:val="28"/>
        </w:rPr>
        <w:t>аблюдава се увеличение с 9,60% спрямо 2020г. и увеличение с 60,68 % спрямо 2019г.</w:t>
      </w:r>
    </w:p>
    <w:p w:rsidR="009658CD" w:rsidRPr="00AF1BA0" w:rsidRDefault="009658CD" w:rsidP="00C952C6">
      <w:pPr>
        <w:spacing w:after="0" w:line="240" w:lineRule="auto"/>
        <w:ind w:firstLine="708"/>
        <w:contextualSpacing/>
        <w:jc w:val="both"/>
        <w:rPr>
          <w:rFonts w:ascii="Times New Roman" w:eastAsia="Calibri" w:hAnsi="Times New Roman" w:cs="Times New Roman"/>
          <w:b/>
          <w:bCs/>
          <w:sz w:val="28"/>
          <w:szCs w:val="28"/>
          <w:highlight w:val="yellow"/>
        </w:rPr>
      </w:pPr>
      <w:r w:rsidRPr="00AF1BA0">
        <w:rPr>
          <w:rFonts w:ascii="Times New Roman" w:eastAsia="Calibri" w:hAnsi="Times New Roman" w:cs="Times New Roman"/>
          <w:b/>
          <w:bCs/>
          <w:sz w:val="28"/>
          <w:szCs w:val="28"/>
          <w:highlight w:val="yellow"/>
        </w:rPr>
        <w:t>2. Дейност на административния отдел при ОП – Варна по административно съдебния надзор за законност на административните актове.</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AF1BA0">
        <w:rPr>
          <w:rFonts w:ascii="Times New Roman" w:eastAsia="Calibri" w:hAnsi="Times New Roman" w:cs="Times New Roman"/>
          <w:sz w:val="28"/>
          <w:szCs w:val="28"/>
          <w:highlight w:val="yellow"/>
        </w:rPr>
        <w:t xml:space="preserve">През 2021г. прокурорите в ОП – Варна са участвали </w:t>
      </w:r>
      <w:r w:rsidRPr="00AF1BA0">
        <w:rPr>
          <w:rFonts w:ascii="Times New Roman" w:eastAsia="Calibri" w:hAnsi="Times New Roman" w:cs="Times New Roman"/>
          <w:b/>
          <w:sz w:val="28"/>
          <w:szCs w:val="28"/>
          <w:highlight w:val="yellow"/>
        </w:rPr>
        <w:t>в 1184</w:t>
      </w:r>
      <w:r w:rsidRPr="00AF1BA0">
        <w:rPr>
          <w:rFonts w:ascii="Times New Roman" w:eastAsia="Calibri" w:hAnsi="Times New Roman" w:cs="Times New Roman"/>
          <w:b/>
          <w:bCs/>
          <w:sz w:val="28"/>
          <w:szCs w:val="28"/>
          <w:highlight w:val="yellow"/>
        </w:rPr>
        <w:t xml:space="preserve"> съдебни заседания</w:t>
      </w:r>
      <w:r w:rsidRPr="00AF1BA0">
        <w:rPr>
          <w:rFonts w:ascii="Times New Roman" w:eastAsia="Calibri" w:hAnsi="Times New Roman" w:cs="Times New Roman"/>
          <w:sz w:val="28"/>
          <w:szCs w:val="28"/>
          <w:highlight w:val="yellow"/>
        </w:rPr>
        <w:t xml:space="preserve"> по общо образувани </w:t>
      </w:r>
      <w:r w:rsidRPr="00AF1BA0">
        <w:rPr>
          <w:rFonts w:ascii="Times New Roman" w:eastAsia="Calibri" w:hAnsi="Times New Roman" w:cs="Times New Roman"/>
          <w:b/>
          <w:sz w:val="28"/>
          <w:szCs w:val="28"/>
          <w:highlight w:val="yellow"/>
        </w:rPr>
        <w:t>1041</w:t>
      </w:r>
      <w:r w:rsidRPr="00AF1BA0">
        <w:rPr>
          <w:rFonts w:ascii="Times New Roman" w:eastAsia="Calibri" w:hAnsi="Times New Roman" w:cs="Times New Roman"/>
          <w:b/>
          <w:bCs/>
          <w:sz w:val="28"/>
          <w:szCs w:val="28"/>
          <w:highlight w:val="yellow"/>
        </w:rPr>
        <w:t xml:space="preserve"> административни дела</w:t>
      </w:r>
      <w:r w:rsidRPr="00AF1BA0">
        <w:rPr>
          <w:rFonts w:ascii="Times New Roman" w:eastAsia="Calibri" w:hAnsi="Times New Roman" w:cs="Times New Roman"/>
          <w:sz w:val="28"/>
          <w:szCs w:val="28"/>
          <w:highlight w:val="yellow"/>
        </w:rPr>
        <w:t>.</w:t>
      </w:r>
      <w:r w:rsidRPr="00880ECD">
        <w:rPr>
          <w:rFonts w:ascii="Times New Roman" w:eastAsia="Calibri" w:hAnsi="Times New Roman" w:cs="Times New Roman"/>
          <w:sz w:val="28"/>
          <w:szCs w:val="28"/>
        </w:rPr>
        <w:t xml:space="preserve"> </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sz w:val="28"/>
          <w:szCs w:val="28"/>
        </w:rPr>
        <w:t xml:space="preserve">Горните показатели сочат на </w:t>
      </w:r>
      <w:r w:rsidRPr="00880ECD">
        <w:rPr>
          <w:rFonts w:ascii="Times New Roman" w:eastAsia="Calibri" w:hAnsi="Times New Roman" w:cs="Times New Roman"/>
          <w:b/>
          <w:sz w:val="28"/>
          <w:szCs w:val="28"/>
        </w:rPr>
        <w:t>намаление</w:t>
      </w:r>
      <w:r w:rsidRPr="00880ECD">
        <w:rPr>
          <w:rFonts w:ascii="Times New Roman" w:eastAsia="Calibri" w:hAnsi="Times New Roman" w:cs="Times New Roman"/>
          <w:sz w:val="28"/>
          <w:szCs w:val="28"/>
        </w:rPr>
        <w:t xml:space="preserve"> на съдебните заседания с 15,31 </w:t>
      </w:r>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през отчетния период 2021г. спрямо 2020 г. и намаление с 33,89</w:t>
      </w:r>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спрямо 2019г. По отношение броя на административните дела се отчита намаление</w:t>
      </w:r>
      <w:r w:rsidRPr="00880ECD">
        <w:rPr>
          <w:rFonts w:ascii="Times New Roman" w:eastAsia="Calibri" w:hAnsi="Times New Roman" w:cs="Times New Roman"/>
          <w:b/>
          <w:sz w:val="28"/>
          <w:szCs w:val="28"/>
        </w:rPr>
        <w:t xml:space="preserve"> </w:t>
      </w:r>
      <w:r w:rsidRPr="00880ECD">
        <w:rPr>
          <w:rFonts w:ascii="Times New Roman" w:eastAsia="Calibri" w:hAnsi="Times New Roman" w:cs="Times New Roman"/>
          <w:sz w:val="28"/>
          <w:szCs w:val="28"/>
        </w:rPr>
        <w:t xml:space="preserve">с </w:t>
      </w:r>
      <w:r w:rsidRPr="00880ECD">
        <w:rPr>
          <w:rFonts w:ascii="Times New Roman" w:eastAsia="Calibri" w:hAnsi="Times New Roman" w:cs="Times New Roman"/>
          <w:b/>
          <w:sz w:val="28"/>
          <w:szCs w:val="28"/>
        </w:rPr>
        <w:t>19</w:t>
      </w:r>
      <w:r w:rsidRPr="00880ECD">
        <w:rPr>
          <w:rFonts w:ascii="Times New Roman" w:eastAsia="Calibri" w:hAnsi="Times New Roman" w:cs="Times New Roman"/>
          <w:b/>
          <w:bCs/>
          <w:sz w:val="28"/>
          <w:szCs w:val="28"/>
        </w:rPr>
        <w:t>,24%</w:t>
      </w:r>
      <w:r w:rsidRPr="00880ECD">
        <w:rPr>
          <w:rFonts w:ascii="Times New Roman" w:eastAsia="Calibri" w:hAnsi="Times New Roman" w:cs="Times New Roman"/>
          <w:sz w:val="28"/>
          <w:szCs w:val="28"/>
        </w:rPr>
        <w:t xml:space="preserve"> спрямо 2020г. и намаление с 34,40</w:t>
      </w:r>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спрямо 2019г.</w:t>
      </w:r>
      <w:r w:rsidRPr="00880ECD">
        <w:rPr>
          <w:rFonts w:ascii="Times New Roman" w:eastAsia="Calibri" w:hAnsi="Times New Roman" w:cs="Times New Roman"/>
          <w:b/>
          <w:bCs/>
          <w:sz w:val="28"/>
          <w:szCs w:val="28"/>
        </w:rPr>
        <w:t xml:space="preserve"> </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b/>
          <w:bCs/>
          <w:sz w:val="28"/>
          <w:szCs w:val="28"/>
        </w:rPr>
        <w:t>2.1.</w:t>
      </w:r>
      <w:r w:rsidRPr="00880ECD">
        <w:rPr>
          <w:rFonts w:ascii="Times New Roman" w:eastAsia="Calibri" w:hAnsi="Times New Roman" w:cs="Times New Roman"/>
          <w:b/>
          <w:i/>
          <w:iCs/>
          <w:sz w:val="28"/>
          <w:szCs w:val="28"/>
        </w:rPr>
        <w:t>Участие по закон в съдебни заседания по административни дела.</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Прокурорите в ОП – Варна са се явявали по всички административни дела в Административен съд – Варна, в които е задължително явяване на прокурора по закон, както и Указанията на Главния прокурор. През отчетния период 2021г. </w:t>
      </w:r>
      <w:r w:rsidRPr="00880ECD">
        <w:rPr>
          <w:rFonts w:ascii="Times New Roman" w:eastAsia="Calibri" w:hAnsi="Times New Roman" w:cs="Times New Roman"/>
          <w:b/>
          <w:i/>
          <w:iCs/>
          <w:sz w:val="28"/>
          <w:szCs w:val="28"/>
        </w:rPr>
        <w:t>участието по закон</w:t>
      </w:r>
      <w:r w:rsidRPr="00880ECD">
        <w:rPr>
          <w:rFonts w:ascii="Times New Roman" w:eastAsia="Calibri" w:hAnsi="Times New Roman" w:cs="Times New Roman"/>
          <w:i/>
          <w:iCs/>
          <w:sz w:val="28"/>
          <w:szCs w:val="28"/>
        </w:rPr>
        <w:t xml:space="preserve"> в съдебни заседания по административни дела</w:t>
      </w:r>
      <w:r w:rsidRPr="00880ECD">
        <w:rPr>
          <w:rFonts w:ascii="Times New Roman" w:eastAsia="Calibri" w:hAnsi="Times New Roman" w:cs="Times New Roman"/>
          <w:sz w:val="28"/>
          <w:szCs w:val="28"/>
        </w:rPr>
        <w:t xml:space="preserve"> е както следва:</w:t>
      </w:r>
    </w:p>
    <w:p w:rsidR="009658CD" w:rsidRPr="00880ECD" w:rsidRDefault="009658CD" w:rsidP="00C22CE6">
      <w:pPr>
        <w:spacing w:after="0" w:line="240" w:lineRule="auto"/>
        <w:contextualSpacing/>
        <w:jc w:val="both"/>
        <w:rPr>
          <w:rFonts w:ascii="Times New Roman" w:eastAsia="Calibri" w:hAnsi="Times New Roman" w:cs="Times New Roman"/>
          <w:sz w:val="28"/>
          <w:szCs w:val="28"/>
        </w:rPr>
      </w:pPr>
      <w:r w:rsidRPr="00880ECD">
        <w:rPr>
          <w:rFonts w:ascii="Times New Roman" w:eastAsia="Calibri" w:hAnsi="Times New Roman" w:cs="Times New Roman"/>
          <w:i/>
          <w:iCs/>
          <w:sz w:val="28"/>
          <w:szCs w:val="28"/>
        </w:rPr>
        <w:t xml:space="preserve">          </w:t>
      </w:r>
      <w:r w:rsidRPr="00880ECD">
        <w:rPr>
          <w:rFonts w:ascii="Times New Roman" w:eastAsia="Calibri" w:hAnsi="Times New Roman" w:cs="Times New Roman"/>
          <w:sz w:val="28"/>
          <w:szCs w:val="28"/>
        </w:rPr>
        <w:t xml:space="preserve">През 2021г. в АС – Варна са образувани </w:t>
      </w:r>
      <w:r w:rsidRPr="00880ECD">
        <w:rPr>
          <w:rFonts w:ascii="Times New Roman" w:eastAsia="Calibri" w:hAnsi="Times New Roman" w:cs="Times New Roman"/>
          <w:b/>
          <w:sz w:val="28"/>
          <w:szCs w:val="28"/>
        </w:rPr>
        <w:t>882 касационни дела</w:t>
      </w:r>
      <w:r w:rsidRPr="00880ECD">
        <w:rPr>
          <w:rFonts w:ascii="Times New Roman" w:eastAsia="Calibri" w:hAnsi="Times New Roman" w:cs="Times New Roman"/>
          <w:sz w:val="28"/>
          <w:szCs w:val="28"/>
        </w:rPr>
        <w:t>, от които 82</w:t>
      </w:r>
      <w:r w:rsidRPr="00880ECD">
        <w:rPr>
          <w:rFonts w:ascii="Times New Roman" w:eastAsia="Calibri" w:hAnsi="Times New Roman" w:cs="Times New Roman"/>
          <w:b/>
          <w:sz w:val="28"/>
          <w:szCs w:val="28"/>
        </w:rPr>
        <w:t xml:space="preserve"> </w:t>
      </w:r>
      <w:r w:rsidRPr="00880ECD">
        <w:rPr>
          <w:rFonts w:ascii="Times New Roman" w:eastAsia="Calibri" w:hAnsi="Times New Roman" w:cs="Times New Roman"/>
          <w:sz w:val="28"/>
          <w:szCs w:val="28"/>
        </w:rPr>
        <w:t xml:space="preserve">са насрочени за 2022г, а прокурорите от ОП – Варна са взели участие в </w:t>
      </w:r>
      <w:r w:rsidRPr="00880ECD">
        <w:rPr>
          <w:rFonts w:ascii="Times New Roman" w:eastAsia="Calibri" w:hAnsi="Times New Roman" w:cs="Times New Roman"/>
          <w:b/>
          <w:sz w:val="28"/>
          <w:szCs w:val="28"/>
        </w:rPr>
        <w:t>912</w:t>
      </w:r>
      <w:r w:rsidRPr="00880ECD">
        <w:rPr>
          <w:rFonts w:ascii="Times New Roman" w:eastAsia="Calibri" w:hAnsi="Times New Roman" w:cs="Times New Roman"/>
          <w:b/>
          <w:color w:val="FF0000"/>
          <w:sz w:val="28"/>
          <w:szCs w:val="28"/>
        </w:rPr>
        <w:t xml:space="preserve"> </w:t>
      </w:r>
      <w:r w:rsidRPr="00880ECD">
        <w:rPr>
          <w:rFonts w:ascii="Times New Roman" w:eastAsia="Calibri" w:hAnsi="Times New Roman" w:cs="Times New Roman"/>
          <w:b/>
          <w:sz w:val="28"/>
          <w:szCs w:val="28"/>
        </w:rPr>
        <w:t>съдебни заседания</w:t>
      </w:r>
      <w:r w:rsidRPr="00880ECD">
        <w:rPr>
          <w:rFonts w:ascii="Times New Roman" w:eastAsia="Calibri" w:hAnsi="Times New Roman" w:cs="Times New Roman"/>
          <w:sz w:val="28"/>
          <w:szCs w:val="28"/>
        </w:rPr>
        <w:t xml:space="preserve"> по касационни дела.  </w:t>
      </w:r>
    </w:p>
    <w:p w:rsidR="009658CD" w:rsidRPr="00880ECD" w:rsidRDefault="009658CD" w:rsidP="00F63914">
      <w:pPr>
        <w:spacing w:after="0" w:line="240" w:lineRule="auto"/>
        <w:ind w:firstLine="708"/>
        <w:contextualSpacing/>
        <w:jc w:val="both"/>
        <w:rPr>
          <w:rFonts w:ascii="Times New Roman" w:eastAsia="Calibri" w:hAnsi="Times New Roman" w:cs="Times New Roman"/>
          <w:sz w:val="28"/>
          <w:szCs w:val="28"/>
        </w:rPr>
      </w:pPr>
      <w:r w:rsidRPr="00880ECD">
        <w:rPr>
          <w:rFonts w:ascii="Times New Roman" w:eastAsia="Calibri" w:hAnsi="Times New Roman" w:cs="Times New Roman"/>
          <w:b/>
          <w:i/>
          <w:iCs/>
          <w:sz w:val="28"/>
          <w:szCs w:val="28"/>
        </w:rPr>
        <w:t xml:space="preserve">- Участие по административни </w:t>
      </w:r>
      <w:proofErr w:type="spellStart"/>
      <w:r w:rsidRPr="00880ECD">
        <w:rPr>
          <w:rFonts w:ascii="Times New Roman" w:eastAsia="Calibri" w:hAnsi="Times New Roman" w:cs="Times New Roman"/>
          <w:b/>
          <w:i/>
          <w:iCs/>
          <w:sz w:val="28"/>
          <w:szCs w:val="28"/>
        </w:rPr>
        <w:t>първоинстанционни</w:t>
      </w:r>
      <w:proofErr w:type="spellEnd"/>
      <w:r w:rsidRPr="00880ECD">
        <w:rPr>
          <w:rFonts w:ascii="Times New Roman" w:eastAsia="Calibri" w:hAnsi="Times New Roman" w:cs="Times New Roman"/>
          <w:b/>
          <w:i/>
          <w:iCs/>
          <w:sz w:val="28"/>
          <w:szCs w:val="28"/>
        </w:rPr>
        <w:t xml:space="preserve"> дела</w:t>
      </w:r>
      <w:r w:rsidRPr="00880ECD">
        <w:rPr>
          <w:rFonts w:ascii="Times New Roman" w:eastAsia="Calibri" w:hAnsi="Times New Roman" w:cs="Times New Roman"/>
          <w:i/>
          <w:iCs/>
          <w:sz w:val="28"/>
          <w:szCs w:val="28"/>
        </w:rPr>
        <w:t xml:space="preserve"> </w:t>
      </w:r>
      <w:r w:rsidRPr="00880ECD">
        <w:rPr>
          <w:rFonts w:ascii="Times New Roman" w:eastAsia="Calibri" w:hAnsi="Times New Roman" w:cs="Times New Roman"/>
          <w:sz w:val="28"/>
          <w:szCs w:val="28"/>
        </w:rPr>
        <w:t xml:space="preserve">в Административен съд – Варна </w:t>
      </w:r>
    </w:p>
    <w:p w:rsidR="009658CD" w:rsidRPr="00880ECD" w:rsidRDefault="009658CD" w:rsidP="00F63914">
      <w:pPr>
        <w:spacing w:after="0" w:line="240" w:lineRule="auto"/>
        <w:ind w:firstLine="708"/>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През отчетната 2021г. са били образувани </w:t>
      </w:r>
      <w:r w:rsidRPr="00880ECD">
        <w:rPr>
          <w:rFonts w:ascii="Times New Roman" w:eastAsia="Calibri" w:hAnsi="Times New Roman" w:cs="Times New Roman"/>
          <w:b/>
          <w:sz w:val="28"/>
          <w:szCs w:val="28"/>
        </w:rPr>
        <w:t>16</w:t>
      </w:r>
      <w:r w:rsidRPr="00880ECD">
        <w:rPr>
          <w:rFonts w:ascii="Times New Roman" w:eastAsia="Calibri" w:hAnsi="Times New Roman" w:cs="Times New Roman"/>
          <w:b/>
          <w:bCs/>
          <w:sz w:val="28"/>
          <w:szCs w:val="28"/>
        </w:rPr>
        <w:t xml:space="preserve"> </w:t>
      </w:r>
      <w:r w:rsidRPr="00880ECD">
        <w:rPr>
          <w:rFonts w:ascii="Times New Roman" w:eastAsia="Calibri" w:hAnsi="Times New Roman" w:cs="Times New Roman"/>
          <w:b/>
          <w:sz w:val="28"/>
          <w:szCs w:val="28"/>
        </w:rPr>
        <w:t>броя дела по подзаконови актове на общинските съвети</w:t>
      </w:r>
      <w:r w:rsidRPr="00880ECD">
        <w:rPr>
          <w:rFonts w:ascii="Times New Roman" w:eastAsia="Calibri" w:hAnsi="Times New Roman" w:cs="Times New Roman"/>
          <w:sz w:val="28"/>
          <w:szCs w:val="28"/>
        </w:rPr>
        <w:t xml:space="preserve">, от които </w:t>
      </w:r>
      <w:r w:rsidRPr="00880ECD">
        <w:rPr>
          <w:rFonts w:ascii="Times New Roman" w:eastAsia="Calibri" w:hAnsi="Times New Roman" w:cs="Times New Roman"/>
          <w:b/>
          <w:sz w:val="28"/>
          <w:szCs w:val="28"/>
        </w:rPr>
        <w:t xml:space="preserve">13 </w:t>
      </w:r>
      <w:r w:rsidRPr="00880ECD">
        <w:rPr>
          <w:rFonts w:ascii="Times New Roman" w:eastAsia="Calibri" w:hAnsi="Times New Roman" w:cs="Times New Roman"/>
          <w:sz w:val="28"/>
          <w:szCs w:val="28"/>
        </w:rPr>
        <w:t xml:space="preserve">дела са били разгледани в </w:t>
      </w:r>
      <w:r w:rsidRPr="00880ECD">
        <w:rPr>
          <w:rFonts w:ascii="Times New Roman" w:eastAsia="Calibri" w:hAnsi="Times New Roman" w:cs="Times New Roman"/>
          <w:b/>
          <w:sz w:val="28"/>
          <w:szCs w:val="28"/>
        </w:rPr>
        <w:t>22</w:t>
      </w:r>
      <w:r w:rsidRPr="00880ECD">
        <w:rPr>
          <w:rFonts w:ascii="Times New Roman" w:eastAsia="Calibri" w:hAnsi="Times New Roman" w:cs="Times New Roman"/>
          <w:color w:val="FF0000"/>
          <w:sz w:val="28"/>
          <w:szCs w:val="28"/>
        </w:rPr>
        <w:t xml:space="preserve"> </w:t>
      </w:r>
      <w:r w:rsidRPr="00880ECD">
        <w:rPr>
          <w:rFonts w:ascii="Times New Roman" w:eastAsia="Calibri" w:hAnsi="Times New Roman" w:cs="Times New Roman"/>
          <w:sz w:val="28"/>
          <w:szCs w:val="28"/>
        </w:rPr>
        <w:t xml:space="preserve">съдебни заседания, а </w:t>
      </w:r>
      <w:r w:rsidRPr="00880ECD">
        <w:rPr>
          <w:rFonts w:ascii="Times New Roman" w:eastAsia="Calibri" w:hAnsi="Times New Roman" w:cs="Times New Roman"/>
          <w:b/>
          <w:sz w:val="28"/>
          <w:szCs w:val="28"/>
        </w:rPr>
        <w:t xml:space="preserve">3 </w:t>
      </w:r>
      <w:r w:rsidRPr="00880ECD">
        <w:rPr>
          <w:rFonts w:ascii="Times New Roman" w:eastAsia="Calibri" w:hAnsi="Times New Roman" w:cs="Times New Roman"/>
          <w:sz w:val="28"/>
          <w:szCs w:val="28"/>
        </w:rPr>
        <w:t xml:space="preserve">дела са насрочени за 2022г и </w:t>
      </w:r>
      <w:r w:rsidRPr="00880ECD">
        <w:rPr>
          <w:rFonts w:ascii="Times New Roman" w:eastAsia="Calibri" w:hAnsi="Times New Roman" w:cs="Times New Roman"/>
          <w:b/>
          <w:bCs/>
          <w:sz w:val="28"/>
          <w:szCs w:val="28"/>
        </w:rPr>
        <w:t>116</w:t>
      </w:r>
      <w:r w:rsidRPr="00880ECD">
        <w:rPr>
          <w:rFonts w:ascii="Times New Roman" w:eastAsia="Calibri" w:hAnsi="Times New Roman" w:cs="Times New Roman"/>
          <w:b/>
          <w:sz w:val="28"/>
          <w:szCs w:val="28"/>
        </w:rPr>
        <w:t xml:space="preserve"> броя  дела по предявени искове за обезщетение</w:t>
      </w:r>
      <w:r w:rsidRPr="00880ECD">
        <w:rPr>
          <w:rFonts w:ascii="Times New Roman" w:eastAsia="Calibri" w:hAnsi="Times New Roman" w:cs="Times New Roman"/>
          <w:sz w:val="28"/>
          <w:szCs w:val="28"/>
        </w:rPr>
        <w:t xml:space="preserve">, от които са били разгледани </w:t>
      </w:r>
      <w:r w:rsidRPr="00880ECD">
        <w:rPr>
          <w:rFonts w:ascii="Times New Roman" w:eastAsia="Calibri" w:hAnsi="Times New Roman" w:cs="Times New Roman"/>
          <w:b/>
          <w:sz w:val="28"/>
          <w:szCs w:val="28"/>
        </w:rPr>
        <w:t>85</w:t>
      </w:r>
      <w:r w:rsidRPr="00880ECD">
        <w:rPr>
          <w:rFonts w:ascii="Times New Roman" w:eastAsia="Calibri" w:hAnsi="Times New Roman" w:cs="Times New Roman"/>
          <w:sz w:val="28"/>
          <w:szCs w:val="28"/>
        </w:rPr>
        <w:t xml:space="preserve"> дела във </w:t>
      </w:r>
      <w:r w:rsidRPr="00880ECD">
        <w:rPr>
          <w:rFonts w:ascii="Times New Roman" w:eastAsia="Calibri" w:hAnsi="Times New Roman" w:cs="Times New Roman"/>
          <w:b/>
          <w:sz w:val="28"/>
          <w:szCs w:val="28"/>
        </w:rPr>
        <w:t>240 съдебни заседания</w:t>
      </w:r>
      <w:r w:rsidRPr="00880ECD">
        <w:rPr>
          <w:rFonts w:ascii="Times New Roman" w:eastAsia="Calibri" w:hAnsi="Times New Roman" w:cs="Times New Roman"/>
          <w:sz w:val="28"/>
          <w:szCs w:val="28"/>
        </w:rPr>
        <w:t xml:space="preserve">, а </w:t>
      </w:r>
      <w:r w:rsidRPr="00880ECD">
        <w:rPr>
          <w:rFonts w:ascii="Times New Roman" w:eastAsia="Calibri" w:hAnsi="Times New Roman" w:cs="Times New Roman"/>
          <w:b/>
          <w:sz w:val="28"/>
          <w:szCs w:val="28"/>
        </w:rPr>
        <w:t>31</w:t>
      </w:r>
      <w:r w:rsidRPr="00880ECD">
        <w:rPr>
          <w:rFonts w:ascii="Times New Roman" w:eastAsia="Calibri" w:hAnsi="Times New Roman" w:cs="Times New Roman"/>
          <w:sz w:val="28"/>
          <w:szCs w:val="28"/>
        </w:rPr>
        <w:t xml:space="preserve"> са насрочени за 2022г.</w:t>
      </w:r>
    </w:p>
    <w:p w:rsidR="009658CD" w:rsidRPr="00880ECD" w:rsidRDefault="009658CD" w:rsidP="00F63914">
      <w:pPr>
        <w:spacing w:after="0" w:line="240" w:lineRule="auto"/>
        <w:ind w:firstLine="708"/>
        <w:contextualSpacing/>
        <w:jc w:val="both"/>
        <w:rPr>
          <w:rFonts w:ascii="Times New Roman" w:eastAsia="Calibri" w:hAnsi="Times New Roman" w:cs="Times New Roman"/>
          <w:sz w:val="28"/>
          <w:szCs w:val="28"/>
        </w:rPr>
      </w:pPr>
    </w:p>
    <w:p w:rsidR="009658CD" w:rsidRPr="00880ECD" w:rsidRDefault="009658CD" w:rsidP="00F63914">
      <w:pPr>
        <w:overflowPunct w:val="0"/>
        <w:autoSpaceDE w:val="0"/>
        <w:autoSpaceDN w:val="0"/>
        <w:adjustRightInd w:val="0"/>
        <w:spacing w:after="0" w:line="240" w:lineRule="auto"/>
        <w:ind w:firstLine="708"/>
        <w:contextualSpacing/>
        <w:jc w:val="both"/>
        <w:textAlignment w:val="baseline"/>
        <w:rPr>
          <w:rFonts w:ascii="Times New Roman" w:eastAsia="Calibri" w:hAnsi="Times New Roman" w:cs="Times New Roman"/>
          <w:b/>
          <w:bCs/>
          <w:sz w:val="28"/>
          <w:szCs w:val="28"/>
        </w:rPr>
      </w:pPr>
      <w:r w:rsidRPr="00880ECD">
        <w:rPr>
          <w:rFonts w:ascii="Times New Roman" w:eastAsia="Calibri" w:hAnsi="Times New Roman" w:cs="Times New Roman"/>
          <w:sz w:val="28"/>
          <w:szCs w:val="28"/>
        </w:rPr>
        <w:lastRenderedPageBreak/>
        <w:t>В проценти, наблюдава се  намаление</w:t>
      </w:r>
      <w:r w:rsidRPr="00880ECD">
        <w:rPr>
          <w:rFonts w:ascii="Times New Roman" w:eastAsia="Calibri" w:hAnsi="Times New Roman" w:cs="Times New Roman"/>
          <w:b/>
          <w:sz w:val="28"/>
          <w:szCs w:val="28"/>
        </w:rPr>
        <w:t xml:space="preserve"> </w:t>
      </w:r>
      <w:r w:rsidRPr="00880ECD">
        <w:rPr>
          <w:rFonts w:ascii="Times New Roman" w:eastAsia="Calibri" w:hAnsi="Times New Roman" w:cs="Times New Roman"/>
          <w:sz w:val="28"/>
          <w:szCs w:val="28"/>
        </w:rPr>
        <w:t xml:space="preserve">на броя на делата </w:t>
      </w:r>
      <w:r w:rsidRPr="00880ECD">
        <w:rPr>
          <w:rFonts w:ascii="Times New Roman" w:eastAsia="Calibri" w:hAnsi="Times New Roman" w:cs="Times New Roman"/>
          <w:b/>
          <w:sz w:val="28"/>
          <w:szCs w:val="28"/>
        </w:rPr>
        <w:t>по предявени искове за обезщетение</w:t>
      </w:r>
      <w:r w:rsidRPr="00880ECD">
        <w:rPr>
          <w:rFonts w:ascii="Times New Roman" w:eastAsia="Calibri" w:hAnsi="Times New Roman" w:cs="Times New Roman"/>
          <w:sz w:val="28"/>
          <w:szCs w:val="28"/>
        </w:rPr>
        <w:t xml:space="preserve"> през 2021г. спрямо 2020г.  </w:t>
      </w:r>
      <w:r w:rsidRPr="00880ECD">
        <w:rPr>
          <w:rFonts w:ascii="Times New Roman" w:eastAsia="Calibri" w:hAnsi="Times New Roman" w:cs="Times New Roman"/>
          <w:b/>
          <w:sz w:val="28"/>
          <w:szCs w:val="28"/>
        </w:rPr>
        <w:t>с 35,567</w:t>
      </w:r>
      <w:r w:rsidRPr="00880ECD">
        <w:rPr>
          <w:rFonts w:ascii="Times New Roman" w:eastAsia="Calibri" w:hAnsi="Times New Roman" w:cs="Times New Roman"/>
          <w:b/>
          <w:bCs/>
          <w:sz w:val="28"/>
          <w:szCs w:val="28"/>
        </w:rPr>
        <w:t>%</w:t>
      </w:r>
      <w:r w:rsidRPr="00880ECD">
        <w:rPr>
          <w:rFonts w:ascii="Times New Roman" w:eastAsia="Calibri" w:hAnsi="Times New Roman" w:cs="Times New Roman"/>
          <w:b/>
          <w:sz w:val="28"/>
          <w:szCs w:val="28"/>
        </w:rPr>
        <w:t>,</w:t>
      </w:r>
      <w:r w:rsidRPr="00880ECD">
        <w:rPr>
          <w:rFonts w:ascii="Times New Roman" w:eastAsia="Calibri" w:hAnsi="Times New Roman" w:cs="Times New Roman"/>
          <w:sz w:val="28"/>
          <w:szCs w:val="28"/>
        </w:rPr>
        <w:t xml:space="preserve"> и  намаление спрямо 2019г. с 36,96%.</w:t>
      </w:r>
    </w:p>
    <w:p w:rsidR="009658CD" w:rsidRPr="00880ECD" w:rsidRDefault="009658CD" w:rsidP="00F63914">
      <w:pPr>
        <w:spacing w:after="0" w:line="240" w:lineRule="auto"/>
        <w:ind w:firstLine="709"/>
        <w:contextualSpacing/>
        <w:jc w:val="both"/>
        <w:rPr>
          <w:rFonts w:ascii="Times New Roman" w:eastAsia="Calibri" w:hAnsi="Times New Roman" w:cs="Times New Roman"/>
          <w:i/>
          <w:iCs/>
          <w:sz w:val="28"/>
          <w:szCs w:val="28"/>
        </w:rPr>
      </w:pPr>
      <w:r w:rsidRPr="00880ECD">
        <w:rPr>
          <w:rFonts w:ascii="Times New Roman" w:eastAsia="Calibri" w:hAnsi="Times New Roman" w:cs="Times New Roman"/>
          <w:b/>
          <w:bCs/>
          <w:sz w:val="28"/>
          <w:szCs w:val="28"/>
        </w:rPr>
        <w:t>2.</w:t>
      </w:r>
      <w:proofErr w:type="spellStart"/>
      <w:r w:rsidRPr="00880ECD">
        <w:rPr>
          <w:rFonts w:ascii="Times New Roman" w:eastAsia="Calibri" w:hAnsi="Times New Roman" w:cs="Times New Roman"/>
          <w:b/>
          <w:bCs/>
          <w:sz w:val="28"/>
          <w:szCs w:val="28"/>
        </w:rPr>
        <w:t>2</w:t>
      </w:r>
      <w:proofErr w:type="spellEnd"/>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w:t>
      </w:r>
      <w:r w:rsidRPr="00880ECD">
        <w:rPr>
          <w:rFonts w:ascii="Times New Roman" w:eastAsia="Calibri" w:hAnsi="Times New Roman" w:cs="Times New Roman"/>
          <w:i/>
          <w:iCs/>
          <w:sz w:val="28"/>
          <w:szCs w:val="28"/>
        </w:rPr>
        <w:t xml:space="preserve">Участие по преценка в дела, представляващи важен държавен или обществен интерес, </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sz w:val="28"/>
          <w:szCs w:val="28"/>
        </w:rPr>
        <w:t xml:space="preserve">През отчетната  2021 г. прокурорите в ОП – Варна са образувани </w:t>
      </w:r>
      <w:r w:rsidRPr="00880ECD">
        <w:rPr>
          <w:rFonts w:ascii="Times New Roman" w:eastAsia="Calibri" w:hAnsi="Times New Roman" w:cs="Times New Roman"/>
          <w:b/>
          <w:sz w:val="28"/>
          <w:szCs w:val="28"/>
        </w:rPr>
        <w:t>3</w:t>
      </w:r>
      <w:r w:rsidRPr="00880ECD">
        <w:rPr>
          <w:rFonts w:ascii="Times New Roman" w:eastAsia="Calibri" w:hAnsi="Times New Roman" w:cs="Times New Roman"/>
          <w:b/>
          <w:bCs/>
          <w:sz w:val="28"/>
          <w:szCs w:val="28"/>
        </w:rPr>
        <w:t xml:space="preserve"> дела </w:t>
      </w:r>
      <w:r w:rsidRPr="00880ECD">
        <w:rPr>
          <w:rFonts w:ascii="Times New Roman" w:eastAsia="Calibri" w:hAnsi="Times New Roman" w:cs="Times New Roman"/>
          <w:sz w:val="28"/>
          <w:szCs w:val="28"/>
        </w:rPr>
        <w:t xml:space="preserve">по  </w:t>
      </w:r>
      <w:r w:rsidRPr="00880ECD">
        <w:rPr>
          <w:rFonts w:ascii="Times New Roman" w:eastAsia="Calibri" w:hAnsi="Times New Roman" w:cs="Times New Roman"/>
          <w:b/>
          <w:sz w:val="28"/>
          <w:szCs w:val="28"/>
        </w:rPr>
        <w:t xml:space="preserve">Указание  на Главния прокурор, </w:t>
      </w:r>
      <w:r w:rsidRPr="00880ECD">
        <w:rPr>
          <w:rFonts w:ascii="Times New Roman" w:eastAsia="Calibri" w:hAnsi="Times New Roman" w:cs="Times New Roman"/>
          <w:sz w:val="28"/>
          <w:szCs w:val="28"/>
        </w:rPr>
        <w:t>разгледани</w:t>
      </w:r>
      <w:r w:rsidRPr="00880ECD">
        <w:rPr>
          <w:rFonts w:ascii="Times New Roman" w:eastAsia="Calibri" w:hAnsi="Times New Roman" w:cs="Times New Roman"/>
          <w:b/>
          <w:sz w:val="28"/>
          <w:szCs w:val="28"/>
        </w:rPr>
        <w:t xml:space="preserve"> в 7 съдебни заседания.</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Изразено в проценти, се отчита намаление с 25% спрямо 2020г. и намаление с 25</w:t>
      </w:r>
      <w:r w:rsidRPr="00880ECD">
        <w:rPr>
          <w:rFonts w:ascii="Times New Roman" w:eastAsia="Calibri" w:hAnsi="Times New Roman" w:cs="Times New Roman"/>
          <w:bCs/>
          <w:sz w:val="28"/>
          <w:szCs w:val="28"/>
        </w:rPr>
        <w:t>%</w:t>
      </w:r>
      <w:r w:rsidRPr="00880ECD">
        <w:rPr>
          <w:rFonts w:ascii="Times New Roman" w:eastAsia="Calibri" w:hAnsi="Times New Roman" w:cs="Times New Roman"/>
          <w:sz w:val="28"/>
          <w:szCs w:val="28"/>
        </w:rPr>
        <w:t xml:space="preserve"> спрямо 2019г.</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През отчетната  </w:t>
      </w:r>
      <w:r w:rsidRPr="00880ECD">
        <w:rPr>
          <w:rFonts w:ascii="Times New Roman" w:eastAsia="Calibri" w:hAnsi="Times New Roman" w:cs="Times New Roman"/>
          <w:b/>
          <w:sz w:val="28"/>
          <w:szCs w:val="28"/>
        </w:rPr>
        <w:t>2021г</w:t>
      </w:r>
      <w:r w:rsidRPr="00880ECD">
        <w:rPr>
          <w:rFonts w:ascii="Times New Roman" w:eastAsia="Calibri" w:hAnsi="Times New Roman" w:cs="Times New Roman"/>
          <w:sz w:val="28"/>
          <w:szCs w:val="28"/>
        </w:rPr>
        <w:t xml:space="preserve"> по лична преценка прокурорите са участвали в </w:t>
      </w:r>
      <w:r w:rsidRPr="00880ECD">
        <w:rPr>
          <w:rFonts w:ascii="Times New Roman" w:eastAsia="Calibri" w:hAnsi="Times New Roman" w:cs="Times New Roman"/>
          <w:b/>
          <w:sz w:val="28"/>
          <w:szCs w:val="28"/>
        </w:rPr>
        <w:t>2</w:t>
      </w:r>
      <w:r w:rsidRPr="00880ECD">
        <w:rPr>
          <w:rFonts w:ascii="Times New Roman" w:eastAsia="Calibri" w:hAnsi="Times New Roman" w:cs="Times New Roman"/>
          <w:sz w:val="28"/>
          <w:szCs w:val="28"/>
        </w:rPr>
        <w:t xml:space="preserve"> броя дела, разгледани в </w:t>
      </w:r>
      <w:r w:rsidRPr="00880ECD">
        <w:rPr>
          <w:rFonts w:ascii="Times New Roman" w:eastAsia="Calibri" w:hAnsi="Times New Roman" w:cs="Times New Roman"/>
          <w:b/>
          <w:sz w:val="28"/>
          <w:szCs w:val="28"/>
        </w:rPr>
        <w:t>3</w:t>
      </w:r>
      <w:r w:rsidRPr="00880ECD">
        <w:rPr>
          <w:rFonts w:ascii="Times New Roman" w:eastAsia="Calibri" w:hAnsi="Times New Roman" w:cs="Times New Roman"/>
          <w:sz w:val="28"/>
          <w:szCs w:val="28"/>
        </w:rPr>
        <w:t xml:space="preserve"> съдебни заседания.</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Няма промяна в броя на делата, разгледани по лична преценка.</w:t>
      </w:r>
    </w:p>
    <w:p w:rsidR="009658CD" w:rsidRPr="00AF1BA0" w:rsidRDefault="009658CD" w:rsidP="00F63914">
      <w:pPr>
        <w:spacing w:after="0" w:line="240" w:lineRule="auto"/>
        <w:ind w:firstLine="709"/>
        <w:contextualSpacing/>
        <w:jc w:val="both"/>
        <w:rPr>
          <w:rFonts w:ascii="Times New Roman" w:eastAsia="Calibri" w:hAnsi="Times New Roman" w:cs="Times New Roman"/>
          <w:i/>
          <w:iCs/>
          <w:sz w:val="28"/>
          <w:szCs w:val="28"/>
          <w:highlight w:val="yellow"/>
        </w:rPr>
      </w:pPr>
      <w:r w:rsidRPr="00AF1BA0">
        <w:rPr>
          <w:rFonts w:ascii="Times New Roman" w:eastAsia="Calibri" w:hAnsi="Times New Roman" w:cs="Times New Roman"/>
          <w:b/>
          <w:bCs/>
          <w:sz w:val="28"/>
          <w:szCs w:val="28"/>
          <w:highlight w:val="yellow"/>
        </w:rPr>
        <w:t>2.3.</w:t>
      </w:r>
      <w:r w:rsidRPr="00AF1BA0">
        <w:rPr>
          <w:rFonts w:ascii="Times New Roman" w:eastAsia="Calibri" w:hAnsi="Times New Roman" w:cs="Times New Roman"/>
          <w:i/>
          <w:iCs/>
          <w:sz w:val="28"/>
          <w:szCs w:val="28"/>
          <w:highlight w:val="yellow"/>
        </w:rPr>
        <w:t xml:space="preserve"> Подадени прокурорски актове до съда и резултати по тях.</w:t>
      </w:r>
    </w:p>
    <w:p w:rsidR="009658CD" w:rsidRPr="00AF1BA0" w:rsidRDefault="009658CD" w:rsidP="00F63914">
      <w:pPr>
        <w:spacing w:after="0" w:line="240" w:lineRule="auto"/>
        <w:ind w:firstLine="709"/>
        <w:contextualSpacing/>
        <w:jc w:val="both"/>
        <w:rPr>
          <w:rFonts w:ascii="Times New Roman" w:eastAsia="Calibri" w:hAnsi="Times New Roman" w:cs="Times New Roman"/>
          <w:sz w:val="28"/>
          <w:szCs w:val="28"/>
          <w:highlight w:val="yellow"/>
        </w:rPr>
      </w:pPr>
      <w:r w:rsidRPr="00AF1BA0">
        <w:rPr>
          <w:rFonts w:ascii="Times New Roman" w:eastAsia="Calibri" w:hAnsi="Times New Roman" w:cs="Times New Roman"/>
          <w:sz w:val="28"/>
          <w:szCs w:val="28"/>
          <w:highlight w:val="yellow"/>
        </w:rPr>
        <w:t xml:space="preserve">През отчетната 2021г. са били подадени до съда </w:t>
      </w:r>
      <w:r w:rsidRPr="00AF1BA0">
        <w:rPr>
          <w:rFonts w:ascii="Times New Roman" w:eastAsia="Calibri" w:hAnsi="Times New Roman" w:cs="Times New Roman"/>
          <w:b/>
          <w:sz w:val="28"/>
          <w:szCs w:val="28"/>
          <w:highlight w:val="yellow"/>
        </w:rPr>
        <w:t>20 предложения за възобновяване на производство по ЗАНН</w:t>
      </w:r>
      <w:r w:rsidRPr="00AF1BA0">
        <w:rPr>
          <w:rFonts w:ascii="Times New Roman" w:eastAsia="Calibri" w:hAnsi="Times New Roman" w:cs="Times New Roman"/>
          <w:sz w:val="28"/>
          <w:szCs w:val="28"/>
          <w:highlight w:val="yellow"/>
        </w:rPr>
        <w:t xml:space="preserve">. От подадените до АС - Варна предложения  13 са били уважени, 5 са неуважени, а по останалите 2 дела няма решение към отчетния период.  </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AF1BA0">
        <w:rPr>
          <w:rFonts w:ascii="Times New Roman" w:eastAsia="Calibri" w:hAnsi="Times New Roman" w:cs="Times New Roman"/>
          <w:sz w:val="28"/>
          <w:szCs w:val="28"/>
          <w:highlight w:val="yellow"/>
        </w:rPr>
        <w:t>През отчетната 2021г. са били изготвени  20</w:t>
      </w:r>
      <w:r w:rsidRPr="00AF1BA0">
        <w:rPr>
          <w:rFonts w:ascii="Times New Roman" w:eastAsia="Calibri" w:hAnsi="Times New Roman" w:cs="Times New Roman"/>
          <w:b/>
          <w:sz w:val="28"/>
          <w:szCs w:val="28"/>
          <w:highlight w:val="yellow"/>
        </w:rPr>
        <w:t xml:space="preserve"> броя откази за възобновяване по ЗАНН</w:t>
      </w:r>
      <w:r w:rsidRPr="00AF1BA0">
        <w:rPr>
          <w:rFonts w:ascii="Times New Roman" w:eastAsia="Calibri" w:hAnsi="Times New Roman" w:cs="Times New Roman"/>
          <w:sz w:val="28"/>
          <w:szCs w:val="28"/>
          <w:highlight w:val="yellow"/>
        </w:rPr>
        <w:t xml:space="preserve">, </w:t>
      </w:r>
      <w:r w:rsidRPr="00AF1BA0">
        <w:rPr>
          <w:rFonts w:ascii="Times New Roman" w:eastAsia="Calibri" w:hAnsi="Times New Roman" w:cs="Times New Roman"/>
          <w:b/>
          <w:sz w:val="28"/>
          <w:szCs w:val="28"/>
          <w:highlight w:val="yellow"/>
        </w:rPr>
        <w:t xml:space="preserve">6 </w:t>
      </w:r>
      <w:r w:rsidRPr="00AF1BA0">
        <w:rPr>
          <w:rFonts w:ascii="Times New Roman" w:eastAsia="Calibri" w:hAnsi="Times New Roman" w:cs="Times New Roman"/>
          <w:sz w:val="28"/>
          <w:szCs w:val="28"/>
          <w:highlight w:val="yellow"/>
        </w:rPr>
        <w:t xml:space="preserve">от които са били обжалван пред АП – Варна и </w:t>
      </w:r>
      <w:r w:rsidRPr="00AF1BA0">
        <w:rPr>
          <w:rFonts w:ascii="Times New Roman" w:eastAsia="Calibri" w:hAnsi="Times New Roman" w:cs="Times New Roman"/>
          <w:b/>
          <w:sz w:val="28"/>
          <w:szCs w:val="28"/>
          <w:highlight w:val="yellow"/>
        </w:rPr>
        <w:t>6</w:t>
      </w:r>
      <w:r w:rsidRPr="00AF1BA0">
        <w:rPr>
          <w:rFonts w:ascii="Times New Roman" w:eastAsia="Calibri" w:hAnsi="Times New Roman" w:cs="Times New Roman"/>
          <w:sz w:val="28"/>
          <w:szCs w:val="28"/>
          <w:highlight w:val="yellow"/>
        </w:rPr>
        <w:t xml:space="preserve"> са били потвърдени.</w:t>
      </w:r>
      <w:r w:rsidRPr="00880ECD">
        <w:rPr>
          <w:rFonts w:ascii="Times New Roman" w:eastAsia="Calibri" w:hAnsi="Times New Roman" w:cs="Times New Roman"/>
          <w:sz w:val="28"/>
          <w:szCs w:val="28"/>
        </w:rPr>
        <w:t xml:space="preserve"> </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В проценти, подадените предложения до съда за възобновяване на производства по ЗАНН </w:t>
      </w:r>
      <w:r w:rsidRPr="00880ECD">
        <w:rPr>
          <w:rFonts w:ascii="Times New Roman" w:eastAsia="Calibri" w:hAnsi="Times New Roman" w:cs="Times New Roman"/>
          <w:b/>
          <w:sz w:val="28"/>
          <w:szCs w:val="28"/>
        </w:rPr>
        <w:t>са намалели</w:t>
      </w:r>
      <w:r w:rsidRPr="00880ECD">
        <w:rPr>
          <w:rFonts w:ascii="Times New Roman" w:eastAsia="Calibri" w:hAnsi="Times New Roman" w:cs="Times New Roman"/>
          <w:sz w:val="28"/>
          <w:szCs w:val="28"/>
        </w:rPr>
        <w:t xml:space="preserve"> </w:t>
      </w:r>
      <w:r w:rsidRPr="00880ECD">
        <w:rPr>
          <w:rFonts w:ascii="Times New Roman" w:eastAsia="Calibri" w:hAnsi="Times New Roman" w:cs="Times New Roman"/>
          <w:b/>
          <w:sz w:val="28"/>
          <w:szCs w:val="28"/>
        </w:rPr>
        <w:t>с 50%</w:t>
      </w:r>
      <w:r w:rsidRPr="00880ECD">
        <w:rPr>
          <w:rFonts w:ascii="Times New Roman" w:eastAsia="Calibri" w:hAnsi="Times New Roman" w:cs="Times New Roman"/>
          <w:sz w:val="28"/>
          <w:szCs w:val="28"/>
        </w:rPr>
        <w:t xml:space="preserve"> </w:t>
      </w:r>
      <w:r w:rsidRPr="00880ECD">
        <w:rPr>
          <w:rFonts w:ascii="Times New Roman" w:eastAsia="Calibri" w:hAnsi="Times New Roman" w:cs="Times New Roman"/>
          <w:b/>
          <w:sz w:val="28"/>
          <w:szCs w:val="28"/>
        </w:rPr>
        <w:t>през 2021г</w:t>
      </w:r>
      <w:r w:rsidRPr="00880ECD">
        <w:rPr>
          <w:rFonts w:ascii="Times New Roman" w:eastAsia="Calibri" w:hAnsi="Times New Roman" w:cs="Times New Roman"/>
          <w:sz w:val="28"/>
          <w:szCs w:val="28"/>
        </w:rPr>
        <w:t xml:space="preserve"> спрямо 2020г.  и са </w:t>
      </w:r>
      <w:r w:rsidRPr="00880ECD">
        <w:rPr>
          <w:rFonts w:ascii="Times New Roman" w:eastAsia="Calibri" w:hAnsi="Times New Roman" w:cs="Times New Roman"/>
          <w:b/>
          <w:sz w:val="28"/>
          <w:szCs w:val="28"/>
        </w:rPr>
        <w:t>се увеличили</w:t>
      </w:r>
      <w:r w:rsidRPr="00880ECD">
        <w:rPr>
          <w:rFonts w:ascii="Times New Roman" w:eastAsia="Calibri" w:hAnsi="Times New Roman" w:cs="Times New Roman"/>
          <w:sz w:val="28"/>
          <w:szCs w:val="28"/>
        </w:rPr>
        <w:t xml:space="preserve"> с 900 </w:t>
      </w:r>
      <w:r w:rsidRPr="00880ECD">
        <w:rPr>
          <w:rFonts w:ascii="Times New Roman" w:eastAsia="Calibri" w:hAnsi="Times New Roman" w:cs="Times New Roman"/>
          <w:b/>
          <w:sz w:val="28"/>
          <w:szCs w:val="28"/>
        </w:rPr>
        <w:t>% спрямо 2019г</w:t>
      </w:r>
      <w:r w:rsidRPr="00880ECD">
        <w:rPr>
          <w:rFonts w:ascii="Times New Roman" w:eastAsia="Calibri" w:hAnsi="Times New Roman" w:cs="Times New Roman"/>
          <w:sz w:val="28"/>
          <w:szCs w:val="28"/>
        </w:rPr>
        <w:t>.</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В проценти, отказите за възобновяване на производство по ЗАНН </w:t>
      </w:r>
      <w:r w:rsidRPr="00880ECD">
        <w:rPr>
          <w:rFonts w:ascii="Times New Roman" w:eastAsia="Calibri" w:hAnsi="Times New Roman" w:cs="Times New Roman"/>
          <w:b/>
          <w:sz w:val="28"/>
          <w:szCs w:val="28"/>
        </w:rPr>
        <w:t>нямат промяна спрямо 2020г</w:t>
      </w:r>
      <w:r w:rsidRPr="00880ECD">
        <w:rPr>
          <w:rFonts w:ascii="Times New Roman" w:eastAsia="Calibri" w:hAnsi="Times New Roman" w:cs="Times New Roman"/>
          <w:sz w:val="28"/>
          <w:szCs w:val="28"/>
        </w:rPr>
        <w:t xml:space="preserve">. и са </w:t>
      </w:r>
      <w:r w:rsidRPr="00880ECD">
        <w:rPr>
          <w:rFonts w:ascii="Times New Roman" w:eastAsia="Calibri" w:hAnsi="Times New Roman" w:cs="Times New Roman"/>
          <w:b/>
          <w:sz w:val="28"/>
          <w:szCs w:val="28"/>
        </w:rPr>
        <w:t>се увеличили с 25% спрямо 2019г</w:t>
      </w:r>
      <w:r w:rsidRPr="00880ECD">
        <w:rPr>
          <w:rFonts w:ascii="Times New Roman" w:eastAsia="Calibri" w:hAnsi="Times New Roman" w:cs="Times New Roman"/>
          <w:sz w:val="28"/>
          <w:szCs w:val="28"/>
        </w:rPr>
        <w:t>.</w:t>
      </w:r>
    </w:p>
    <w:p w:rsidR="009658CD" w:rsidRPr="00880ECD" w:rsidRDefault="009658CD" w:rsidP="00F63914">
      <w:pPr>
        <w:spacing w:after="0" w:line="240" w:lineRule="auto"/>
        <w:ind w:firstLine="709"/>
        <w:contextualSpacing/>
        <w:jc w:val="both"/>
        <w:rPr>
          <w:rFonts w:ascii="Times New Roman" w:eastAsia="Calibri" w:hAnsi="Times New Roman" w:cs="Times New Roman"/>
          <w:i/>
          <w:iCs/>
          <w:sz w:val="28"/>
          <w:szCs w:val="28"/>
        </w:rPr>
      </w:pPr>
      <w:r w:rsidRPr="00880ECD">
        <w:rPr>
          <w:rFonts w:ascii="Times New Roman" w:eastAsia="Calibri" w:hAnsi="Times New Roman" w:cs="Times New Roman"/>
          <w:sz w:val="28"/>
          <w:szCs w:val="28"/>
        </w:rPr>
        <w:t>През отчетната 2021г, както и през 2019г., през 2018г и през 2017г  прокурорите от ОП – Варна не са подавали касационни и частни протести срещу актове на административен съд.</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През 2020г. е бил подаден 1 брой касационен протест  като към момента на изготвяне на настоящия отчет няма решение на ВАС.</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AF1BA0">
        <w:rPr>
          <w:rFonts w:ascii="Times New Roman" w:eastAsia="Calibri" w:hAnsi="Times New Roman" w:cs="Times New Roman"/>
          <w:sz w:val="28"/>
          <w:szCs w:val="28"/>
          <w:highlight w:val="yellow"/>
        </w:rPr>
        <w:t xml:space="preserve">През отчетната 2021г. от прокурорите от ОП – Варна са били подадени до АС – Варна </w:t>
      </w:r>
      <w:r w:rsidRPr="00AF1BA0">
        <w:rPr>
          <w:rFonts w:ascii="Times New Roman" w:eastAsia="Calibri" w:hAnsi="Times New Roman" w:cs="Times New Roman"/>
          <w:b/>
          <w:sz w:val="28"/>
          <w:szCs w:val="28"/>
          <w:highlight w:val="yellow"/>
        </w:rPr>
        <w:t>10 броя протести срещу незаконни актове на общинските съвети,</w:t>
      </w:r>
      <w:r w:rsidRPr="00AF1BA0">
        <w:rPr>
          <w:rFonts w:ascii="Times New Roman" w:eastAsia="Calibri" w:hAnsi="Times New Roman" w:cs="Times New Roman"/>
          <w:sz w:val="28"/>
          <w:szCs w:val="28"/>
          <w:highlight w:val="yellow"/>
        </w:rPr>
        <w:t xml:space="preserve"> от които 4 са били разгледани и 4 са били уважени, а по 6 съдът не се е произнесъл в отчетния период</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b/>
          <w:bCs/>
          <w:sz w:val="28"/>
          <w:szCs w:val="28"/>
        </w:rPr>
        <w:t xml:space="preserve">По този показател в отчетния период 2021г. се бележи намаление с 37,50 % в сравнение с 2020г. и намаление със 78,72% спрямо 2019г. </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b/>
          <w:bCs/>
          <w:sz w:val="28"/>
          <w:szCs w:val="28"/>
        </w:rPr>
        <w:t>2.4. Проблеми и предложения за преодоляването им</w:t>
      </w:r>
      <w:r w:rsidRPr="00880ECD">
        <w:rPr>
          <w:rFonts w:ascii="Times New Roman" w:eastAsia="Calibri" w:hAnsi="Times New Roman" w:cs="Times New Roman"/>
          <w:sz w:val="28"/>
          <w:szCs w:val="28"/>
        </w:rPr>
        <w:t xml:space="preserve"> </w:t>
      </w:r>
    </w:p>
    <w:p w:rsidR="009658CD" w:rsidRPr="00880ECD" w:rsidRDefault="009658CD" w:rsidP="00F63914">
      <w:pPr>
        <w:spacing w:after="0" w:line="240" w:lineRule="auto"/>
        <w:ind w:firstLine="708"/>
        <w:contextualSpacing/>
        <w:jc w:val="both"/>
        <w:rPr>
          <w:rFonts w:ascii="Times New Roman" w:eastAsia="Calibri" w:hAnsi="Times New Roman" w:cs="Times New Roman"/>
          <w:bCs/>
          <w:sz w:val="28"/>
          <w:szCs w:val="28"/>
        </w:rPr>
      </w:pPr>
      <w:r w:rsidRPr="00880ECD">
        <w:rPr>
          <w:rFonts w:ascii="Times New Roman" w:eastAsia="Calibri" w:hAnsi="Times New Roman" w:cs="Times New Roman"/>
          <w:sz w:val="28"/>
          <w:szCs w:val="28"/>
        </w:rPr>
        <w:t xml:space="preserve">За поредна година се отчита участие в значителен брой съдебни заседания в Административен съд, което води до висока натовареност на работещите в надзора. </w:t>
      </w:r>
    </w:p>
    <w:p w:rsidR="009658CD" w:rsidRPr="00880ECD" w:rsidRDefault="009658CD" w:rsidP="00F63914">
      <w:pPr>
        <w:overflowPunct w:val="0"/>
        <w:autoSpaceDE w:val="0"/>
        <w:autoSpaceDN w:val="0"/>
        <w:adjustRightInd w:val="0"/>
        <w:spacing w:after="0" w:line="240" w:lineRule="auto"/>
        <w:ind w:firstLine="708"/>
        <w:contextualSpacing/>
        <w:jc w:val="both"/>
        <w:textAlignment w:val="baseline"/>
        <w:rPr>
          <w:rFonts w:ascii="Times New Roman" w:eastAsia="Calibri" w:hAnsi="Times New Roman" w:cs="Times New Roman"/>
          <w:b/>
          <w:bCs/>
          <w:sz w:val="28"/>
          <w:szCs w:val="28"/>
        </w:rPr>
      </w:pPr>
      <w:r w:rsidRPr="00880ECD">
        <w:rPr>
          <w:rFonts w:ascii="Times New Roman" w:eastAsia="Calibri" w:hAnsi="Times New Roman" w:cs="Times New Roman"/>
          <w:sz w:val="28"/>
          <w:szCs w:val="28"/>
        </w:rPr>
        <w:t xml:space="preserve">Запазва се и сравнително висок брой на делата </w:t>
      </w:r>
      <w:r w:rsidRPr="00880ECD">
        <w:rPr>
          <w:rFonts w:ascii="Times New Roman" w:eastAsia="Calibri" w:hAnsi="Times New Roman" w:cs="Times New Roman"/>
          <w:b/>
          <w:sz w:val="28"/>
          <w:szCs w:val="28"/>
        </w:rPr>
        <w:t>по предявени искове за обезщетение</w:t>
      </w:r>
      <w:r w:rsidRPr="00880ECD">
        <w:rPr>
          <w:rFonts w:ascii="Times New Roman" w:eastAsia="Calibri" w:hAnsi="Times New Roman" w:cs="Times New Roman"/>
          <w:sz w:val="28"/>
          <w:szCs w:val="28"/>
        </w:rPr>
        <w:t xml:space="preserve"> през 2021г</w:t>
      </w:r>
    </w:p>
    <w:p w:rsidR="009658CD" w:rsidRPr="00880ECD" w:rsidRDefault="009658CD" w:rsidP="00F63914">
      <w:pPr>
        <w:overflowPunct w:val="0"/>
        <w:autoSpaceDE w:val="0"/>
        <w:autoSpaceDN w:val="0"/>
        <w:adjustRightInd w:val="0"/>
        <w:spacing w:after="0" w:line="240" w:lineRule="auto"/>
        <w:ind w:firstLine="708"/>
        <w:contextualSpacing/>
        <w:jc w:val="both"/>
        <w:textAlignment w:val="baseline"/>
        <w:rPr>
          <w:rFonts w:ascii="Times New Roman" w:eastAsia="Calibri" w:hAnsi="Times New Roman" w:cs="Times New Roman"/>
          <w:b/>
          <w:sz w:val="28"/>
          <w:szCs w:val="28"/>
        </w:rPr>
      </w:pPr>
      <w:r w:rsidRPr="00880ECD">
        <w:rPr>
          <w:rFonts w:ascii="Times New Roman" w:eastAsia="Calibri" w:hAnsi="Times New Roman" w:cs="Times New Roman"/>
          <w:sz w:val="28"/>
          <w:szCs w:val="28"/>
        </w:rPr>
        <w:t xml:space="preserve">В горепосочените видове дела участието на прокурора е по закон, т.е промяна в натовареността тук може да бъде постигната </w:t>
      </w:r>
      <w:r w:rsidRPr="00880ECD">
        <w:rPr>
          <w:rFonts w:ascii="Times New Roman" w:eastAsia="Calibri" w:hAnsi="Times New Roman" w:cs="Times New Roman"/>
          <w:b/>
          <w:sz w:val="28"/>
          <w:szCs w:val="28"/>
        </w:rPr>
        <w:t>само при промяна в законодателството.</w:t>
      </w:r>
    </w:p>
    <w:p w:rsidR="009658CD" w:rsidRPr="00880ECD" w:rsidRDefault="009658CD" w:rsidP="00F63914">
      <w:pPr>
        <w:spacing w:after="0" w:line="240" w:lineRule="auto"/>
        <w:ind w:firstLine="708"/>
        <w:contextualSpacing/>
        <w:jc w:val="both"/>
        <w:rPr>
          <w:rFonts w:ascii="Times New Roman" w:eastAsia="Calibri" w:hAnsi="Times New Roman" w:cs="Times New Roman"/>
          <w:sz w:val="28"/>
          <w:szCs w:val="28"/>
        </w:rPr>
      </w:pPr>
    </w:p>
    <w:p w:rsidR="009658CD" w:rsidRPr="00880ECD" w:rsidRDefault="009658CD" w:rsidP="00F63914">
      <w:pPr>
        <w:spacing w:after="0" w:line="240" w:lineRule="auto"/>
        <w:ind w:firstLine="708"/>
        <w:contextualSpacing/>
        <w:jc w:val="both"/>
        <w:rPr>
          <w:rFonts w:ascii="Times New Roman" w:eastAsia="Calibri" w:hAnsi="Times New Roman" w:cs="Times New Roman"/>
          <w:b/>
          <w:sz w:val="28"/>
          <w:szCs w:val="28"/>
        </w:rPr>
      </w:pPr>
      <w:r w:rsidRPr="00880ECD">
        <w:rPr>
          <w:rFonts w:ascii="Times New Roman" w:eastAsia="Calibri" w:hAnsi="Times New Roman" w:cs="Times New Roman"/>
          <w:b/>
          <w:sz w:val="28"/>
          <w:szCs w:val="28"/>
        </w:rPr>
        <w:lastRenderedPageBreak/>
        <w:t>3.Дейност на ОП – Варна и районна прокуратура Варна по надзора за законност.</w:t>
      </w:r>
    </w:p>
    <w:p w:rsidR="009658CD" w:rsidRPr="00AF1BA0" w:rsidRDefault="009658CD" w:rsidP="00F63914">
      <w:pPr>
        <w:spacing w:after="0" w:line="240" w:lineRule="auto"/>
        <w:ind w:firstLine="708"/>
        <w:contextualSpacing/>
        <w:jc w:val="both"/>
        <w:rPr>
          <w:rFonts w:ascii="Times New Roman" w:eastAsia="Calibri" w:hAnsi="Times New Roman" w:cs="Times New Roman"/>
          <w:b/>
          <w:sz w:val="28"/>
          <w:szCs w:val="28"/>
          <w:highlight w:val="yellow"/>
        </w:rPr>
      </w:pPr>
      <w:r w:rsidRPr="00AF1BA0">
        <w:rPr>
          <w:rFonts w:ascii="Times New Roman" w:eastAsia="Calibri" w:hAnsi="Times New Roman" w:cs="Times New Roman"/>
          <w:sz w:val="28"/>
          <w:szCs w:val="28"/>
          <w:highlight w:val="yellow"/>
        </w:rPr>
        <w:t xml:space="preserve">През отчетната 2021г. общо за района на ОП – Варна </w:t>
      </w:r>
      <w:r w:rsidRPr="00AF1BA0">
        <w:rPr>
          <w:rFonts w:ascii="Times New Roman" w:eastAsia="Calibri" w:hAnsi="Times New Roman" w:cs="Times New Roman"/>
          <w:b/>
          <w:sz w:val="28"/>
          <w:szCs w:val="28"/>
          <w:highlight w:val="yellow"/>
        </w:rPr>
        <w:t>получените и образувани преписки по надзора за законност  са общо 429, от които 105 за ОП  Варна</w:t>
      </w:r>
      <w:r w:rsidRPr="00AF1BA0">
        <w:rPr>
          <w:rFonts w:ascii="Times New Roman" w:eastAsia="Calibri" w:hAnsi="Times New Roman" w:cs="Times New Roman"/>
          <w:sz w:val="28"/>
          <w:szCs w:val="28"/>
          <w:highlight w:val="yellow"/>
        </w:rPr>
        <w:t>, 324</w:t>
      </w:r>
      <w:r w:rsidRPr="00AF1BA0">
        <w:rPr>
          <w:rFonts w:ascii="Times New Roman" w:eastAsia="Calibri" w:hAnsi="Times New Roman" w:cs="Times New Roman"/>
          <w:b/>
          <w:sz w:val="28"/>
          <w:szCs w:val="28"/>
          <w:highlight w:val="yellow"/>
        </w:rPr>
        <w:t xml:space="preserve"> </w:t>
      </w:r>
      <w:r w:rsidRPr="00AF1BA0">
        <w:rPr>
          <w:rFonts w:ascii="Times New Roman" w:eastAsia="Calibri" w:hAnsi="Times New Roman" w:cs="Times New Roman"/>
          <w:sz w:val="28"/>
          <w:szCs w:val="28"/>
          <w:highlight w:val="yellow"/>
        </w:rPr>
        <w:t>– за РП – Варна.</w:t>
      </w:r>
    </w:p>
    <w:p w:rsidR="009658CD" w:rsidRPr="00AF1BA0" w:rsidRDefault="009658CD" w:rsidP="00F63914">
      <w:pPr>
        <w:spacing w:after="0" w:line="240" w:lineRule="auto"/>
        <w:ind w:firstLine="709"/>
        <w:contextualSpacing/>
        <w:jc w:val="both"/>
        <w:rPr>
          <w:rFonts w:ascii="Times New Roman" w:eastAsia="Calibri" w:hAnsi="Times New Roman" w:cs="Times New Roman"/>
          <w:b/>
          <w:sz w:val="28"/>
          <w:szCs w:val="28"/>
          <w:highlight w:val="yellow"/>
        </w:rPr>
      </w:pPr>
      <w:r w:rsidRPr="00AF1BA0">
        <w:rPr>
          <w:rFonts w:ascii="Times New Roman" w:eastAsia="Calibri" w:hAnsi="Times New Roman" w:cs="Times New Roman"/>
          <w:sz w:val="28"/>
          <w:szCs w:val="28"/>
          <w:highlight w:val="yellow"/>
        </w:rPr>
        <w:t xml:space="preserve">Изразени в проценти, тези показатели са както следва: образуваните преписки по надзора за законност </w:t>
      </w:r>
      <w:r w:rsidRPr="00AF1BA0">
        <w:rPr>
          <w:rFonts w:ascii="Times New Roman" w:eastAsia="Calibri" w:hAnsi="Times New Roman" w:cs="Times New Roman"/>
          <w:b/>
          <w:bCs/>
          <w:sz w:val="28"/>
          <w:szCs w:val="28"/>
          <w:highlight w:val="yellow"/>
        </w:rPr>
        <w:t>общо за района на ОП – Варна</w:t>
      </w:r>
      <w:r w:rsidRPr="00AF1BA0">
        <w:rPr>
          <w:rFonts w:ascii="Times New Roman" w:eastAsia="Calibri" w:hAnsi="Times New Roman" w:cs="Times New Roman"/>
          <w:sz w:val="28"/>
          <w:szCs w:val="28"/>
          <w:highlight w:val="yellow"/>
        </w:rPr>
        <w:t xml:space="preserve"> </w:t>
      </w:r>
      <w:r w:rsidRPr="00AF1BA0">
        <w:rPr>
          <w:rFonts w:ascii="Times New Roman" w:eastAsia="Calibri" w:hAnsi="Times New Roman" w:cs="Times New Roman"/>
          <w:b/>
          <w:sz w:val="28"/>
          <w:szCs w:val="28"/>
          <w:highlight w:val="yellow"/>
        </w:rPr>
        <w:t>през 2021г</w:t>
      </w:r>
      <w:r w:rsidRPr="00AF1BA0">
        <w:rPr>
          <w:rFonts w:ascii="Times New Roman" w:eastAsia="Calibri" w:hAnsi="Times New Roman" w:cs="Times New Roman"/>
          <w:sz w:val="28"/>
          <w:szCs w:val="28"/>
          <w:highlight w:val="yellow"/>
        </w:rPr>
        <w:t xml:space="preserve">. </w:t>
      </w:r>
      <w:r w:rsidRPr="00AF1BA0">
        <w:rPr>
          <w:rFonts w:ascii="Times New Roman" w:eastAsia="Calibri" w:hAnsi="Times New Roman" w:cs="Times New Roman"/>
          <w:b/>
          <w:sz w:val="28"/>
          <w:szCs w:val="28"/>
          <w:highlight w:val="yellow"/>
        </w:rPr>
        <w:t>са намалени с6,94%</w:t>
      </w:r>
      <w:r w:rsidRPr="00AF1BA0">
        <w:rPr>
          <w:rFonts w:ascii="Times New Roman" w:eastAsia="Calibri" w:hAnsi="Times New Roman" w:cs="Times New Roman"/>
          <w:sz w:val="28"/>
          <w:szCs w:val="28"/>
          <w:highlight w:val="yellow"/>
        </w:rPr>
        <w:t xml:space="preserve"> спрямо 2020г., а спрямо 2019г. </w:t>
      </w:r>
      <w:r w:rsidRPr="00AF1BA0">
        <w:rPr>
          <w:rFonts w:ascii="Times New Roman" w:eastAsia="Calibri" w:hAnsi="Times New Roman" w:cs="Times New Roman"/>
          <w:b/>
          <w:sz w:val="28"/>
          <w:szCs w:val="28"/>
          <w:highlight w:val="yellow"/>
        </w:rPr>
        <w:t>са увеличени с 44,93 %.</w:t>
      </w:r>
    </w:p>
    <w:p w:rsidR="009658CD" w:rsidRPr="00AF1BA0" w:rsidRDefault="009658CD" w:rsidP="00F63914">
      <w:pPr>
        <w:spacing w:after="0" w:line="240" w:lineRule="auto"/>
        <w:ind w:firstLine="709"/>
        <w:contextualSpacing/>
        <w:jc w:val="both"/>
        <w:rPr>
          <w:rFonts w:ascii="Times New Roman" w:eastAsia="Calibri" w:hAnsi="Times New Roman" w:cs="Times New Roman"/>
          <w:sz w:val="28"/>
          <w:szCs w:val="28"/>
          <w:highlight w:val="yellow"/>
        </w:rPr>
      </w:pPr>
      <w:r w:rsidRPr="00AF1BA0">
        <w:rPr>
          <w:rFonts w:ascii="Times New Roman" w:eastAsia="Calibri" w:hAnsi="Times New Roman" w:cs="Times New Roman"/>
          <w:sz w:val="28"/>
          <w:szCs w:val="28"/>
          <w:highlight w:val="yellow"/>
        </w:rPr>
        <w:t>През 2021 г. се наблюдава намаление на преписките на ОП –Варна с 33,12% спрямо 2020г. и с 11,02 % спрямо 2019г.</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AF1BA0">
        <w:rPr>
          <w:rFonts w:ascii="Times New Roman" w:eastAsia="Calibri" w:hAnsi="Times New Roman" w:cs="Times New Roman"/>
          <w:sz w:val="28"/>
          <w:szCs w:val="28"/>
          <w:highlight w:val="yellow"/>
        </w:rPr>
        <w:t xml:space="preserve">През отчетната 2021г. броят на проверените </w:t>
      </w:r>
      <w:r w:rsidRPr="00AF1BA0">
        <w:rPr>
          <w:rFonts w:ascii="Times New Roman" w:eastAsia="Calibri" w:hAnsi="Times New Roman" w:cs="Times New Roman"/>
          <w:b/>
          <w:sz w:val="28"/>
          <w:szCs w:val="28"/>
          <w:highlight w:val="yellow"/>
        </w:rPr>
        <w:t>административни актове</w:t>
      </w:r>
      <w:r w:rsidRPr="00AF1BA0">
        <w:rPr>
          <w:rFonts w:ascii="Times New Roman" w:eastAsia="Calibri" w:hAnsi="Times New Roman" w:cs="Times New Roman"/>
          <w:sz w:val="28"/>
          <w:szCs w:val="28"/>
          <w:highlight w:val="yellow"/>
        </w:rPr>
        <w:t xml:space="preserve"> общо за </w:t>
      </w:r>
      <w:r w:rsidRPr="00AF1BA0">
        <w:rPr>
          <w:rFonts w:ascii="Times New Roman" w:eastAsia="Calibri" w:hAnsi="Times New Roman" w:cs="Times New Roman"/>
          <w:b/>
          <w:sz w:val="28"/>
          <w:szCs w:val="28"/>
          <w:highlight w:val="yellow"/>
        </w:rPr>
        <w:t>района на ОП – Варна е 4241, от които – 48 за ОП – Варна</w:t>
      </w:r>
      <w:r w:rsidRPr="00AF1BA0">
        <w:rPr>
          <w:rFonts w:ascii="Times New Roman" w:eastAsia="Calibri" w:hAnsi="Times New Roman" w:cs="Times New Roman"/>
          <w:sz w:val="28"/>
          <w:szCs w:val="28"/>
          <w:highlight w:val="yellow"/>
        </w:rPr>
        <w:t>, 4193</w:t>
      </w:r>
      <w:r w:rsidRPr="00AF1BA0">
        <w:rPr>
          <w:rFonts w:ascii="Times New Roman" w:eastAsia="Calibri" w:hAnsi="Times New Roman" w:cs="Times New Roman"/>
          <w:b/>
          <w:sz w:val="28"/>
          <w:szCs w:val="28"/>
          <w:highlight w:val="yellow"/>
        </w:rPr>
        <w:t xml:space="preserve"> </w:t>
      </w:r>
      <w:r w:rsidRPr="00AF1BA0">
        <w:rPr>
          <w:rFonts w:ascii="Times New Roman" w:eastAsia="Calibri" w:hAnsi="Times New Roman" w:cs="Times New Roman"/>
          <w:sz w:val="28"/>
          <w:szCs w:val="28"/>
          <w:highlight w:val="yellow"/>
        </w:rPr>
        <w:t>– за РП – Варна.</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Налице е ръст</w:t>
      </w:r>
      <w:r w:rsidRPr="00880ECD">
        <w:rPr>
          <w:rFonts w:ascii="Times New Roman" w:eastAsia="Calibri" w:hAnsi="Times New Roman" w:cs="Times New Roman"/>
          <w:b/>
          <w:sz w:val="28"/>
          <w:szCs w:val="28"/>
        </w:rPr>
        <w:t xml:space="preserve"> със 71,01 %</w:t>
      </w:r>
      <w:r w:rsidRPr="00880ECD">
        <w:rPr>
          <w:rFonts w:ascii="Times New Roman" w:eastAsia="Calibri" w:hAnsi="Times New Roman" w:cs="Times New Roman"/>
          <w:sz w:val="28"/>
          <w:szCs w:val="28"/>
        </w:rPr>
        <w:t xml:space="preserve"> спрямо 2020г. и увеличение със 75,83</w:t>
      </w:r>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спрямо 2019г. </w:t>
      </w:r>
    </w:p>
    <w:p w:rsidR="009658CD" w:rsidRPr="00880ECD" w:rsidRDefault="009658CD" w:rsidP="00F63914">
      <w:pPr>
        <w:spacing w:after="0" w:line="240" w:lineRule="auto"/>
        <w:ind w:firstLine="709"/>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За ОП – Варна по този показател се наблюдава </w:t>
      </w:r>
      <w:r w:rsidRPr="00880ECD">
        <w:rPr>
          <w:rFonts w:ascii="Times New Roman" w:eastAsia="Calibri" w:hAnsi="Times New Roman" w:cs="Times New Roman"/>
          <w:b/>
          <w:sz w:val="28"/>
          <w:szCs w:val="28"/>
        </w:rPr>
        <w:t>намаление от 46,07%</w:t>
      </w:r>
      <w:r w:rsidRPr="00880ECD">
        <w:rPr>
          <w:rFonts w:ascii="Times New Roman" w:eastAsia="Calibri" w:hAnsi="Times New Roman" w:cs="Times New Roman"/>
          <w:sz w:val="28"/>
          <w:szCs w:val="28"/>
        </w:rPr>
        <w:t xml:space="preserve"> спрямо 2020г </w:t>
      </w:r>
      <w:r w:rsidRPr="00880ECD">
        <w:rPr>
          <w:rFonts w:ascii="Times New Roman" w:eastAsia="Calibri" w:hAnsi="Times New Roman" w:cs="Times New Roman"/>
          <w:b/>
          <w:sz w:val="28"/>
          <w:szCs w:val="28"/>
        </w:rPr>
        <w:t>и намаление с 57,52%</w:t>
      </w:r>
      <w:r w:rsidRPr="00880ECD">
        <w:rPr>
          <w:rFonts w:ascii="Times New Roman" w:eastAsia="Calibri" w:hAnsi="Times New Roman" w:cs="Times New Roman"/>
          <w:sz w:val="28"/>
          <w:szCs w:val="28"/>
        </w:rPr>
        <w:t xml:space="preserve"> спрямо 2019г.</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b/>
          <w:bCs/>
          <w:sz w:val="28"/>
          <w:szCs w:val="28"/>
        </w:rPr>
        <w:t>Предложения по чл.145 ал.1 т.6 от ЗСВ.</w:t>
      </w:r>
    </w:p>
    <w:p w:rsidR="009658CD" w:rsidRPr="00880ECD" w:rsidRDefault="009658CD" w:rsidP="00F63914">
      <w:pPr>
        <w:spacing w:after="0" w:line="240" w:lineRule="auto"/>
        <w:ind w:firstLine="709"/>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sz w:val="28"/>
          <w:szCs w:val="28"/>
        </w:rPr>
        <w:t xml:space="preserve">През отчетната 2021г. броят на подадените и разгледани </w:t>
      </w:r>
      <w:r w:rsidRPr="00880ECD">
        <w:rPr>
          <w:rFonts w:ascii="Times New Roman" w:eastAsia="Calibri" w:hAnsi="Times New Roman" w:cs="Times New Roman"/>
          <w:b/>
          <w:bCs/>
          <w:sz w:val="28"/>
          <w:szCs w:val="28"/>
        </w:rPr>
        <w:t>Предложения по чл.145 ал.1 т.6 от ЗСВ</w:t>
      </w:r>
      <w:r w:rsidRPr="00880ECD">
        <w:rPr>
          <w:rFonts w:ascii="Times New Roman" w:eastAsia="Calibri" w:hAnsi="Times New Roman" w:cs="Times New Roman"/>
          <w:sz w:val="28"/>
          <w:szCs w:val="28"/>
        </w:rPr>
        <w:t xml:space="preserve"> общо за района на ОП – Варна са </w:t>
      </w:r>
      <w:r w:rsidRPr="00880ECD">
        <w:rPr>
          <w:rFonts w:ascii="Times New Roman" w:eastAsia="Calibri" w:hAnsi="Times New Roman" w:cs="Times New Roman"/>
          <w:b/>
          <w:sz w:val="28"/>
          <w:szCs w:val="28"/>
        </w:rPr>
        <w:t>38</w:t>
      </w:r>
      <w:r w:rsidRPr="00880ECD">
        <w:rPr>
          <w:rFonts w:ascii="Times New Roman" w:eastAsia="Calibri" w:hAnsi="Times New Roman" w:cs="Times New Roman"/>
          <w:b/>
          <w:bCs/>
          <w:sz w:val="28"/>
          <w:szCs w:val="28"/>
        </w:rPr>
        <w:t>,</w:t>
      </w:r>
      <w:r w:rsidRPr="00880ECD">
        <w:rPr>
          <w:rFonts w:ascii="Times New Roman" w:eastAsia="Calibri" w:hAnsi="Times New Roman" w:cs="Times New Roman"/>
          <w:sz w:val="28"/>
          <w:szCs w:val="28"/>
        </w:rPr>
        <w:t xml:space="preserve"> подадени от</w:t>
      </w:r>
      <w:r w:rsidRPr="00880ECD">
        <w:rPr>
          <w:rFonts w:ascii="Times New Roman" w:eastAsia="Calibri" w:hAnsi="Times New Roman" w:cs="Times New Roman"/>
          <w:b/>
          <w:sz w:val="28"/>
          <w:szCs w:val="28"/>
        </w:rPr>
        <w:t xml:space="preserve"> ОП – Варна са 17</w:t>
      </w:r>
      <w:r w:rsidRPr="00880ECD">
        <w:rPr>
          <w:rFonts w:ascii="Times New Roman" w:eastAsia="Calibri" w:hAnsi="Times New Roman" w:cs="Times New Roman"/>
          <w:sz w:val="28"/>
          <w:szCs w:val="28"/>
        </w:rPr>
        <w:t>, от РП – Варна - 21.</w:t>
      </w:r>
    </w:p>
    <w:p w:rsidR="009658CD" w:rsidRPr="00880ECD" w:rsidRDefault="009658CD" w:rsidP="00F63914">
      <w:pPr>
        <w:spacing w:after="0" w:line="240" w:lineRule="auto"/>
        <w:ind w:firstLine="709"/>
        <w:contextualSpacing/>
        <w:jc w:val="both"/>
        <w:rPr>
          <w:rFonts w:ascii="Times New Roman" w:eastAsia="Calibri" w:hAnsi="Times New Roman" w:cs="Times New Roman"/>
          <w:bCs/>
          <w:sz w:val="28"/>
          <w:szCs w:val="28"/>
        </w:rPr>
      </w:pPr>
      <w:r w:rsidRPr="00880ECD">
        <w:rPr>
          <w:rFonts w:ascii="Times New Roman" w:eastAsia="Calibri" w:hAnsi="Times New Roman" w:cs="Times New Roman"/>
          <w:bCs/>
          <w:sz w:val="28"/>
          <w:szCs w:val="28"/>
        </w:rPr>
        <w:t xml:space="preserve">Изразено в проценти, по този показател </w:t>
      </w:r>
      <w:r w:rsidRPr="00880ECD">
        <w:rPr>
          <w:rFonts w:ascii="Times New Roman" w:eastAsia="Calibri" w:hAnsi="Times New Roman" w:cs="Times New Roman"/>
          <w:b/>
          <w:bCs/>
          <w:sz w:val="28"/>
          <w:szCs w:val="28"/>
        </w:rPr>
        <w:t>общо за района на ОП</w:t>
      </w:r>
      <w:r w:rsidRPr="00880ECD">
        <w:rPr>
          <w:rFonts w:ascii="Times New Roman" w:eastAsia="Calibri" w:hAnsi="Times New Roman" w:cs="Times New Roman"/>
          <w:bCs/>
          <w:sz w:val="28"/>
          <w:szCs w:val="28"/>
        </w:rPr>
        <w:t xml:space="preserve"> – Варна се наблюдава </w:t>
      </w:r>
      <w:r w:rsidRPr="00880ECD">
        <w:rPr>
          <w:rFonts w:ascii="Times New Roman" w:eastAsia="Calibri" w:hAnsi="Times New Roman" w:cs="Times New Roman"/>
          <w:b/>
          <w:bCs/>
          <w:sz w:val="28"/>
          <w:szCs w:val="28"/>
        </w:rPr>
        <w:t>увеличение със 153,33%</w:t>
      </w:r>
      <w:r w:rsidRPr="00880ECD">
        <w:rPr>
          <w:rFonts w:ascii="Times New Roman" w:eastAsia="Calibri" w:hAnsi="Times New Roman" w:cs="Times New Roman"/>
          <w:bCs/>
          <w:sz w:val="28"/>
          <w:szCs w:val="28"/>
        </w:rPr>
        <w:t xml:space="preserve"> спрямо 2020г. и увеличение с 245,45 % спрямо 2019г. </w:t>
      </w:r>
    </w:p>
    <w:p w:rsidR="009658CD" w:rsidRPr="00880ECD" w:rsidRDefault="009658CD" w:rsidP="00F63914">
      <w:pPr>
        <w:spacing w:after="0" w:line="240" w:lineRule="auto"/>
        <w:ind w:left="5" w:firstLine="704"/>
        <w:contextualSpacing/>
        <w:jc w:val="both"/>
        <w:rPr>
          <w:rFonts w:ascii="Times New Roman" w:eastAsia="Calibri" w:hAnsi="Times New Roman" w:cs="Times New Roman"/>
          <w:b/>
          <w:bCs/>
          <w:sz w:val="28"/>
          <w:szCs w:val="28"/>
        </w:rPr>
      </w:pPr>
      <w:r w:rsidRPr="00880ECD">
        <w:rPr>
          <w:rFonts w:ascii="Times New Roman" w:eastAsia="Calibri" w:hAnsi="Times New Roman" w:cs="Times New Roman"/>
          <w:b/>
          <w:bCs/>
          <w:sz w:val="28"/>
          <w:szCs w:val="28"/>
        </w:rPr>
        <w:t xml:space="preserve">Взаимодействие със специализираните контролни органи и с други държавни и общински органи с контролни функции – </w:t>
      </w:r>
    </w:p>
    <w:p w:rsidR="009658CD" w:rsidRPr="00880ECD" w:rsidRDefault="009658CD" w:rsidP="00F63914">
      <w:pPr>
        <w:spacing w:after="0" w:line="240" w:lineRule="auto"/>
        <w:ind w:left="5" w:firstLine="704"/>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Приоритетите в дейността на Надзора за законност са в насока на продължаване на осъществяването на надзор върху контролните органи.   </w:t>
      </w:r>
    </w:p>
    <w:p w:rsidR="009658CD" w:rsidRPr="00880ECD" w:rsidRDefault="009658CD" w:rsidP="00F63914">
      <w:pPr>
        <w:spacing w:after="0" w:line="240" w:lineRule="auto"/>
        <w:ind w:left="5" w:firstLine="704"/>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 xml:space="preserve">През отчетната година по надзора продължиха да се извършват проверки на редица наредби на общинските съвети като по всички констатирани несъответствия със законите се подадоха протести до административния съд. </w:t>
      </w:r>
    </w:p>
    <w:p w:rsidR="009658CD" w:rsidRPr="00880ECD" w:rsidRDefault="009658CD" w:rsidP="00F63914">
      <w:pPr>
        <w:shd w:val="clear" w:color="auto" w:fill="FFFFFF"/>
        <w:spacing w:line="240" w:lineRule="auto"/>
        <w:ind w:left="5" w:right="14" w:firstLine="710"/>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В тази връзка са и предвидените планови задачи на ОП – Варна и  районната прокуратура.</w:t>
      </w:r>
    </w:p>
    <w:p w:rsidR="009658CD" w:rsidRPr="00880ECD" w:rsidRDefault="009658CD" w:rsidP="00F63914">
      <w:pPr>
        <w:shd w:val="clear" w:color="auto" w:fill="FFFFFF"/>
        <w:spacing w:line="240" w:lineRule="auto"/>
        <w:ind w:left="5" w:right="14" w:firstLine="710"/>
        <w:contextualSpacing/>
        <w:jc w:val="both"/>
        <w:rPr>
          <w:rFonts w:ascii="Times New Roman" w:eastAsia="Times New Roman" w:hAnsi="Times New Roman" w:cs="Times New Roman"/>
          <w:spacing w:val="-6"/>
          <w:sz w:val="28"/>
          <w:szCs w:val="28"/>
        </w:rPr>
      </w:pPr>
      <w:r w:rsidRPr="00880ECD">
        <w:rPr>
          <w:rFonts w:ascii="Times New Roman" w:eastAsia="Calibri" w:hAnsi="Times New Roman" w:cs="Times New Roman"/>
          <w:b/>
          <w:spacing w:val="-4"/>
          <w:sz w:val="28"/>
          <w:szCs w:val="28"/>
        </w:rPr>
        <w:t xml:space="preserve">Приоритети и проблеми </w:t>
      </w:r>
      <w:r w:rsidRPr="00880ECD">
        <w:rPr>
          <w:rFonts w:ascii="Times New Roman" w:eastAsia="Calibri" w:hAnsi="Times New Roman" w:cs="Times New Roman"/>
          <w:b/>
          <w:spacing w:val="1"/>
          <w:sz w:val="28"/>
          <w:szCs w:val="28"/>
        </w:rPr>
        <w:t xml:space="preserve">в дейността на надзора за законност в районна прокуратура – </w:t>
      </w:r>
      <w:r w:rsidRPr="00880ECD">
        <w:rPr>
          <w:rFonts w:ascii="Times New Roman" w:eastAsia="Calibri" w:hAnsi="Times New Roman" w:cs="Times New Roman"/>
          <w:b/>
          <w:spacing w:val="-6"/>
          <w:sz w:val="28"/>
          <w:szCs w:val="28"/>
        </w:rPr>
        <w:t xml:space="preserve">Варна </w:t>
      </w:r>
      <w:r w:rsidRPr="00880ECD">
        <w:rPr>
          <w:rFonts w:ascii="Times New Roman" w:eastAsia="Calibri" w:hAnsi="Times New Roman" w:cs="Times New Roman"/>
          <w:spacing w:val="-6"/>
          <w:sz w:val="28"/>
          <w:szCs w:val="28"/>
        </w:rPr>
        <w:t>- п</w:t>
      </w:r>
      <w:r w:rsidRPr="00880ECD">
        <w:rPr>
          <w:rFonts w:ascii="Times New Roman" w:eastAsia="Times New Roman" w:hAnsi="Times New Roman" w:cs="Times New Roman"/>
          <w:spacing w:val="-6"/>
          <w:sz w:val="28"/>
          <w:szCs w:val="28"/>
        </w:rPr>
        <w:t xml:space="preserve">рез 2021 г. се наблюдава една тенденция, която е започнала </w:t>
      </w:r>
      <w:r w:rsidRPr="00880ECD">
        <w:rPr>
          <w:rFonts w:ascii="Times New Roman" w:eastAsia="Times New Roman" w:hAnsi="Times New Roman" w:cs="Times New Roman"/>
          <w:spacing w:val="-5"/>
          <w:sz w:val="28"/>
          <w:szCs w:val="28"/>
        </w:rPr>
        <w:t xml:space="preserve">през предходните години – сигнали и проверки, </w:t>
      </w:r>
      <w:r w:rsidRPr="00880ECD">
        <w:rPr>
          <w:rFonts w:ascii="Times New Roman" w:eastAsia="Times New Roman" w:hAnsi="Times New Roman" w:cs="Times New Roman"/>
          <w:spacing w:val="-2"/>
          <w:sz w:val="28"/>
          <w:szCs w:val="28"/>
        </w:rPr>
        <w:t>свързани с проблеми по отношение на екологията, опазване живота и здравето на гражданите, незаконното строителство.</w:t>
      </w:r>
      <w:r w:rsidRPr="00880ECD">
        <w:rPr>
          <w:rFonts w:ascii="Times New Roman" w:eastAsia="Times New Roman" w:hAnsi="Times New Roman" w:cs="Times New Roman"/>
          <w:spacing w:val="-5"/>
          <w:sz w:val="28"/>
          <w:szCs w:val="28"/>
        </w:rPr>
        <w:t xml:space="preserve"> Това означава, че обществената чувствителност в тази област става все по-голяма и прокурорската </w:t>
      </w:r>
      <w:r w:rsidRPr="00880ECD">
        <w:rPr>
          <w:rFonts w:ascii="Times New Roman" w:eastAsia="Times New Roman" w:hAnsi="Times New Roman" w:cs="Times New Roman"/>
          <w:spacing w:val="-6"/>
          <w:sz w:val="28"/>
          <w:szCs w:val="28"/>
        </w:rPr>
        <w:t>дейност по надзора за законност следва да се съобрази с това.</w:t>
      </w:r>
    </w:p>
    <w:p w:rsidR="009658CD" w:rsidRDefault="009658CD" w:rsidP="00F63914">
      <w:pPr>
        <w:shd w:val="clear" w:color="auto" w:fill="FFFFFF"/>
        <w:spacing w:line="240" w:lineRule="auto"/>
        <w:ind w:left="5" w:right="14" w:firstLine="710"/>
        <w:contextualSpacing/>
        <w:jc w:val="both"/>
        <w:rPr>
          <w:rFonts w:ascii="Times New Roman" w:eastAsia="Times New Roman" w:hAnsi="Times New Roman" w:cs="Times New Roman"/>
          <w:spacing w:val="-1"/>
          <w:sz w:val="28"/>
          <w:szCs w:val="28"/>
        </w:rPr>
      </w:pPr>
      <w:r w:rsidRPr="00880ECD">
        <w:rPr>
          <w:rFonts w:ascii="Times New Roman" w:eastAsia="Times New Roman" w:hAnsi="Times New Roman" w:cs="Times New Roman"/>
          <w:sz w:val="28"/>
          <w:szCs w:val="28"/>
        </w:rPr>
        <w:t xml:space="preserve">РП – Варна отчитат, че </w:t>
      </w:r>
      <w:r w:rsidRPr="00880ECD">
        <w:rPr>
          <w:rFonts w:ascii="Times New Roman" w:eastAsia="Times New Roman" w:hAnsi="Times New Roman" w:cs="Times New Roman"/>
          <w:spacing w:val="-5"/>
          <w:sz w:val="28"/>
          <w:szCs w:val="28"/>
        </w:rPr>
        <w:t xml:space="preserve">проблемите в дейността на надзора </w:t>
      </w:r>
      <w:r w:rsidRPr="00880ECD">
        <w:rPr>
          <w:rFonts w:ascii="Times New Roman" w:eastAsia="Times New Roman" w:hAnsi="Times New Roman" w:cs="Times New Roman"/>
          <w:spacing w:val="-1"/>
          <w:sz w:val="28"/>
          <w:szCs w:val="28"/>
        </w:rPr>
        <w:t xml:space="preserve">се състоят и във високата натовареност на прокурорите от надзора, с оглед и на текущата работа на прокурорите </w:t>
      </w:r>
    </w:p>
    <w:p w:rsidR="00C22CE6" w:rsidRPr="00880ECD" w:rsidRDefault="00C22CE6" w:rsidP="00F63914">
      <w:pPr>
        <w:shd w:val="clear" w:color="auto" w:fill="FFFFFF"/>
        <w:spacing w:line="240" w:lineRule="auto"/>
        <w:ind w:left="5" w:right="14" w:firstLine="710"/>
        <w:contextualSpacing/>
        <w:jc w:val="both"/>
        <w:rPr>
          <w:rFonts w:ascii="Times New Roman" w:eastAsia="Calibri" w:hAnsi="Times New Roman" w:cs="Times New Roman"/>
          <w:sz w:val="28"/>
          <w:szCs w:val="28"/>
        </w:rPr>
      </w:pPr>
    </w:p>
    <w:p w:rsidR="006328B7" w:rsidRDefault="006328B7" w:rsidP="006328B7">
      <w:pPr>
        <w:keepNext/>
        <w:keepLines/>
        <w:spacing w:after="0" w:line="240" w:lineRule="auto"/>
        <w:contextualSpacing/>
        <w:jc w:val="both"/>
        <w:outlineLvl w:val="0"/>
      </w:pPr>
    </w:p>
    <w:p w:rsidR="009658CD" w:rsidRPr="00880ECD" w:rsidRDefault="009658CD" w:rsidP="006328B7">
      <w:pPr>
        <w:keepNext/>
        <w:keepLines/>
        <w:spacing w:after="0" w:line="240" w:lineRule="auto"/>
        <w:contextualSpacing/>
        <w:jc w:val="both"/>
        <w:outlineLvl w:val="0"/>
        <w:rPr>
          <w:rFonts w:ascii="Times New Roman" w:eastAsiaTheme="majorEastAsia" w:hAnsi="Times New Roman" w:cs="Times New Roman"/>
          <w:b/>
          <w:bCs/>
          <w:color w:val="00B0F0"/>
          <w:sz w:val="28"/>
          <w:szCs w:val="28"/>
        </w:rPr>
      </w:pPr>
      <w:r w:rsidRPr="00880ECD">
        <w:rPr>
          <w:rFonts w:ascii="Times New Roman" w:eastAsiaTheme="majorEastAsia" w:hAnsi="Times New Roman" w:cs="Times New Roman"/>
          <w:b/>
          <w:bCs/>
          <w:color w:val="00B0F0"/>
          <w:sz w:val="28"/>
          <w:szCs w:val="28"/>
          <w:lang w:val="en-US"/>
        </w:rPr>
        <w:t>V</w:t>
      </w:r>
      <w:r w:rsidRPr="00880ECD">
        <w:rPr>
          <w:rFonts w:ascii="Times New Roman" w:eastAsiaTheme="majorEastAsia" w:hAnsi="Times New Roman" w:cs="Times New Roman"/>
          <w:b/>
          <w:bCs/>
          <w:color w:val="00B0F0"/>
          <w:sz w:val="28"/>
          <w:szCs w:val="28"/>
        </w:rPr>
        <w:t>. АДМИНИСТРАТИВНА И КОНТРОЛНО - РЕВИЗИОННА ДЕЙНОСТ.</w:t>
      </w:r>
    </w:p>
    <w:p w:rsidR="009658CD" w:rsidRPr="00880ECD" w:rsidRDefault="009658CD" w:rsidP="00F63914">
      <w:pPr>
        <w:spacing w:after="0" w:line="240" w:lineRule="auto"/>
        <w:ind w:firstLine="426"/>
        <w:contextualSpacing/>
        <w:jc w:val="both"/>
        <w:rPr>
          <w:rFonts w:ascii="Times New Roman" w:eastAsia="Times New Roman" w:hAnsi="Times New Roman" w:cs="Times New Roman"/>
          <w:sz w:val="28"/>
          <w:szCs w:val="28"/>
          <w:lang w:eastAsia="bg-BG"/>
        </w:rPr>
      </w:pPr>
    </w:p>
    <w:p w:rsidR="009658CD" w:rsidRPr="00880ECD" w:rsidRDefault="009658CD" w:rsidP="00F63914">
      <w:pPr>
        <w:numPr>
          <w:ilvl w:val="0"/>
          <w:numId w:val="10"/>
        </w:numPr>
        <w:spacing w:after="0" w:line="240" w:lineRule="auto"/>
        <w:contextualSpacing/>
        <w:jc w:val="both"/>
        <w:rPr>
          <w:rFonts w:ascii="Times New Roman" w:eastAsia="Times New Roman" w:hAnsi="Times New Roman" w:cs="Times New Roman"/>
          <w:b/>
          <w:sz w:val="28"/>
          <w:szCs w:val="28"/>
          <w:lang w:eastAsia="bg-BG"/>
        </w:rPr>
      </w:pPr>
      <w:r w:rsidRPr="00880ECD">
        <w:rPr>
          <w:rFonts w:ascii="Times New Roman" w:eastAsia="Times New Roman" w:hAnsi="Times New Roman" w:cs="Times New Roman"/>
          <w:b/>
          <w:sz w:val="28"/>
          <w:szCs w:val="28"/>
          <w:lang w:eastAsia="bg-BG"/>
        </w:rPr>
        <w:t>Щатна осигуреност</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Към 01.</w:t>
      </w:r>
      <w:proofErr w:type="spellStart"/>
      <w:r w:rsidRPr="00880ECD">
        <w:rPr>
          <w:rFonts w:ascii="Times New Roman" w:eastAsia="Times New Roman" w:hAnsi="Times New Roman" w:cs="Times New Roman"/>
          <w:sz w:val="28"/>
          <w:szCs w:val="28"/>
          <w:lang w:eastAsia="bg-BG"/>
        </w:rPr>
        <w:t>01</w:t>
      </w:r>
      <w:proofErr w:type="spellEnd"/>
      <w:r w:rsidRPr="00880ECD">
        <w:rPr>
          <w:rFonts w:ascii="Times New Roman" w:eastAsia="Times New Roman" w:hAnsi="Times New Roman" w:cs="Times New Roman"/>
          <w:sz w:val="28"/>
          <w:szCs w:val="28"/>
          <w:lang w:eastAsia="bg-BG"/>
        </w:rPr>
        <w:t>.2021 г. утвърденият щат на Окръжна прокуратура за прокурорите е 28 .Свободна е 1 бройка. Щатните длъжности за следователи са 25. Свободните длъжности са: следователи – 1 и младши следовател  - 1.</w:t>
      </w:r>
    </w:p>
    <w:p w:rsidR="009658CD" w:rsidRPr="00880ECD" w:rsidRDefault="009658CD" w:rsidP="00F63914">
      <w:pPr>
        <w:spacing w:after="0" w:line="240" w:lineRule="auto"/>
        <w:ind w:firstLine="426"/>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ab/>
        <w:t>През 2021 г. продължи командироването на следовател от следствения отдел в СГП в ОСлО-ОП-Варна,.</w:t>
      </w:r>
    </w:p>
    <w:p w:rsidR="009658CD" w:rsidRPr="00880ECD" w:rsidRDefault="009658CD" w:rsidP="00F63914">
      <w:pPr>
        <w:spacing w:after="0" w:line="240" w:lineRule="auto"/>
        <w:ind w:firstLine="426"/>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ab/>
        <w:t xml:space="preserve">През 2021 г. общо командировани са трима прокурори от РП- Варна в ОП – Варна, </w:t>
      </w:r>
    </w:p>
    <w:p w:rsidR="009658CD" w:rsidRPr="00880ECD" w:rsidRDefault="009658CD" w:rsidP="00F63914">
      <w:pPr>
        <w:spacing w:after="0" w:line="240" w:lineRule="auto"/>
        <w:ind w:firstLine="426"/>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ab/>
        <w:t xml:space="preserve">Прокурор от ОП – Варна е командирован в АП – Варна, </w:t>
      </w:r>
    </w:p>
    <w:p w:rsidR="009658CD" w:rsidRPr="00880ECD" w:rsidRDefault="009658CD" w:rsidP="00F63914">
      <w:pPr>
        <w:spacing w:after="0" w:line="240" w:lineRule="auto"/>
        <w:ind w:firstLine="426"/>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ab/>
        <w:t>Прокурор от ОП – Варна е командирован в ОП – Шумен</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Към 31.12.2021 г. щатът на Окръжна прокуратура за прокурорите и следователите е без промяна.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Администрацията в ОП – Варна е структурирана в Обща и Специализирана</w:t>
      </w:r>
    </w:p>
    <w:p w:rsidR="009658CD" w:rsidRPr="00880ECD" w:rsidRDefault="009658CD" w:rsidP="00F63914">
      <w:pPr>
        <w:spacing w:after="0" w:line="240" w:lineRule="auto"/>
        <w:ind w:firstLine="708"/>
        <w:contextualSpacing/>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 Към 31.12.2021 г. длъжностното разписание на съдебните служители от Окръжна прокуратура – Варна е 62 щ.</w:t>
      </w:r>
      <w:proofErr w:type="spellStart"/>
      <w:r w:rsidRPr="00880ECD">
        <w:rPr>
          <w:rFonts w:ascii="Times New Roman" w:eastAsia="Times New Roman" w:hAnsi="Times New Roman" w:cs="Times New Roman"/>
          <w:bCs/>
          <w:sz w:val="28"/>
          <w:szCs w:val="28"/>
          <w:lang w:eastAsia="bg-BG"/>
        </w:rPr>
        <w:t>бр</w:t>
      </w:r>
      <w:proofErr w:type="spellEnd"/>
      <w:r w:rsidRPr="00880ECD">
        <w:rPr>
          <w:rFonts w:ascii="Times New Roman" w:eastAsia="Times New Roman" w:hAnsi="Times New Roman" w:cs="Times New Roman"/>
          <w:bCs/>
          <w:sz w:val="28"/>
          <w:szCs w:val="28"/>
          <w:lang w:eastAsia="bg-BG"/>
        </w:rPr>
        <w:t xml:space="preserve">, като всичките са заети. </w:t>
      </w:r>
    </w:p>
    <w:p w:rsidR="009658CD" w:rsidRPr="00880ECD" w:rsidRDefault="009658CD" w:rsidP="00F63914">
      <w:pPr>
        <w:spacing w:after="0" w:line="240" w:lineRule="auto"/>
        <w:ind w:firstLine="426"/>
        <w:contextualSpacing/>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ab/>
        <w:t>Съотношението на утвърдения щат на магистратите и този на служителите през 2021 г. е същият като през 2019 г. и 2020 г</w:t>
      </w:r>
      <w:r w:rsidRPr="00880ECD">
        <w:rPr>
          <w:rFonts w:ascii="Times New Roman" w:eastAsia="Times New Roman" w:hAnsi="Times New Roman" w:cs="Times New Roman"/>
          <w:bCs/>
          <w:sz w:val="28"/>
          <w:szCs w:val="28"/>
          <w:lang w:eastAsia="bg-BG"/>
        </w:rPr>
        <w:tab/>
      </w:r>
    </w:p>
    <w:p w:rsidR="009658CD" w:rsidRPr="00880ECD" w:rsidRDefault="009658CD" w:rsidP="00F63914">
      <w:pPr>
        <w:shd w:val="clear" w:color="auto" w:fill="DBE5F1" w:themeFill="accent1" w:themeFillTint="33"/>
        <w:spacing w:after="0" w:line="240" w:lineRule="auto"/>
        <w:ind w:firstLine="720"/>
        <w:contextualSpacing/>
        <w:jc w:val="both"/>
        <w:rPr>
          <w:rFonts w:ascii="Times New Roman" w:eastAsia="Times New Roman" w:hAnsi="Times New Roman" w:cs="Times New Roman"/>
          <w:b/>
          <w:sz w:val="28"/>
          <w:szCs w:val="28"/>
          <w:lang w:eastAsia="bg-BG"/>
        </w:rPr>
      </w:pPr>
      <w:r w:rsidRPr="00880ECD">
        <w:rPr>
          <w:rFonts w:ascii="Times New Roman" w:eastAsia="Calibri" w:hAnsi="Times New Roman" w:cs="Times New Roman"/>
          <w:b/>
          <w:bCs/>
          <w:caps/>
          <w:sz w:val="28"/>
          <w:szCs w:val="28"/>
          <w:lang w:eastAsia="bg-BG"/>
        </w:rPr>
        <w:t>РАЙОННА ПРОКУРАТУРА - ВАРНА</w:t>
      </w:r>
    </w:p>
    <w:p w:rsidR="009658CD" w:rsidRPr="00880ECD" w:rsidRDefault="009658CD" w:rsidP="00F63914">
      <w:pPr>
        <w:spacing w:after="0" w:line="240" w:lineRule="auto"/>
        <w:ind w:left="567" w:right="-23"/>
        <w:contextualSpacing/>
        <w:jc w:val="both"/>
        <w:rPr>
          <w:rFonts w:ascii="Times New Roman" w:eastAsia="Times New Roman" w:hAnsi="Times New Roman" w:cs="Times New Roman"/>
          <w:sz w:val="28"/>
          <w:szCs w:val="28"/>
          <w:shd w:val="clear" w:color="auto" w:fill="FFFFFF"/>
        </w:rPr>
      </w:pP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bCs/>
          <w:sz w:val="28"/>
          <w:szCs w:val="28"/>
          <w:lang w:eastAsia="bg-BG"/>
        </w:rPr>
        <w:t>В</w:t>
      </w:r>
      <w:r w:rsidRPr="00880ECD">
        <w:rPr>
          <w:rFonts w:ascii="Times New Roman" w:eastAsia="Times New Roman" w:hAnsi="Times New Roman" w:cs="Times New Roman"/>
          <w:sz w:val="28"/>
          <w:szCs w:val="28"/>
          <w:lang w:eastAsia="bg-BG"/>
        </w:rPr>
        <w:t xml:space="preserve"> Районна прокуратура-Варна, считано от </w:t>
      </w:r>
      <w:r w:rsidRPr="00880ECD">
        <w:rPr>
          <w:rFonts w:ascii="Times New Roman" w:eastAsia="Times New Roman" w:hAnsi="Times New Roman" w:cs="Times New Roman"/>
          <w:b/>
          <w:sz w:val="28"/>
          <w:szCs w:val="28"/>
          <w:lang w:eastAsia="bg-BG"/>
        </w:rPr>
        <w:t>01.</w:t>
      </w:r>
      <w:proofErr w:type="spellStart"/>
      <w:r w:rsidRPr="00880ECD">
        <w:rPr>
          <w:rFonts w:ascii="Times New Roman" w:eastAsia="Times New Roman" w:hAnsi="Times New Roman" w:cs="Times New Roman"/>
          <w:b/>
          <w:sz w:val="28"/>
          <w:szCs w:val="28"/>
          <w:lang w:eastAsia="bg-BG"/>
        </w:rPr>
        <w:t>01</w:t>
      </w:r>
      <w:proofErr w:type="spellEnd"/>
      <w:r w:rsidRPr="00880ECD">
        <w:rPr>
          <w:rFonts w:ascii="Times New Roman" w:eastAsia="Times New Roman" w:hAnsi="Times New Roman" w:cs="Times New Roman"/>
          <w:b/>
          <w:sz w:val="28"/>
          <w:szCs w:val="28"/>
          <w:lang w:eastAsia="bg-BG"/>
        </w:rPr>
        <w:t>.2021 г.</w:t>
      </w:r>
      <w:r w:rsidRPr="00880ECD">
        <w:rPr>
          <w:rFonts w:ascii="Times New Roman" w:eastAsia="Times New Roman" w:hAnsi="Times New Roman" w:cs="Times New Roman"/>
          <w:sz w:val="28"/>
          <w:szCs w:val="28"/>
          <w:lang w:eastAsia="bg-BG"/>
        </w:rPr>
        <w:t xml:space="preserve"> щатната численост за прокурори е 61 щ. бр., </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В началото на отчетния период заетите по щат длъжности за магистрати са  57 бр., а свободните длъжности -  4 щатни бр.</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Към </w:t>
      </w:r>
      <w:r w:rsidRPr="00880ECD">
        <w:rPr>
          <w:rFonts w:ascii="Times New Roman" w:eastAsia="Times New Roman" w:hAnsi="Times New Roman" w:cs="Times New Roman"/>
          <w:b/>
          <w:sz w:val="28"/>
          <w:szCs w:val="28"/>
          <w:lang w:eastAsia="bg-BG"/>
        </w:rPr>
        <w:t>31.12.2021 г.</w:t>
      </w:r>
      <w:r w:rsidRPr="00880ECD">
        <w:rPr>
          <w:rFonts w:ascii="Times New Roman" w:eastAsia="Times New Roman" w:hAnsi="Times New Roman" w:cs="Times New Roman"/>
          <w:sz w:val="28"/>
          <w:szCs w:val="28"/>
          <w:lang w:eastAsia="bg-BG"/>
        </w:rPr>
        <w:t xml:space="preserve"> щатната численост за прокурори в Районна прокуратура – Варна е, както следва: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b/>
          <w:i/>
          <w:sz w:val="28"/>
          <w:szCs w:val="28"/>
          <w:lang w:eastAsia="bg-BG"/>
        </w:rPr>
      </w:pPr>
      <w:r w:rsidRPr="00880ECD">
        <w:rPr>
          <w:rFonts w:ascii="Times New Roman" w:eastAsia="Times New Roman" w:hAnsi="Times New Roman" w:cs="Times New Roman"/>
          <w:b/>
          <w:i/>
          <w:sz w:val="28"/>
          <w:szCs w:val="28"/>
          <w:lang w:eastAsia="bg-BG"/>
        </w:rPr>
        <w:t xml:space="preserve">Командировани от РП-Варна в други прокуратури през 2021 година: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rPr>
      </w:pPr>
      <w:r w:rsidRPr="00880ECD">
        <w:rPr>
          <w:rFonts w:ascii="Times New Roman" w:eastAsia="Times New Roman" w:hAnsi="Times New Roman" w:cs="Times New Roman"/>
          <w:sz w:val="28"/>
          <w:szCs w:val="28"/>
          <w:lang w:eastAsia="bg-BG"/>
        </w:rPr>
        <w:t>Трима прокурори от РП са командировани  в ОП- Варна,м</w:t>
      </w:r>
      <w:r w:rsidRPr="00880ECD">
        <w:rPr>
          <w:rFonts w:ascii="Times New Roman" w:eastAsia="Times New Roman" w:hAnsi="Times New Roman" w:cs="Times New Roman"/>
          <w:sz w:val="28"/>
          <w:szCs w:val="28"/>
        </w:rPr>
        <w:t>ладши прокурор е бил командирован в Софийска районна прокуратура, а двама прокурори са командировани в РП- Пловдив и РП- Пазарджик</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rPr>
      </w:pPr>
    </w:p>
    <w:p w:rsidR="009658CD" w:rsidRPr="00880ECD" w:rsidRDefault="009658CD" w:rsidP="00F63914">
      <w:pPr>
        <w:spacing w:after="0" w:line="240" w:lineRule="auto"/>
        <w:ind w:firstLine="708"/>
        <w:contextualSpacing/>
        <w:jc w:val="both"/>
        <w:rPr>
          <w:rFonts w:ascii="Times New Roman" w:eastAsia="Times New Roman" w:hAnsi="Times New Roman" w:cs="Times New Roman"/>
          <w:b/>
          <w:i/>
          <w:sz w:val="28"/>
          <w:szCs w:val="28"/>
          <w:lang w:eastAsia="bg-BG"/>
        </w:rPr>
      </w:pPr>
      <w:r w:rsidRPr="00880ECD">
        <w:rPr>
          <w:rFonts w:ascii="Times New Roman" w:eastAsia="Times New Roman" w:hAnsi="Times New Roman" w:cs="Times New Roman"/>
          <w:b/>
          <w:i/>
          <w:sz w:val="28"/>
          <w:szCs w:val="28"/>
          <w:lang w:eastAsia="bg-BG"/>
        </w:rPr>
        <w:t xml:space="preserve">Командировани от други прокуратури в РП-Варна през 2021 година: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През 2021 г., командировани прокурори за времето до заемане на свободния щат, са двама прокурори- от РП- Добрич и РП- Бургас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Към </w:t>
      </w:r>
      <w:r w:rsidRPr="00880ECD">
        <w:rPr>
          <w:rFonts w:ascii="Times New Roman" w:eastAsia="Times New Roman" w:hAnsi="Times New Roman" w:cs="Times New Roman"/>
          <w:b/>
          <w:sz w:val="28"/>
          <w:szCs w:val="28"/>
          <w:lang w:eastAsia="bg-BG"/>
        </w:rPr>
        <w:t>01.</w:t>
      </w:r>
      <w:proofErr w:type="spellStart"/>
      <w:r w:rsidRPr="00880ECD">
        <w:rPr>
          <w:rFonts w:ascii="Times New Roman" w:eastAsia="Times New Roman" w:hAnsi="Times New Roman" w:cs="Times New Roman"/>
          <w:b/>
          <w:sz w:val="28"/>
          <w:szCs w:val="28"/>
          <w:lang w:eastAsia="bg-BG"/>
        </w:rPr>
        <w:t>01</w:t>
      </w:r>
      <w:proofErr w:type="spellEnd"/>
      <w:r w:rsidRPr="00880ECD">
        <w:rPr>
          <w:rFonts w:ascii="Times New Roman" w:eastAsia="Times New Roman" w:hAnsi="Times New Roman" w:cs="Times New Roman"/>
          <w:b/>
          <w:sz w:val="28"/>
          <w:szCs w:val="28"/>
          <w:lang w:eastAsia="bg-BG"/>
        </w:rPr>
        <w:t>.2021 г.</w:t>
      </w:r>
      <w:r w:rsidRPr="00880ECD">
        <w:rPr>
          <w:rFonts w:ascii="Times New Roman" w:eastAsia="Times New Roman" w:hAnsi="Times New Roman" w:cs="Times New Roman"/>
          <w:sz w:val="28"/>
          <w:szCs w:val="28"/>
          <w:lang w:eastAsia="bg-BG"/>
        </w:rPr>
        <w:t xml:space="preserve"> щатната численост на съдебната администрация при Районна прокуратура – Варна е, както следва:</w:t>
      </w:r>
    </w:p>
    <w:p w:rsidR="009658CD" w:rsidRPr="00880ECD" w:rsidRDefault="009658CD" w:rsidP="00F63914">
      <w:pPr>
        <w:numPr>
          <w:ilvl w:val="0"/>
          <w:numId w:val="8"/>
        </w:numPr>
        <w:spacing w:before="120" w:after="0" w:line="240" w:lineRule="auto"/>
        <w:ind w:left="1775" w:hanging="35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общ брой –  79,5 съдебни служители;</w:t>
      </w:r>
    </w:p>
    <w:p w:rsidR="009658CD" w:rsidRPr="00880ECD" w:rsidRDefault="009658CD" w:rsidP="00F63914">
      <w:pPr>
        <w:numPr>
          <w:ilvl w:val="0"/>
          <w:numId w:val="8"/>
        </w:numPr>
        <w:spacing w:before="120" w:after="0" w:line="240" w:lineRule="auto"/>
        <w:ind w:left="1775" w:hanging="35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заети по щат – 77,5 щатни бройки.</w:t>
      </w:r>
    </w:p>
    <w:p w:rsidR="009658CD" w:rsidRPr="00880ECD" w:rsidRDefault="009658CD" w:rsidP="00F63914">
      <w:pPr>
        <w:spacing w:before="120"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Щатната численост на съдебната администрация при Районна прокуратура–Варна към края на отчетния период – </w:t>
      </w:r>
      <w:r w:rsidRPr="00880ECD">
        <w:rPr>
          <w:rFonts w:ascii="Times New Roman" w:eastAsia="Times New Roman" w:hAnsi="Times New Roman" w:cs="Times New Roman"/>
          <w:b/>
          <w:sz w:val="28"/>
          <w:szCs w:val="28"/>
          <w:lang w:eastAsia="bg-BG"/>
        </w:rPr>
        <w:t>31.12.2021 г.</w:t>
      </w:r>
      <w:r w:rsidRPr="00880ECD">
        <w:rPr>
          <w:rFonts w:ascii="Times New Roman" w:eastAsia="Times New Roman" w:hAnsi="Times New Roman" w:cs="Times New Roman"/>
          <w:sz w:val="28"/>
          <w:szCs w:val="28"/>
          <w:lang w:eastAsia="bg-BG"/>
        </w:rPr>
        <w:t xml:space="preserve"> е, както следва:</w:t>
      </w:r>
    </w:p>
    <w:p w:rsidR="009658CD" w:rsidRPr="00880ECD" w:rsidRDefault="009658CD" w:rsidP="00F63914">
      <w:pPr>
        <w:numPr>
          <w:ilvl w:val="0"/>
          <w:numId w:val="8"/>
        </w:numPr>
        <w:spacing w:before="120" w:after="0" w:line="240" w:lineRule="auto"/>
        <w:ind w:left="1775" w:hanging="35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общ брой –  81,5 съдебни служители;</w:t>
      </w:r>
    </w:p>
    <w:p w:rsidR="009658CD" w:rsidRPr="00880ECD" w:rsidRDefault="009658CD" w:rsidP="00F63914">
      <w:pPr>
        <w:numPr>
          <w:ilvl w:val="0"/>
          <w:numId w:val="8"/>
        </w:numPr>
        <w:spacing w:before="120" w:after="0" w:line="240" w:lineRule="auto"/>
        <w:ind w:left="1775" w:hanging="357"/>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заети по щат – 80,5 щатни бройки.</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rPr>
      </w:pPr>
      <w:r w:rsidRPr="00880ECD">
        <w:rPr>
          <w:rFonts w:ascii="Times New Roman" w:eastAsia="Times New Roman" w:hAnsi="Times New Roman" w:cs="Times New Roman"/>
          <w:sz w:val="28"/>
          <w:szCs w:val="28"/>
        </w:rPr>
        <w:lastRenderedPageBreak/>
        <w:t>Организацията и дейността на администрацията на Районна прокуратура-Варна е съобразена със Закона за съдебната власт, Правилника за администрацията на прокуратурата на Република България, инструкциите, заповедите, указанията</w:t>
      </w:r>
    </w:p>
    <w:p w:rsidR="009658CD" w:rsidRPr="00880ECD" w:rsidRDefault="009658CD" w:rsidP="00F63914">
      <w:pPr>
        <w:spacing w:before="120" w:after="0" w:line="240" w:lineRule="auto"/>
        <w:contextualSpacing/>
        <w:jc w:val="both"/>
        <w:rPr>
          <w:rFonts w:ascii="Times New Roman" w:eastAsia="Times New Roman" w:hAnsi="Times New Roman" w:cs="Times New Roman"/>
          <w:b/>
          <w:sz w:val="28"/>
          <w:szCs w:val="28"/>
          <w:lang w:eastAsia="bg-BG"/>
        </w:rPr>
      </w:pPr>
      <w:r w:rsidRPr="00880ECD">
        <w:rPr>
          <w:rFonts w:ascii="Times New Roman" w:eastAsia="Calibri" w:hAnsi="Times New Roman" w:cs="Times New Roman"/>
          <w:sz w:val="28"/>
          <w:szCs w:val="28"/>
          <w:lang w:eastAsia="bg-BG"/>
        </w:rPr>
        <w:tab/>
        <w:t xml:space="preserve"> </w:t>
      </w:r>
      <w:r w:rsidRPr="00880ECD">
        <w:rPr>
          <w:rFonts w:ascii="Times New Roman" w:eastAsia="Calibri" w:hAnsi="Times New Roman" w:cs="Times New Roman"/>
          <w:sz w:val="28"/>
          <w:szCs w:val="28"/>
          <w:lang w:eastAsia="bg-BG"/>
        </w:rPr>
        <w:tab/>
      </w:r>
      <w:r w:rsidRPr="00880ECD">
        <w:rPr>
          <w:rFonts w:ascii="Times New Roman" w:eastAsia="Times New Roman" w:hAnsi="Times New Roman" w:cs="Times New Roman"/>
          <w:b/>
          <w:sz w:val="28"/>
          <w:szCs w:val="28"/>
          <w:lang w:eastAsia="bg-BG"/>
        </w:rPr>
        <w:t>Гореизложените данни, водят до следните изводи:</w:t>
      </w:r>
    </w:p>
    <w:p w:rsidR="009658CD" w:rsidRPr="00880ECD" w:rsidRDefault="009658CD" w:rsidP="00F63914">
      <w:pPr>
        <w:numPr>
          <w:ilvl w:val="0"/>
          <w:numId w:val="9"/>
        </w:numPr>
        <w:spacing w:before="120" w:after="12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при кадровото обезпечаване на Районна прокуратура–Варна се наблюдава трайна тенденция за запазване на незаетите реално места за прокурори, които са средно между 4-5 бройки годишно или 6-8%. </w:t>
      </w:r>
    </w:p>
    <w:p w:rsidR="009658CD" w:rsidRPr="00880ECD" w:rsidRDefault="009658CD" w:rsidP="00F63914">
      <w:pPr>
        <w:numPr>
          <w:ilvl w:val="0"/>
          <w:numId w:val="9"/>
        </w:numPr>
        <w:spacing w:before="120" w:after="12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щатът на прокуратурата е достатъчен за пълноценното осъществяване на законовите й правомощия при евентуална заетост;</w:t>
      </w:r>
    </w:p>
    <w:p w:rsidR="009658CD" w:rsidRPr="00880ECD" w:rsidRDefault="009658CD" w:rsidP="00F63914">
      <w:pPr>
        <w:numPr>
          <w:ilvl w:val="0"/>
          <w:numId w:val="9"/>
        </w:numPr>
        <w:spacing w:before="120" w:after="12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създаден е механизъм за контрол на актуалното кадрово състояние на прокуратурата чрез ежемесечна проверка на действащ и незает щат;</w:t>
      </w:r>
    </w:p>
    <w:p w:rsidR="009658CD" w:rsidRPr="00880ECD" w:rsidRDefault="009658CD" w:rsidP="00F63914">
      <w:pPr>
        <w:numPr>
          <w:ilvl w:val="0"/>
          <w:numId w:val="9"/>
        </w:numPr>
        <w:spacing w:before="120" w:after="12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смятаме, че следва да се обмисли възможността за трансформиране на щатове за младши прокурори в такива за прокурори при запазване на общия брой магистрати, с оглед трайното обезпечаване на Районна прокуратура- Варна.</w:t>
      </w:r>
    </w:p>
    <w:p w:rsidR="009658CD" w:rsidRPr="00880ECD" w:rsidRDefault="009658CD" w:rsidP="00F63914">
      <w:pPr>
        <w:numPr>
          <w:ilvl w:val="0"/>
          <w:numId w:val="9"/>
        </w:numPr>
        <w:spacing w:before="120" w:after="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кадровото обезпечаване при разследващите остава без промяна -   Окръжният следствен отдел при Окръжна прокуратура – Варна е обезпечен кадрово, но щатът на разследващите полицаи в отдел „</w:t>
      </w:r>
      <w:r w:rsidRPr="00880ECD">
        <w:rPr>
          <w:rFonts w:ascii="Times New Roman" w:eastAsia="Calibri" w:hAnsi="Times New Roman" w:cs="Times New Roman"/>
          <w:sz w:val="28"/>
          <w:szCs w:val="28"/>
        </w:rPr>
        <w:t>Досъдебно производство” при ОД на МВР–Варна е  недостатъчен;</w:t>
      </w:r>
    </w:p>
    <w:p w:rsidR="009658CD" w:rsidRPr="00880ECD" w:rsidRDefault="009658CD" w:rsidP="00F63914">
      <w:pPr>
        <w:numPr>
          <w:ilvl w:val="0"/>
          <w:numId w:val="9"/>
        </w:numPr>
        <w:spacing w:before="120" w:after="0" w:line="240" w:lineRule="auto"/>
        <w:ind w:right="-23" w:firstLine="709"/>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shd w:val="clear" w:color="auto" w:fill="FFFFFF"/>
        </w:rPr>
        <w:t>щатът на съдебната администрация на РП-Варна е не</w:t>
      </w:r>
      <w:r w:rsidRPr="00880ECD">
        <w:rPr>
          <w:rFonts w:ascii="Times New Roman" w:eastAsia="Times New Roman" w:hAnsi="Times New Roman" w:cs="Times New Roman"/>
          <w:sz w:val="28"/>
          <w:szCs w:val="28"/>
          <w:lang w:eastAsia="bg-BG"/>
        </w:rPr>
        <w:t xml:space="preserve">достатъчен за ефективно осъществяване на нарасналите й отговорности.  </w:t>
      </w:r>
    </w:p>
    <w:p w:rsidR="009658CD" w:rsidRPr="00880ECD" w:rsidRDefault="009658CD" w:rsidP="00F63914">
      <w:pPr>
        <w:spacing w:after="0" w:line="240" w:lineRule="auto"/>
        <w:ind w:left="567" w:right="-23" w:firstLine="709"/>
        <w:contextualSpacing/>
        <w:jc w:val="both"/>
        <w:rPr>
          <w:rFonts w:ascii="Times New Roman" w:eastAsia="Times New Roman" w:hAnsi="Times New Roman" w:cs="Times New Roman"/>
          <w:sz w:val="28"/>
          <w:szCs w:val="28"/>
          <w:shd w:val="clear" w:color="auto" w:fill="FFFFFF"/>
        </w:rPr>
      </w:pPr>
      <w:r w:rsidRPr="00880ECD">
        <w:rPr>
          <w:rFonts w:ascii="Times New Roman" w:eastAsia="Times New Roman" w:hAnsi="Times New Roman" w:cs="Times New Roman"/>
          <w:sz w:val="28"/>
          <w:szCs w:val="28"/>
          <w:shd w:val="clear" w:color="auto" w:fill="FFFFFF"/>
        </w:rPr>
        <w:t xml:space="preserve"> </w:t>
      </w:r>
    </w:p>
    <w:p w:rsidR="009658CD" w:rsidRPr="00880ECD" w:rsidRDefault="009658CD" w:rsidP="00F63914">
      <w:pPr>
        <w:numPr>
          <w:ilvl w:val="0"/>
          <w:numId w:val="10"/>
        </w:numPr>
        <w:spacing w:after="0" w:line="240" w:lineRule="auto"/>
        <w:ind w:right="-23"/>
        <w:contextualSpacing/>
        <w:jc w:val="both"/>
        <w:rPr>
          <w:rFonts w:ascii="Times New Roman" w:eastAsia="Times New Roman" w:hAnsi="Times New Roman" w:cs="Times New Roman"/>
          <w:b/>
          <w:sz w:val="28"/>
          <w:szCs w:val="28"/>
          <w:shd w:val="clear" w:color="auto" w:fill="FFFFFF"/>
        </w:rPr>
      </w:pPr>
      <w:r w:rsidRPr="00880ECD">
        <w:rPr>
          <w:rFonts w:ascii="Times New Roman" w:eastAsia="Times New Roman" w:hAnsi="Times New Roman" w:cs="Times New Roman"/>
          <w:b/>
          <w:sz w:val="28"/>
          <w:szCs w:val="28"/>
          <w:shd w:val="clear" w:color="auto" w:fill="FFFFFF"/>
        </w:rPr>
        <w:t>Професионална квалификация и обучение</w:t>
      </w:r>
    </w:p>
    <w:p w:rsidR="009658CD" w:rsidRPr="00880ECD" w:rsidRDefault="009658CD" w:rsidP="00F63914">
      <w:pPr>
        <w:spacing w:after="0" w:line="240" w:lineRule="auto"/>
        <w:ind w:left="567" w:right="-23"/>
        <w:contextualSpacing/>
        <w:jc w:val="both"/>
        <w:rPr>
          <w:rFonts w:ascii="Times New Roman" w:eastAsia="Times New Roman" w:hAnsi="Times New Roman" w:cs="Times New Roman"/>
          <w:b/>
          <w:sz w:val="28"/>
          <w:szCs w:val="28"/>
          <w:lang w:eastAsia="bg-BG"/>
        </w:rPr>
      </w:pP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bookmarkStart w:id="19" w:name="_Toc346708856"/>
      <w:r w:rsidRPr="00880ECD">
        <w:rPr>
          <w:rFonts w:ascii="Times New Roman" w:eastAsia="Times New Roman" w:hAnsi="Times New Roman" w:cs="Times New Roman"/>
          <w:sz w:val="28"/>
          <w:szCs w:val="28"/>
          <w:lang w:eastAsia="bg-BG"/>
        </w:rPr>
        <w:t>За повишаване на квалификацията и професионалните умения в присъствени и дистанционни електронни обучения, участие са взели от ОП- Варна общо 10 магистрати в 6 обучения. Един магистрат е взел участие в обучение в чужбина. Служителите от ОП –Варна са взели участия в 9 обучения  - 12 служители.</w:t>
      </w:r>
    </w:p>
    <w:p w:rsidR="009658CD" w:rsidRPr="00880ECD" w:rsidRDefault="009658CD" w:rsidP="00F63914">
      <w:pPr>
        <w:spacing w:after="0" w:line="240" w:lineRule="auto"/>
        <w:ind w:firstLine="708"/>
        <w:contextualSpacing/>
        <w:jc w:val="both"/>
        <w:rPr>
          <w:rFonts w:ascii="Times New Roman" w:eastAsia="Times New Roman" w:hAnsi="Times New Roman" w:cs="Times New Roman"/>
          <w:b/>
          <w:sz w:val="28"/>
          <w:szCs w:val="28"/>
          <w:lang w:eastAsia="bg-BG"/>
        </w:rPr>
      </w:pPr>
    </w:p>
    <w:p w:rsidR="009658CD" w:rsidRPr="00880ECD" w:rsidRDefault="009658CD" w:rsidP="00F63914">
      <w:pPr>
        <w:spacing w:after="0" w:line="240" w:lineRule="auto"/>
        <w:ind w:firstLine="708"/>
        <w:contextualSpacing/>
        <w:jc w:val="both"/>
        <w:rPr>
          <w:rFonts w:ascii="Times New Roman" w:eastAsia="Times New Roman" w:hAnsi="Times New Roman" w:cs="Times New Roman"/>
          <w:b/>
          <w:sz w:val="28"/>
          <w:szCs w:val="28"/>
          <w:lang w:eastAsia="bg-BG"/>
        </w:rPr>
      </w:pPr>
      <w:r w:rsidRPr="00880ECD">
        <w:rPr>
          <w:rFonts w:ascii="Times New Roman" w:eastAsia="Times New Roman" w:hAnsi="Times New Roman" w:cs="Times New Roman"/>
          <w:b/>
          <w:sz w:val="28"/>
          <w:szCs w:val="28"/>
          <w:lang w:eastAsia="bg-BG"/>
        </w:rPr>
        <w:t>РАЙОННА ПРОКУРАТУРА – ВАРНА</w:t>
      </w:r>
    </w:p>
    <w:p w:rsidR="009658CD" w:rsidRPr="00880ECD" w:rsidRDefault="009658CD" w:rsidP="00F63914">
      <w:pPr>
        <w:spacing w:after="0" w:line="240" w:lineRule="auto"/>
        <w:ind w:firstLine="709"/>
        <w:contextualSpacing/>
        <w:jc w:val="both"/>
        <w:rPr>
          <w:rFonts w:ascii="Times New Roman" w:eastAsia="Times New Roman" w:hAnsi="Times New Roman" w:cs="Times New Roman"/>
          <w:b/>
          <w:sz w:val="28"/>
          <w:szCs w:val="28"/>
          <w:lang w:eastAsia="bg-BG"/>
        </w:rPr>
      </w:pP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В електронни дистанционни обучения през годината са взели участие 22-ма прокурори.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В различни форми на обучение, проведени през 2021 г. от различни организатори, участие са взели 28 магистрати.   </w:t>
      </w:r>
    </w:p>
    <w:p w:rsidR="009658CD" w:rsidRPr="00880ECD" w:rsidRDefault="009658CD" w:rsidP="00F63914">
      <w:pPr>
        <w:spacing w:after="0" w:line="240" w:lineRule="auto"/>
        <w:ind w:firstLine="705"/>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През отчетния период в семинар, организиран присъствено от НИП-София и ПРБ са взели участие 4-ма служители от общата и специализирана администрация. В електронни дистанционни обучения са взели участие 8 служители от общата и  специализираната администрация на РП-Варна.</w:t>
      </w:r>
    </w:p>
    <w:p w:rsidR="009658CD" w:rsidRPr="00880ECD" w:rsidRDefault="009658CD" w:rsidP="00F63914">
      <w:pPr>
        <w:spacing w:after="0" w:line="240" w:lineRule="auto"/>
        <w:ind w:firstLine="567"/>
        <w:contextualSpacing/>
        <w:jc w:val="both"/>
        <w:rPr>
          <w:rFonts w:ascii="Times New Roman" w:eastAsia="Times New Roman" w:hAnsi="Times New Roman" w:cs="Times New Roman"/>
          <w:sz w:val="28"/>
          <w:szCs w:val="28"/>
          <w:lang w:eastAsia="bg-BG"/>
        </w:rPr>
      </w:pPr>
    </w:p>
    <w:bookmarkEnd w:id="19"/>
    <w:p w:rsidR="009658CD" w:rsidRPr="00880ECD" w:rsidRDefault="009658CD" w:rsidP="00F63914">
      <w:pPr>
        <w:numPr>
          <w:ilvl w:val="0"/>
          <w:numId w:val="10"/>
        </w:numPr>
        <w:spacing w:after="0" w:line="240" w:lineRule="auto"/>
        <w:contextualSpacing/>
        <w:jc w:val="both"/>
        <w:rPr>
          <w:rFonts w:ascii="Times New Roman" w:hAnsi="Times New Roman" w:cs="Times New Roman"/>
          <w:b/>
          <w:sz w:val="28"/>
          <w:szCs w:val="28"/>
        </w:rPr>
      </w:pPr>
      <w:r w:rsidRPr="00880ECD">
        <w:rPr>
          <w:rFonts w:ascii="Times New Roman" w:hAnsi="Times New Roman" w:cs="Times New Roman"/>
          <w:b/>
          <w:sz w:val="28"/>
          <w:szCs w:val="28"/>
        </w:rPr>
        <w:lastRenderedPageBreak/>
        <w:t>Проверки и ревизии</w:t>
      </w:r>
    </w:p>
    <w:p w:rsidR="009658CD" w:rsidRPr="00880ECD" w:rsidRDefault="009658CD" w:rsidP="00F63914">
      <w:pPr>
        <w:spacing w:after="0" w:line="240" w:lineRule="auto"/>
        <w:ind w:firstLine="705"/>
        <w:contextualSpacing/>
        <w:jc w:val="both"/>
        <w:rPr>
          <w:rFonts w:ascii="Times New Roman" w:hAnsi="Times New Roman" w:cs="Times New Roman"/>
          <w:b/>
          <w:sz w:val="28"/>
          <w:szCs w:val="28"/>
        </w:rPr>
      </w:pP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r w:rsidRPr="00880ECD">
        <w:rPr>
          <w:rFonts w:ascii="Times New Roman" w:hAnsi="Times New Roman" w:cs="Times New Roman"/>
          <w:sz w:val="28"/>
          <w:szCs w:val="28"/>
        </w:rPr>
        <w:t>През 2021 г., от Инспектората към ВСС е извършена комплексна планова проверка на Окръжна прокуратура - Варна.</w:t>
      </w:r>
    </w:p>
    <w:p w:rsidR="009658CD" w:rsidRPr="00880ECD" w:rsidRDefault="009658CD" w:rsidP="00F63914">
      <w:pPr>
        <w:spacing w:after="0" w:line="240" w:lineRule="auto"/>
        <w:contextualSpacing/>
        <w:jc w:val="both"/>
        <w:rPr>
          <w:rFonts w:ascii="Times New Roman" w:hAnsi="Times New Roman" w:cs="Times New Roman"/>
          <w:sz w:val="28"/>
          <w:szCs w:val="28"/>
        </w:rPr>
      </w:pPr>
      <w:r w:rsidRPr="00880ECD">
        <w:rPr>
          <w:rFonts w:ascii="Times New Roman" w:hAnsi="Times New Roman" w:cs="Times New Roman"/>
          <w:sz w:val="28"/>
          <w:szCs w:val="28"/>
        </w:rPr>
        <w:tab/>
        <w:t>Не са установени пропуски и неизпълнение на законоустановените разпоредби, дадена е положителна оценка за дейността на Окръжна прокуратура – Варна, като трябва да се отбележи, че с оглед установеното и положителни резултати в работата на ОСлО в ОП – Варна не е необходимо да бъдат давани препоръки.</w:t>
      </w: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r w:rsidRPr="00880ECD">
        <w:rPr>
          <w:rFonts w:ascii="Times New Roman" w:hAnsi="Times New Roman" w:cs="Times New Roman"/>
          <w:sz w:val="28"/>
          <w:szCs w:val="28"/>
        </w:rPr>
        <w:t>През отчетния период са извършени тематични проверки и ревизии, в съответствие с приоритетите в дейността на прокуратурата: спазване на сроковете за извършване на проверка по реда на чл. 145 от ЗСВ, неприключени досъдебни производства и предприетите мерки за ускоряване на разследването, спрени досъдебни производства, досъдебни производства със задържани лица, върнати от съда дела и качество на прокурорските актове и др.</w:t>
      </w:r>
    </w:p>
    <w:p w:rsidR="009658CD" w:rsidRPr="00880ECD" w:rsidRDefault="009658CD" w:rsidP="00F63914">
      <w:pPr>
        <w:spacing w:after="0" w:line="240" w:lineRule="auto"/>
        <w:ind w:firstLine="705"/>
        <w:jc w:val="both"/>
        <w:rPr>
          <w:rFonts w:ascii="Times New Roman" w:hAnsi="Times New Roman" w:cs="Times New Roman"/>
          <w:sz w:val="28"/>
          <w:szCs w:val="28"/>
        </w:rPr>
      </w:pPr>
      <w:r w:rsidRPr="00880ECD">
        <w:rPr>
          <w:rFonts w:ascii="Times New Roman" w:hAnsi="Times New Roman" w:cs="Times New Roman"/>
          <w:sz w:val="28"/>
          <w:szCs w:val="28"/>
        </w:rPr>
        <w:t>Извършена е комплексна ревизия на РП- Варна и териториалните отделения към нея Констатациите и препоръките, изготвени от проверяващите прокурори, са отразени в доклад.</w:t>
      </w:r>
    </w:p>
    <w:p w:rsidR="009658CD" w:rsidRPr="00880ECD" w:rsidRDefault="009658CD" w:rsidP="00F63914">
      <w:pPr>
        <w:spacing w:after="0" w:line="240" w:lineRule="auto"/>
        <w:ind w:firstLine="705"/>
        <w:jc w:val="both"/>
        <w:rPr>
          <w:rFonts w:ascii="Times New Roman" w:hAnsi="Times New Roman" w:cs="Times New Roman"/>
          <w:sz w:val="28"/>
          <w:szCs w:val="28"/>
        </w:rPr>
      </w:pPr>
      <w:r w:rsidRPr="00880ECD">
        <w:rPr>
          <w:rFonts w:ascii="Times New Roman" w:hAnsi="Times New Roman" w:cs="Times New Roman"/>
          <w:sz w:val="28"/>
          <w:szCs w:val="28"/>
        </w:rPr>
        <w:t>През 2021 г. са извършени следните проверки:</w:t>
      </w:r>
    </w:p>
    <w:p w:rsidR="009658CD" w:rsidRPr="00880ECD" w:rsidRDefault="009658CD" w:rsidP="00F63914">
      <w:pPr>
        <w:spacing w:after="0" w:line="240" w:lineRule="auto"/>
        <w:ind w:firstLine="705"/>
        <w:jc w:val="both"/>
        <w:rPr>
          <w:rFonts w:ascii="Times New Roman" w:hAnsi="Times New Roman" w:cs="Times New Roman"/>
          <w:sz w:val="28"/>
          <w:szCs w:val="28"/>
        </w:rPr>
      </w:pPr>
    </w:p>
    <w:tbl>
      <w:tblPr>
        <w:tblW w:w="9796" w:type="dxa"/>
        <w:tblLayout w:type="fixed"/>
        <w:tblCellMar>
          <w:left w:w="70" w:type="dxa"/>
          <w:right w:w="70" w:type="dxa"/>
        </w:tblCellMar>
        <w:tblLook w:val="04A0" w:firstRow="1" w:lastRow="0" w:firstColumn="1" w:lastColumn="0" w:noHBand="0" w:noVBand="1"/>
      </w:tblPr>
      <w:tblGrid>
        <w:gridCol w:w="724"/>
        <w:gridCol w:w="9072"/>
      </w:tblGrid>
      <w:tr w:rsidR="009658CD" w:rsidRPr="00880ECD" w:rsidTr="009658CD">
        <w:trPr>
          <w:trHeight w:val="67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
                <w:bCs/>
                <w:sz w:val="28"/>
                <w:szCs w:val="28"/>
                <w:lang w:eastAsia="bg-BG"/>
              </w:rPr>
            </w:pPr>
            <w:r w:rsidRPr="00880ECD">
              <w:rPr>
                <w:rFonts w:ascii="Times New Roman" w:eastAsia="Times New Roman" w:hAnsi="Times New Roman" w:cs="Times New Roman"/>
                <w:b/>
                <w:bCs/>
                <w:sz w:val="28"/>
                <w:szCs w:val="28"/>
                <w:lang w:eastAsia="bg-BG"/>
              </w:rPr>
              <w:t>№ по ред</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8"/>
                <w:szCs w:val="28"/>
                <w:lang w:eastAsia="bg-BG"/>
              </w:rPr>
            </w:pPr>
            <w:r w:rsidRPr="00880ECD">
              <w:rPr>
                <w:rFonts w:ascii="Times New Roman" w:eastAsia="Times New Roman" w:hAnsi="Times New Roman" w:cs="Times New Roman"/>
                <w:b/>
                <w:bCs/>
                <w:sz w:val="28"/>
                <w:szCs w:val="28"/>
                <w:lang w:eastAsia="bg-BG"/>
              </w:rPr>
              <w:t>Тема на проверката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В изпълнение на планова задача № 1 от плана на надзор НИДПМ на ВОП - от графика за периодични проверки в ОС ИН сектор „Арести“ - Варна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В изпълнение на решение по точка 90 от препоръка 1.6 по протокол № 21 от заседание на Пленума на ВСС от 19.07.2018 год., на всеки 6 месеца  е осъществяван от ОП – Варна контрол за проверка на спрените дела и предприетите организационни  мерки за тяхното възобновяване при наличие на основанията по чл. 245, ал. 2 от НПК.</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3</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 В изпълнение на препоръка на ВСС –  е осъществяван контрол за спазване на сроковете за извършване на разследването и предприетите мерки, /административно-организационни и дисциплинарни /, за ускоряване на производствата с продължителност извън рамките на разумните срокове. / над 3 години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4</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Съгласно писмо №83/16.02.2021 г. на прокурор  от Върховна административна прокуратура  - извършена проверка за района на Окръжна прокуратура – Варна за установяване наличие на нарушения на процедурата и практиката при изследване на водачи на МПС за употреба на алкохол и наркотични вещества.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5</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Съгласно  писмо №100/19.02.2021 г. на прокурор  от Върховна административна прокуратура – проверка на обекти с потенциално опасни захранвания с електричество и данни  за случаи на незаконосъобразно поставени </w:t>
            </w:r>
            <w:proofErr w:type="spellStart"/>
            <w:r w:rsidRPr="00880ECD">
              <w:rPr>
                <w:rFonts w:ascii="Times New Roman" w:eastAsia="Times New Roman" w:hAnsi="Times New Roman" w:cs="Times New Roman"/>
                <w:bCs/>
                <w:sz w:val="28"/>
                <w:szCs w:val="28"/>
                <w:lang w:eastAsia="bg-BG"/>
              </w:rPr>
              <w:t>преместваеми</w:t>
            </w:r>
            <w:proofErr w:type="spellEnd"/>
            <w:r w:rsidRPr="00880ECD">
              <w:rPr>
                <w:rFonts w:ascii="Times New Roman" w:eastAsia="Times New Roman" w:hAnsi="Times New Roman" w:cs="Times New Roman"/>
                <w:bCs/>
                <w:sz w:val="28"/>
                <w:szCs w:val="28"/>
                <w:lang w:eastAsia="bg-BG"/>
              </w:rPr>
              <w:t xml:space="preserve"> обекти.</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lastRenderedPageBreak/>
              <w:t>6</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С оглед изпълнението на планова задача № 5 от плана на АП – Варна – надзор „Специализиран“ за 2021 г. е извършена проверка на прекратените и спрените в ОП – Варна ДП, по които актовете са влезли в сила /нереализиран съдебен контрол/ и не са били служебно проверени от АП – Варна.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7</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В изпълнение на планова задача по точка 1 от плана на АП - Варна е осъществен служебен контрол и извършен анализ за всяко </w:t>
            </w:r>
            <w:proofErr w:type="spellStart"/>
            <w:r w:rsidRPr="00880ECD">
              <w:rPr>
                <w:rFonts w:ascii="Times New Roman" w:eastAsia="Times New Roman" w:hAnsi="Times New Roman" w:cs="Times New Roman"/>
                <w:bCs/>
                <w:sz w:val="28"/>
                <w:szCs w:val="28"/>
                <w:lang w:eastAsia="bg-BG"/>
              </w:rPr>
              <w:t>тримесичие</w:t>
            </w:r>
            <w:proofErr w:type="spellEnd"/>
            <w:r w:rsidRPr="00880ECD">
              <w:rPr>
                <w:rFonts w:ascii="Times New Roman" w:eastAsia="Times New Roman" w:hAnsi="Times New Roman" w:cs="Times New Roman"/>
                <w:bCs/>
                <w:sz w:val="28"/>
                <w:szCs w:val="28"/>
                <w:lang w:eastAsia="bg-BG"/>
              </w:rPr>
              <w:t xml:space="preserve"> на 2021 на прекратените и спрените ДП, водени за корупционни престъпления в РП - Варна. Причини за прекратяването и спирането на </w:t>
            </w:r>
            <w:proofErr w:type="spellStart"/>
            <w:r w:rsidRPr="00880ECD">
              <w:rPr>
                <w:rFonts w:ascii="Times New Roman" w:eastAsia="Times New Roman" w:hAnsi="Times New Roman" w:cs="Times New Roman"/>
                <w:bCs/>
                <w:sz w:val="28"/>
                <w:szCs w:val="28"/>
                <w:lang w:eastAsia="bg-BG"/>
              </w:rPr>
              <w:t>досъдбните</w:t>
            </w:r>
            <w:proofErr w:type="spellEnd"/>
            <w:r w:rsidRPr="00880ECD">
              <w:rPr>
                <w:rFonts w:ascii="Times New Roman" w:eastAsia="Times New Roman" w:hAnsi="Times New Roman" w:cs="Times New Roman"/>
                <w:bCs/>
                <w:sz w:val="28"/>
                <w:szCs w:val="28"/>
                <w:lang w:eastAsia="bg-BG"/>
              </w:rPr>
              <w:t xml:space="preserve"> производства, водени за посочената категория престъпления.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8</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Извършван е служебен контрол и анализ за всяко тримесечие на 2020 г. на прокурорските актове, с които е отказано образуването на наказателно производство за деяния, квалифицирани като корупционни престъпления, по преписки, наблюдавани от РП - Варна, по отношение на които не е бил осъществен </w:t>
            </w:r>
            <w:proofErr w:type="spellStart"/>
            <w:r w:rsidRPr="00880ECD">
              <w:rPr>
                <w:rFonts w:ascii="Times New Roman" w:eastAsia="Times New Roman" w:hAnsi="Times New Roman" w:cs="Times New Roman"/>
                <w:bCs/>
                <w:sz w:val="28"/>
                <w:szCs w:val="28"/>
                <w:lang w:eastAsia="bg-BG"/>
              </w:rPr>
              <w:t>инстанционен</w:t>
            </w:r>
            <w:proofErr w:type="spellEnd"/>
            <w:r w:rsidRPr="00880ECD">
              <w:rPr>
                <w:rFonts w:ascii="Times New Roman" w:eastAsia="Times New Roman" w:hAnsi="Times New Roman" w:cs="Times New Roman"/>
                <w:bCs/>
                <w:sz w:val="28"/>
                <w:szCs w:val="28"/>
                <w:lang w:eastAsia="bg-BG"/>
              </w:rPr>
              <w:t xml:space="preserve"> и служебен контрол.</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9</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Извършван е служебен контрол и анализ за всяко тримесечие на 2021 г. на прекратените от РП - Варна досъдебни производства на основание чл.9, ал.2 от НК, водени за престъпления по чл.354а, ал.3 от НК, по чл.354а, ал.5 от НК и по чл.354в от НК.</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10</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В изпълнение на планова задача по т.3 от плана на АП - Варна е извършена тематична ревизия на спрените и прекратените през 2020г. и първото </w:t>
            </w:r>
            <w:proofErr w:type="spellStart"/>
            <w:r w:rsidRPr="00880ECD">
              <w:rPr>
                <w:rFonts w:ascii="Times New Roman" w:eastAsia="Times New Roman" w:hAnsi="Times New Roman" w:cs="Times New Roman"/>
                <w:bCs/>
                <w:sz w:val="28"/>
                <w:szCs w:val="28"/>
                <w:lang w:eastAsia="bg-BG"/>
              </w:rPr>
              <w:t>деветмесечие</w:t>
            </w:r>
            <w:proofErr w:type="spellEnd"/>
            <w:r w:rsidRPr="00880ECD">
              <w:rPr>
                <w:rFonts w:ascii="Times New Roman" w:eastAsia="Times New Roman" w:hAnsi="Times New Roman" w:cs="Times New Roman"/>
                <w:bCs/>
                <w:sz w:val="28"/>
                <w:szCs w:val="28"/>
                <w:lang w:eastAsia="bg-BG"/>
              </w:rPr>
              <w:t xml:space="preserve"> на 2021 г. в РП - Варна досъдебни производства, водени за престъпления по чл.159а - 159в от НК.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11</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проверка и е изготвен анализ на причините, довели до  неуважаване през 2020 година  на изготвените от прокурорите от Районна прокуратура - Варна и териториалните отделения към нея въззивни протести срещу оправдателни съдебни актове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12</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За всяко шестмесечие на 2021 година прокурорите в надзор НСН от Окръжна прокуратура - Варна, са извършили проверка и са изготвили анализ  на причините довели до постановяване на  влезли в сила  оправдателни присъди</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13</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Прокурорите в надзор "НСН" в Окръжна прокуратура -Варна, са извършили проверка и са изготвили анализ за върнатите от съда дела за първото и второто полугодие на 2021 г.</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15</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За всяко шестмесечие  на 2021г. Прокурорите в надзор "НСН" в Окръжна прокуратура - Варна, са извършили проверка и са изготвили анализ на постановените съдебни актове за прекратяване на наказателно производство.</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16</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Съгласно утвърдения план за дейността на НИНДПМ в Окръжна прокуратура - Варна, е извършена проверка на дейността на всички </w:t>
            </w:r>
            <w:proofErr w:type="spellStart"/>
            <w:r w:rsidRPr="00880ECD">
              <w:rPr>
                <w:rFonts w:ascii="Times New Roman" w:eastAsia="Times New Roman" w:hAnsi="Times New Roman" w:cs="Times New Roman"/>
                <w:bCs/>
                <w:sz w:val="28"/>
                <w:szCs w:val="28"/>
                <w:lang w:eastAsia="bg-BG"/>
              </w:rPr>
              <w:t>пробационни</w:t>
            </w:r>
            <w:proofErr w:type="spellEnd"/>
            <w:r w:rsidRPr="00880ECD">
              <w:rPr>
                <w:rFonts w:ascii="Times New Roman" w:eastAsia="Times New Roman" w:hAnsi="Times New Roman" w:cs="Times New Roman"/>
                <w:bCs/>
                <w:sz w:val="28"/>
                <w:szCs w:val="28"/>
                <w:lang w:eastAsia="bg-BG"/>
              </w:rPr>
              <w:t xml:space="preserve"> звена към ОС „Изпълнение на наказанията“ - Варна относно начина на изпълнение и контрол по изпълнението на мярката за </w:t>
            </w:r>
            <w:proofErr w:type="spellStart"/>
            <w:r w:rsidRPr="00880ECD">
              <w:rPr>
                <w:rFonts w:ascii="Times New Roman" w:eastAsia="Times New Roman" w:hAnsi="Times New Roman" w:cs="Times New Roman"/>
                <w:bCs/>
                <w:sz w:val="28"/>
                <w:szCs w:val="28"/>
                <w:lang w:eastAsia="bg-BG"/>
              </w:rPr>
              <w:t>пробационен</w:t>
            </w:r>
            <w:proofErr w:type="spellEnd"/>
            <w:r w:rsidRPr="00880ECD">
              <w:rPr>
                <w:rFonts w:ascii="Times New Roman" w:eastAsia="Times New Roman" w:hAnsi="Times New Roman" w:cs="Times New Roman"/>
                <w:bCs/>
                <w:sz w:val="28"/>
                <w:szCs w:val="28"/>
                <w:lang w:eastAsia="bg-BG"/>
              </w:rPr>
              <w:t xml:space="preserve"> надзор по чл. 42б ал. 4 пр. 1 от НК вр. чл. 215 - чл. 218 от ЗИНЗС за периода 01.</w:t>
            </w:r>
            <w:proofErr w:type="spellStart"/>
            <w:r w:rsidRPr="00880ECD">
              <w:rPr>
                <w:rFonts w:ascii="Times New Roman" w:eastAsia="Times New Roman" w:hAnsi="Times New Roman" w:cs="Times New Roman"/>
                <w:bCs/>
                <w:sz w:val="28"/>
                <w:szCs w:val="28"/>
                <w:lang w:eastAsia="bg-BG"/>
              </w:rPr>
              <w:t>01</w:t>
            </w:r>
            <w:proofErr w:type="spellEnd"/>
            <w:r w:rsidRPr="00880ECD">
              <w:rPr>
                <w:rFonts w:ascii="Times New Roman" w:eastAsia="Times New Roman" w:hAnsi="Times New Roman" w:cs="Times New Roman"/>
                <w:bCs/>
                <w:sz w:val="28"/>
                <w:szCs w:val="28"/>
                <w:lang w:eastAsia="bg-BG"/>
              </w:rPr>
              <w:t>.2020 год. 31.12.2020 год.</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lastRenderedPageBreak/>
              <w:t>17</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Съгласно утвърдения план за дейността на НИНДПМ в Окръжна прокуратура - Варна през 2021 г. е извършена проверка на Зоната за повишена сигурност в Затвора - Варна.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18</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w:t>
            </w:r>
            <w:proofErr w:type="spellStart"/>
            <w:r w:rsidRPr="00880ECD">
              <w:rPr>
                <w:rFonts w:ascii="Times New Roman" w:eastAsia="Times New Roman" w:hAnsi="Times New Roman" w:cs="Times New Roman"/>
                <w:bCs/>
                <w:sz w:val="28"/>
                <w:szCs w:val="28"/>
                <w:lang w:eastAsia="bg-BG"/>
              </w:rPr>
              <w:t>общонадзорна</w:t>
            </w:r>
            <w:proofErr w:type="spellEnd"/>
            <w:r w:rsidRPr="00880ECD">
              <w:rPr>
                <w:rFonts w:ascii="Times New Roman" w:eastAsia="Times New Roman" w:hAnsi="Times New Roman" w:cs="Times New Roman"/>
                <w:bCs/>
                <w:sz w:val="28"/>
                <w:szCs w:val="28"/>
                <w:lang w:eastAsia="bg-BG"/>
              </w:rPr>
              <w:t xml:space="preserve"> проверка относно мерките против разпространението на КОВИД 19, предприети от общините на територията на </w:t>
            </w:r>
            <w:proofErr w:type="spellStart"/>
            <w:r w:rsidRPr="00880ECD">
              <w:rPr>
                <w:rFonts w:ascii="Times New Roman" w:eastAsia="Times New Roman" w:hAnsi="Times New Roman" w:cs="Times New Roman"/>
                <w:bCs/>
                <w:sz w:val="28"/>
                <w:szCs w:val="28"/>
                <w:lang w:eastAsia="bg-BG"/>
              </w:rPr>
              <w:t>обл</w:t>
            </w:r>
            <w:proofErr w:type="spellEnd"/>
            <w:r w:rsidRPr="00880ECD">
              <w:rPr>
                <w:rFonts w:ascii="Times New Roman" w:eastAsia="Times New Roman" w:hAnsi="Times New Roman" w:cs="Times New Roman"/>
                <w:bCs/>
                <w:sz w:val="28"/>
                <w:szCs w:val="28"/>
                <w:lang w:eastAsia="bg-BG"/>
              </w:rPr>
              <w:t>.Варна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19</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В изпълнение на плановата задача по т. ІІ от утвърдения График на прокурорите от Надзор „ИНДПМ“ при ОП-Варна за първото шестмесечие на 2021г. във връзка с Плана за дейността на ОП-Варна за 2021г. по „Надзор върху изпълнение на наказанията и другите принудителни мерки“, са извършвани периодични проверки в Затвора-Варна и общежитията към него</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20</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тематична планова проверка на начина на изпълнение и контрол по изпълнението на мярката за </w:t>
            </w:r>
            <w:proofErr w:type="spellStart"/>
            <w:r w:rsidRPr="00880ECD">
              <w:rPr>
                <w:rFonts w:ascii="Times New Roman" w:eastAsia="Times New Roman" w:hAnsi="Times New Roman" w:cs="Times New Roman"/>
                <w:bCs/>
                <w:sz w:val="28"/>
                <w:szCs w:val="28"/>
                <w:lang w:eastAsia="bg-BG"/>
              </w:rPr>
              <w:t>пробационен</w:t>
            </w:r>
            <w:proofErr w:type="spellEnd"/>
            <w:r w:rsidRPr="00880ECD">
              <w:rPr>
                <w:rFonts w:ascii="Times New Roman" w:eastAsia="Times New Roman" w:hAnsi="Times New Roman" w:cs="Times New Roman"/>
                <w:bCs/>
                <w:sz w:val="28"/>
                <w:szCs w:val="28"/>
                <w:lang w:eastAsia="bg-BG"/>
              </w:rPr>
              <w:t xml:space="preserve"> надзор по чл.42б,ал.4пр.2 от НК, вр. чл.215 – 218 от ЗИНЗС във всички звена на ОС „Изпълнение на наказанията“ – Варна за периода 01.</w:t>
            </w:r>
            <w:proofErr w:type="spellStart"/>
            <w:r w:rsidRPr="00880ECD">
              <w:rPr>
                <w:rFonts w:ascii="Times New Roman" w:eastAsia="Times New Roman" w:hAnsi="Times New Roman" w:cs="Times New Roman"/>
                <w:bCs/>
                <w:sz w:val="28"/>
                <w:szCs w:val="28"/>
                <w:lang w:eastAsia="bg-BG"/>
              </w:rPr>
              <w:t>01</w:t>
            </w:r>
            <w:proofErr w:type="spellEnd"/>
            <w:r w:rsidRPr="00880ECD">
              <w:rPr>
                <w:rFonts w:ascii="Times New Roman" w:eastAsia="Times New Roman" w:hAnsi="Times New Roman" w:cs="Times New Roman"/>
                <w:bCs/>
                <w:sz w:val="28"/>
                <w:szCs w:val="28"/>
                <w:lang w:eastAsia="bg-BG"/>
              </w:rPr>
              <w:t xml:space="preserve">.2020 г. – 31.12.2020 г., независимо дали е определена като една от съвкупността от </w:t>
            </w:r>
            <w:proofErr w:type="spellStart"/>
            <w:r w:rsidRPr="00880ECD">
              <w:rPr>
                <w:rFonts w:ascii="Times New Roman" w:eastAsia="Times New Roman" w:hAnsi="Times New Roman" w:cs="Times New Roman"/>
                <w:bCs/>
                <w:sz w:val="28"/>
                <w:szCs w:val="28"/>
                <w:lang w:eastAsia="bg-BG"/>
              </w:rPr>
              <w:t>пробационни</w:t>
            </w:r>
            <w:proofErr w:type="spellEnd"/>
            <w:r w:rsidRPr="00880ECD">
              <w:rPr>
                <w:rFonts w:ascii="Times New Roman" w:eastAsia="Times New Roman" w:hAnsi="Times New Roman" w:cs="Times New Roman"/>
                <w:bCs/>
                <w:sz w:val="28"/>
                <w:szCs w:val="28"/>
                <w:lang w:eastAsia="bg-BG"/>
              </w:rPr>
              <w:t xml:space="preserve"> мерки по влязла в сила присъда, респ. споразумение с наложено наказание „</w:t>
            </w:r>
            <w:proofErr w:type="spellStart"/>
            <w:r w:rsidRPr="00880ECD">
              <w:rPr>
                <w:rFonts w:ascii="Times New Roman" w:eastAsia="Times New Roman" w:hAnsi="Times New Roman" w:cs="Times New Roman"/>
                <w:bCs/>
                <w:sz w:val="28"/>
                <w:szCs w:val="28"/>
                <w:lang w:eastAsia="bg-BG"/>
              </w:rPr>
              <w:t>пробация</w:t>
            </w:r>
            <w:proofErr w:type="spellEnd"/>
            <w:r w:rsidRPr="00880ECD">
              <w:rPr>
                <w:rFonts w:ascii="Times New Roman" w:eastAsia="Times New Roman" w:hAnsi="Times New Roman" w:cs="Times New Roman"/>
                <w:bCs/>
                <w:sz w:val="28"/>
                <w:szCs w:val="28"/>
                <w:lang w:eastAsia="bg-BG"/>
              </w:rPr>
              <w:t xml:space="preserve">“, или като мярка за </w:t>
            </w:r>
            <w:proofErr w:type="spellStart"/>
            <w:r w:rsidRPr="00880ECD">
              <w:rPr>
                <w:rFonts w:ascii="Times New Roman" w:eastAsia="Times New Roman" w:hAnsi="Times New Roman" w:cs="Times New Roman"/>
                <w:bCs/>
                <w:sz w:val="28"/>
                <w:szCs w:val="28"/>
                <w:lang w:eastAsia="bg-BG"/>
              </w:rPr>
              <w:t>пробационен</w:t>
            </w:r>
            <w:proofErr w:type="spellEnd"/>
            <w:r w:rsidRPr="00880ECD">
              <w:rPr>
                <w:rFonts w:ascii="Times New Roman" w:eastAsia="Times New Roman" w:hAnsi="Times New Roman" w:cs="Times New Roman"/>
                <w:bCs/>
                <w:sz w:val="28"/>
                <w:szCs w:val="28"/>
                <w:lang w:eastAsia="bg-BG"/>
              </w:rPr>
              <w:t xml:space="preserve"> надзор в срока на условно осъждане или в срока на условно предсрочно освобождаване;</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21</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 Извършена е проверка по реда на чл.145 от ЗСВ по спазване изискванията на Наредба  №1 от 12.01.2009 г. за условията  и реда за устройството и безопасността на площадките за игра - стопанисвани от общината.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22</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тематична проверка на причините за осъдителни решения срещу Прокуратурата на </w:t>
            </w:r>
            <w:proofErr w:type="spellStart"/>
            <w:r w:rsidRPr="00880ECD">
              <w:rPr>
                <w:rFonts w:ascii="Times New Roman" w:eastAsia="Times New Roman" w:hAnsi="Times New Roman" w:cs="Times New Roman"/>
                <w:bCs/>
                <w:sz w:val="28"/>
                <w:szCs w:val="28"/>
                <w:lang w:eastAsia="bg-BG"/>
              </w:rPr>
              <w:t>РБългария</w:t>
            </w:r>
            <w:proofErr w:type="spellEnd"/>
            <w:r w:rsidRPr="00880ECD">
              <w:rPr>
                <w:rFonts w:ascii="Times New Roman" w:eastAsia="Times New Roman" w:hAnsi="Times New Roman" w:cs="Times New Roman"/>
                <w:bCs/>
                <w:sz w:val="28"/>
                <w:szCs w:val="28"/>
                <w:lang w:eastAsia="bg-BG"/>
              </w:rPr>
              <w:t xml:space="preserve"> по ЗОДОВ като ответник.</w:t>
            </w:r>
            <w:r w:rsidRPr="00880ECD">
              <w:rPr>
                <w:rFonts w:ascii="Times New Roman" w:eastAsia="Times New Roman" w:hAnsi="Times New Roman" w:cs="Times New Roman"/>
                <w:bCs/>
                <w:sz w:val="28"/>
                <w:szCs w:val="28"/>
                <w:lang w:eastAsia="bg-BG"/>
              </w:rPr>
              <w:br/>
              <w:t xml:space="preserve">Проверката обхваща периода: 1.01.2020 г. - 1.07.2021 г.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23</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на основание чл.145 ал.1 т.1 от ЗСВ проверка на дейността на домовете за стари хора и другите социални домове на територията на Варненска област и по отношение на действията, предприети от  Агенцията за качеството на социалните услуги по отношение на тях и  лицата по чл.29 ал.3 т.2 и чл.30 от Закона за социалните услуги на територията на общините Варна, Белослав, Бяла, Аксаково, Долни Чифлик, Аврен, Провадия, Дългопол, Ветрино, Девня, Суворово и Вълчи дол . </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24</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В изпълнение на планова задача 2 от плана на АП- Варна по надзор „Досъдебен“ за 2021г. и указания № ГП 1962/15/07.</w:t>
            </w:r>
            <w:proofErr w:type="spellStart"/>
            <w:r w:rsidRPr="00880ECD">
              <w:rPr>
                <w:rFonts w:ascii="Times New Roman" w:eastAsia="Times New Roman" w:hAnsi="Times New Roman" w:cs="Times New Roman"/>
                <w:bCs/>
                <w:sz w:val="28"/>
                <w:szCs w:val="28"/>
                <w:lang w:eastAsia="bg-BG"/>
              </w:rPr>
              <w:t>07</w:t>
            </w:r>
            <w:proofErr w:type="spellEnd"/>
            <w:r w:rsidRPr="00880ECD">
              <w:rPr>
                <w:rFonts w:ascii="Times New Roman" w:eastAsia="Times New Roman" w:hAnsi="Times New Roman" w:cs="Times New Roman"/>
                <w:bCs/>
                <w:sz w:val="28"/>
                <w:szCs w:val="28"/>
                <w:lang w:eastAsia="bg-BG"/>
              </w:rPr>
              <w:t>.2016 г. на заместника на главния прокурор при ВКП,  е извършена проверка за първото шестмесечие на 2021 г. на висящи преписки и дела, водени срещу известен извършител, образувани преди 2012 год. за съдебен окръг на ОП-Варна.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lastRenderedPageBreak/>
              <w:t>25</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Проверката се извършва въз основа на планова задача № 3 от Плана за дейност на АП - Варна по направление ГСН. Целта на проверката е установяване на пропуски в уведомление на ТД – КОНПИ – Варна при досъдебни производства, водени по посочените текстове от НК, които предполагат по-значителни доходи от неправомерна дейност, както и щети за </w:t>
            </w:r>
            <w:proofErr w:type="spellStart"/>
            <w:r w:rsidRPr="00880ECD">
              <w:rPr>
                <w:rFonts w:ascii="Times New Roman" w:eastAsia="Times New Roman" w:hAnsi="Times New Roman" w:cs="Times New Roman"/>
                <w:bCs/>
                <w:sz w:val="28"/>
                <w:szCs w:val="28"/>
                <w:lang w:eastAsia="bg-BG"/>
              </w:rPr>
              <w:t>фиска</w:t>
            </w:r>
            <w:proofErr w:type="spellEnd"/>
            <w:r w:rsidRPr="00880ECD">
              <w:rPr>
                <w:rFonts w:ascii="Times New Roman" w:eastAsia="Times New Roman" w:hAnsi="Times New Roman" w:cs="Times New Roman"/>
                <w:bCs/>
                <w:sz w:val="28"/>
                <w:szCs w:val="28"/>
                <w:lang w:eastAsia="bg-BG"/>
              </w:rPr>
              <w:t>. Периодът на проверката е 01.</w:t>
            </w:r>
            <w:proofErr w:type="spellStart"/>
            <w:r w:rsidRPr="00880ECD">
              <w:rPr>
                <w:rFonts w:ascii="Times New Roman" w:eastAsia="Times New Roman" w:hAnsi="Times New Roman" w:cs="Times New Roman"/>
                <w:bCs/>
                <w:sz w:val="28"/>
                <w:szCs w:val="28"/>
                <w:lang w:eastAsia="bg-BG"/>
              </w:rPr>
              <w:t>01</w:t>
            </w:r>
            <w:proofErr w:type="spellEnd"/>
            <w:r w:rsidRPr="00880ECD">
              <w:rPr>
                <w:rFonts w:ascii="Times New Roman" w:eastAsia="Times New Roman" w:hAnsi="Times New Roman" w:cs="Times New Roman"/>
                <w:bCs/>
                <w:sz w:val="28"/>
                <w:szCs w:val="28"/>
                <w:lang w:eastAsia="bg-BG"/>
              </w:rPr>
              <w:t>.2020 г. - 15.07.2021 г.</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26</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Прокурор от Надзор „ИНДПМ“, определен да изпълни задачата по т. V от утвърдения График на прокурорите от НИНДПМ при ОП-Варна за второто шестмесечие на 2021г., е извършил тематична планова проверка на дейността на РП-Варна и ТО в Девня и Провадия за периода 01. 01. 2020 г. – 31. 12. 2020 г. на изготвените и изпратени за изпълнение на компетентните органи ЕЗА и предложения за екстрадиция относно лица с влезли в сила присъди, за които са налични данни, че са напуснали територията на Р България и за които предприетите мерки за общодържавно издирване не са дали резултат, както и проверка относно предприетите действия от ръководството на РП-Варна по повод констатираните пропуски при осъществената от ОП-Варна през 2020 г. проверка</w:t>
            </w:r>
          </w:p>
        </w:tc>
      </w:tr>
      <w:tr w:rsidR="009658CD" w:rsidRPr="00880ECD" w:rsidTr="009658CD">
        <w:trPr>
          <w:trHeight w:val="885"/>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30</w:t>
            </w:r>
          </w:p>
        </w:tc>
        <w:tc>
          <w:tcPr>
            <w:tcW w:w="9072" w:type="dxa"/>
            <w:tcBorders>
              <w:top w:val="single" w:sz="4" w:space="0" w:color="auto"/>
              <w:left w:val="nil"/>
              <w:bottom w:val="single" w:sz="4" w:space="0" w:color="auto"/>
              <w:right w:val="single" w:sz="4" w:space="0" w:color="auto"/>
            </w:tcBorders>
            <w:shd w:val="clear" w:color="auto" w:fill="auto"/>
            <w:vAlign w:val="center"/>
            <w:hideMark/>
          </w:tcPr>
          <w:p w:rsidR="009658CD" w:rsidRPr="00880ECD" w:rsidRDefault="009658CD" w:rsidP="00F63914">
            <w:pPr>
              <w:spacing w:after="0" w:line="240" w:lineRule="auto"/>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Извършена е тематична проверка на дейността на </w:t>
            </w:r>
            <w:proofErr w:type="spellStart"/>
            <w:r w:rsidRPr="00880ECD">
              <w:rPr>
                <w:rFonts w:ascii="Times New Roman" w:eastAsia="Times New Roman" w:hAnsi="Times New Roman" w:cs="Times New Roman"/>
                <w:bCs/>
                <w:sz w:val="28"/>
                <w:szCs w:val="28"/>
                <w:lang w:eastAsia="bg-BG"/>
              </w:rPr>
              <w:t>пробационните</w:t>
            </w:r>
            <w:proofErr w:type="spellEnd"/>
            <w:r w:rsidRPr="00880ECD">
              <w:rPr>
                <w:rFonts w:ascii="Times New Roman" w:eastAsia="Times New Roman" w:hAnsi="Times New Roman" w:cs="Times New Roman"/>
                <w:bCs/>
                <w:sz w:val="28"/>
                <w:szCs w:val="28"/>
                <w:lang w:eastAsia="bg-BG"/>
              </w:rPr>
              <w:t xml:space="preserve"> инспектори при изпълнение на </w:t>
            </w:r>
            <w:proofErr w:type="spellStart"/>
            <w:r w:rsidRPr="00880ECD">
              <w:rPr>
                <w:rFonts w:ascii="Times New Roman" w:eastAsia="Times New Roman" w:hAnsi="Times New Roman" w:cs="Times New Roman"/>
                <w:bCs/>
                <w:sz w:val="28"/>
                <w:szCs w:val="28"/>
                <w:lang w:eastAsia="bg-BG"/>
              </w:rPr>
              <w:t>пробационната</w:t>
            </w:r>
            <w:proofErr w:type="spellEnd"/>
            <w:r w:rsidRPr="00880ECD">
              <w:rPr>
                <w:rFonts w:ascii="Times New Roman" w:eastAsia="Times New Roman" w:hAnsi="Times New Roman" w:cs="Times New Roman"/>
                <w:bCs/>
                <w:sz w:val="28"/>
                <w:szCs w:val="28"/>
                <w:lang w:eastAsia="bg-BG"/>
              </w:rPr>
              <w:t xml:space="preserve"> мярка по чл.42а ал.2 т.3 от НК и е осъществен контрол на МНО "Домашен арест" от РП Варна</w:t>
            </w:r>
          </w:p>
        </w:tc>
      </w:tr>
    </w:tbl>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r w:rsidRPr="00880ECD">
        <w:rPr>
          <w:rFonts w:ascii="Times New Roman" w:hAnsi="Times New Roman" w:cs="Times New Roman"/>
          <w:sz w:val="28"/>
          <w:szCs w:val="28"/>
        </w:rPr>
        <w:t>През отчетната година всички ревизии и проверки са приключени с доклад, в който са очертани проблемните области и пропуски. Отправени са и препоръки за предприемане на необходимите организационни мерки и вземане на управленски решения.</w:t>
      </w: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r w:rsidRPr="00880ECD">
        <w:rPr>
          <w:rFonts w:ascii="Times New Roman" w:hAnsi="Times New Roman" w:cs="Times New Roman"/>
          <w:sz w:val="28"/>
          <w:szCs w:val="28"/>
        </w:rPr>
        <w:t>РАЙОННА ПРОКУРАТУРА – ВАРНА</w:t>
      </w:r>
    </w:p>
    <w:p w:rsidR="009658CD" w:rsidRPr="00880ECD" w:rsidRDefault="009658CD" w:rsidP="00F63914">
      <w:pPr>
        <w:spacing w:before="120" w:after="0"/>
        <w:ind w:firstLine="705"/>
        <w:contextualSpacing/>
        <w:jc w:val="both"/>
        <w:rPr>
          <w:rFonts w:ascii="Times New Roman" w:eastAsia="Times New Roman" w:hAnsi="Times New Roman" w:cs="Times New Roman"/>
          <w:sz w:val="28"/>
          <w:szCs w:val="28"/>
          <w:lang w:eastAsia="bg-BG"/>
        </w:rPr>
      </w:pPr>
      <w:r w:rsidRPr="00880ECD">
        <w:rPr>
          <w:rFonts w:ascii="Times New Roman" w:eastAsia="Calibri" w:hAnsi="Times New Roman" w:cs="Times New Roman"/>
          <w:sz w:val="28"/>
          <w:szCs w:val="28"/>
        </w:rPr>
        <w:t xml:space="preserve">Прокурор от </w:t>
      </w:r>
      <w:r w:rsidRPr="00880ECD">
        <w:rPr>
          <w:rFonts w:ascii="Times New Roman" w:eastAsia="Times New Roman" w:hAnsi="Times New Roman" w:cs="Times New Roman"/>
          <w:sz w:val="28"/>
          <w:szCs w:val="28"/>
        </w:rPr>
        <w:t xml:space="preserve">надзор „Изпълнение на наказанията и другите принудителни мерки“ в РП-Варна, е извършил 2 проверки </w:t>
      </w:r>
      <w:r w:rsidRPr="00880ECD">
        <w:rPr>
          <w:rFonts w:ascii="Times New Roman" w:eastAsia="Calibri" w:hAnsi="Times New Roman" w:cs="Times New Roman"/>
          <w:sz w:val="28"/>
          <w:szCs w:val="28"/>
        </w:rPr>
        <w:t xml:space="preserve">през 2021 г. за установяване </w:t>
      </w:r>
      <w:r w:rsidRPr="00880ECD">
        <w:rPr>
          <w:rFonts w:ascii="Times New Roman" w:eastAsia="Times New Roman" w:hAnsi="Times New Roman" w:cs="Times New Roman"/>
          <w:sz w:val="28"/>
          <w:szCs w:val="28"/>
        </w:rPr>
        <w:t>на причините за непривеждането в изпълнение на влезлите в сила съдебни актове, като са предложени вътрешноорганизационни мерки за подобряване на работата по изпълнение на наказанията.</w:t>
      </w:r>
    </w:p>
    <w:p w:rsidR="009658CD" w:rsidRPr="00880ECD" w:rsidRDefault="009658CD" w:rsidP="00F63914">
      <w:pPr>
        <w:spacing w:after="0"/>
        <w:ind w:firstLine="705"/>
        <w:contextualSpacing/>
        <w:jc w:val="both"/>
        <w:rPr>
          <w:rFonts w:ascii="Times New Roman" w:eastAsia="Times New Roman" w:hAnsi="Times New Roman" w:cs="Times New Roman"/>
          <w:sz w:val="28"/>
          <w:szCs w:val="28"/>
        </w:rPr>
      </w:pPr>
      <w:r w:rsidRPr="00880ECD">
        <w:rPr>
          <w:rFonts w:ascii="Times New Roman" w:eastAsia="Times New Roman" w:hAnsi="Times New Roman" w:cs="Times New Roman"/>
          <w:sz w:val="28"/>
          <w:szCs w:val="28"/>
        </w:rPr>
        <w:t xml:space="preserve">Извършена е тематична проверка върху изпълнението на </w:t>
      </w:r>
      <w:proofErr w:type="spellStart"/>
      <w:r w:rsidRPr="00880ECD">
        <w:rPr>
          <w:rFonts w:ascii="Times New Roman" w:eastAsia="Times New Roman" w:hAnsi="Times New Roman" w:cs="Times New Roman"/>
          <w:sz w:val="28"/>
          <w:szCs w:val="28"/>
        </w:rPr>
        <w:t>пробационните</w:t>
      </w:r>
      <w:proofErr w:type="spellEnd"/>
      <w:r w:rsidRPr="00880ECD">
        <w:rPr>
          <w:rFonts w:ascii="Times New Roman" w:eastAsia="Times New Roman" w:hAnsi="Times New Roman" w:cs="Times New Roman"/>
          <w:sz w:val="28"/>
          <w:szCs w:val="28"/>
        </w:rPr>
        <w:t xml:space="preserve"> мерки в ОС„ИН“-Варна и работата на </w:t>
      </w:r>
      <w:proofErr w:type="spellStart"/>
      <w:r w:rsidRPr="00880ECD">
        <w:rPr>
          <w:rFonts w:ascii="Times New Roman" w:eastAsia="Times New Roman" w:hAnsi="Times New Roman" w:cs="Times New Roman"/>
          <w:sz w:val="28"/>
          <w:szCs w:val="28"/>
        </w:rPr>
        <w:t>пробационните</w:t>
      </w:r>
      <w:proofErr w:type="spellEnd"/>
      <w:r w:rsidRPr="00880ECD">
        <w:rPr>
          <w:rFonts w:ascii="Times New Roman" w:eastAsia="Times New Roman" w:hAnsi="Times New Roman" w:cs="Times New Roman"/>
          <w:sz w:val="28"/>
          <w:szCs w:val="28"/>
        </w:rPr>
        <w:t xml:space="preserve"> инспектори от сектор „</w:t>
      </w:r>
      <w:proofErr w:type="spellStart"/>
      <w:r w:rsidRPr="00880ECD">
        <w:rPr>
          <w:rFonts w:ascii="Times New Roman" w:eastAsia="Times New Roman" w:hAnsi="Times New Roman" w:cs="Times New Roman"/>
          <w:sz w:val="28"/>
          <w:szCs w:val="28"/>
        </w:rPr>
        <w:t>Пробация</w:t>
      </w:r>
      <w:proofErr w:type="spellEnd"/>
      <w:r w:rsidRPr="00880ECD">
        <w:rPr>
          <w:rFonts w:ascii="Times New Roman" w:eastAsia="Times New Roman" w:hAnsi="Times New Roman" w:cs="Times New Roman"/>
          <w:sz w:val="28"/>
          <w:szCs w:val="28"/>
        </w:rPr>
        <w:t xml:space="preserve"> </w:t>
      </w:r>
    </w:p>
    <w:p w:rsidR="009658CD" w:rsidRPr="00880ECD" w:rsidRDefault="009658CD" w:rsidP="00F63914">
      <w:pPr>
        <w:spacing w:after="0"/>
        <w:ind w:firstLine="705"/>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В изпълнение на препоръки на ВСС, административният ръководител-районен прокурор на РП – Варна е  създал организация за ускоряване на производствата и финализиране на разследванията.</w:t>
      </w:r>
    </w:p>
    <w:p w:rsidR="009658CD" w:rsidRPr="00880ECD" w:rsidRDefault="009658CD" w:rsidP="00F63914">
      <w:pPr>
        <w:spacing w:after="0"/>
        <w:ind w:firstLine="705"/>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Извършена е комплексна ревизия на работата на РП–Варна .</w:t>
      </w:r>
    </w:p>
    <w:p w:rsidR="009658CD" w:rsidRPr="00880ECD" w:rsidRDefault="009658CD" w:rsidP="00F63914">
      <w:pPr>
        <w:spacing w:after="0"/>
        <w:ind w:firstLine="705"/>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В края на отчетния период в РП-Варна не е постъпил акт с резултатите от ревизията.   </w:t>
      </w:r>
    </w:p>
    <w:p w:rsidR="009658CD" w:rsidRPr="00880ECD" w:rsidRDefault="009658CD" w:rsidP="00F63914">
      <w:pPr>
        <w:spacing w:after="0" w:line="240" w:lineRule="auto"/>
        <w:ind w:firstLine="705"/>
        <w:contextualSpacing/>
        <w:jc w:val="both"/>
        <w:rPr>
          <w:rFonts w:ascii="Times New Roman" w:hAnsi="Times New Roman" w:cs="Times New Roman"/>
          <w:sz w:val="28"/>
          <w:szCs w:val="28"/>
        </w:rPr>
      </w:pPr>
    </w:p>
    <w:p w:rsidR="009658CD" w:rsidRPr="00880ECD" w:rsidRDefault="009658CD" w:rsidP="00F63914">
      <w:pPr>
        <w:numPr>
          <w:ilvl w:val="0"/>
          <w:numId w:val="10"/>
        </w:numPr>
        <w:spacing w:after="0" w:line="240" w:lineRule="auto"/>
        <w:contextualSpacing/>
        <w:jc w:val="both"/>
        <w:rPr>
          <w:rFonts w:ascii="Times New Roman" w:hAnsi="Times New Roman" w:cs="Times New Roman"/>
          <w:b/>
          <w:sz w:val="28"/>
          <w:szCs w:val="28"/>
        </w:rPr>
      </w:pPr>
      <w:r w:rsidRPr="00880ECD">
        <w:rPr>
          <w:rFonts w:ascii="Times New Roman" w:hAnsi="Times New Roman" w:cs="Times New Roman"/>
          <w:b/>
          <w:sz w:val="28"/>
          <w:szCs w:val="28"/>
        </w:rPr>
        <w:lastRenderedPageBreak/>
        <w:t>Дисциплинарни производства</w:t>
      </w:r>
    </w:p>
    <w:p w:rsidR="009658CD" w:rsidRPr="00880ECD" w:rsidRDefault="009658CD" w:rsidP="00F63914">
      <w:pPr>
        <w:spacing w:after="0" w:line="240" w:lineRule="auto"/>
        <w:ind w:firstLine="705"/>
        <w:contextualSpacing/>
        <w:jc w:val="both"/>
        <w:rPr>
          <w:rFonts w:ascii="Times New Roman" w:eastAsia="Calibri" w:hAnsi="Times New Roman" w:cs="Times New Roman"/>
          <w:sz w:val="28"/>
          <w:szCs w:val="28"/>
        </w:rPr>
      </w:pPr>
      <w:r w:rsidRPr="00880ECD">
        <w:rPr>
          <w:rFonts w:ascii="Times New Roman" w:eastAsia="Calibri" w:hAnsi="Times New Roman" w:cs="Times New Roman"/>
          <w:sz w:val="28"/>
          <w:szCs w:val="28"/>
        </w:rPr>
        <w:t>Образувано е дисциплинарно производство срещу следовател от ОСлО-ОП-Варна, което е приключило, като материалите са изпратени във Висш съдебен съвет, по компетентност.</w:t>
      </w:r>
    </w:p>
    <w:p w:rsidR="009658CD" w:rsidRPr="00880ECD" w:rsidRDefault="009658CD" w:rsidP="00F63914">
      <w:pPr>
        <w:spacing w:after="0" w:line="240" w:lineRule="auto"/>
        <w:ind w:firstLine="705"/>
        <w:contextualSpacing/>
        <w:jc w:val="both"/>
        <w:rPr>
          <w:rFonts w:ascii="Times New Roman" w:eastAsia="Calibri" w:hAnsi="Times New Roman" w:cs="Times New Roman"/>
          <w:sz w:val="28"/>
          <w:szCs w:val="28"/>
          <w:lang w:val="ru-RU"/>
        </w:rPr>
      </w:pPr>
      <w:r w:rsidRPr="00880ECD">
        <w:rPr>
          <w:rFonts w:ascii="Times New Roman" w:eastAsia="Calibri" w:hAnsi="Times New Roman" w:cs="Times New Roman"/>
          <w:sz w:val="28"/>
          <w:szCs w:val="28"/>
          <w:lang w:val="ru-RU"/>
        </w:rPr>
        <w:t xml:space="preserve">Приключено е  </w:t>
      </w:r>
      <w:proofErr w:type="spellStart"/>
      <w:r w:rsidRPr="00880ECD">
        <w:rPr>
          <w:rFonts w:ascii="Times New Roman" w:eastAsia="Calibri" w:hAnsi="Times New Roman" w:cs="Times New Roman"/>
          <w:sz w:val="28"/>
          <w:szCs w:val="28"/>
          <w:lang w:val="ru-RU"/>
        </w:rPr>
        <w:t>образувано</w:t>
      </w:r>
      <w:proofErr w:type="spellEnd"/>
      <w:r w:rsidRPr="00880ECD">
        <w:rPr>
          <w:rFonts w:ascii="Times New Roman" w:eastAsia="Calibri" w:hAnsi="Times New Roman" w:cs="Times New Roman"/>
          <w:sz w:val="28"/>
          <w:szCs w:val="28"/>
          <w:lang w:val="ru-RU"/>
        </w:rPr>
        <w:t xml:space="preserve"> дисциплинарно </w:t>
      </w:r>
      <w:r w:rsidRPr="00880ECD">
        <w:rPr>
          <w:rFonts w:ascii="Times New Roman" w:eastAsia="Calibri" w:hAnsi="Times New Roman" w:cs="Times New Roman"/>
          <w:sz w:val="28"/>
          <w:szCs w:val="28"/>
          <w:u w:val="single"/>
          <w:lang w:val="ru-RU"/>
        </w:rPr>
        <w:t xml:space="preserve">производство </w:t>
      </w:r>
      <w:proofErr w:type="spellStart"/>
      <w:r w:rsidRPr="00880ECD">
        <w:rPr>
          <w:rFonts w:ascii="Times New Roman" w:eastAsia="Calibri" w:hAnsi="Times New Roman" w:cs="Times New Roman"/>
          <w:sz w:val="28"/>
          <w:szCs w:val="28"/>
          <w:u w:val="single"/>
          <w:lang w:val="ru-RU"/>
        </w:rPr>
        <w:t>през</w:t>
      </w:r>
      <w:proofErr w:type="spellEnd"/>
      <w:r w:rsidRPr="00880ECD">
        <w:rPr>
          <w:rFonts w:ascii="Times New Roman" w:eastAsia="Calibri" w:hAnsi="Times New Roman" w:cs="Times New Roman"/>
          <w:sz w:val="28"/>
          <w:szCs w:val="28"/>
          <w:u w:val="single"/>
          <w:lang w:val="ru-RU"/>
        </w:rPr>
        <w:t xml:space="preserve"> 2020</w:t>
      </w:r>
      <w:r w:rsidRPr="00880ECD">
        <w:rPr>
          <w:rFonts w:ascii="Times New Roman" w:eastAsia="Calibri" w:hAnsi="Times New Roman" w:cs="Times New Roman"/>
          <w:sz w:val="28"/>
          <w:szCs w:val="28"/>
          <w:lang w:val="ru-RU"/>
        </w:rPr>
        <w:t xml:space="preserve"> г. </w:t>
      </w:r>
      <w:proofErr w:type="spellStart"/>
      <w:r w:rsidRPr="00880ECD">
        <w:rPr>
          <w:rFonts w:ascii="Times New Roman" w:eastAsia="Calibri" w:hAnsi="Times New Roman" w:cs="Times New Roman"/>
          <w:sz w:val="28"/>
          <w:szCs w:val="28"/>
          <w:lang w:val="ru-RU"/>
        </w:rPr>
        <w:t>срещу</w:t>
      </w:r>
      <w:proofErr w:type="spellEnd"/>
      <w:r w:rsidRPr="00880ECD">
        <w:rPr>
          <w:rFonts w:ascii="Times New Roman" w:eastAsia="Calibri" w:hAnsi="Times New Roman" w:cs="Times New Roman"/>
          <w:sz w:val="28"/>
          <w:szCs w:val="28"/>
          <w:lang w:val="ru-RU"/>
        </w:rPr>
        <w:t xml:space="preserve"> прокурор от ОП – Варна. </w:t>
      </w:r>
    </w:p>
    <w:p w:rsidR="009658CD" w:rsidRPr="00880ECD" w:rsidRDefault="009658CD" w:rsidP="00F63914">
      <w:pPr>
        <w:spacing w:after="0"/>
        <w:ind w:firstLine="705"/>
        <w:jc w:val="both"/>
        <w:rPr>
          <w:rFonts w:ascii="Times New Roman" w:eastAsia="Calibri" w:hAnsi="Times New Roman" w:cs="Times New Roman"/>
          <w:sz w:val="28"/>
          <w:szCs w:val="28"/>
        </w:rPr>
      </w:pPr>
      <w:r w:rsidRPr="00880ECD">
        <w:rPr>
          <w:rFonts w:ascii="Times New Roman" w:eastAsia="Calibri" w:hAnsi="Times New Roman" w:cs="Times New Roman"/>
          <w:sz w:val="28"/>
          <w:szCs w:val="28"/>
          <w:lang w:val="ru-RU"/>
        </w:rPr>
        <w:t xml:space="preserve">За </w:t>
      </w:r>
      <w:proofErr w:type="spellStart"/>
      <w:r w:rsidRPr="00880ECD">
        <w:rPr>
          <w:rFonts w:ascii="Times New Roman" w:eastAsia="Calibri" w:hAnsi="Times New Roman" w:cs="Times New Roman"/>
          <w:sz w:val="28"/>
          <w:szCs w:val="28"/>
          <w:lang w:val="ru-RU"/>
        </w:rPr>
        <w:t>отчетния</w:t>
      </w:r>
      <w:proofErr w:type="spellEnd"/>
      <w:r w:rsidRPr="00880ECD">
        <w:rPr>
          <w:rFonts w:ascii="Times New Roman" w:eastAsia="Calibri" w:hAnsi="Times New Roman" w:cs="Times New Roman"/>
          <w:sz w:val="28"/>
          <w:szCs w:val="28"/>
          <w:lang w:val="ru-RU"/>
        </w:rPr>
        <w:t xml:space="preserve"> период </w:t>
      </w:r>
      <w:proofErr w:type="spellStart"/>
      <w:r w:rsidRPr="00880ECD">
        <w:rPr>
          <w:rFonts w:ascii="Times New Roman" w:eastAsia="Calibri" w:hAnsi="Times New Roman" w:cs="Times New Roman"/>
          <w:sz w:val="28"/>
          <w:szCs w:val="28"/>
          <w:lang w:val="ru-RU"/>
        </w:rPr>
        <w:t>със</w:t>
      </w:r>
      <w:proofErr w:type="spellEnd"/>
      <w:r w:rsidRPr="00880ECD">
        <w:rPr>
          <w:rFonts w:ascii="Times New Roman" w:eastAsia="Calibri" w:hAnsi="Times New Roman" w:cs="Times New Roman"/>
          <w:sz w:val="28"/>
          <w:szCs w:val="28"/>
        </w:rPr>
        <w:t xml:space="preserve"> заповеди на -районен прокурор са назначени петнадесет проверки на дейността на прокурори от РП – Варна . Проверките са приключили без образуване на дисциплинарни производства, поради липса на извършени конкретни нарушения от страна на проверяваните магистрати, с изключение на три, които към края на отчетния период не са приключили.</w:t>
      </w:r>
    </w:p>
    <w:p w:rsidR="009658CD" w:rsidRPr="00880ECD" w:rsidRDefault="009658CD" w:rsidP="00F63914">
      <w:pPr>
        <w:spacing w:after="0" w:line="240" w:lineRule="auto"/>
        <w:ind w:left="709"/>
        <w:contextualSpacing/>
        <w:jc w:val="both"/>
        <w:rPr>
          <w:rFonts w:ascii="Times New Roman" w:eastAsia="Calibri" w:hAnsi="Times New Roman" w:cs="Times New Roman"/>
          <w:sz w:val="28"/>
          <w:szCs w:val="28"/>
          <w:lang w:eastAsia="bg-BG"/>
        </w:rPr>
      </w:pPr>
    </w:p>
    <w:p w:rsidR="009658CD" w:rsidRPr="00880ECD" w:rsidRDefault="009658CD" w:rsidP="00F63914">
      <w:pPr>
        <w:numPr>
          <w:ilvl w:val="0"/>
          <w:numId w:val="10"/>
        </w:numPr>
        <w:spacing w:after="0" w:line="240" w:lineRule="auto"/>
        <w:contextualSpacing/>
        <w:jc w:val="both"/>
        <w:rPr>
          <w:rFonts w:ascii="Times New Roman" w:eastAsia="Times New Roman" w:hAnsi="Times New Roman" w:cs="Times New Roman"/>
          <w:b/>
          <w:bCs/>
          <w:sz w:val="28"/>
          <w:szCs w:val="28"/>
          <w:lang w:eastAsia="bg-BG"/>
        </w:rPr>
      </w:pPr>
      <w:r w:rsidRPr="00880ECD">
        <w:rPr>
          <w:rFonts w:ascii="Times New Roman" w:eastAsia="Times New Roman" w:hAnsi="Times New Roman" w:cs="Times New Roman"/>
          <w:b/>
          <w:bCs/>
          <w:sz w:val="28"/>
          <w:szCs w:val="28"/>
          <w:lang w:eastAsia="bg-BG"/>
        </w:rPr>
        <w:t>Поощрения на магистрати</w:t>
      </w:r>
    </w:p>
    <w:p w:rsidR="009658CD" w:rsidRPr="00880ECD" w:rsidRDefault="009658CD" w:rsidP="00F63914">
      <w:pPr>
        <w:spacing w:after="0" w:line="240" w:lineRule="auto"/>
        <w:ind w:firstLine="708"/>
        <w:jc w:val="both"/>
        <w:rPr>
          <w:rFonts w:ascii="Times New Roman" w:eastAsia="Times New Roman" w:hAnsi="Times New Roman" w:cs="Times New Roman"/>
          <w:bCs/>
          <w:sz w:val="28"/>
          <w:szCs w:val="28"/>
          <w:lang w:eastAsia="bg-BG"/>
        </w:rPr>
      </w:pPr>
      <w:r w:rsidRPr="00880ECD">
        <w:rPr>
          <w:rFonts w:ascii="Times New Roman" w:eastAsia="Times New Roman" w:hAnsi="Times New Roman" w:cs="Times New Roman"/>
          <w:bCs/>
          <w:sz w:val="28"/>
          <w:szCs w:val="28"/>
          <w:lang w:eastAsia="bg-BG"/>
        </w:rPr>
        <w:t xml:space="preserve">Със заповеди на главния прокурор на Република България са поощрени двама прокурори с  </w:t>
      </w:r>
      <w:proofErr w:type="spellStart"/>
      <w:r w:rsidRPr="00880ECD">
        <w:rPr>
          <w:rFonts w:ascii="Times New Roman" w:eastAsia="Times New Roman" w:hAnsi="Times New Roman" w:cs="Times New Roman"/>
          <w:bCs/>
          <w:sz w:val="28"/>
          <w:szCs w:val="28"/>
          <w:lang w:eastAsia="bg-BG"/>
        </w:rPr>
        <w:t>плакет</w:t>
      </w:r>
      <w:proofErr w:type="spellEnd"/>
      <w:r w:rsidRPr="00880ECD">
        <w:rPr>
          <w:rFonts w:ascii="Times New Roman" w:eastAsia="Times New Roman" w:hAnsi="Times New Roman" w:cs="Times New Roman"/>
          <w:bCs/>
          <w:sz w:val="28"/>
          <w:szCs w:val="28"/>
          <w:lang w:eastAsia="bg-BG"/>
        </w:rPr>
        <w:t xml:space="preserve"> а двама прокурори и двама следователи - с парична награда за проявен висок професионализъм и безупречно изпълнение на служебните задължения </w:t>
      </w:r>
    </w:p>
    <w:p w:rsidR="009658CD" w:rsidRPr="00880ECD" w:rsidRDefault="009658CD" w:rsidP="00F63914">
      <w:pPr>
        <w:spacing w:before="120" w:after="0"/>
        <w:ind w:firstLine="567"/>
        <w:jc w:val="both"/>
        <w:rPr>
          <w:rFonts w:ascii="Times New Roman" w:eastAsia="Calibri" w:hAnsi="Times New Roman" w:cs="Times New Roman"/>
          <w:sz w:val="28"/>
          <w:szCs w:val="28"/>
          <w:lang w:val="ru-RU"/>
        </w:rPr>
      </w:pPr>
      <w:r w:rsidRPr="00880ECD">
        <w:rPr>
          <w:rFonts w:ascii="Times New Roman" w:eastAsia="Calibri" w:hAnsi="Times New Roman" w:cs="Times New Roman"/>
          <w:sz w:val="28"/>
          <w:szCs w:val="28"/>
        </w:rPr>
        <w:t>По предложение за апелативния ръководител-апелативен прокурор на АП – Варна за проявен висок професионализъм и безупречно изпълнение на служебните задължения са поощрени 3-ма прокурори от РП-Варна.</w:t>
      </w:r>
    </w:p>
    <w:p w:rsidR="009658CD" w:rsidRPr="00880ECD" w:rsidRDefault="009658CD" w:rsidP="00F63914">
      <w:pPr>
        <w:keepNext/>
        <w:keepLines/>
        <w:spacing w:before="480" w:after="0"/>
        <w:ind w:firstLine="567"/>
        <w:jc w:val="both"/>
        <w:outlineLvl w:val="0"/>
        <w:rPr>
          <w:rFonts w:ascii="Times New Roman" w:eastAsia="Times New Roman" w:hAnsi="Times New Roman" w:cs="Times New Roman"/>
          <w:b/>
          <w:bCs/>
          <w:color w:val="2F5496"/>
          <w:sz w:val="28"/>
          <w:szCs w:val="28"/>
        </w:rPr>
      </w:pPr>
      <w:bookmarkStart w:id="20" w:name="_Toc506557866"/>
      <w:bookmarkStart w:id="21" w:name="_Toc441565534"/>
      <w:bookmarkStart w:id="22" w:name="_Toc473108204"/>
      <w:bookmarkStart w:id="23" w:name="_Toc473111728"/>
      <w:r w:rsidRPr="00880ECD">
        <w:rPr>
          <w:rFonts w:ascii="Times New Roman" w:eastAsia="Times New Roman" w:hAnsi="Times New Roman" w:cs="Times New Roman"/>
          <w:b/>
          <w:bCs/>
          <w:color w:val="2F5496"/>
          <w:sz w:val="28"/>
          <w:szCs w:val="28"/>
          <w:lang w:val="en-US"/>
        </w:rPr>
        <w:t>VI</w:t>
      </w:r>
      <w:r w:rsidRPr="00880ECD">
        <w:rPr>
          <w:rFonts w:ascii="Times New Roman" w:eastAsia="Times New Roman" w:hAnsi="Times New Roman" w:cs="Times New Roman"/>
          <w:b/>
          <w:bCs/>
          <w:color w:val="2F5496"/>
          <w:sz w:val="28"/>
          <w:szCs w:val="28"/>
        </w:rPr>
        <w:t>. НАТОВАРЕНОСТ НА ПРОКУРОРСКИТЕ И НА СЛЕДСТВЕНИТЕ ОРГАНИ.</w:t>
      </w:r>
      <w:bookmarkEnd w:id="20"/>
      <w:bookmarkEnd w:id="21"/>
      <w:bookmarkEnd w:id="22"/>
      <w:bookmarkEnd w:id="23"/>
    </w:p>
    <w:p w:rsidR="009658CD" w:rsidRPr="00880ECD" w:rsidRDefault="009658CD" w:rsidP="00F63914">
      <w:pPr>
        <w:spacing w:after="0" w:line="240" w:lineRule="auto"/>
        <w:jc w:val="both"/>
        <w:rPr>
          <w:rFonts w:ascii="Times New Roman" w:eastAsia="Times New Roman" w:hAnsi="Times New Roman" w:cs="Times New Roman"/>
          <w:color w:val="0070C0"/>
          <w:sz w:val="28"/>
          <w:szCs w:val="28"/>
          <w:lang w:eastAsia="bg-BG"/>
        </w:rPr>
      </w:pPr>
    </w:p>
    <w:p w:rsidR="009658CD" w:rsidRPr="00880ECD"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При отчитане натовареността на прокурорите в настоящия раздел са използвани:</w:t>
      </w:r>
    </w:p>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механизмът, регламентиран с Указание за организация на информационната дейност в ПРБ</w:t>
      </w:r>
    </w:p>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 данните от УИС-3 на ПРБ по критерии и показатели, съгласно приетите от ВСС Правила за измерване на натовареността на прокуратурите и на индивидуалната натовареност на всеки прокурор и следовател (Правилата). </w:t>
      </w:r>
    </w:p>
    <w:p w:rsidR="009658CD" w:rsidRPr="00880ECD" w:rsidRDefault="009658CD" w:rsidP="00F63914">
      <w:pPr>
        <w:keepNext/>
        <w:keepLines/>
        <w:numPr>
          <w:ilvl w:val="0"/>
          <w:numId w:val="11"/>
        </w:numPr>
        <w:shd w:val="clear" w:color="auto" w:fill="FFFFFF"/>
        <w:spacing w:before="480" w:after="0" w:line="240" w:lineRule="auto"/>
        <w:ind w:left="567"/>
        <w:outlineLvl w:val="0"/>
        <w:rPr>
          <w:rFonts w:ascii="Times New Roman" w:eastAsia="Times New Roman" w:hAnsi="Times New Roman" w:cs="Times New Roman"/>
          <w:b/>
          <w:bCs/>
          <w:color w:val="2F5496"/>
          <w:sz w:val="28"/>
          <w:szCs w:val="28"/>
        </w:rPr>
      </w:pPr>
      <w:r w:rsidRPr="00880ECD">
        <w:rPr>
          <w:rFonts w:ascii="Times New Roman" w:eastAsia="Times New Roman" w:hAnsi="Times New Roman" w:cs="Times New Roman"/>
          <w:b/>
          <w:bCs/>
          <w:color w:val="2F5496"/>
          <w:sz w:val="28"/>
          <w:szCs w:val="28"/>
        </w:rPr>
        <w:t>ОБЕМ НА ПРОКУРОРСКАТА ДЕЙНОСТ</w:t>
      </w:r>
    </w:p>
    <w:p w:rsidR="009658CD" w:rsidRPr="00880ECD" w:rsidRDefault="009658CD" w:rsidP="00F63914">
      <w:pPr>
        <w:spacing w:after="0" w:line="240" w:lineRule="auto"/>
        <w:rPr>
          <w:rFonts w:ascii="Times New Roman" w:eastAsia="Times New Roman" w:hAnsi="Times New Roman" w:cs="Times New Roman"/>
          <w:sz w:val="24"/>
          <w:szCs w:val="24"/>
        </w:rPr>
      </w:pPr>
    </w:p>
    <w:p w:rsidR="009658CD" w:rsidRPr="00880ECD"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През отчетния период в ОП реално са работили 26,5 прокурора.</w:t>
      </w:r>
    </w:p>
    <w:p w:rsidR="009658CD" w:rsidRPr="00880ECD" w:rsidRDefault="009658CD" w:rsidP="00F63914">
      <w:pPr>
        <w:spacing w:after="0" w:line="240" w:lineRule="auto"/>
        <w:ind w:firstLine="567"/>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Общият обем на прокурорската дейност е 17636, като се наблюдава се процентно </w:t>
      </w:r>
      <w:r w:rsidRPr="00880ECD">
        <w:rPr>
          <w:rFonts w:ascii="Times New Roman" w:eastAsia="Times New Roman" w:hAnsi="Times New Roman" w:cs="Times New Roman"/>
          <w:b/>
          <w:sz w:val="28"/>
          <w:szCs w:val="28"/>
          <w:lang w:eastAsia="bg-BG"/>
        </w:rPr>
        <w:t>увеличение</w:t>
      </w:r>
      <w:r w:rsidRPr="00880ECD">
        <w:rPr>
          <w:rFonts w:ascii="Times New Roman" w:eastAsia="Times New Roman" w:hAnsi="Times New Roman" w:cs="Times New Roman"/>
          <w:sz w:val="28"/>
          <w:szCs w:val="28"/>
          <w:lang w:eastAsia="bg-BG"/>
        </w:rPr>
        <w:t xml:space="preserve"> на общия обем прокурорска дейност с 9,5 % в сравнение с предходната 2020 г и с 12,7 % спрямо 2019 г.</w:t>
      </w:r>
    </w:p>
    <w:p w:rsidR="009658CD" w:rsidRPr="00880ECD" w:rsidRDefault="009658CD" w:rsidP="00F63914">
      <w:pPr>
        <w:spacing w:after="0" w:line="240" w:lineRule="auto"/>
        <w:jc w:val="both"/>
        <w:rPr>
          <w:rFonts w:ascii="Times New Roman" w:eastAsia="Times New Roman" w:hAnsi="Times New Roman" w:cs="Times New Roman"/>
          <w:color w:val="FF0000"/>
          <w:sz w:val="28"/>
          <w:szCs w:val="28"/>
          <w:lang w:eastAsia="bg-BG"/>
        </w:rPr>
      </w:pPr>
      <w:r w:rsidRPr="00880ECD">
        <w:rPr>
          <w:rFonts w:ascii="Times New Roman" w:eastAsia="Times New Roman" w:hAnsi="Times New Roman" w:cs="Times New Roman"/>
          <w:color w:val="FF0000"/>
          <w:sz w:val="28"/>
          <w:szCs w:val="28"/>
          <w:lang w:eastAsia="bg-BG"/>
        </w:rPr>
        <w:t xml:space="preserve"> </w:t>
      </w:r>
    </w:p>
    <w:p w:rsidR="009658CD" w:rsidRPr="00880ECD" w:rsidRDefault="009658CD" w:rsidP="00F63914">
      <w:pPr>
        <w:tabs>
          <w:tab w:val="left" w:pos="8364"/>
        </w:tabs>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noProof/>
          <w:color w:val="FF0000"/>
          <w:sz w:val="28"/>
          <w:szCs w:val="28"/>
          <w:lang w:eastAsia="bg-BG"/>
        </w:rPr>
        <w:lastRenderedPageBreak/>
        <w:drawing>
          <wp:inline distT="0" distB="0" distL="0" distR="0" wp14:anchorId="1A938887" wp14:editId="28E95DDD">
            <wp:extent cx="5543550" cy="2497455"/>
            <wp:effectExtent l="152400" t="152400" r="152400" b="150495"/>
            <wp:docPr id="34" name="Диагра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658CD" w:rsidRPr="00880ECD" w:rsidRDefault="009658CD" w:rsidP="00F63914">
      <w:pPr>
        <w:tabs>
          <w:tab w:val="left" w:pos="8364"/>
        </w:tabs>
        <w:spacing w:after="0" w:line="240" w:lineRule="auto"/>
        <w:jc w:val="both"/>
        <w:rPr>
          <w:rFonts w:ascii="Times New Roman" w:eastAsia="Times New Roman" w:hAnsi="Times New Roman" w:cs="Times New Roman"/>
          <w:sz w:val="28"/>
          <w:szCs w:val="28"/>
          <w:lang w:eastAsia="bg-BG"/>
        </w:rPr>
      </w:pPr>
    </w:p>
    <w:p w:rsidR="009658CD" w:rsidRPr="00880ECD" w:rsidRDefault="009658CD" w:rsidP="00F63914">
      <w:pPr>
        <w:spacing w:after="0" w:line="240" w:lineRule="auto"/>
        <w:jc w:val="both"/>
        <w:rPr>
          <w:rFonts w:ascii="Times New Roman" w:eastAsia="Times New Roman" w:hAnsi="Times New Roman" w:cs="Times New Roman"/>
          <w:color w:val="000000"/>
          <w:sz w:val="28"/>
          <w:szCs w:val="28"/>
          <w:lang w:eastAsia="bg-BG"/>
        </w:rPr>
      </w:pPr>
      <w:r w:rsidRPr="00880ECD">
        <w:rPr>
          <w:rFonts w:ascii="Times New Roman" w:eastAsia="Times New Roman" w:hAnsi="Times New Roman" w:cs="Times New Roman"/>
          <w:color w:val="000000"/>
          <w:sz w:val="28"/>
          <w:szCs w:val="28"/>
          <w:lang w:eastAsia="bg-BG"/>
        </w:rPr>
        <w:t>Обемът на прокурорската дейност е онагледен в следната таблица:</w:t>
      </w:r>
    </w:p>
    <w:p w:rsidR="009658CD" w:rsidRPr="00880ECD" w:rsidRDefault="009658CD" w:rsidP="00F63914">
      <w:pPr>
        <w:spacing w:after="0" w:line="240" w:lineRule="auto"/>
        <w:jc w:val="both"/>
        <w:rPr>
          <w:rFonts w:ascii="Times New Roman" w:eastAsia="Times New Roman" w:hAnsi="Times New Roman" w:cs="Times New Roman"/>
          <w:color w:val="FF0000"/>
          <w:sz w:val="28"/>
          <w:szCs w:val="28"/>
          <w:lang w:eastAsia="bg-BG"/>
        </w:rPr>
      </w:pPr>
    </w:p>
    <w:tbl>
      <w:tblPr>
        <w:tblW w:w="8911" w:type="dxa"/>
        <w:tblInd w:w="15" w:type="dxa"/>
        <w:tblLayout w:type="fixed"/>
        <w:tblCellMar>
          <w:left w:w="0" w:type="dxa"/>
          <w:right w:w="0" w:type="dxa"/>
        </w:tblCellMar>
        <w:tblLook w:val="04A0" w:firstRow="1" w:lastRow="0" w:firstColumn="1" w:lastColumn="0" w:noHBand="0" w:noVBand="1"/>
      </w:tblPr>
      <w:tblGrid>
        <w:gridCol w:w="5083"/>
        <w:gridCol w:w="1276"/>
        <w:gridCol w:w="1276"/>
        <w:gridCol w:w="1276"/>
      </w:tblGrid>
      <w:tr w:rsidR="009658CD" w:rsidRPr="00880ECD" w:rsidTr="009658CD">
        <w:trPr>
          <w:trHeight w:val="720"/>
        </w:trPr>
        <w:tc>
          <w:tcPr>
            <w:tcW w:w="5083" w:type="dxa"/>
            <w:vMerge w:val="restart"/>
            <w:tcBorders>
              <w:top w:val="single" w:sz="4" w:space="0" w:color="auto"/>
              <w:left w:val="single" w:sz="4" w:space="0" w:color="auto"/>
              <w:bottom w:val="single" w:sz="4" w:space="0" w:color="000000"/>
              <w:right w:val="single" w:sz="4" w:space="0" w:color="auto"/>
            </w:tcBorders>
            <w:shd w:val="clear" w:color="auto" w:fill="B8CCE4"/>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 xml:space="preserve">Обем натовареност </w:t>
            </w:r>
          </w:p>
          <w:p w:rsidR="009658CD" w:rsidRPr="00880ECD" w:rsidRDefault="009658CD" w:rsidP="00F63914">
            <w:pPr>
              <w:spacing w:after="0" w:line="240" w:lineRule="auto"/>
              <w:jc w:val="both"/>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в Окръжна прокуратура - Варна</w:t>
            </w:r>
          </w:p>
        </w:tc>
        <w:tc>
          <w:tcPr>
            <w:tcW w:w="3828" w:type="dxa"/>
            <w:gridSpan w:val="3"/>
            <w:tcBorders>
              <w:top w:val="single" w:sz="4" w:space="0" w:color="auto"/>
              <w:left w:val="nil"/>
              <w:bottom w:val="single" w:sz="4" w:space="0" w:color="auto"/>
              <w:right w:val="single" w:sz="4" w:space="0" w:color="auto"/>
            </w:tcBorders>
            <w:shd w:val="clear" w:color="auto" w:fill="B8CCE4"/>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Обем на прокурорската дейност</w:t>
            </w:r>
          </w:p>
        </w:tc>
      </w:tr>
      <w:tr w:rsidR="009658CD" w:rsidRPr="00880ECD" w:rsidTr="009658CD">
        <w:trPr>
          <w:trHeight w:val="386"/>
        </w:trPr>
        <w:tc>
          <w:tcPr>
            <w:tcW w:w="5083" w:type="dxa"/>
            <w:vMerge/>
            <w:tcBorders>
              <w:top w:val="single" w:sz="4" w:space="0" w:color="auto"/>
              <w:left w:val="single" w:sz="4" w:space="0" w:color="auto"/>
              <w:bottom w:val="single" w:sz="4" w:space="0" w:color="000000"/>
              <w:right w:val="single" w:sz="4" w:space="0" w:color="auto"/>
            </w:tcBorders>
            <w:shd w:val="clear" w:color="auto" w:fill="99CCFF"/>
            <w:vAlign w:val="center"/>
          </w:tcPr>
          <w:p w:rsidR="009658CD" w:rsidRPr="00880ECD" w:rsidRDefault="009658CD" w:rsidP="00F63914">
            <w:pPr>
              <w:spacing w:after="0" w:line="240" w:lineRule="auto"/>
              <w:jc w:val="both"/>
              <w:rPr>
                <w:rFonts w:ascii="Times New Roman" w:eastAsia="Times New Roman" w:hAnsi="Times New Roman" w:cs="Times New Roman"/>
                <w:b/>
                <w:bCs/>
                <w:sz w:val="24"/>
                <w:szCs w:val="24"/>
                <w:lang w:eastAsia="bg-BG"/>
              </w:rPr>
            </w:pPr>
          </w:p>
        </w:tc>
        <w:tc>
          <w:tcPr>
            <w:tcW w:w="1276"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2019 г.</w:t>
            </w:r>
          </w:p>
        </w:tc>
        <w:tc>
          <w:tcPr>
            <w:tcW w:w="1276"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2020 г.</w:t>
            </w:r>
          </w:p>
        </w:tc>
        <w:tc>
          <w:tcPr>
            <w:tcW w:w="1276"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2021 г.</w:t>
            </w:r>
          </w:p>
        </w:tc>
      </w:tr>
      <w:tr w:rsidR="009658CD" w:rsidRPr="00880ECD" w:rsidTr="009658CD">
        <w:trPr>
          <w:trHeight w:val="294"/>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Общ обем на прокурорската дейност </w:t>
            </w:r>
          </w:p>
        </w:tc>
        <w:tc>
          <w:tcPr>
            <w:tcW w:w="1276"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15655</w:t>
            </w:r>
          </w:p>
        </w:tc>
        <w:tc>
          <w:tcPr>
            <w:tcW w:w="1276"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16101</w:t>
            </w:r>
          </w:p>
        </w:tc>
        <w:tc>
          <w:tcPr>
            <w:tcW w:w="1276"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17636</w:t>
            </w:r>
          </w:p>
        </w:tc>
      </w:tr>
      <w:tr w:rsidR="009658CD" w:rsidRPr="00880ECD" w:rsidTr="009658CD">
        <w:trPr>
          <w:trHeight w:val="372"/>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Прокурорски актове внесени съда </w:t>
            </w:r>
          </w:p>
        </w:tc>
        <w:tc>
          <w:tcPr>
            <w:tcW w:w="1276"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143</w:t>
            </w:r>
          </w:p>
        </w:tc>
        <w:tc>
          <w:tcPr>
            <w:tcW w:w="1276"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155</w:t>
            </w:r>
          </w:p>
        </w:tc>
        <w:tc>
          <w:tcPr>
            <w:tcW w:w="1276"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155</w:t>
            </w:r>
          </w:p>
        </w:tc>
      </w:tr>
      <w:tr w:rsidR="009658CD" w:rsidRPr="00880ECD" w:rsidTr="009658CD">
        <w:trPr>
          <w:trHeight w:val="420"/>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Общо участия в съдебни заседания </w:t>
            </w:r>
          </w:p>
        </w:tc>
        <w:tc>
          <w:tcPr>
            <w:tcW w:w="1276"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2932</w:t>
            </w:r>
          </w:p>
        </w:tc>
        <w:tc>
          <w:tcPr>
            <w:tcW w:w="1276"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2621</w:t>
            </w:r>
          </w:p>
        </w:tc>
        <w:tc>
          <w:tcPr>
            <w:tcW w:w="1276"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2489</w:t>
            </w:r>
          </w:p>
        </w:tc>
      </w:tr>
      <w:tr w:rsidR="009658CD" w:rsidRPr="00880ECD" w:rsidTr="009658CD">
        <w:trPr>
          <w:trHeight w:val="628"/>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Общо други прокурорски актове и дейности </w:t>
            </w:r>
          </w:p>
          <w:p w:rsidR="009658CD" w:rsidRPr="00880ECD" w:rsidRDefault="009658CD" w:rsidP="00F63914">
            <w:pPr>
              <w:spacing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по всички видове надзори</w:t>
            </w:r>
          </w:p>
        </w:tc>
        <w:tc>
          <w:tcPr>
            <w:tcW w:w="1276" w:type="dxa"/>
            <w:tcBorders>
              <w:top w:val="nil"/>
              <w:left w:val="nil"/>
              <w:bottom w:val="single" w:sz="4" w:space="0" w:color="auto"/>
              <w:right w:val="single" w:sz="4" w:space="0" w:color="auto"/>
            </w:tcBorders>
            <w:shd w:val="clear" w:color="auto" w:fill="EAF1DD" w:themeFill="accent3"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12580</w:t>
            </w:r>
          </w:p>
        </w:tc>
        <w:tc>
          <w:tcPr>
            <w:tcW w:w="1276" w:type="dxa"/>
            <w:tcBorders>
              <w:top w:val="nil"/>
              <w:left w:val="nil"/>
              <w:bottom w:val="single" w:sz="4" w:space="0" w:color="auto"/>
              <w:right w:val="single" w:sz="4" w:space="0" w:color="auto"/>
            </w:tcBorders>
            <w:shd w:val="clear" w:color="auto" w:fill="FDE9D9" w:themeFill="accent6"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13325</w:t>
            </w:r>
          </w:p>
        </w:tc>
        <w:tc>
          <w:tcPr>
            <w:tcW w:w="1276" w:type="dxa"/>
            <w:tcBorders>
              <w:top w:val="nil"/>
              <w:left w:val="nil"/>
              <w:bottom w:val="single" w:sz="4" w:space="0" w:color="auto"/>
              <w:right w:val="single" w:sz="4" w:space="0" w:color="auto"/>
            </w:tcBorders>
            <w:shd w:val="clear" w:color="auto" w:fill="DAEEF3" w:themeFill="accent5" w:themeFillTint="33"/>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14992</w:t>
            </w:r>
          </w:p>
        </w:tc>
      </w:tr>
      <w:tr w:rsidR="009658CD" w:rsidRPr="00880ECD" w:rsidTr="009658CD">
        <w:trPr>
          <w:trHeight w:val="255"/>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Общ брой наблюдавани преписки СН</w:t>
            </w:r>
          </w:p>
        </w:tc>
        <w:tc>
          <w:tcPr>
            <w:tcW w:w="1276"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2460</w:t>
            </w:r>
          </w:p>
        </w:tc>
        <w:tc>
          <w:tcPr>
            <w:tcW w:w="1276"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color w:val="000000"/>
                <w:sz w:val="24"/>
                <w:szCs w:val="24"/>
                <w:lang w:eastAsia="bg-BG"/>
              </w:rPr>
              <w:t>1882</w:t>
            </w:r>
          </w:p>
        </w:tc>
        <w:tc>
          <w:tcPr>
            <w:tcW w:w="1276"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highlight w:val="red"/>
                <w:lang w:eastAsia="bg-BG"/>
              </w:rPr>
            </w:pPr>
            <w:r w:rsidRPr="00880ECD">
              <w:rPr>
                <w:rFonts w:ascii="Times New Roman" w:eastAsia="Times New Roman" w:hAnsi="Times New Roman" w:cs="Times New Roman"/>
                <w:b/>
                <w:sz w:val="24"/>
                <w:szCs w:val="24"/>
                <w:lang w:eastAsia="bg-BG"/>
              </w:rPr>
              <w:t>1797</w:t>
            </w:r>
          </w:p>
        </w:tc>
      </w:tr>
      <w:tr w:rsidR="009658CD" w:rsidRPr="00880ECD" w:rsidTr="009658CD">
        <w:trPr>
          <w:trHeight w:val="255"/>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Новообразувани ДП</w:t>
            </w:r>
          </w:p>
        </w:tc>
        <w:tc>
          <w:tcPr>
            <w:tcW w:w="1276"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381</w:t>
            </w:r>
          </w:p>
        </w:tc>
        <w:tc>
          <w:tcPr>
            <w:tcW w:w="1276"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362</w:t>
            </w:r>
          </w:p>
        </w:tc>
        <w:tc>
          <w:tcPr>
            <w:tcW w:w="1276"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highlight w:val="red"/>
                <w:lang w:eastAsia="bg-BG"/>
              </w:rPr>
            </w:pPr>
            <w:r w:rsidRPr="00880ECD">
              <w:rPr>
                <w:rFonts w:ascii="Times New Roman" w:eastAsia="Times New Roman" w:hAnsi="Times New Roman" w:cs="Times New Roman"/>
                <w:b/>
                <w:sz w:val="24"/>
                <w:szCs w:val="24"/>
                <w:lang w:eastAsia="bg-BG"/>
              </w:rPr>
              <w:t>354</w:t>
            </w:r>
          </w:p>
        </w:tc>
      </w:tr>
      <w:tr w:rsidR="009658CD" w:rsidRPr="00880ECD" w:rsidTr="009658CD">
        <w:trPr>
          <w:trHeight w:val="255"/>
        </w:trPr>
        <w:tc>
          <w:tcPr>
            <w:tcW w:w="5083"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Наблюдавани ДП</w:t>
            </w:r>
          </w:p>
        </w:tc>
        <w:tc>
          <w:tcPr>
            <w:tcW w:w="1276" w:type="dxa"/>
            <w:tcBorders>
              <w:top w:val="nil"/>
              <w:left w:val="nil"/>
              <w:bottom w:val="single" w:sz="4" w:space="0" w:color="auto"/>
              <w:right w:val="single" w:sz="4" w:space="0" w:color="auto"/>
            </w:tcBorders>
            <w:shd w:val="clear" w:color="auto" w:fill="EAF1DD" w:themeFill="accent3"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1137</w:t>
            </w:r>
          </w:p>
        </w:tc>
        <w:tc>
          <w:tcPr>
            <w:tcW w:w="1276" w:type="dxa"/>
            <w:tcBorders>
              <w:top w:val="nil"/>
              <w:left w:val="nil"/>
              <w:bottom w:val="single" w:sz="4" w:space="0" w:color="auto"/>
              <w:right w:val="single" w:sz="4" w:space="0" w:color="auto"/>
            </w:tcBorders>
            <w:shd w:val="clear" w:color="auto" w:fill="FDE9D9" w:themeFill="accent6"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1100</w:t>
            </w:r>
          </w:p>
        </w:tc>
        <w:tc>
          <w:tcPr>
            <w:tcW w:w="1276" w:type="dxa"/>
            <w:tcBorders>
              <w:top w:val="nil"/>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highlight w:val="red"/>
                <w:lang w:eastAsia="bg-BG"/>
              </w:rPr>
            </w:pPr>
            <w:r w:rsidRPr="00880ECD">
              <w:rPr>
                <w:rFonts w:ascii="Times New Roman" w:eastAsia="Times New Roman" w:hAnsi="Times New Roman" w:cs="Times New Roman"/>
                <w:b/>
                <w:sz w:val="24"/>
                <w:szCs w:val="24"/>
                <w:lang w:eastAsia="bg-BG"/>
              </w:rPr>
              <w:t>1169</w:t>
            </w:r>
          </w:p>
        </w:tc>
      </w:tr>
      <w:tr w:rsidR="009658CD" w:rsidRPr="00880ECD" w:rsidTr="009658CD">
        <w:trPr>
          <w:trHeight w:val="255"/>
        </w:trPr>
        <w:tc>
          <w:tcPr>
            <w:tcW w:w="5083" w:type="dxa"/>
            <w:tcBorders>
              <w:top w:val="nil"/>
              <w:left w:val="single" w:sz="4" w:space="0" w:color="auto"/>
              <w:bottom w:val="nil"/>
              <w:right w:val="single" w:sz="4" w:space="0" w:color="auto"/>
            </w:tcBorders>
            <w:shd w:val="clear" w:color="auto" w:fill="FBD4B4" w:themeFill="accent6" w:themeFillTint="66"/>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Реално работили прокурори</w:t>
            </w:r>
          </w:p>
        </w:tc>
        <w:tc>
          <w:tcPr>
            <w:tcW w:w="1276" w:type="dxa"/>
            <w:tcBorders>
              <w:top w:val="nil"/>
              <w:left w:val="nil"/>
              <w:bottom w:val="nil"/>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26,9</w:t>
            </w:r>
          </w:p>
        </w:tc>
        <w:tc>
          <w:tcPr>
            <w:tcW w:w="1276" w:type="dxa"/>
            <w:tcBorders>
              <w:top w:val="nil"/>
              <w:left w:val="nil"/>
              <w:bottom w:val="nil"/>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27,92</w:t>
            </w:r>
          </w:p>
        </w:tc>
        <w:tc>
          <w:tcPr>
            <w:tcW w:w="1276" w:type="dxa"/>
            <w:tcBorders>
              <w:top w:val="nil"/>
              <w:left w:val="nil"/>
              <w:bottom w:val="nil"/>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val="en-US" w:eastAsia="bg-BG"/>
              </w:rPr>
            </w:pPr>
            <w:r w:rsidRPr="00880ECD">
              <w:rPr>
                <w:rFonts w:ascii="Times New Roman" w:eastAsia="Times New Roman" w:hAnsi="Times New Roman" w:cs="Times New Roman"/>
                <w:b/>
                <w:bCs/>
                <w:sz w:val="24"/>
                <w:szCs w:val="24"/>
                <w:lang w:eastAsia="bg-BG"/>
              </w:rPr>
              <w:t>26,5</w:t>
            </w:r>
          </w:p>
        </w:tc>
      </w:tr>
      <w:tr w:rsidR="009658CD" w:rsidRPr="00880ECD" w:rsidTr="009658CD">
        <w:trPr>
          <w:trHeight w:val="255"/>
        </w:trPr>
        <w:tc>
          <w:tcPr>
            <w:tcW w:w="5083" w:type="dxa"/>
            <w:tcBorders>
              <w:top w:val="nil"/>
              <w:left w:val="single" w:sz="4" w:space="0" w:color="auto"/>
              <w:bottom w:val="single" w:sz="4" w:space="0" w:color="auto"/>
              <w:right w:val="single" w:sz="4" w:space="0" w:color="auto"/>
            </w:tcBorders>
            <w:shd w:val="clear" w:color="auto" w:fill="FBD4B4" w:themeFill="accent6" w:themeFillTint="66"/>
            <w:tcMar>
              <w:top w:w="15" w:type="dxa"/>
              <w:left w:w="15" w:type="dxa"/>
              <w:bottom w:w="0" w:type="dxa"/>
              <w:right w:w="15" w:type="dxa"/>
            </w:tcMar>
            <w:vAlign w:val="center"/>
          </w:tcPr>
          <w:p w:rsidR="009658CD" w:rsidRPr="00880ECD" w:rsidRDefault="009658CD" w:rsidP="00F63914">
            <w:pPr>
              <w:spacing w:after="0" w:line="240" w:lineRule="auto"/>
              <w:jc w:val="both"/>
              <w:rPr>
                <w:rFonts w:ascii="Times New Roman" w:eastAsia="Times New Roman" w:hAnsi="Times New Roman" w:cs="Times New Roman"/>
                <w:b/>
                <w:bCs/>
                <w:sz w:val="24"/>
                <w:szCs w:val="24"/>
                <w:lang w:eastAsia="bg-BG"/>
              </w:rPr>
            </w:pPr>
          </w:p>
        </w:tc>
        <w:tc>
          <w:tcPr>
            <w:tcW w:w="1276"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1276"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1276" w:type="dxa"/>
            <w:tcBorders>
              <w:top w:val="nil"/>
              <w:left w:val="nil"/>
              <w:bottom w:val="single" w:sz="4" w:space="0" w:color="auto"/>
              <w:right w:val="single" w:sz="4" w:space="0" w:color="auto"/>
            </w:tcBorders>
            <w:shd w:val="clear" w:color="auto" w:fill="FBD4B4" w:themeFill="accent6" w:themeFillTint="66"/>
            <w:noWrap/>
            <w:tcMar>
              <w:top w:w="15" w:type="dxa"/>
              <w:left w:w="15" w:type="dxa"/>
              <w:bottom w:w="0" w:type="dxa"/>
              <w:right w:w="15" w:type="dxa"/>
            </w:tcMar>
            <w:vAlign w:val="bottom"/>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r>
    </w:tbl>
    <w:p w:rsidR="009658CD" w:rsidRPr="00880ECD" w:rsidRDefault="009658CD" w:rsidP="00F63914">
      <w:pPr>
        <w:spacing w:after="0" w:line="240" w:lineRule="auto"/>
        <w:contextualSpacing/>
        <w:jc w:val="both"/>
        <w:rPr>
          <w:rFonts w:ascii="Times New Roman" w:eastAsia="Times New Roman" w:hAnsi="Times New Roman" w:cs="Times New Roman"/>
          <w:color w:val="000000"/>
          <w:sz w:val="28"/>
          <w:szCs w:val="28"/>
          <w:lang w:eastAsia="bg-BG"/>
        </w:rPr>
      </w:pPr>
      <w:r w:rsidRPr="00880ECD">
        <w:rPr>
          <w:rFonts w:ascii="Times New Roman" w:eastAsia="Times New Roman" w:hAnsi="Times New Roman" w:cs="Times New Roman"/>
          <w:color w:val="000000"/>
          <w:sz w:val="28"/>
          <w:szCs w:val="28"/>
          <w:lang w:eastAsia="bg-BG"/>
        </w:rPr>
        <w:tab/>
      </w:r>
    </w:p>
    <w:p w:rsidR="009658CD" w:rsidRPr="00880ECD" w:rsidRDefault="009658CD" w:rsidP="00F63914">
      <w:pPr>
        <w:spacing w:after="0" w:line="240" w:lineRule="auto"/>
        <w:ind w:firstLine="708"/>
        <w:contextualSpacing/>
        <w:jc w:val="both"/>
        <w:rPr>
          <w:rFonts w:ascii="Times New Roman" w:eastAsia="Times New Roman" w:hAnsi="Times New Roman" w:cs="Times New Roman"/>
          <w:color w:val="000000"/>
          <w:sz w:val="28"/>
          <w:szCs w:val="28"/>
          <w:highlight w:val="red"/>
          <w:lang w:eastAsia="bg-BG"/>
        </w:rPr>
      </w:pPr>
      <w:r w:rsidRPr="00880ECD">
        <w:rPr>
          <w:rFonts w:ascii="Times New Roman" w:eastAsia="Times New Roman" w:hAnsi="Times New Roman" w:cs="Times New Roman"/>
          <w:color w:val="000000"/>
          <w:sz w:val="28"/>
          <w:szCs w:val="28"/>
          <w:lang w:eastAsia="bg-BG"/>
        </w:rPr>
        <w:t>Въпреки лекия спад в броя на новообразуваните ДП се отчита запазване на тенденцията на внесените в съда прокурорски актове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 </w:t>
      </w:r>
      <w:r w:rsidRPr="00880ECD">
        <w:rPr>
          <w:rFonts w:ascii="Times New Roman" w:eastAsia="Times New Roman" w:hAnsi="Times New Roman" w:cs="Times New Roman"/>
          <w:color w:val="000000"/>
          <w:sz w:val="28"/>
          <w:szCs w:val="28"/>
          <w:lang w:eastAsia="bg-BG"/>
        </w:rPr>
        <w:t>Участията в съдебни заседания на прокурорите от ОП- Варна през 2021 г. са 2489, като  се отчита намаление от 5 % в сравнение с 2020 г. и с 15,1 % спрямо 2019 г.</w:t>
      </w:r>
    </w:p>
    <w:p w:rsidR="009658CD" w:rsidRPr="00880ECD" w:rsidRDefault="009658CD" w:rsidP="00F63914">
      <w:pPr>
        <w:spacing w:after="0" w:line="240" w:lineRule="auto"/>
        <w:contextualSpacing/>
        <w:jc w:val="both"/>
        <w:rPr>
          <w:rFonts w:ascii="Times New Roman" w:eastAsia="Times New Roman" w:hAnsi="Times New Roman" w:cs="Times New Roman"/>
          <w:color w:val="000000"/>
          <w:sz w:val="28"/>
          <w:szCs w:val="28"/>
          <w:lang w:eastAsia="bg-BG"/>
        </w:rPr>
      </w:pPr>
      <w:r w:rsidRPr="00880ECD">
        <w:rPr>
          <w:rFonts w:ascii="Times New Roman" w:eastAsia="Times New Roman" w:hAnsi="Times New Roman" w:cs="Times New Roman"/>
          <w:color w:val="000000"/>
          <w:sz w:val="28"/>
          <w:szCs w:val="28"/>
          <w:lang w:eastAsia="bg-BG"/>
        </w:rPr>
        <w:t>Продължава тенденцията на увеличение на прокурорските актове и дейности по всички видове надзори . Нарастването е с 12,5 % в сравнение с предходния отчетен период и с 19,2 % в сравнение с тези стойности през 2019 г.</w:t>
      </w:r>
    </w:p>
    <w:p w:rsidR="009658CD" w:rsidRPr="00880ECD" w:rsidRDefault="009658CD" w:rsidP="00F63914">
      <w:pPr>
        <w:keepNext/>
        <w:keepLines/>
        <w:numPr>
          <w:ilvl w:val="0"/>
          <w:numId w:val="11"/>
        </w:numPr>
        <w:shd w:val="clear" w:color="auto" w:fill="FFFFFF"/>
        <w:spacing w:before="480" w:after="0" w:line="240" w:lineRule="auto"/>
        <w:ind w:firstLine="709"/>
        <w:outlineLvl w:val="0"/>
        <w:rPr>
          <w:rFonts w:ascii="Times New Roman" w:eastAsia="Times New Roman" w:hAnsi="Times New Roman" w:cs="Times New Roman"/>
          <w:b/>
          <w:bCs/>
          <w:color w:val="2F5496"/>
          <w:sz w:val="28"/>
          <w:szCs w:val="28"/>
        </w:rPr>
      </w:pPr>
      <w:r w:rsidRPr="00880ECD">
        <w:rPr>
          <w:rFonts w:ascii="Times New Roman" w:eastAsia="Times New Roman" w:hAnsi="Times New Roman" w:cs="Times New Roman"/>
          <w:b/>
          <w:bCs/>
          <w:color w:val="2F5496"/>
          <w:sz w:val="28"/>
          <w:szCs w:val="28"/>
        </w:rPr>
        <w:t>НАТОВАРЕНОСТ</w:t>
      </w:r>
    </w:p>
    <w:p w:rsidR="009658CD" w:rsidRPr="00880ECD" w:rsidRDefault="009658CD" w:rsidP="00F63914">
      <w:pPr>
        <w:spacing w:after="0" w:line="240" w:lineRule="auto"/>
        <w:ind w:firstLine="708"/>
        <w:contextualSpacing/>
        <w:jc w:val="both"/>
        <w:rPr>
          <w:rFonts w:ascii="Times New Roman" w:eastAsia="Times New Roman" w:hAnsi="Times New Roman" w:cs="Times New Roman"/>
          <w:color w:val="FF0000"/>
          <w:sz w:val="28"/>
          <w:szCs w:val="28"/>
          <w:lang w:eastAsia="bg-BG"/>
        </w:rPr>
      </w:pPr>
      <w:r w:rsidRPr="00880ECD">
        <w:rPr>
          <w:rFonts w:ascii="Times New Roman" w:eastAsia="Times New Roman" w:hAnsi="Times New Roman" w:cs="Times New Roman"/>
          <w:color w:val="000000"/>
          <w:sz w:val="28"/>
          <w:szCs w:val="28"/>
          <w:lang w:eastAsia="bg-BG"/>
        </w:rPr>
        <w:t xml:space="preserve">Средната годишна натовареност на прокурор от ОП- Варна за 2021 г. бележи ръст спрямо 2020 год. с 15,4 % а в сравнение с 2019 г. увеличението е с 14,4 %. </w:t>
      </w:r>
    </w:p>
    <w:p w:rsidR="009658CD" w:rsidRPr="00880ECD" w:rsidRDefault="009658CD" w:rsidP="00F639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Times New Roman" w:eastAsia="Times New Roman" w:hAnsi="Times New Roman" w:cs="Times New Roman"/>
          <w:color w:val="000000"/>
          <w:sz w:val="28"/>
          <w:szCs w:val="28"/>
          <w:lang w:eastAsia="bg-BG"/>
        </w:rPr>
      </w:pPr>
      <w:r w:rsidRPr="00880ECD">
        <w:rPr>
          <w:rFonts w:ascii="Times New Roman" w:eastAsia="Times New Roman" w:hAnsi="Times New Roman" w:cs="Times New Roman"/>
          <w:color w:val="000000"/>
          <w:sz w:val="28"/>
          <w:szCs w:val="28"/>
          <w:lang w:eastAsia="bg-BG"/>
        </w:rPr>
        <w:t>2019 г. - 1,09 бр. точки на ден на прокурор; натовареност по бр. точки- 5579,7</w:t>
      </w:r>
    </w:p>
    <w:p w:rsidR="009658CD" w:rsidRPr="00880ECD" w:rsidRDefault="009658CD" w:rsidP="00F639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color w:val="000000"/>
          <w:sz w:val="24"/>
          <w:szCs w:val="24"/>
          <w:lang w:eastAsia="bg-BG"/>
        </w:rPr>
      </w:pPr>
      <w:r w:rsidRPr="00880ECD">
        <w:rPr>
          <w:rFonts w:ascii="Times New Roman" w:eastAsia="Times New Roman" w:hAnsi="Times New Roman" w:cs="Times New Roman"/>
          <w:color w:val="000000"/>
          <w:sz w:val="28"/>
          <w:szCs w:val="28"/>
          <w:lang w:eastAsia="bg-BG"/>
        </w:rPr>
        <w:lastRenderedPageBreak/>
        <w:t>2020 г. - 0,99 бр. точки на ден на прокурор; натовареност по бр. точки- 5889,1</w:t>
      </w:r>
    </w:p>
    <w:p w:rsidR="009658CD" w:rsidRPr="00880ECD" w:rsidRDefault="009658CD" w:rsidP="00F6391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both"/>
        <w:rPr>
          <w:rFonts w:ascii="Arial" w:eastAsia="Times New Roman" w:hAnsi="Arial" w:cs="Arial"/>
          <w:color w:val="000000"/>
          <w:sz w:val="24"/>
          <w:szCs w:val="24"/>
          <w:lang w:eastAsia="bg-BG"/>
        </w:rPr>
      </w:pPr>
      <w:r w:rsidRPr="00880ECD">
        <w:rPr>
          <w:rFonts w:ascii="Times New Roman" w:eastAsia="Times New Roman" w:hAnsi="Times New Roman" w:cs="Times New Roman"/>
          <w:color w:val="000000"/>
          <w:sz w:val="28"/>
          <w:szCs w:val="28"/>
          <w:lang w:eastAsia="bg-BG"/>
        </w:rPr>
        <w:t>2021 г. - 1,22 бр. точки на ден на прокурор; натовареност по бр. точки- 6044,8</w:t>
      </w:r>
    </w:p>
    <w:p w:rsidR="009658CD" w:rsidRPr="00880ECD" w:rsidRDefault="009658CD" w:rsidP="00F63914">
      <w:pPr>
        <w:spacing w:after="0" w:line="240" w:lineRule="auto"/>
        <w:jc w:val="both"/>
        <w:rPr>
          <w:rFonts w:ascii="Times New Roman" w:eastAsia="Times New Roman" w:hAnsi="Times New Roman" w:cs="Times New Roman"/>
          <w:color w:val="000000"/>
          <w:sz w:val="28"/>
          <w:szCs w:val="28"/>
          <w:highlight w:val="red"/>
          <w:lang w:eastAsia="bg-BG"/>
        </w:rPr>
      </w:pPr>
    </w:p>
    <w:p w:rsidR="009658CD" w:rsidRPr="00880ECD" w:rsidRDefault="009658CD" w:rsidP="00F63914">
      <w:pPr>
        <w:spacing w:after="0" w:line="240" w:lineRule="auto"/>
        <w:ind w:firstLine="708"/>
        <w:jc w:val="both"/>
        <w:rPr>
          <w:rFonts w:ascii="Times New Roman" w:eastAsia="Times New Roman" w:hAnsi="Times New Roman" w:cs="Times New Roman"/>
          <w:color w:val="000000"/>
          <w:sz w:val="28"/>
          <w:szCs w:val="28"/>
          <w:lang w:eastAsia="bg-BG"/>
        </w:rPr>
      </w:pPr>
      <w:r w:rsidRPr="00880ECD">
        <w:rPr>
          <w:rFonts w:ascii="Times New Roman" w:eastAsia="Times New Roman" w:hAnsi="Times New Roman" w:cs="Times New Roman"/>
          <w:color w:val="000000"/>
          <w:sz w:val="28"/>
          <w:szCs w:val="28"/>
          <w:lang w:eastAsia="bg-BG"/>
        </w:rPr>
        <w:t>Средната натовареност по брой точки на ден на прокурор се е увеличила с 2,6 % в сравнение с предходната година, спрямо 2019 г. увеличението е с 8,4%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В таблицата по-долу са изведените от справочния модул данни за административната дейност на Окръжния прокурор и неговите </w:t>
      </w:r>
      <w:proofErr w:type="spellStart"/>
      <w:r w:rsidRPr="00880ECD">
        <w:rPr>
          <w:rFonts w:ascii="Times New Roman" w:eastAsia="Times New Roman" w:hAnsi="Times New Roman" w:cs="Times New Roman"/>
          <w:sz w:val="28"/>
          <w:szCs w:val="28"/>
          <w:lang w:eastAsia="bg-BG"/>
        </w:rPr>
        <w:t>заместници</w:t>
      </w:r>
      <w:proofErr w:type="spellEnd"/>
      <w:r w:rsidRPr="00880ECD">
        <w:rPr>
          <w:rFonts w:ascii="Times New Roman" w:eastAsia="Times New Roman" w:hAnsi="Times New Roman" w:cs="Times New Roman"/>
          <w:sz w:val="28"/>
          <w:szCs w:val="28"/>
          <w:lang w:eastAsia="bg-BG"/>
        </w:rPr>
        <w:t>:</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p>
    <w:tbl>
      <w:tblPr>
        <w:tblW w:w="11061" w:type="dxa"/>
        <w:jc w:val="center"/>
        <w:shd w:val="clear" w:color="auto" w:fill="DAEEF3" w:themeFill="accent5" w:themeFillTint="33"/>
        <w:tblCellMar>
          <w:left w:w="70" w:type="dxa"/>
          <w:right w:w="70" w:type="dxa"/>
        </w:tblCellMar>
        <w:tblLook w:val="04A0" w:firstRow="1" w:lastRow="0" w:firstColumn="1" w:lastColumn="0" w:noHBand="0" w:noVBand="1"/>
      </w:tblPr>
      <w:tblGrid>
        <w:gridCol w:w="535"/>
        <w:gridCol w:w="584"/>
        <w:gridCol w:w="438"/>
        <w:gridCol w:w="399"/>
        <w:gridCol w:w="499"/>
        <w:gridCol w:w="321"/>
        <w:gridCol w:w="506"/>
        <w:gridCol w:w="379"/>
        <w:gridCol w:w="420"/>
        <w:gridCol w:w="348"/>
        <w:gridCol w:w="401"/>
        <w:gridCol w:w="348"/>
        <w:gridCol w:w="510"/>
        <w:gridCol w:w="549"/>
        <w:gridCol w:w="442"/>
        <w:gridCol w:w="385"/>
        <w:gridCol w:w="354"/>
        <w:gridCol w:w="460"/>
        <w:gridCol w:w="500"/>
        <w:gridCol w:w="348"/>
        <w:gridCol w:w="508"/>
        <w:gridCol w:w="362"/>
        <w:gridCol w:w="426"/>
        <w:gridCol w:w="460"/>
        <w:gridCol w:w="579"/>
      </w:tblGrid>
      <w:tr w:rsidR="009658CD" w:rsidRPr="00880ECD" w:rsidTr="00C22CE6">
        <w:trPr>
          <w:trHeight w:val="249"/>
          <w:jc w:val="center"/>
        </w:trPr>
        <w:tc>
          <w:tcPr>
            <w:tcW w:w="535" w:type="dxa"/>
            <w:vMerge w:val="restart"/>
            <w:tcBorders>
              <w:top w:val="single" w:sz="4" w:space="0" w:color="auto"/>
              <w:left w:val="single" w:sz="4" w:space="0" w:color="auto"/>
              <w:bottom w:val="single" w:sz="4" w:space="0" w:color="000000"/>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both"/>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ОКРЪЖНА ПРОКУРАТУРА – ВАРНА</w:t>
            </w:r>
          </w:p>
        </w:tc>
        <w:tc>
          <w:tcPr>
            <w:tcW w:w="584"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Работни дни в месеца по календар</w:t>
            </w:r>
          </w:p>
        </w:tc>
        <w:tc>
          <w:tcPr>
            <w:tcW w:w="438" w:type="dxa"/>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Действително отработени дни</w:t>
            </w:r>
          </w:p>
        </w:tc>
        <w:tc>
          <w:tcPr>
            <w:tcW w:w="8465" w:type="dxa"/>
            <w:gridSpan w:val="2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shd w:val="clear" w:color="auto" w:fill="D9D9D9"/>
                <w:lang w:eastAsia="bg-BG"/>
              </w:rPr>
              <w:t>Дейност по администриране</w:t>
            </w:r>
          </w:p>
        </w:tc>
        <w:tc>
          <w:tcPr>
            <w:tcW w:w="1039"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p>
        </w:tc>
      </w:tr>
      <w:tr w:rsidR="009658CD" w:rsidRPr="00880ECD" w:rsidTr="00C22CE6">
        <w:trPr>
          <w:trHeight w:val="504"/>
          <w:jc w:val="center"/>
        </w:trPr>
        <w:tc>
          <w:tcPr>
            <w:tcW w:w="535"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58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center"/>
              <w:rPr>
                <w:rFonts w:ascii="Times New Roman" w:eastAsia="Times New Roman" w:hAnsi="Times New Roman" w:cs="Times New Roman"/>
                <w:bCs/>
                <w:sz w:val="16"/>
                <w:szCs w:val="16"/>
                <w:lang w:eastAsia="bg-BG"/>
              </w:rPr>
            </w:pPr>
          </w:p>
        </w:tc>
        <w:tc>
          <w:tcPr>
            <w:tcW w:w="898"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Предложение по ЗСВ</w:t>
            </w:r>
          </w:p>
        </w:tc>
        <w:tc>
          <w:tcPr>
            <w:tcW w:w="827"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Становища по ЗСВ</w:t>
            </w:r>
          </w:p>
        </w:tc>
        <w:tc>
          <w:tcPr>
            <w:tcW w:w="799"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Произнасяне по дисциплинарни преписки</w:t>
            </w:r>
          </w:p>
        </w:tc>
        <w:tc>
          <w:tcPr>
            <w:tcW w:w="749"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Организиране и провеждане на  работни/обучителни съвещания</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Участие в работни/обучителни съвещания, срещи, празници</w:t>
            </w:r>
          </w:p>
        </w:tc>
        <w:tc>
          <w:tcPr>
            <w:tcW w:w="991"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Заповеди /без такива по кадрови въпроси и за командироване/ и указания</w:t>
            </w:r>
          </w:p>
        </w:tc>
        <w:tc>
          <w:tcPr>
            <w:tcW w:w="739"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Становища</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Справки/писма до други звена, институции, граждани</w:t>
            </w:r>
          </w:p>
        </w:tc>
        <w:tc>
          <w:tcPr>
            <w:tcW w:w="856"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Изготвени вътрешни организационни актове/правилници, правила/</w:t>
            </w:r>
          </w:p>
        </w:tc>
        <w:tc>
          <w:tcPr>
            <w:tcW w:w="788" w:type="dxa"/>
            <w:gridSpan w:val="2"/>
            <w:vMerge w:val="restart"/>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Контролна дейност на административния ръководител спрямо прокурорите в прокуратурата и региона</w:t>
            </w:r>
          </w:p>
        </w:tc>
        <w:tc>
          <w:tcPr>
            <w:tcW w:w="103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textDirection w:val="btLr"/>
            <w:vAlign w:val="center"/>
            <w:hideMark/>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Дейност по администриране - общо</w:t>
            </w:r>
          </w:p>
        </w:tc>
      </w:tr>
      <w:tr w:rsidR="009658CD" w:rsidRPr="00880ECD" w:rsidTr="00C22CE6">
        <w:trPr>
          <w:trHeight w:val="504"/>
          <w:jc w:val="center"/>
        </w:trPr>
        <w:tc>
          <w:tcPr>
            <w:tcW w:w="535"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58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4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9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4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5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3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8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103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p>
        </w:tc>
      </w:tr>
      <w:tr w:rsidR="009658CD" w:rsidRPr="00880ECD" w:rsidTr="00C22CE6">
        <w:trPr>
          <w:trHeight w:val="2577"/>
          <w:jc w:val="center"/>
        </w:trPr>
        <w:tc>
          <w:tcPr>
            <w:tcW w:w="535" w:type="dxa"/>
            <w:vMerge/>
            <w:tcBorders>
              <w:top w:val="single" w:sz="4" w:space="0" w:color="auto"/>
              <w:left w:val="single" w:sz="4" w:space="0" w:color="auto"/>
              <w:bottom w:val="single" w:sz="4" w:space="0" w:color="000000"/>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584"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438" w:type="dxa"/>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p>
        </w:tc>
        <w:tc>
          <w:tcPr>
            <w:tcW w:w="89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27"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9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4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5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991"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3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960"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856"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788"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sz w:val="16"/>
                <w:szCs w:val="16"/>
                <w:lang w:eastAsia="bg-BG"/>
              </w:rPr>
            </w:pPr>
          </w:p>
        </w:tc>
        <w:tc>
          <w:tcPr>
            <w:tcW w:w="1039" w:type="dxa"/>
            <w:gridSpan w:val="2"/>
            <w:vMerge/>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9658CD" w:rsidRPr="00880ECD" w:rsidRDefault="009658CD" w:rsidP="00F63914">
            <w:pPr>
              <w:spacing w:after="0" w:line="240" w:lineRule="auto"/>
              <w:jc w:val="both"/>
              <w:rPr>
                <w:rFonts w:ascii="Times New Roman" w:eastAsia="Times New Roman" w:hAnsi="Times New Roman" w:cs="Times New Roman"/>
                <w:b/>
                <w:bCs/>
                <w:sz w:val="16"/>
                <w:szCs w:val="16"/>
                <w:lang w:eastAsia="bg-BG"/>
              </w:rPr>
            </w:pPr>
          </w:p>
        </w:tc>
      </w:tr>
      <w:tr w:rsidR="009658CD" w:rsidRPr="00880ECD" w:rsidTr="00C22CE6">
        <w:trPr>
          <w:cantSplit/>
          <w:trHeight w:val="908"/>
          <w:jc w:val="center"/>
        </w:trPr>
        <w:tc>
          <w:tcPr>
            <w:tcW w:w="535" w:type="dxa"/>
            <w:tcBorders>
              <w:top w:val="nil"/>
              <w:left w:val="single" w:sz="4" w:space="0" w:color="auto"/>
              <w:bottom w:val="single" w:sz="4" w:space="0" w:color="auto"/>
              <w:right w:val="single" w:sz="4" w:space="0" w:color="auto"/>
            </w:tcBorders>
            <w:shd w:val="clear" w:color="auto" w:fill="B6DDE8" w:themeFill="accent5" w:themeFillTint="66"/>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sz w:val="14"/>
                <w:szCs w:val="14"/>
                <w:lang w:eastAsia="bg-BG"/>
              </w:rPr>
            </w:pPr>
          </w:p>
        </w:tc>
        <w:tc>
          <w:tcPr>
            <w:tcW w:w="584" w:type="dxa"/>
            <w:tcBorders>
              <w:top w:val="single" w:sz="4" w:space="0" w:color="auto"/>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p>
        </w:tc>
        <w:tc>
          <w:tcPr>
            <w:tcW w:w="438" w:type="dxa"/>
            <w:tcBorders>
              <w:top w:val="single" w:sz="4" w:space="0" w:color="auto"/>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p>
        </w:tc>
        <w:tc>
          <w:tcPr>
            <w:tcW w:w="399"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499"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21"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506"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79"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420"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48"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401"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48"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510"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549"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442"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85"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354"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460"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500"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48"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508"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362"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426"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c>
          <w:tcPr>
            <w:tcW w:w="460"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Брой</w:t>
            </w:r>
          </w:p>
        </w:tc>
        <w:tc>
          <w:tcPr>
            <w:tcW w:w="579" w:type="dxa"/>
            <w:tcBorders>
              <w:top w:val="nil"/>
              <w:left w:val="nil"/>
              <w:bottom w:val="single" w:sz="4" w:space="0" w:color="auto"/>
              <w:right w:val="single" w:sz="4" w:space="0" w:color="auto"/>
            </w:tcBorders>
            <w:shd w:val="clear" w:color="auto" w:fill="B6DDE8" w:themeFill="accent5"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Точки</w:t>
            </w:r>
          </w:p>
        </w:tc>
      </w:tr>
      <w:tr w:rsidR="009658CD" w:rsidRPr="00880ECD" w:rsidTr="00C22CE6">
        <w:trPr>
          <w:trHeight w:val="249"/>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2019</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705</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567</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14</w:t>
            </w:r>
          </w:p>
        </w:tc>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9,8</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4,5</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202</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202</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9</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9</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w:t>
            </w:r>
            <w:proofErr w:type="spellStart"/>
            <w:r w:rsidRPr="00880ECD">
              <w:rPr>
                <w:rFonts w:ascii="Times New Roman" w:eastAsia="Times New Roman" w:hAnsi="Times New Roman" w:cs="Times New Roman"/>
                <w:sz w:val="16"/>
                <w:szCs w:val="16"/>
                <w:lang w:eastAsia="bg-BG"/>
              </w:rPr>
              <w:t>3</w:t>
            </w:r>
            <w:proofErr w:type="spellEnd"/>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3</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9</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257</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256,6</w:t>
            </w:r>
          </w:p>
        </w:tc>
      </w:tr>
      <w:tr w:rsidR="009658CD" w:rsidRPr="00880ECD" w:rsidTr="00C22CE6">
        <w:trPr>
          <w:trHeight w:val="249"/>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2020</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1034</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897</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5,6</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1,4</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4,5</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40</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42</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42</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315</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315</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5</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769</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230,7</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8</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24</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4</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1176</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670,2</w:t>
            </w:r>
          </w:p>
        </w:tc>
      </w:tr>
      <w:tr w:rsidR="009658CD" w:rsidRPr="00880ECD" w:rsidTr="00C22CE6">
        <w:trPr>
          <w:trHeight w:val="249"/>
          <w:jc w:val="center"/>
        </w:trPr>
        <w:tc>
          <w:tcPr>
            <w:tcW w:w="5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2021</w:t>
            </w:r>
          </w:p>
        </w:tc>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1250</w:t>
            </w:r>
          </w:p>
        </w:tc>
        <w:tc>
          <w:tcPr>
            <w:tcW w:w="4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982</w:t>
            </w:r>
          </w:p>
        </w:tc>
        <w:tc>
          <w:tcPr>
            <w:tcW w:w="3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9</w:t>
            </w:r>
          </w:p>
        </w:tc>
        <w:tc>
          <w:tcPr>
            <w:tcW w:w="4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6,3</w:t>
            </w:r>
          </w:p>
        </w:tc>
        <w:tc>
          <w:tcPr>
            <w:tcW w:w="32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w:t>
            </w:r>
          </w:p>
        </w:tc>
        <w:tc>
          <w:tcPr>
            <w:tcW w:w="5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0,7</w:t>
            </w:r>
          </w:p>
        </w:tc>
        <w:tc>
          <w:tcPr>
            <w:tcW w:w="3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w:t>
            </w:r>
          </w:p>
        </w:tc>
        <w:tc>
          <w:tcPr>
            <w:tcW w:w="4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10,5</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5</w:t>
            </w:r>
          </w:p>
        </w:tc>
        <w:tc>
          <w:tcPr>
            <w:tcW w:w="4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10</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14</w:t>
            </w:r>
          </w:p>
        </w:tc>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14</w:t>
            </w:r>
          </w:p>
        </w:tc>
        <w:tc>
          <w:tcPr>
            <w:tcW w:w="5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278</w:t>
            </w:r>
          </w:p>
        </w:tc>
        <w:tc>
          <w:tcPr>
            <w:tcW w:w="4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278</w:t>
            </w:r>
          </w:p>
        </w:tc>
        <w:tc>
          <w:tcPr>
            <w:tcW w:w="3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w:t>
            </w:r>
          </w:p>
        </w:tc>
        <w:tc>
          <w:tcPr>
            <w:tcW w:w="35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1518</w:t>
            </w:r>
          </w:p>
        </w:tc>
        <w:tc>
          <w:tcPr>
            <w:tcW w:w="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455,4</w:t>
            </w:r>
          </w:p>
        </w:tc>
        <w:tc>
          <w:tcPr>
            <w:tcW w:w="34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8</w:t>
            </w:r>
          </w:p>
        </w:tc>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24</w:t>
            </w:r>
          </w:p>
        </w:tc>
        <w:tc>
          <w:tcPr>
            <w:tcW w:w="36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6</w:t>
            </w:r>
          </w:p>
        </w:tc>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3</w:t>
            </w:r>
          </w:p>
        </w:tc>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1853</w:t>
            </w:r>
          </w:p>
        </w:tc>
        <w:tc>
          <w:tcPr>
            <w:tcW w:w="5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808,9</w:t>
            </w:r>
          </w:p>
        </w:tc>
      </w:tr>
    </w:tbl>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p>
    <w:p w:rsidR="009658CD" w:rsidRPr="00880ECD" w:rsidRDefault="009658CD" w:rsidP="00F63914">
      <w:pPr>
        <w:spacing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Дейността по администриране по бр. точки е нараснала със 20,7 % спрямо 2020 г. Отчетеното намаление с 11,7 % в издадените организационни заповеди се дължи на вече уредените в заповеди през предходния отчетен период правила за действие по време на извънредното положение, които нямат нужда от актуализация или ново уреждане посредством такъв акт.</w:t>
      </w:r>
    </w:p>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Дейността по администриране е онагледена посредством диаграмата по-долу: </w:t>
      </w:r>
    </w:p>
    <w:p w:rsidR="009658CD" w:rsidRPr="00880ECD" w:rsidRDefault="009658CD" w:rsidP="00F63914">
      <w:pPr>
        <w:spacing w:after="0" w:line="240" w:lineRule="auto"/>
        <w:jc w:val="both"/>
        <w:rPr>
          <w:rFonts w:ascii="Times New Roman" w:eastAsia="Times New Roman" w:hAnsi="Times New Roman" w:cs="Times New Roman"/>
          <w:sz w:val="28"/>
          <w:szCs w:val="28"/>
          <w:highlight w:val="red"/>
          <w:lang w:eastAsia="bg-BG"/>
        </w:rPr>
      </w:pPr>
    </w:p>
    <w:p w:rsidR="009658CD" w:rsidRPr="00880ECD" w:rsidRDefault="00F63914" w:rsidP="00F63914">
      <w:pPr>
        <w:spacing w:after="0" w:line="240" w:lineRule="auto"/>
        <w:jc w:val="both"/>
        <w:rPr>
          <w:rFonts w:ascii="Times New Roman" w:eastAsia="Times New Roman" w:hAnsi="Times New Roman" w:cs="Times New Roman"/>
          <w:sz w:val="28"/>
          <w:szCs w:val="28"/>
          <w:highlight w:val="red"/>
          <w:lang w:eastAsia="bg-BG"/>
        </w:rPr>
      </w:pPr>
      <w:r w:rsidRPr="00880ECD">
        <w:rPr>
          <w:rFonts w:ascii="Arial" w:eastAsia="Times New Roman" w:hAnsi="Arial" w:cs="Arial"/>
          <w:noProof/>
          <w:sz w:val="20"/>
          <w:szCs w:val="20"/>
          <w:lang w:eastAsia="bg-BG"/>
        </w:rPr>
        <w:drawing>
          <wp:anchor distT="0" distB="0" distL="114300" distR="114300" simplePos="0" relativeHeight="251661312" behindDoc="0" locked="0" layoutInCell="1" allowOverlap="1" wp14:anchorId="606A3213" wp14:editId="650FDFF6">
            <wp:simplePos x="0" y="0"/>
            <wp:positionH relativeFrom="margin">
              <wp:posOffset>126365</wp:posOffset>
            </wp:positionH>
            <wp:positionV relativeFrom="page">
              <wp:posOffset>3590925</wp:posOffset>
            </wp:positionV>
            <wp:extent cx="5779135" cy="3744595"/>
            <wp:effectExtent l="0" t="0" r="12065" b="27305"/>
            <wp:wrapNone/>
            <wp:docPr id="35" name="Диагра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rsidR="009658CD" w:rsidRPr="00880ECD" w:rsidRDefault="009658CD" w:rsidP="00F63914">
      <w:pPr>
        <w:keepNext/>
        <w:keepLines/>
        <w:numPr>
          <w:ilvl w:val="0"/>
          <w:numId w:val="11"/>
        </w:numPr>
        <w:shd w:val="clear" w:color="auto" w:fill="FFFFFF"/>
        <w:spacing w:before="480" w:after="0" w:line="240" w:lineRule="auto"/>
        <w:jc w:val="center"/>
        <w:outlineLvl w:val="0"/>
        <w:rPr>
          <w:rFonts w:ascii="Calibri Light" w:eastAsia="Times New Roman" w:hAnsi="Calibri Light" w:cs="Times New Roman"/>
          <w:b/>
          <w:bCs/>
          <w:color w:val="2F5496"/>
          <w:sz w:val="28"/>
          <w:szCs w:val="28"/>
        </w:rPr>
      </w:pPr>
      <w:r w:rsidRPr="00880ECD">
        <w:rPr>
          <w:rFonts w:ascii="Calibri Light" w:eastAsia="Times New Roman" w:hAnsi="Calibri Light" w:cs="Times New Roman"/>
          <w:b/>
          <w:bCs/>
          <w:color w:val="2F5496"/>
          <w:sz w:val="28"/>
          <w:szCs w:val="28"/>
        </w:rPr>
        <w:t>НАТОВАРЕНОСТ на следствените органи</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През 2021 г. броят на досъдебните производства, разследвани от следователи по закон и възложени от окръжния прокурор е 595 ДП. Процентното увеличение на наблюдаваните ДП е 0.17 % спрямо предходната 2020 г. </w:t>
      </w:r>
    </w:p>
    <w:p w:rsidR="009658CD" w:rsidRPr="00880ECD" w:rsidRDefault="009658CD" w:rsidP="00F63914">
      <w:pPr>
        <w:spacing w:after="0" w:line="240" w:lineRule="auto"/>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ab/>
        <w:t xml:space="preserve">Стремежът е постигане на почти равномерно натоварване с </w:t>
      </w:r>
      <w:proofErr w:type="spellStart"/>
      <w:r w:rsidRPr="00880ECD">
        <w:rPr>
          <w:rFonts w:ascii="Times New Roman" w:eastAsia="Times New Roman" w:hAnsi="Times New Roman" w:cs="Times New Roman"/>
          <w:sz w:val="28"/>
          <w:szCs w:val="28"/>
          <w:lang w:eastAsia="bg-BG"/>
        </w:rPr>
        <w:t>новопостъпили</w:t>
      </w:r>
      <w:proofErr w:type="spellEnd"/>
      <w:r w:rsidRPr="00880ECD">
        <w:rPr>
          <w:rFonts w:ascii="Times New Roman" w:eastAsia="Times New Roman" w:hAnsi="Times New Roman" w:cs="Times New Roman"/>
          <w:sz w:val="28"/>
          <w:szCs w:val="28"/>
          <w:lang w:eastAsia="bg-BG"/>
        </w:rPr>
        <w:t xml:space="preserve"> дела, като разликата в абсолютния брой се дължи наброя  които в началото на отчетния период са имали на производство и през годината са им били възобновени/върнати повече дела. </w:t>
      </w:r>
    </w:p>
    <w:p w:rsidR="009658CD" w:rsidRPr="00880ECD" w:rsidRDefault="009658CD" w:rsidP="00F63914">
      <w:pPr>
        <w:spacing w:after="0" w:line="240" w:lineRule="auto"/>
        <w:ind w:firstLine="708"/>
        <w:contextualSpacing/>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lastRenderedPageBreak/>
        <w:t>Данните за натовареността на следователите от ОСлО – ОП – Варна през 2021 г., изведени чрез справочния модул на УИС-3, са както следва:</w:t>
      </w:r>
    </w:p>
    <w:p w:rsidR="009658CD" w:rsidRPr="00880ECD" w:rsidRDefault="009658CD" w:rsidP="00F63914">
      <w:pPr>
        <w:spacing w:after="0" w:line="240" w:lineRule="auto"/>
        <w:contextualSpacing/>
        <w:jc w:val="both"/>
        <w:rPr>
          <w:rFonts w:ascii="Times New Roman" w:eastAsia="Times New Roman" w:hAnsi="Times New Roman" w:cs="Times New Roman"/>
          <w:sz w:val="28"/>
          <w:szCs w:val="28"/>
          <w:lang w:eastAsia="bg-BG"/>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417"/>
        <w:gridCol w:w="1560"/>
        <w:gridCol w:w="1559"/>
        <w:gridCol w:w="1829"/>
        <w:gridCol w:w="1829"/>
      </w:tblGrid>
      <w:tr w:rsidR="009658CD" w:rsidRPr="00880ECD" w:rsidTr="009658CD">
        <w:trPr>
          <w:trHeight w:val="950"/>
        </w:trPr>
        <w:tc>
          <w:tcPr>
            <w:tcW w:w="1526"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по ДП /бр./</w:t>
            </w:r>
          </w:p>
        </w:tc>
        <w:tc>
          <w:tcPr>
            <w:tcW w:w="1417"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по ДП /т./</w:t>
            </w:r>
          </w:p>
        </w:tc>
        <w:tc>
          <w:tcPr>
            <w:tcW w:w="1560"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по СП /бр./</w:t>
            </w:r>
          </w:p>
        </w:tc>
        <w:tc>
          <w:tcPr>
            <w:tcW w:w="1559"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по СП /т./</w:t>
            </w:r>
          </w:p>
        </w:tc>
        <w:tc>
          <w:tcPr>
            <w:tcW w:w="1829"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Общо следователска дейност /бр./</w:t>
            </w:r>
          </w:p>
        </w:tc>
        <w:tc>
          <w:tcPr>
            <w:tcW w:w="1829" w:type="dxa"/>
            <w:shd w:val="clear" w:color="auto" w:fill="BFBFBF" w:themeFill="background1" w:themeFillShade="BF"/>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Общо следователска дейност /т./</w:t>
            </w:r>
          </w:p>
        </w:tc>
      </w:tr>
      <w:tr w:rsidR="009658CD" w:rsidRPr="00880ECD" w:rsidTr="009658CD">
        <w:tc>
          <w:tcPr>
            <w:tcW w:w="1526" w:type="dxa"/>
          </w:tcPr>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12475</w:t>
            </w:r>
          </w:p>
        </w:tc>
        <w:tc>
          <w:tcPr>
            <w:tcW w:w="1417" w:type="dxa"/>
          </w:tcPr>
          <w:p w:rsidR="009658CD" w:rsidRPr="00880ECD" w:rsidRDefault="009658CD" w:rsidP="00F63914">
            <w:pPr>
              <w:spacing w:after="0" w:line="240" w:lineRule="auto"/>
              <w:jc w:val="center"/>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4854,6</w:t>
            </w:r>
          </w:p>
        </w:tc>
        <w:tc>
          <w:tcPr>
            <w:tcW w:w="1560" w:type="dxa"/>
          </w:tcPr>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2938</w:t>
            </w:r>
          </w:p>
        </w:tc>
        <w:tc>
          <w:tcPr>
            <w:tcW w:w="1559" w:type="dxa"/>
          </w:tcPr>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1551,4</w:t>
            </w:r>
          </w:p>
        </w:tc>
        <w:tc>
          <w:tcPr>
            <w:tcW w:w="1829" w:type="dxa"/>
          </w:tcPr>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15413</w:t>
            </w:r>
          </w:p>
        </w:tc>
        <w:tc>
          <w:tcPr>
            <w:tcW w:w="1829" w:type="dxa"/>
          </w:tcPr>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6406</w:t>
            </w:r>
          </w:p>
        </w:tc>
      </w:tr>
    </w:tbl>
    <w:p w:rsidR="009658CD" w:rsidRPr="00880ECD" w:rsidRDefault="009658CD" w:rsidP="00F63914">
      <w:pPr>
        <w:spacing w:after="0" w:line="240" w:lineRule="auto"/>
        <w:jc w:val="both"/>
        <w:rPr>
          <w:rFonts w:ascii="Times New Roman" w:eastAsia="Times New Roman" w:hAnsi="Times New Roman" w:cs="Times New Roman"/>
          <w:sz w:val="28"/>
          <w:szCs w:val="28"/>
          <w:highlight w:val="red"/>
          <w:lang w:eastAsia="bg-BG"/>
        </w:rPr>
      </w:pPr>
    </w:p>
    <w:p w:rsidR="009658CD" w:rsidRPr="00880ECD" w:rsidRDefault="009658CD" w:rsidP="00F63914">
      <w:pPr>
        <w:keepNext/>
        <w:keepLines/>
        <w:spacing w:before="480" w:after="0"/>
        <w:ind w:firstLine="708"/>
        <w:jc w:val="both"/>
        <w:outlineLvl w:val="0"/>
        <w:rPr>
          <w:rFonts w:ascii="Times New Roman" w:eastAsia="Times New Roman" w:hAnsi="Times New Roman" w:cs="Times New Roman"/>
          <w:b/>
          <w:bCs/>
          <w:color w:val="2F5496"/>
          <w:sz w:val="28"/>
          <w:szCs w:val="28"/>
          <w:lang w:val="ru-RU"/>
        </w:rPr>
      </w:pPr>
      <w:bookmarkStart w:id="24" w:name="_Toc94019606"/>
      <w:r w:rsidRPr="00880ECD">
        <w:rPr>
          <w:rFonts w:ascii="Times New Roman" w:eastAsia="Times New Roman" w:hAnsi="Times New Roman" w:cs="Times New Roman"/>
          <w:b/>
          <w:bCs/>
          <w:color w:val="2F5496"/>
          <w:sz w:val="28"/>
          <w:szCs w:val="28"/>
          <w:lang w:val="ru-RU"/>
        </w:rPr>
        <w:t xml:space="preserve">НАТОВАРЕНОСТ НА ПРОКУРОРСКИТЕ ОРГАНИ В РП-ВАРНА </w:t>
      </w:r>
      <w:bookmarkEnd w:id="24"/>
    </w:p>
    <w:p w:rsidR="009658CD" w:rsidRPr="00880ECD" w:rsidRDefault="009658CD" w:rsidP="00F63914">
      <w:pPr>
        <w:tabs>
          <w:tab w:val="left" w:pos="567"/>
        </w:tabs>
        <w:spacing w:before="120" w:after="0" w:line="240" w:lineRule="auto"/>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4"/>
          <w:szCs w:val="24"/>
          <w:lang w:eastAsia="bg-BG"/>
        </w:rPr>
        <w:tab/>
      </w:r>
      <w:r w:rsidRPr="00880ECD">
        <w:rPr>
          <w:rFonts w:ascii="Times New Roman" w:eastAsia="Times New Roman" w:hAnsi="Times New Roman" w:cs="Times New Roman"/>
          <w:sz w:val="28"/>
          <w:szCs w:val="28"/>
          <w:lang w:eastAsia="bg-BG"/>
        </w:rPr>
        <w:t>При отчитане натовареността на прокурорите от Районна прокуратура-Варна в настоящия раздел са използвани същите методи за измерване на натовареността.</w:t>
      </w:r>
      <w:bookmarkStart w:id="25" w:name="_Toc94019607"/>
    </w:p>
    <w:p w:rsidR="009658CD" w:rsidRPr="00880ECD" w:rsidRDefault="009658CD" w:rsidP="00F63914">
      <w:pPr>
        <w:tabs>
          <w:tab w:val="left" w:pos="567"/>
        </w:tabs>
        <w:spacing w:before="120" w:after="0" w:line="240" w:lineRule="auto"/>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ab/>
      </w:r>
      <w:r w:rsidRPr="00880ECD">
        <w:rPr>
          <w:rFonts w:ascii="Times New Roman" w:eastAsia="Times New Roman" w:hAnsi="Times New Roman" w:cs="Times New Roman"/>
          <w:sz w:val="24"/>
          <w:szCs w:val="24"/>
          <w:lang w:eastAsia="bg-BG"/>
        </w:rPr>
        <w:tab/>
      </w:r>
      <w:r w:rsidRPr="00880ECD">
        <w:rPr>
          <w:rFonts w:ascii="Times New Roman" w:eastAsia="Times New Roman" w:hAnsi="Times New Roman" w:cs="Times New Roman"/>
          <w:sz w:val="24"/>
          <w:szCs w:val="24"/>
          <w:lang w:eastAsia="bg-BG"/>
        </w:rPr>
        <w:tab/>
      </w:r>
      <w:r w:rsidRPr="00880ECD">
        <w:rPr>
          <w:rFonts w:ascii="Times New Roman" w:eastAsia="Times New Roman" w:hAnsi="Times New Roman" w:cs="Times New Roman"/>
          <w:sz w:val="24"/>
          <w:szCs w:val="24"/>
          <w:lang w:eastAsia="bg-BG"/>
        </w:rPr>
        <w:tab/>
      </w:r>
      <w:r w:rsidRPr="00880ECD">
        <w:rPr>
          <w:rFonts w:ascii="Times New Roman" w:eastAsia="Times New Roman" w:hAnsi="Times New Roman" w:cs="Times New Roman"/>
          <w:color w:val="2F5496"/>
          <w:sz w:val="24"/>
          <w:szCs w:val="24"/>
          <w:lang w:eastAsia="bg-BG"/>
        </w:rPr>
        <w:t>ОБЕМ НА ПРОКУРОРСКАТА ДЕЙНОСТ</w:t>
      </w:r>
      <w:bookmarkEnd w:id="25"/>
    </w:p>
    <w:p w:rsidR="009658CD" w:rsidRPr="00880ECD" w:rsidRDefault="009658CD" w:rsidP="00F63914">
      <w:pPr>
        <w:spacing w:before="120" w:after="0" w:line="240" w:lineRule="auto"/>
        <w:ind w:firstLine="708"/>
        <w:jc w:val="both"/>
        <w:rPr>
          <w:rFonts w:ascii="Times New Roman" w:eastAsia="Calibri" w:hAnsi="Times New Roman" w:cs="Times New Roman"/>
          <w:sz w:val="28"/>
          <w:szCs w:val="28"/>
          <w:lang w:eastAsia="bg-BG"/>
        </w:rPr>
      </w:pPr>
      <w:r w:rsidRPr="00880ECD">
        <w:rPr>
          <w:rFonts w:ascii="Times New Roman" w:eastAsia="Calibri" w:hAnsi="Times New Roman" w:cs="Times New Roman"/>
          <w:sz w:val="28"/>
          <w:szCs w:val="28"/>
          <w:lang w:eastAsia="bg-BG"/>
        </w:rPr>
        <w:t xml:space="preserve">.                                                                                                                                                                                                                                                                                                                                                                                                                                                                                                                                                                                                                                                                                                                                                                                                                                                                                                                                                                                                                                                                                                                                                                                                                                                                                                                                                                                                                                                                                                                                                                                                                                                                                                                                                                                                                                                                                                                                                                                                                                                                                                                                                                                                                                                                                                                                                                                                                                                                                                                                                                                                                                                                                                                                                                                                                                                                                                                                                                                                                                                                                                                                                                                                                                                                                                                                                                                                                                                                                                                                                                                                                                                                                                                                                                                                                                                                                                                                                                                                                                                                                                                                                                                                                                                                                                                                                                                                                                                                                                                                                                                          </w:t>
      </w:r>
    </w:p>
    <w:p w:rsidR="009658CD" w:rsidRPr="00880ECD" w:rsidRDefault="009658CD" w:rsidP="00F63914">
      <w:pPr>
        <w:spacing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 xml:space="preserve">При броя на внесените в съда прокурорски актове през отчетния период се наблюдава увеличение с 1,3%   спрямо 2020 г. и с 48,2% спрямо 2019 г. </w:t>
      </w:r>
    </w:p>
    <w:p w:rsidR="009658CD" w:rsidRPr="00880ECD" w:rsidRDefault="009658CD" w:rsidP="00F63914">
      <w:pPr>
        <w:spacing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По отношение на участията на прокурорите в съдебни заседания  през 2021 г., резултатите показват  от  ръст от 12,5%     спрямо 2020 г. и  с 28,7% спрямо 2019 г.</w:t>
      </w:r>
    </w:p>
    <w:p w:rsidR="009658CD" w:rsidRPr="00880ECD" w:rsidRDefault="009658CD" w:rsidP="00F63914">
      <w:pPr>
        <w:spacing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Общият брой на другите прокурорски актове и дейности по всички видове надзори е намалял спрямо 2020 г. с 2,9%, а  спрямо 2019 г. се е увеличил  с 29,9%).</w:t>
      </w:r>
    </w:p>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r w:rsidRPr="00880ECD">
        <w:rPr>
          <w:rFonts w:ascii="Times New Roman" w:eastAsia="Calibri" w:hAnsi="Times New Roman" w:cs="Times New Roman"/>
          <w:sz w:val="28"/>
          <w:szCs w:val="28"/>
          <w:lang w:eastAsia="bg-BG"/>
        </w:rPr>
        <w:t>Спрямо 2020</w:t>
      </w:r>
      <w:r w:rsidRPr="00880ECD">
        <w:rPr>
          <w:rFonts w:ascii="Times New Roman" w:eastAsia="Calibri" w:hAnsi="Times New Roman" w:cs="Times New Roman"/>
          <w:sz w:val="28"/>
          <w:szCs w:val="28"/>
          <w:lang w:val="ru-RU" w:eastAsia="bg-BG"/>
        </w:rPr>
        <w:t xml:space="preserve"> </w:t>
      </w:r>
      <w:r w:rsidRPr="00880ECD">
        <w:rPr>
          <w:rFonts w:ascii="Times New Roman" w:eastAsia="Calibri" w:hAnsi="Times New Roman" w:cs="Times New Roman"/>
          <w:sz w:val="28"/>
          <w:szCs w:val="28"/>
          <w:lang w:eastAsia="bg-BG"/>
        </w:rPr>
        <w:t>г., общият обем на прокурорската дейност за отчетния период е намалял с 2,2%,  а в сравнение с 2019 г. се отчита увеличение с 13,2%.</w:t>
      </w:r>
      <w:r w:rsidRPr="00880ECD">
        <w:rPr>
          <w:rFonts w:ascii="Times New Roman" w:eastAsia="Times New Roman" w:hAnsi="Times New Roman" w:cs="Times New Roman"/>
          <w:sz w:val="28"/>
          <w:szCs w:val="28"/>
          <w:lang w:eastAsia="bg-BG"/>
        </w:rPr>
        <w:t xml:space="preserve"> </w:t>
      </w:r>
    </w:p>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noProof/>
          <w:sz w:val="24"/>
          <w:szCs w:val="24"/>
          <w:lang w:eastAsia="bg-BG"/>
        </w:rPr>
        <w:drawing>
          <wp:inline distT="0" distB="0" distL="0" distR="0" wp14:anchorId="3D298812" wp14:editId="7D55E670">
            <wp:extent cx="5514451" cy="2146300"/>
            <wp:effectExtent l="0" t="0" r="10160" b="6350"/>
            <wp:docPr id="36" name="Диагра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9658CD" w:rsidRPr="00880ECD" w:rsidRDefault="009658CD" w:rsidP="00F63914">
      <w:pPr>
        <w:spacing w:before="120" w:after="0" w:line="240" w:lineRule="auto"/>
        <w:jc w:val="center"/>
        <w:rPr>
          <w:rFonts w:ascii="Times New Roman" w:eastAsia="Calibri" w:hAnsi="Times New Roman" w:cs="Times New Roman"/>
          <w:i/>
          <w:sz w:val="24"/>
          <w:szCs w:val="24"/>
          <w:lang w:eastAsia="bg-BG"/>
        </w:rPr>
      </w:pPr>
      <w:r w:rsidRPr="00880ECD">
        <w:rPr>
          <w:rFonts w:ascii="Times New Roman" w:eastAsia="Calibri" w:hAnsi="Times New Roman" w:cs="Times New Roman"/>
          <w:i/>
          <w:sz w:val="24"/>
          <w:szCs w:val="24"/>
          <w:lang w:eastAsia="bg-BG"/>
        </w:rPr>
        <w:t xml:space="preserve">  Общ обем на прокурорската дейност</w:t>
      </w:r>
    </w:p>
    <w:p w:rsidR="009658CD" w:rsidRPr="00880ECD" w:rsidRDefault="009658CD" w:rsidP="00F63914">
      <w:pPr>
        <w:spacing w:before="120" w:after="0" w:line="240" w:lineRule="auto"/>
        <w:rPr>
          <w:rFonts w:ascii="Times New Roman" w:eastAsia="Times New Roman" w:hAnsi="Times New Roman" w:cs="Times New Roman"/>
          <w:bCs/>
          <w:sz w:val="24"/>
          <w:szCs w:val="24"/>
          <w:lang w:eastAsia="bg-BG"/>
        </w:rPr>
      </w:pPr>
    </w:p>
    <w:p w:rsidR="009658CD" w:rsidRPr="00880ECD" w:rsidRDefault="009658CD" w:rsidP="00F63914">
      <w:pPr>
        <w:spacing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Освен общ обем на прокурорската дейност в следващата таблица са представени данни за брой наблюдавани и решени преписки,  новообразувани, наблюдавани и решени дела, с оглед  на конкретизиране на натовареността:</w:t>
      </w:r>
    </w:p>
    <w:p w:rsidR="009658CD" w:rsidRPr="00880ECD" w:rsidRDefault="009658CD" w:rsidP="00F63914">
      <w:pPr>
        <w:spacing w:after="0" w:line="240" w:lineRule="auto"/>
        <w:jc w:val="both"/>
        <w:rPr>
          <w:rFonts w:ascii="Times New Roman" w:eastAsia="Times New Roman" w:hAnsi="Times New Roman" w:cs="Times New Roman"/>
          <w:sz w:val="28"/>
          <w:szCs w:val="28"/>
          <w:lang w:eastAsia="bg-BG"/>
        </w:rPr>
      </w:pPr>
    </w:p>
    <w:tbl>
      <w:tblPr>
        <w:tblW w:w="9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851"/>
        <w:gridCol w:w="851"/>
        <w:gridCol w:w="851"/>
        <w:gridCol w:w="851"/>
        <w:gridCol w:w="1416"/>
        <w:gridCol w:w="710"/>
        <w:gridCol w:w="1417"/>
      </w:tblGrid>
      <w:tr w:rsidR="009658CD" w:rsidRPr="00880ECD" w:rsidTr="009658CD">
        <w:trPr>
          <w:trHeight w:val="20"/>
          <w:jc w:val="center"/>
        </w:trPr>
        <w:tc>
          <w:tcPr>
            <w:tcW w:w="2590" w:type="dxa"/>
            <w:vMerge w:val="restart"/>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Показатели</w:t>
            </w:r>
          </w:p>
        </w:tc>
        <w:tc>
          <w:tcPr>
            <w:tcW w:w="851" w:type="dxa"/>
            <w:vMerge w:val="restart"/>
            <w:shd w:val="clear" w:color="auto" w:fill="E5B8B7" w:themeFill="accent2" w:themeFillTint="66"/>
            <w:vAlign w:val="center"/>
          </w:tcPr>
          <w:p w:rsidR="009658CD" w:rsidRPr="00880ECD" w:rsidRDefault="009658CD" w:rsidP="00F63914">
            <w:pPr>
              <w:spacing w:after="0" w:line="240" w:lineRule="auto"/>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2019 г.</w:t>
            </w:r>
          </w:p>
        </w:tc>
        <w:tc>
          <w:tcPr>
            <w:tcW w:w="851" w:type="dxa"/>
            <w:vMerge w:val="restart"/>
            <w:shd w:val="clear" w:color="auto" w:fill="E5B8B7" w:themeFill="accent2" w:themeFillTint="66"/>
            <w:vAlign w:val="center"/>
          </w:tcPr>
          <w:p w:rsidR="009658CD" w:rsidRPr="00880ECD" w:rsidRDefault="009658CD" w:rsidP="00F63914">
            <w:pPr>
              <w:spacing w:after="0" w:line="240" w:lineRule="auto"/>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2020 г.</w:t>
            </w:r>
          </w:p>
        </w:tc>
        <w:tc>
          <w:tcPr>
            <w:tcW w:w="851" w:type="dxa"/>
            <w:vMerge w:val="restart"/>
            <w:shd w:val="clear" w:color="auto" w:fill="E5B8B7" w:themeFill="accent2" w:themeFillTint="66"/>
            <w:vAlign w:val="center"/>
          </w:tcPr>
          <w:p w:rsidR="009658CD" w:rsidRPr="00880ECD" w:rsidRDefault="009658CD" w:rsidP="00F63914">
            <w:pPr>
              <w:spacing w:after="0" w:line="240" w:lineRule="auto"/>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2021 г.</w:t>
            </w:r>
          </w:p>
        </w:tc>
        <w:tc>
          <w:tcPr>
            <w:tcW w:w="4394" w:type="dxa"/>
            <w:gridSpan w:val="4"/>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Разлика спрямо съответната година</w:t>
            </w:r>
          </w:p>
        </w:tc>
      </w:tr>
      <w:tr w:rsidR="009658CD" w:rsidRPr="00880ECD" w:rsidTr="009658CD">
        <w:trPr>
          <w:trHeight w:val="20"/>
          <w:jc w:val="center"/>
        </w:trPr>
        <w:tc>
          <w:tcPr>
            <w:tcW w:w="2590" w:type="dxa"/>
            <w:vMerge/>
            <w:shd w:val="clear" w:color="auto" w:fill="E5B8B7" w:themeFill="accent2" w:themeFillTint="66"/>
            <w:vAlign w:val="center"/>
          </w:tcPr>
          <w:p w:rsidR="009658CD" w:rsidRPr="00880ECD" w:rsidRDefault="009658CD" w:rsidP="00F63914">
            <w:pPr>
              <w:spacing w:after="0" w:line="240" w:lineRule="auto"/>
              <w:rPr>
                <w:rFonts w:ascii="Times New Roman" w:eastAsia="Times New Roman" w:hAnsi="Times New Roman" w:cs="Times New Roman"/>
                <w:b/>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2267" w:type="dxa"/>
            <w:gridSpan w:val="2"/>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2020 г.</w:t>
            </w:r>
          </w:p>
        </w:tc>
        <w:tc>
          <w:tcPr>
            <w:tcW w:w="2127" w:type="dxa"/>
            <w:gridSpan w:val="2"/>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2019 г.</w:t>
            </w:r>
          </w:p>
        </w:tc>
      </w:tr>
      <w:tr w:rsidR="009658CD" w:rsidRPr="00880ECD" w:rsidTr="009658CD">
        <w:trPr>
          <w:trHeight w:val="20"/>
          <w:jc w:val="center"/>
        </w:trPr>
        <w:tc>
          <w:tcPr>
            <w:tcW w:w="2590" w:type="dxa"/>
            <w:vMerge/>
            <w:shd w:val="clear" w:color="auto" w:fill="E5B8B7" w:themeFill="accent2" w:themeFillTint="66"/>
            <w:vAlign w:val="center"/>
          </w:tcPr>
          <w:p w:rsidR="009658CD" w:rsidRPr="00880ECD" w:rsidRDefault="009658CD" w:rsidP="00F63914">
            <w:pPr>
              <w:spacing w:after="0" w:line="240" w:lineRule="auto"/>
              <w:rPr>
                <w:rFonts w:ascii="Times New Roman" w:eastAsia="Times New Roman" w:hAnsi="Times New Roman" w:cs="Times New Roman"/>
                <w:b/>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4"/>
                <w:szCs w:val="24"/>
                <w:lang w:eastAsia="bg-BG"/>
              </w:rPr>
            </w:pPr>
          </w:p>
        </w:tc>
        <w:tc>
          <w:tcPr>
            <w:tcW w:w="851"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p>
        </w:tc>
        <w:tc>
          <w:tcPr>
            <w:tcW w:w="851" w:type="dxa"/>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в %</w:t>
            </w:r>
          </w:p>
        </w:tc>
        <w:tc>
          <w:tcPr>
            <w:tcW w:w="1416" w:type="dxa"/>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вид</w:t>
            </w:r>
          </w:p>
        </w:tc>
        <w:tc>
          <w:tcPr>
            <w:tcW w:w="710" w:type="dxa"/>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в %</w:t>
            </w:r>
          </w:p>
        </w:tc>
        <w:tc>
          <w:tcPr>
            <w:tcW w:w="1417" w:type="dxa"/>
            <w:shd w:val="clear" w:color="auto" w:fill="E5B8B7" w:themeFill="accent2" w:themeFillTint="66"/>
            <w:noWrap/>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Вид</w:t>
            </w:r>
          </w:p>
        </w:tc>
      </w:tr>
      <w:tr w:rsidR="009658CD" w:rsidRPr="00880ECD" w:rsidTr="009658CD">
        <w:trPr>
          <w:trHeight w:val="20"/>
          <w:jc w:val="center"/>
        </w:trPr>
        <w:tc>
          <w:tcPr>
            <w:tcW w:w="2590" w:type="dxa"/>
            <w:vAlign w:val="center"/>
          </w:tcPr>
          <w:p w:rsidR="009658CD" w:rsidRPr="00880ECD" w:rsidRDefault="009658CD" w:rsidP="00F63914">
            <w:pPr>
              <w:spacing w:after="0" w:line="240" w:lineRule="auto"/>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Наблюдавани преписки</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15662</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16967</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16485</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-2,8</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5,3</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vAlign w:val="center"/>
          </w:tcPr>
          <w:p w:rsidR="009658CD" w:rsidRPr="00880ECD" w:rsidRDefault="009658CD" w:rsidP="00F63914">
            <w:pPr>
              <w:spacing w:after="0" w:line="240" w:lineRule="auto"/>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lastRenderedPageBreak/>
              <w:t>Решени преписки</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15160</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16555</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16087</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-2,8</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6,1</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Новообразувани ДП</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6861</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7303</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6880</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-5,8</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0,3</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Наблюдавани ДП /включително и прекратени по давност/</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12990</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15853</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14117</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-11</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8,7</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shd w:val="clear" w:color="auto" w:fill="auto"/>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Решени ДП</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8626</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11253</w:t>
            </w:r>
          </w:p>
        </w:tc>
        <w:tc>
          <w:tcPr>
            <w:tcW w:w="851" w:type="dxa"/>
            <w:shd w:val="clear" w:color="auto" w:fill="auto"/>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9613</w:t>
            </w:r>
          </w:p>
        </w:tc>
        <w:tc>
          <w:tcPr>
            <w:tcW w:w="851" w:type="dxa"/>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-14,6</w:t>
            </w:r>
          </w:p>
        </w:tc>
        <w:tc>
          <w:tcPr>
            <w:tcW w:w="1416" w:type="dxa"/>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11,4</w:t>
            </w:r>
          </w:p>
        </w:tc>
        <w:tc>
          <w:tcPr>
            <w:tcW w:w="1417" w:type="dxa"/>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Прокурорски актове,  внесени в съда</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1032</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1509</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1529</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1,3</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48,2</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20"/>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Общо участия в съдебни заседания</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2804</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3207</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3608</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12,5</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28,7</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423"/>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Общо др. </w:t>
            </w:r>
            <w:proofErr w:type="spellStart"/>
            <w:r w:rsidRPr="00880ECD">
              <w:rPr>
                <w:rFonts w:ascii="Times New Roman" w:eastAsia="Times New Roman" w:hAnsi="Times New Roman" w:cs="Times New Roman"/>
                <w:sz w:val="24"/>
                <w:szCs w:val="24"/>
                <w:lang w:eastAsia="bg-BG"/>
              </w:rPr>
              <w:t>прок</w:t>
            </w:r>
            <w:proofErr w:type="spellEnd"/>
            <w:r w:rsidRPr="00880ECD">
              <w:rPr>
                <w:rFonts w:ascii="Times New Roman" w:eastAsia="Times New Roman" w:hAnsi="Times New Roman" w:cs="Times New Roman"/>
                <w:sz w:val="24"/>
                <w:szCs w:val="24"/>
                <w:lang w:eastAsia="bg-BG"/>
              </w:rPr>
              <w:t>. актове и дейности</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68236</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78670</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76424</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-2,9</w:t>
            </w:r>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12</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r w:rsidR="009658CD" w:rsidRPr="00880ECD" w:rsidTr="009658CD">
        <w:trPr>
          <w:trHeight w:val="389"/>
          <w:jc w:val="center"/>
        </w:trPr>
        <w:tc>
          <w:tcPr>
            <w:tcW w:w="2590" w:type="dxa"/>
            <w:noWrap/>
            <w:vAlign w:val="center"/>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Общ обем на прокурорската дейност</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72072</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83386</w:t>
            </w:r>
          </w:p>
        </w:tc>
        <w:tc>
          <w:tcPr>
            <w:tcW w:w="851" w:type="dxa"/>
            <w:vAlign w:val="center"/>
          </w:tcPr>
          <w:p w:rsidR="009658CD" w:rsidRPr="00880ECD" w:rsidRDefault="009658CD" w:rsidP="00F63914">
            <w:pPr>
              <w:spacing w:after="0" w:line="240" w:lineRule="auto"/>
              <w:jc w:val="right"/>
              <w:rPr>
                <w:rFonts w:ascii="Times New Roman" w:eastAsia="Calibri" w:hAnsi="Times New Roman" w:cs="Times New Roman"/>
                <w:b/>
                <w:sz w:val="24"/>
                <w:szCs w:val="24"/>
                <w:lang w:eastAsia="bg-BG"/>
              </w:rPr>
            </w:pPr>
            <w:r w:rsidRPr="00880ECD">
              <w:rPr>
                <w:rFonts w:ascii="Times New Roman" w:eastAsia="Calibri" w:hAnsi="Times New Roman" w:cs="Times New Roman"/>
                <w:b/>
                <w:sz w:val="24"/>
                <w:szCs w:val="24"/>
                <w:lang w:eastAsia="bg-BG"/>
              </w:rPr>
              <w:t>81561</w:t>
            </w:r>
          </w:p>
        </w:tc>
        <w:tc>
          <w:tcPr>
            <w:tcW w:w="851"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-2,</w:t>
            </w:r>
            <w:proofErr w:type="spellStart"/>
            <w:r w:rsidRPr="00880ECD">
              <w:rPr>
                <w:rFonts w:ascii="Times New Roman" w:eastAsia="Calibri" w:hAnsi="Times New Roman" w:cs="Times New Roman"/>
                <w:sz w:val="24"/>
                <w:szCs w:val="24"/>
                <w:lang w:eastAsia="bg-BG"/>
              </w:rPr>
              <w:t>2</w:t>
            </w:r>
            <w:proofErr w:type="spellEnd"/>
          </w:p>
        </w:tc>
        <w:tc>
          <w:tcPr>
            <w:tcW w:w="1416"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Намаление</w:t>
            </w:r>
          </w:p>
        </w:tc>
        <w:tc>
          <w:tcPr>
            <w:tcW w:w="710"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13,2</w:t>
            </w:r>
          </w:p>
        </w:tc>
        <w:tc>
          <w:tcPr>
            <w:tcW w:w="1417" w:type="dxa"/>
            <w:noWrap/>
            <w:vAlign w:val="center"/>
          </w:tcPr>
          <w:p w:rsidR="009658CD" w:rsidRPr="00880ECD" w:rsidRDefault="009658CD" w:rsidP="00F63914">
            <w:pPr>
              <w:spacing w:after="0" w:line="240" w:lineRule="auto"/>
              <w:jc w:val="center"/>
              <w:rPr>
                <w:rFonts w:ascii="Times New Roman" w:eastAsia="Calibri" w:hAnsi="Times New Roman" w:cs="Times New Roman"/>
                <w:sz w:val="24"/>
                <w:szCs w:val="24"/>
                <w:lang w:eastAsia="bg-BG"/>
              </w:rPr>
            </w:pPr>
            <w:r w:rsidRPr="00880ECD">
              <w:rPr>
                <w:rFonts w:ascii="Times New Roman" w:eastAsia="Calibri" w:hAnsi="Times New Roman" w:cs="Times New Roman"/>
                <w:sz w:val="24"/>
                <w:szCs w:val="24"/>
                <w:lang w:eastAsia="bg-BG"/>
              </w:rPr>
              <w:t>Увеличение</w:t>
            </w:r>
          </w:p>
        </w:tc>
      </w:tr>
    </w:tbl>
    <w:p w:rsidR="009658CD" w:rsidRPr="00880ECD" w:rsidRDefault="009658CD" w:rsidP="00F63914">
      <w:pPr>
        <w:keepNext/>
        <w:keepLines/>
        <w:spacing w:before="480" w:after="0"/>
        <w:jc w:val="center"/>
        <w:outlineLvl w:val="0"/>
        <w:rPr>
          <w:rFonts w:ascii="Calibri Light" w:eastAsia="Times New Roman" w:hAnsi="Calibri Light" w:cs="Times New Roman"/>
          <w:b/>
          <w:bCs/>
          <w:i/>
          <w:color w:val="2F5496"/>
          <w:sz w:val="28"/>
          <w:szCs w:val="28"/>
        </w:rPr>
      </w:pPr>
      <w:bookmarkStart w:id="26" w:name="_Toc94019608"/>
      <w:r w:rsidRPr="00880ECD">
        <w:rPr>
          <w:rFonts w:ascii="Calibri Light" w:eastAsia="Times New Roman" w:hAnsi="Calibri Light" w:cs="Times New Roman"/>
          <w:b/>
          <w:bCs/>
          <w:color w:val="2F5496"/>
          <w:sz w:val="28"/>
          <w:szCs w:val="28"/>
        </w:rPr>
        <w:t>2. НАТОВАРЕНОСТ</w:t>
      </w:r>
      <w:bookmarkEnd w:id="26"/>
    </w:p>
    <w:p w:rsidR="009658CD" w:rsidRPr="00880ECD" w:rsidRDefault="009658CD" w:rsidP="00F63914">
      <w:pPr>
        <w:spacing w:after="12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Средната годишна натовареност на прокурор от РП-Варна, съобразно реално работилите прокурори е посочена в следващата таблица и е както следва:</w:t>
      </w:r>
    </w:p>
    <w:p w:rsidR="009658CD" w:rsidRPr="00880ECD" w:rsidRDefault="009658CD" w:rsidP="00F63914">
      <w:pPr>
        <w:spacing w:after="120" w:line="240" w:lineRule="auto"/>
        <w:jc w:val="both"/>
        <w:rPr>
          <w:rFonts w:ascii="Times New Roman" w:eastAsia="Times New Roman" w:hAnsi="Times New Roman" w:cs="Times New Roman"/>
          <w:sz w:val="28"/>
          <w:szCs w:val="28"/>
          <w:lang w:eastAsia="bg-BG"/>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01"/>
        <w:gridCol w:w="1000"/>
        <w:gridCol w:w="850"/>
        <w:gridCol w:w="851"/>
        <w:gridCol w:w="709"/>
        <w:gridCol w:w="1417"/>
        <w:gridCol w:w="709"/>
        <w:gridCol w:w="1417"/>
      </w:tblGrid>
      <w:tr w:rsidR="009658CD" w:rsidRPr="00880ECD" w:rsidTr="009658CD">
        <w:trPr>
          <w:trHeight w:val="383"/>
        </w:trPr>
        <w:tc>
          <w:tcPr>
            <w:tcW w:w="2701" w:type="dxa"/>
            <w:vMerge w:val="restart"/>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Средна натовареност на един прокурор по показатели</w:t>
            </w:r>
          </w:p>
        </w:tc>
        <w:tc>
          <w:tcPr>
            <w:tcW w:w="1000" w:type="dxa"/>
            <w:vMerge w:val="restart"/>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2019 г.</w:t>
            </w:r>
          </w:p>
        </w:tc>
        <w:tc>
          <w:tcPr>
            <w:tcW w:w="850" w:type="dxa"/>
            <w:vMerge w:val="restart"/>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bCs/>
                <w:sz w:val="20"/>
                <w:szCs w:val="20"/>
                <w:lang w:eastAsia="bg-BG"/>
              </w:rPr>
              <w:t>2020 г.</w:t>
            </w:r>
          </w:p>
        </w:tc>
        <w:tc>
          <w:tcPr>
            <w:tcW w:w="851" w:type="dxa"/>
            <w:vMerge w:val="restart"/>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sz w:val="20"/>
                <w:szCs w:val="20"/>
                <w:lang w:eastAsia="bg-BG"/>
              </w:rPr>
            </w:pPr>
            <w:r w:rsidRPr="00880ECD">
              <w:rPr>
                <w:rFonts w:ascii="Times New Roman" w:eastAsia="Times New Roman" w:hAnsi="Times New Roman" w:cs="Times New Roman"/>
                <w:b/>
                <w:bCs/>
                <w:sz w:val="20"/>
                <w:szCs w:val="20"/>
                <w:lang w:eastAsia="bg-BG"/>
              </w:rPr>
              <w:t>2021 г.</w:t>
            </w:r>
          </w:p>
        </w:tc>
        <w:tc>
          <w:tcPr>
            <w:tcW w:w="4252" w:type="dxa"/>
            <w:gridSpan w:val="4"/>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Разлика спрямо съответната година</w:t>
            </w:r>
          </w:p>
        </w:tc>
      </w:tr>
      <w:tr w:rsidR="009658CD" w:rsidRPr="00880ECD" w:rsidTr="009658CD">
        <w:trPr>
          <w:trHeight w:val="261"/>
        </w:trPr>
        <w:tc>
          <w:tcPr>
            <w:tcW w:w="2701" w:type="dxa"/>
            <w:vMerge/>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p>
        </w:tc>
        <w:tc>
          <w:tcPr>
            <w:tcW w:w="1000"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p>
        </w:tc>
        <w:tc>
          <w:tcPr>
            <w:tcW w:w="850"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p>
        </w:tc>
        <w:tc>
          <w:tcPr>
            <w:tcW w:w="851" w:type="dxa"/>
            <w:vMerge/>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sz w:val="20"/>
                <w:szCs w:val="20"/>
                <w:lang w:eastAsia="bg-BG"/>
              </w:rPr>
            </w:pPr>
          </w:p>
        </w:tc>
        <w:tc>
          <w:tcPr>
            <w:tcW w:w="2126" w:type="dxa"/>
            <w:gridSpan w:val="2"/>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bCs/>
                <w:sz w:val="20"/>
                <w:szCs w:val="20"/>
                <w:lang w:eastAsia="bg-BG"/>
              </w:rPr>
              <w:t>2020 г.</w:t>
            </w:r>
          </w:p>
        </w:tc>
        <w:tc>
          <w:tcPr>
            <w:tcW w:w="2126" w:type="dxa"/>
            <w:gridSpan w:val="2"/>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bCs/>
                <w:sz w:val="20"/>
                <w:szCs w:val="20"/>
                <w:lang w:eastAsia="bg-BG"/>
              </w:rPr>
              <w:t>2019 г.</w:t>
            </w:r>
          </w:p>
        </w:tc>
      </w:tr>
      <w:tr w:rsidR="009658CD" w:rsidRPr="00880ECD" w:rsidTr="009658CD">
        <w:trPr>
          <w:trHeight w:val="330"/>
        </w:trPr>
        <w:tc>
          <w:tcPr>
            <w:tcW w:w="2701" w:type="dxa"/>
            <w:vMerge/>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p>
        </w:tc>
        <w:tc>
          <w:tcPr>
            <w:tcW w:w="1000"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p>
        </w:tc>
        <w:tc>
          <w:tcPr>
            <w:tcW w:w="850" w:type="dxa"/>
            <w:vMerge/>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p>
        </w:tc>
        <w:tc>
          <w:tcPr>
            <w:tcW w:w="851" w:type="dxa"/>
            <w:vMerge/>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sz w:val="20"/>
                <w:szCs w:val="20"/>
                <w:lang w:eastAsia="bg-BG"/>
              </w:rPr>
            </w:pPr>
          </w:p>
        </w:tc>
        <w:tc>
          <w:tcPr>
            <w:tcW w:w="709" w:type="dxa"/>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в %</w:t>
            </w:r>
          </w:p>
        </w:tc>
        <w:tc>
          <w:tcPr>
            <w:tcW w:w="1417" w:type="dxa"/>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вид</w:t>
            </w:r>
          </w:p>
        </w:tc>
        <w:tc>
          <w:tcPr>
            <w:tcW w:w="709" w:type="dxa"/>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в %</w:t>
            </w:r>
          </w:p>
        </w:tc>
        <w:tc>
          <w:tcPr>
            <w:tcW w:w="1417" w:type="dxa"/>
            <w:shd w:val="clear" w:color="auto" w:fill="E5B8B7" w:themeFill="accent2" w:themeFillTint="66"/>
            <w:noWrap/>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Вид</w:t>
            </w:r>
          </w:p>
        </w:tc>
      </w:tr>
      <w:tr w:rsidR="009658CD" w:rsidRPr="00880ECD" w:rsidTr="009658CD">
        <w:trPr>
          <w:trHeight w:val="519"/>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Средна натовареност на един прокурор</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1638,0</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1635</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1664,5</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1,8</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1,6</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r>
      <w:tr w:rsidR="009658CD" w:rsidRPr="00880ECD" w:rsidTr="009658CD">
        <w:trPr>
          <w:trHeight w:val="330"/>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Наблюдавани преписки</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356,0</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332,7</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336,4</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w:t>
            </w:r>
            <w:proofErr w:type="spellStart"/>
            <w:r w:rsidRPr="00880ECD">
              <w:rPr>
                <w:rFonts w:ascii="Times New Roman" w:eastAsia="Calibri" w:hAnsi="Times New Roman" w:cs="Times New Roman"/>
                <w:sz w:val="20"/>
                <w:szCs w:val="20"/>
                <w:lang w:eastAsia="bg-BG"/>
              </w:rPr>
              <w:t>1</w:t>
            </w:r>
            <w:proofErr w:type="spellEnd"/>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-5,</w:t>
            </w:r>
            <w:proofErr w:type="spellStart"/>
            <w:r w:rsidRPr="00880ECD">
              <w:rPr>
                <w:rFonts w:ascii="Times New Roman" w:eastAsia="Calibri" w:hAnsi="Times New Roman" w:cs="Times New Roman"/>
                <w:sz w:val="20"/>
                <w:szCs w:val="20"/>
                <w:lang w:eastAsia="bg-BG"/>
              </w:rPr>
              <w:t>5</w:t>
            </w:r>
            <w:proofErr w:type="spellEnd"/>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r>
      <w:tr w:rsidR="009658CD" w:rsidRPr="00880ECD" w:rsidTr="009658CD">
        <w:trPr>
          <w:trHeight w:val="330"/>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Решени преписки</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344,5</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324,6</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328,3</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w:t>
            </w:r>
            <w:proofErr w:type="spellStart"/>
            <w:r w:rsidRPr="00880ECD">
              <w:rPr>
                <w:rFonts w:ascii="Times New Roman" w:eastAsia="Calibri" w:hAnsi="Times New Roman" w:cs="Times New Roman"/>
                <w:sz w:val="20"/>
                <w:szCs w:val="20"/>
                <w:lang w:eastAsia="bg-BG"/>
              </w:rPr>
              <w:t>1</w:t>
            </w:r>
            <w:proofErr w:type="spellEnd"/>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-4,7</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r>
      <w:tr w:rsidR="009658CD" w:rsidRPr="00880ECD" w:rsidTr="009658CD">
        <w:trPr>
          <w:trHeight w:val="330"/>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Новообразувани ДП</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155,9</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143,2</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140,4</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-2,0</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-9,</w:t>
            </w:r>
            <w:proofErr w:type="spellStart"/>
            <w:r w:rsidRPr="00880ECD">
              <w:rPr>
                <w:rFonts w:ascii="Times New Roman" w:eastAsia="Calibri" w:hAnsi="Times New Roman" w:cs="Times New Roman"/>
                <w:sz w:val="20"/>
                <w:szCs w:val="20"/>
                <w:lang w:eastAsia="bg-BG"/>
              </w:rPr>
              <w:t>9</w:t>
            </w:r>
            <w:proofErr w:type="spellEnd"/>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r>
      <w:tr w:rsidR="009658CD" w:rsidRPr="00880ECD" w:rsidTr="009658CD">
        <w:trPr>
          <w:trHeight w:val="645"/>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Наблюдавани ДП /вкл. прекратени по давност/</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295,2</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310,8</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288,1</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-7,3</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-2,4</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r>
      <w:tr w:rsidR="009658CD" w:rsidRPr="00880ECD" w:rsidTr="009658CD">
        <w:trPr>
          <w:trHeight w:val="330"/>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Решени ДП</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196,0</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220,6</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196,1</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-11,1</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Намаление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0,1</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r>
      <w:tr w:rsidR="009658CD" w:rsidRPr="00880ECD" w:rsidTr="009658CD">
        <w:trPr>
          <w:trHeight w:val="543"/>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Прокурорски актове,  внесени в съда</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23,5</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29,6</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31,2</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5,4</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32,8</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r>
      <w:tr w:rsidR="009658CD" w:rsidRPr="00880ECD" w:rsidTr="009658CD">
        <w:trPr>
          <w:trHeight w:val="595"/>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Общо участия в съдебни заседания</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63,7</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62,9</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73,6</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17,0</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15,5</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r>
      <w:tr w:rsidR="009658CD" w:rsidRPr="00880ECD" w:rsidTr="009658CD">
        <w:trPr>
          <w:trHeight w:val="350"/>
        </w:trPr>
        <w:tc>
          <w:tcPr>
            <w:tcW w:w="2701" w:type="dxa"/>
            <w:shd w:val="clear" w:color="auto" w:fill="auto"/>
            <w:vAlign w:val="center"/>
            <w:hideMark/>
          </w:tcPr>
          <w:p w:rsidR="009658CD" w:rsidRPr="00880ECD" w:rsidRDefault="009658CD" w:rsidP="00F63914">
            <w:pPr>
              <w:spacing w:after="0" w:line="240" w:lineRule="auto"/>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 xml:space="preserve">Общо др. </w:t>
            </w:r>
            <w:proofErr w:type="spellStart"/>
            <w:r w:rsidRPr="00880ECD">
              <w:rPr>
                <w:rFonts w:ascii="Times New Roman" w:eastAsia="Times New Roman" w:hAnsi="Times New Roman" w:cs="Times New Roman"/>
                <w:sz w:val="20"/>
                <w:szCs w:val="20"/>
                <w:lang w:eastAsia="bg-BG"/>
              </w:rPr>
              <w:t>прок</w:t>
            </w:r>
            <w:proofErr w:type="spellEnd"/>
            <w:r w:rsidRPr="00880ECD">
              <w:rPr>
                <w:rFonts w:ascii="Times New Roman" w:eastAsia="Times New Roman" w:hAnsi="Times New Roman" w:cs="Times New Roman"/>
                <w:sz w:val="20"/>
                <w:szCs w:val="20"/>
                <w:lang w:eastAsia="bg-BG"/>
              </w:rPr>
              <w:t>. актове и дейности</w:t>
            </w:r>
          </w:p>
        </w:tc>
        <w:tc>
          <w:tcPr>
            <w:tcW w:w="100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1550,8</w:t>
            </w:r>
          </w:p>
        </w:tc>
        <w:tc>
          <w:tcPr>
            <w:tcW w:w="850" w:type="dxa"/>
            <w:vAlign w:val="center"/>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1542,5</w:t>
            </w:r>
          </w:p>
        </w:tc>
        <w:tc>
          <w:tcPr>
            <w:tcW w:w="851" w:type="dxa"/>
            <w:shd w:val="clear" w:color="auto" w:fill="auto"/>
            <w:vAlign w:val="center"/>
          </w:tcPr>
          <w:p w:rsidR="009658CD" w:rsidRPr="00880ECD" w:rsidRDefault="009658CD" w:rsidP="00F63914">
            <w:pPr>
              <w:spacing w:after="0" w:line="240" w:lineRule="auto"/>
              <w:jc w:val="center"/>
              <w:rPr>
                <w:rFonts w:ascii="Times New Roman" w:eastAsia="Calibri" w:hAnsi="Times New Roman" w:cs="Times New Roman"/>
                <w:b/>
                <w:sz w:val="20"/>
                <w:szCs w:val="20"/>
                <w:lang w:eastAsia="bg-BG"/>
              </w:rPr>
            </w:pPr>
            <w:r w:rsidRPr="00880ECD">
              <w:rPr>
                <w:rFonts w:ascii="Times New Roman" w:eastAsia="Calibri" w:hAnsi="Times New Roman" w:cs="Times New Roman"/>
                <w:b/>
                <w:sz w:val="20"/>
                <w:szCs w:val="20"/>
                <w:lang w:eastAsia="bg-BG"/>
              </w:rPr>
              <w:t>1559,7</w:t>
            </w:r>
          </w:p>
        </w:tc>
        <w:tc>
          <w:tcPr>
            <w:tcW w:w="709" w:type="dxa"/>
            <w:shd w:val="clear" w:color="000000" w:fill="FFFFFF"/>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1,</w:t>
            </w:r>
            <w:proofErr w:type="spellStart"/>
            <w:r w:rsidRPr="00880ECD">
              <w:rPr>
                <w:rFonts w:ascii="Times New Roman" w:eastAsia="Calibri" w:hAnsi="Times New Roman" w:cs="Times New Roman"/>
                <w:sz w:val="20"/>
                <w:szCs w:val="20"/>
                <w:lang w:eastAsia="bg-BG"/>
              </w:rPr>
              <w:t>1</w:t>
            </w:r>
            <w:proofErr w:type="spellEnd"/>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c>
          <w:tcPr>
            <w:tcW w:w="709"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0,6</w:t>
            </w:r>
          </w:p>
        </w:tc>
        <w:tc>
          <w:tcPr>
            <w:tcW w:w="1417" w:type="dxa"/>
            <w:shd w:val="clear" w:color="auto" w:fill="auto"/>
            <w:noWrap/>
            <w:vAlign w:val="center"/>
            <w:hideMark/>
          </w:tcPr>
          <w:p w:rsidR="009658CD" w:rsidRPr="00880ECD" w:rsidRDefault="009658CD" w:rsidP="00F63914">
            <w:pPr>
              <w:spacing w:after="0" w:line="240" w:lineRule="auto"/>
              <w:jc w:val="center"/>
              <w:rPr>
                <w:rFonts w:ascii="Times New Roman" w:eastAsia="Calibri" w:hAnsi="Times New Roman" w:cs="Times New Roman"/>
                <w:sz w:val="20"/>
                <w:szCs w:val="20"/>
                <w:lang w:eastAsia="bg-BG"/>
              </w:rPr>
            </w:pPr>
            <w:r w:rsidRPr="00880ECD">
              <w:rPr>
                <w:rFonts w:ascii="Times New Roman" w:eastAsia="Calibri" w:hAnsi="Times New Roman" w:cs="Times New Roman"/>
                <w:sz w:val="20"/>
                <w:szCs w:val="20"/>
                <w:lang w:eastAsia="bg-BG"/>
              </w:rPr>
              <w:t>Увеличение</w:t>
            </w:r>
          </w:p>
        </w:tc>
      </w:tr>
    </w:tbl>
    <w:p w:rsidR="009658CD" w:rsidRPr="00880ECD" w:rsidRDefault="009658CD" w:rsidP="00F63914">
      <w:pPr>
        <w:spacing w:before="120" w:after="120" w:line="240" w:lineRule="auto"/>
        <w:ind w:firstLine="708"/>
        <w:jc w:val="both"/>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 xml:space="preserve">Съгласно приетите от ВСС Правила, </w:t>
      </w:r>
      <w:proofErr w:type="spellStart"/>
      <w:r w:rsidRPr="00880ECD">
        <w:rPr>
          <w:rFonts w:ascii="Times New Roman" w:eastAsia="Times New Roman" w:hAnsi="Times New Roman" w:cs="Times New Roman"/>
          <w:sz w:val="24"/>
          <w:szCs w:val="24"/>
          <w:lang w:eastAsia="bg-BG"/>
        </w:rPr>
        <w:t>среднодневната</w:t>
      </w:r>
      <w:proofErr w:type="spellEnd"/>
      <w:r w:rsidRPr="00880ECD">
        <w:rPr>
          <w:rFonts w:ascii="Times New Roman" w:eastAsia="Times New Roman" w:hAnsi="Times New Roman" w:cs="Times New Roman"/>
          <w:sz w:val="24"/>
          <w:szCs w:val="24"/>
          <w:lang w:eastAsia="bg-BG"/>
        </w:rPr>
        <w:t xml:space="preserve"> натовареност на един прокурор при РП–Варна, се отчита въз основа на реално отработените дни  за 2021 г., 2020 г. и 2019 г., е в следващата таблица и е както следва:</w:t>
      </w:r>
    </w:p>
    <w:tbl>
      <w:tblPr>
        <w:tblW w:w="4927" w:type="pct"/>
        <w:tblInd w:w="132" w:type="dxa"/>
        <w:tblCellMar>
          <w:left w:w="70" w:type="dxa"/>
          <w:right w:w="70" w:type="dxa"/>
        </w:tblCellMar>
        <w:tblLook w:val="04A0" w:firstRow="1" w:lastRow="0" w:firstColumn="1" w:lastColumn="0" w:noHBand="0" w:noVBand="1"/>
      </w:tblPr>
      <w:tblGrid>
        <w:gridCol w:w="2427"/>
        <w:gridCol w:w="1443"/>
        <w:gridCol w:w="1459"/>
        <w:gridCol w:w="1451"/>
        <w:gridCol w:w="1195"/>
        <w:gridCol w:w="1178"/>
        <w:gridCol w:w="1182"/>
      </w:tblGrid>
      <w:tr w:rsidR="009658CD" w:rsidRPr="00880ECD" w:rsidTr="009658CD">
        <w:trPr>
          <w:trHeight w:val="946"/>
        </w:trPr>
        <w:tc>
          <w:tcPr>
            <w:tcW w:w="1174" w:type="pct"/>
            <w:vMerge w:val="restart"/>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p>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Прокуратура</w:t>
            </w:r>
          </w:p>
        </w:tc>
        <w:tc>
          <w:tcPr>
            <w:tcW w:w="3826" w:type="pct"/>
            <w:gridSpan w:val="6"/>
            <w:tcBorders>
              <w:top w:val="single" w:sz="8" w:space="0" w:color="auto"/>
              <w:left w:val="nil"/>
              <w:bottom w:val="nil"/>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Брой актове на ден на прокурор =                                                                            (Брой актове/Действително отработени дни)</w:t>
            </w:r>
            <w:r w:rsidRPr="00880ECD">
              <w:rPr>
                <w:rFonts w:ascii="Times New Roman" w:eastAsia="Times New Roman" w:hAnsi="Times New Roman" w:cs="Times New Roman"/>
                <w:b/>
                <w:bCs/>
                <w:sz w:val="20"/>
                <w:szCs w:val="20"/>
                <w:lang w:eastAsia="bg-BG"/>
              </w:rPr>
              <w:br/>
              <w:t xml:space="preserve">//Брой точки на ден на прокурор = </w:t>
            </w:r>
          </w:p>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(Брой точки/Действително отработени дни)</w:t>
            </w:r>
          </w:p>
        </w:tc>
      </w:tr>
      <w:tr w:rsidR="009658CD" w:rsidRPr="00880ECD" w:rsidTr="009658CD">
        <w:trPr>
          <w:trHeight w:val="330"/>
        </w:trPr>
        <w:tc>
          <w:tcPr>
            <w:tcW w:w="1174"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rPr>
                <w:rFonts w:ascii="Times New Roman" w:eastAsia="Times New Roman" w:hAnsi="Times New Roman" w:cs="Times New Roman"/>
                <w:b/>
                <w:bCs/>
                <w:sz w:val="20"/>
                <w:szCs w:val="20"/>
                <w:lang w:eastAsia="bg-BG"/>
              </w:rPr>
            </w:pPr>
          </w:p>
        </w:tc>
        <w:tc>
          <w:tcPr>
            <w:tcW w:w="1404" w:type="pct"/>
            <w:gridSpan w:val="2"/>
            <w:tcBorders>
              <w:top w:val="single" w:sz="8" w:space="0" w:color="auto"/>
              <w:left w:val="nil"/>
              <w:bottom w:val="single" w:sz="8" w:space="0" w:color="auto"/>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2019 г.</w:t>
            </w:r>
          </w:p>
        </w:tc>
        <w:tc>
          <w:tcPr>
            <w:tcW w:w="1280" w:type="pct"/>
            <w:gridSpan w:val="2"/>
            <w:tcBorders>
              <w:top w:val="single" w:sz="8" w:space="0" w:color="auto"/>
              <w:left w:val="nil"/>
              <w:bottom w:val="single" w:sz="8" w:space="0" w:color="auto"/>
              <w:right w:val="single" w:sz="8" w:space="0" w:color="000000"/>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 xml:space="preserve">2020 г. </w:t>
            </w:r>
          </w:p>
        </w:tc>
        <w:tc>
          <w:tcPr>
            <w:tcW w:w="1142" w:type="pct"/>
            <w:gridSpan w:val="2"/>
            <w:tcBorders>
              <w:top w:val="single" w:sz="8" w:space="0" w:color="auto"/>
              <w:left w:val="nil"/>
              <w:bottom w:val="single" w:sz="8" w:space="0" w:color="auto"/>
              <w:right w:val="single" w:sz="8" w:space="0" w:color="000000"/>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 xml:space="preserve">2021 г. </w:t>
            </w:r>
          </w:p>
        </w:tc>
      </w:tr>
      <w:tr w:rsidR="009658CD" w:rsidRPr="00880ECD" w:rsidTr="009658CD">
        <w:trPr>
          <w:trHeight w:val="330"/>
        </w:trPr>
        <w:tc>
          <w:tcPr>
            <w:tcW w:w="1174"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rPr>
                <w:rFonts w:ascii="Times New Roman" w:eastAsia="Times New Roman" w:hAnsi="Times New Roman" w:cs="Times New Roman"/>
                <w:b/>
                <w:bCs/>
                <w:sz w:val="20"/>
                <w:szCs w:val="20"/>
                <w:lang w:eastAsia="bg-BG"/>
              </w:rPr>
            </w:pPr>
          </w:p>
        </w:tc>
        <w:tc>
          <w:tcPr>
            <w:tcW w:w="698"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брой</w:t>
            </w:r>
          </w:p>
        </w:tc>
        <w:tc>
          <w:tcPr>
            <w:tcW w:w="705"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Точки</w:t>
            </w:r>
          </w:p>
        </w:tc>
        <w:tc>
          <w:tcPr>
            <w:tcW w:w="702"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брой</w:t>
            </w:r>
          </w:p>
        </w:tc>
        <w:tc>
          <w:tcPr>
            <w:tcW w:w="578"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точки</w:t>
            </w:r>
          </w:p>
        </w:tc>
        <w:tc>
          <w:tcPr>
            <w:tcW w:w="570"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Брой</w:t>
            </w:r>
          </w:p>
        </w:tc>
        <w:tc>
          <w:tcPr>
            <w:tcW w:w="573" w:type="pct"/>
            <w:tcBorders>
              <w:top w:val="nil"/>
              <w:left w:val="nil"/>
              <w:bottom w:val="single" w:sz="8" w:space="0" w:color="auto"/>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Точки</w:t>
            </w:r>
          </w:p>
        </w:tc>
      </w:tr>
      <w:tr w:rsidR="009658CD" w:rsidRPr="00880ECD" w:rsidTr="009658CD">
        <w:trPr>
          <w:trHeight w:val="406"/>
        </w:trPr>
        <w:tc>
          <w:tcPr>
            <w:tcW w:w="1174" w:type="pct"/>
            <w:tcBorders>
              <w:top w:val="nil"/>
              <w:left w:val="single" w:sz="8" w:space="0" w:color="auto"/>
              <w:bottom w:val="single" w:sz="8" w:space="0" w:color="auto"/>
              <w:right w:val="single" w:sz="8" w:space="0" w:color="auto"/>
            </w:tcBorders>
            <w:shd w:val="clear" w:color="auto" w:fill="auto"/>
            <w:vAlign w:val="center"/>
            <w:hideMark/>
          </w:tcPr>
          <w:p w:rsidR="009658CD" w:rsidRPr="00880ECD" w:rsidRDefault="009658CD" w:rsidP="00F63914">
            <w:pPr>
              <w:spacing w:after="0" w:line="240" w:lineRule="auto"/>
              <w:jc w:val="center"/>
              <w:rPr>
                <w:rFonts w:ascii="Times New Roman" w:eastAsia="Times New Roman" w:hAnsi="Times New Roman" w:cs="Times New Roman"/>
                <w:sz w:val="20"/>
                <w:szCs w:val="20"/>
                <w:lang w:eastAsia="bg-BG"/>
              </w:rPr>
            </w:pPr>
            <w:r w:rsidRPr="00880ECD">
              <w:rPr>
                <w:rFonts w:ascii="Times New Roman" w:eastAsia="Times New Roman" w:hAnsi="Times New Roman" w:cs="Times New Roman"/>
                <w:sz w:val="20"/>
                <w:szCs w:val="20"/>
                <w:lang w:eastAsia="bg-BG"/>
              </w:rPr>
              <w:t>РП-Варна</w:t>
            </w:r>
          </w:p>
        </w:tc>
        <w:tc>
          <w:tcPr>
            <w:tcW w:w="698"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7,41</w:t>
            </w:r>
          </w:p>
        </w:tc>
        <w:tc>
          <w:tcPr>
            <w:tcW w:w="705"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3,29</w:t>
            </w:r>
          </w:p>
        </w:tc>
        <w:tc>
          <w:tcPr>
            <w:tcW w:w="702"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6,95</w:t>
            </w:r>
          </w:p>
        </w:tc>
        <w:tc>
          <w:tcPr>
            <w:tcW w:w="578"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Cs/>
                <w:sz w:val="20"/>
                <w:szCs w:val="20"/>
                <w:lang w:eastAsia="bg-BG"/>
              </w:rPr>
            </w:pPr>
            <w:r w:rsidRPr="00880ECD">
              <w:rPr>
                <w:rFonts w:ascii="Times New Roman" w:eastAsia="Times New Roman" w:hAnsi="Times New Roman" w:cs="Times New Roman"/>
                <w:bCs/>
                <w:sz w:val="20"/>
                <w:szCs w:val="20"/>
                <w:lang w:eastAsia="bg-BG"/>
              </w:rPr>
              <w:t>3,18</w:t>
            </w:r>
          </w:p>
        </w:tc>
        <w:tc>
          <w:tcPr>
            <w:tcW w:w="570"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7,1</w:t>
            </w:r>
          </w:p>
        </w:tc>
        <w:tc>
          <w:tcPr>
            <w:tcW w:w="573" w:type="pct"/>
            <w:tcBorders>
              <w:top w:val="nil"/>
              <w:left w:val="nil"/>
              <w:bottom w:val="single" w:sz="8" w:space="0" w:color="auto"/>
              <w:right w:val="single" w:sz="8" w:space="0" w:color="auto"/>
            </w:tcBorders>
            <w:shd w:val="clear" w:color="auto" w:fill="auto"/>
            <w:vAlign w:val="center"/>
          </w:tcPr>
          <w:p w:rsidR="009658CD" w:rsidRPr="00880ECD" w:rsidRDefault="009658CD" w:rsidP="00F63914">
            <w:pPr>
              <w:spacing w:after="0" w:line="240" w:lineRule="auto"/>
              <w:jc w:val="center"/>
              <w:rPr>
                <w:rFonts w:ascii="Times New Roman" w:eastAsia="Times New Roman" w:hAnsi="Times New Roman" w:cs="Times New Roman"/>
                <w:b/>
                <w:bCs/>
                <w:sz w:val="20"/>
                <w:szCs w:val="20"/>
                <w:lang w:eastAsia="bg-BG"/>
              </w:rPr>
            </w:pPr>
            <w:r w:rsidRPr="00880ECD">
              <w:rPr>
                <w:rFonts w:ascii="Times New Roman" w:eastAsia="Times New Roman" w:hAnsi="Times New Roman" w:cs="Times New Roman"/>
                <w:b/>
                <w:bCs/>
                <w:sz w:val="20"/>
                <w:szCs w:val="20"/>
                <w:lang w:eastAsia="bg-BG"/>
              </w:rPr>
              <w:t>3,41</w:t>
            </w:r>
          </w:p>
        </w:tc>
      </w:tr>
    </w:tbl>
    <w:p w:rsidR="009658CD" w:rsidRPr="00880ECD" w:rsidRDefault="009658CD" w:rsidP="00F63914">
      <w:pPr>
        <w:spacing w:before="120"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lastRenderedPageBreak/>
        <w:t>При средна дневна норма на натовареност за прокурор спрямо 2020  г. е нараснала с 0,15, а спрямо 2019 г. е намаляла – с 0,31 акта.</w:t>
      </w:r>
    </w:p>
    <w:p w:rsidR="009658CD" w:rsidRPr="00880ECD" w:rsidRDefault="009658CD" w:rsidP="00F63914">
      <w:pPr>
        <w:spacing w:before="120" w:after="0" w:line="240" w:lineRule="auto"/>
        <w:ind w:firstLine="708"/>
        <w:jc w:val="both"/>
        <w:rPr>
          <w:rFonts w:ascii="Times New Roman" w:eastAsia="Times New Roman" w:hAnsi="Times New Roman" w:cs="Times New Roman"/>
          <w:sz w:val="28"/>
          <w:szCs w:val="28"/>
          <w:lang w:eastAsia="bg-BG"/>
        </w:rPr>
      </w:pPr>
      <w:r w:rsidRPr="00880ECD">
        <w:rPr>
          <w:rFonts w:ascii="Times New Roman" w:eastAsia="Times New Roman" w:hAnsi="Times New Roman" w:cs="Times New Roman"/>
          <w:sz w:val="28"/>
          <w:szCs w:val="28"/>
          <w:lang w:eastAsia="bg-BG"/>
        </w:rPr>
        <w:t>По отношение на средната натовареност с административно-ръководна дейност в РП – Варна за 2021 г., 2020 г. и 2019 г. се наблюдава ръст, видно от следващата таблица:</w:t>
      </w:r>
    </w:p>
    <w:p w:rsidR="009658CD" w:rsidRPr="00880ECD" w:rsidRDefault="009658CD" w:rsidP="00F63914">
      <w:pPr>
        <w:spacing w:before="120" w:after="0" w:line="240" w:lineRule="auto"/>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Дейност по администриране – общо</w:t>
      </w:r>
    </w:p>
    <w:tbl>
      <w:tblPr>
        <w:tblW w:w="5000" w:type="pct"/>
        <w:jc w:val="center"/>
        <w:tblCellMar>
          <w:left w:w="70" w:type="dxa"/>
          <w:right w:w="70" w:type="dxa"/>
        </w:tblCellMar>
        <w:tblLook w:val="04A0" w:firstRow="1" w:lastRow="0" w:firstColumn="1" w:lastColumn="0" w:noHBand="0" w:noVBand="1"/>
      </w:tblPr>
      <w:tblGrid>
        <w:gridCol w:w="2557"/>
        <w:gridCol w:w="1473"/>
        <w:gridCol w:w="1240"/>
        <w:gridCol w:w="1256"/>
        <w:gridCol w:w="1370"/>
        <w:gridCol w:w="1189"/>
        <w:gridCol w:w="1403"/>
      </w:tblGrid>
      <w:tr w:rsidR="009658CD" w:rsidRPr="00880ECD" w:rsidTr="009658CD">
        <w:trPr>
          <w:trHeight w:val="498"/>
          <w:jc w:val="center"/>
        </w:trPr>
        <w:tc>
          <w:tcPr>
            <w:tcW w:w="1219" w:type="pct"/>
            <w:vMerge w:val="restart"/>
            <w:tcBorders>
              <w:top w:val="single" w:sz="4" w:space="0" w:color="auto"/>
              <w:left w:val="single" w:sz="4" w:space="0" w:color="auto"/>
              <w:bottom w:val="single" w:sz="4" w:space="0" w:color="auto"/>
              <w:right w:val="nil"/>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Прокуратура</w:t>
            </w:r>
          </w:p>
        </w:tc>
        <w:tc>
          <w:tcPr>
            <w:tcW w:w="1293"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2019 г.</w:t>
            </w:r>
          </w:p>
        </w:tc>
        <w:tc>
          <w:tcPr>
            <w:tcW w:w="1252"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Cs/>
                <w:sz w:val="24"/>
                <w:szCs w:val="24"/>
                <w:lang w:eastAsia="bg-BG"/>
              </w:rPr>
            </w:pPr>
            <w:r w:rsidRPr="00880ECD">
              <w:rPr>
                <w:rFonts w:ascii="Times New Roman" w:eastAsia="Times New Roman" w:hAnsi="Times New Roman" w:cs="Times New Roman"/>
                <w:bCs/>
                <w:sz w:val="24"/>
                <w:szCs w:val="24"/>
                <w:lang w:eastAsia="bg-BG"/>
              </w:rPr>
              <w:t xml:space="preserve">2020 г. </w:t>
            </w:r>
          </w:p>
        </w:tc>
        <w:tc>
          <w:tcPr>
            <w:tcW w:w="1236" w:type="pct"/>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bCs/>
                <w:sz w:val="24"/>
                <w:szCs w:val="24"/>
                <w:lang w:eastAsia="bg-BG"/>
              </w:rPr>
            </w:pPr>
            <w:r w:rsidRPr="00880ECD">
              <w:rPr>
                <w:rFonts w:ascii="Times New Roman" w:eastAsia="Times New Roman" w:hAnsi="Times New Roman" w:cs="Times New Roman"/>
                <w:b/>
                <w:bCs/>
                <w:sz w:val="24"/>
                <w:szCs w:val="24"/>
                <w:lang w:eastAsia="bg-BG"/>
              </w:rPr>
              <w:t xml:space="preserve">2021 г. </w:t>
            </w:r>
          </w:p>
        </w:tc>
      </w:tr>
      <w:tr w:rsidR="009658CD" w:rsidRPr="00880ECD" w:rsidTr="009658CD">
        <w:trPr>
          <w:trHeight w:val="315"/>
          <w:jc w:val="center"/>
        </w:trPr>
        <w:tc>
          <w:tcPr>
            <w:tcW w:w="1219" w:type="pct"/>
            <w:vMerge/>
            <w:tcBorders>
              <w:left w:val="single" w:sz="4" w:space="0" w:color="auto"/>
              <w:bottom w:val="single" w:sz="4" w:space="0" w:color="auto"/>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rPr>
                <w:rFonts w:ascii="Times New Roman" w:eastAsia="Times New Roman" w:hAnsi="Times New Roman" w:cs="Times New Roman"/>
                <w:sz w:val="24"/>
                <w:szCs w:val="24"/>
                <w:lang w:eastAsia="bg-BG"/>
              </w:rPr>
            </w:pPr>
          </w:p>
        </w:tc>
        <w:tc>
          <w:tcPr>
            <w:tcW w:w="702"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брой</w:t>
            </w:r>
          </w:p>
        </w:tc>
        <w:tc>
          <w:tcPr>
            <w:tcW w:w="591"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точки</w:t>
            </w:r>
          </w:p>
        </w:tc>
        <w:tc>
          <w:tcPr>
            <w:tcW w:w="59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Брой</w:t>
            </w:r>
          </w:p>
        </w:tc>
        <w:tc>
          <w:tcPr>
            <w:tcW w:w="653"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точки</w:t>
            </w:r>
          </w:p>
        </w:tc>
        <w:tc>
          <w:tcPr>
            <w:tcW w:w="567"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Брой</w:t>
            </w:r>
          </w:p>
        </w:tc>
        <w:tc>
          <w:tcPr>
            <w:tcW w:w="669" w:type="pct"/>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9658CD" w:rsidRPr="00880ECD" w:rsidRDefault="009658CD" w:rsidP="00F63914">
            <w:pPr>
              <w:spacing w:after="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Точки</w:t>
            </w:r>
          </w:p>
        </w:tc>
      </w:tr>
      <w:tr w:rsidR="009658CD" w:rsidRPr="00880ECD" w:rsidTr="009658CD">
        <w:trPr>
          <w:trHeight w:val="255"/>
          <w:jc w:val="center"/>
        </w:trPr>
        <w:tc>
          <w:tcPr>
            <w:tcW w:w="1219"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658CD" w:rsidRPr="00880ECD" w:rsidRDefault="009658CD" w:rsidP="00F63914">
            <w:pPr>
              <w:spacing w:before="120" w:after="12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РП-Варна</w:t>
            </w:r>
          </w:p>
        </w:tc>
        <w:tc>
          <w:tcPr>
            <w:tcW w:w="702" w:type="pct"/>
            <w:tcBorders>
              <w:top w:val="single" w:sz="4" w:space="0" w:color="auto"/>
              <w:left w:val="nil"/>
              <w:bottom w:val="single" w:sz="4" w:space="0" w:color="auto"/>
              <w:right w:val="single" w:sz="4" w:space="0" w:color="auto"/>
            </w:tcBorders>
            <w:shd w:val="clear" w:color="auto" w:fill="FFFFFF" w:themeFill="background1"/>
            <w:vAlign w:val="center"/>
          </w:tcPr>
          <w:p w:rsidR="009658CD" w:rsidRPr="00880ECD" w:rsidRDefault="009658CD" w:rsidP="00F63914">
            <w:pPr>
              <w:spacing w:before="120" w:after="12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810</w:t>
            </w:r>
          </w:p>
        </w:tc>
        <w:tc>
          <w:tcPr>
            <w:tcW w:w="591" w:type="pct"/>
            <w:tcBorders>
              <w:top w:val="single" w:sz="4" w:space="0" w:color="auto"/>
              <w:left w:val="nil"/>
              <w:bottom w:val="single" w:sz="4" w:space="0" w:color="auto"/>
              <w:right w:val="single" w:sz="4" w:space="0" w:color="auto"/>
            </w:tcBorders>
            <w:noWrap/>
            <w:vAlign w:val="center"/>
          </w:tcPr>
          <w:p w:rsidR="009658CD" w:rsidRPr="00880ECD" w:rsidRDefault="009658CD" w:rsidP="00F63914">
            <w:pPr>
              <w:spacing w:before="120" w:after="12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449,7</w:t>
            </w:r>
          </w:p>
        </w:tc>
        <w:tc>
          <w:tcPr>
            <w:tcW w:w="599" w:type="pct"/>
            <w:tcBorders>
              <w:top w:val="single" w:sz="4" w:space="0" w:color="auto"/>
              <w:left w:val="nil"/>
              <w:bottom w:val="single" w:sz="4" w:space="0" w:color="auto"/>
              <w:right w:val="single" w:sz="4" w:space="0" w:color="auto"/>
            </w:tcBorders>
            <w:vAlign w:val="center"/>
          </w:tcPr>
          <w:p w:rsidR="009658CD" w:rsidRPr="00880ECD" w:rsidRDefault="009658CD" w:rsidP="00F63914">
            <w:pPr>
              <w:spacing w:before="120" w:after="120" w:line="240" w:lineRule="auto"/>
              <w:jc w:val="center"/>
              <w:rPr>
                <w:rFonts w:ascii="Times New Roman" w:eastAsia="Times New Roman" w:hAnsi="Times New Roman" w:cs="Times New Roman"/>
                <w:sz w:val="24"/>
                <w:szCs w:val="24"/>
                <w:lang w:eastAsia="bg-BG"/>
              </w:rPr>
            </w:pPr>
            <w:r w:rsidRPr="00880ECD">
              <w:rPr>
                <w:rFonts w:ascii="Times New Roman" w:eastAsia="Times New Roman" w:hAnsi="Times New Roman" w:cs="Times New Roman"/>
                <w:sz w:val="24"/>
                <w:szCs w:val="24"/>
                <w:lang w:eastAsia="bg-BG"/>
              </w:rPr>
              <w:t>889</w:t>
            </w:r>
          </w:p>
        </w:tc>
        <w:tc>
          <w:tcPr>
            <w:tcW w:w="653" w:type="pct"/>
            <w:tcBorders>
              <w:top w:val="single" w:sz="4" w:space="0" w:color="auto"/>
              <w:left w:val="nil"/>
              <w:bottom w:val="single" w:sz="4" w:space="0" w:color="auto"/>
              <w:right w:val="single" w:sz="4" w:space="0" w:color="auto"/>
            </w:tcBorders>
            <w:vAlign w:val="center"/>
          </w:tcPr>
          <w:p w:rsidR="009658CD" w:rsidRPr="00880ECD" w:rsidRDefault="009658CD" w:rsidP="00F63914">
            <w:pPr>
              <w:spacing w:before="120" w:after="120" w:line="240" w:lineRule="auto"/>
              <w:jc w:val="center"/>
              <w:rPr>
                <w:rFonts w:ascii="Times New Roman" w:eastAsia="Times New Roman" w:hAnsi="Times New Roman" w:cs="Times New Roman"/>
                <w:sz w:val="24"/>
                <w:szCs w:val="24"/>
                <w:lang w:eastAsia="bg-BG"/>
              </w:rPr>
            </w:pPr>
            <w:r w:rsidRPr="00880ECD">
              <w:rPr>
                <w:rFonts w:ascii="Times New Roman" w:eastAsia="Calibri" w:hAnsi="Times New Roman" w:cs="Times New Roman"/>
                <w:sz w:val="24"/>
                <w:szCs w:val="24"/>
                <w:lang w:eastAsia="bg-BG"/>
              </w:rPr>
              <w:t>504,2</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before="120" w:after="120" w:line="240" w:lineRule="auto"/>
              <w:jc w:val="center"/>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1132</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tcPr>
          <w:p w:rsidR="009658CD" w:rsidRPr="00880ECD" w:rsidRDefault="009658CD" w:rsidP="00F63914">
            <w:pPr>
              <w:spacing w:before="120" w:after="120" w:line="240" w:lineRule="auto"/>
              <w:jc w:val="center"/>
              <w:rPr>
                <w:rFonts w:ascii="Times New Roman" w:eastAsia="Times New Roman" w:hAnsi="Times New Roman" w:cs="Times New Roman"/>
                <w:b/>
                <w:sz w:val="24"/>
                <w:szCs w:val="24"/>
                <w:lang w:eastAsia="bg-BG"/>
              </w:rPr>
            </w:pPr>
            <w:r w:rsidRPr="00880ECD">
              <w:rPr>
                <w:rFonts w:ascii="Times New Roman" w:eastAsia="Calibri" w:hAnsi="Times New Roman" w:cs="Times New Roman"/>
                <w:b/>
                <w:sz w:val="24"/>
                <w:szCs w:val="24"/>
                <w:lang w:eastAsia="bg-BG"/>
              </w:rPr>
              <w:t>566,5</w:t>
            </w:r>
          </w:p>
        </w:tc>
      </w:tr>
    </w:tbl>
    <w:p w:rsidR="009658CD" w:rsidRPr="00880ECD" w:rsidRDefault="009658CD" w:rsidP="00F63914">
      <w:pPr>
        <w:spacing w:after="0" w:line="240" w:lineRule="auto"/>
        <w:rPr>
          <w:rFonts w:ascii="Times New Roman" w:eastAsia="Times New Roman" w:hAnsi="Times New Roman" w:cs="Times New Roman"/>
          <w:b/>
          <w:sz w:val="24"/>
          <w:szCs w:val="24"/>
          <w:lang w:eastAsia="bg-BG"/>
        </w:rPr>
      </w:pPr>
    </w:p>
    <w:p w:rsidR="009658CD" w:rsidRPr="00880ECD" w:rsidRDefault="009658CD" w:rsidP="00F63914">
      <w:pPr>
        <w:spacing w:after="0" w:line="240" w:lineRule="auto"/>
        <w:rPr>
          <w:rFonts w:ascii="Times New Roman" w:eastAsia="Times New Roman" w:hAnsi="Times New Roman" w:cs="Times New Roman"/>
          <w:b/>
          <w:sz w:val="24"/>
          <w:szCs w:val="24"/>
          <w:lang w:eastAsia="bg-BG"/>
        </w:rPr>
      </w:pPr>
      <w:r w:rsidRPr="00880ECD">
        <w:rPr>
          <w:rFonts w:ascii="Times New Roman" w:eastAsia="Times New Roman" w:hAnsi="Times New Roman" w:cs="Times New Roman"/>
          <w:b/>
          <w:sz w:val="24"/>
          <w:szCs w:val="24"/>
          <w:lang w:eastAsia="bg-BG"/>
        </w:rPr>
        <w:t>Натовареност на РП-Варна – административна дейност</w:t>
      </w:r>
    </w:p>
    <w:tbl>
      <w:tblPr>
        <w:tblpPr w:leftFromText="141" w:rightFromText="141" w:vertAnchor="text" w:horzAnchor="margin" w:tblpXSpec="center" w:tblpY="383"/>
        <w:tblOverlap w:val="never"/>
        <w:tblW w:w="5505" w:type="pct"/>
        <w:tblLayout w:type="fixed"/>
        <w:tblCellMar>
          <w:left w:w="70" w:type="dxa"/>
          <w:right w:w="70" w:type="dxa"/>
        </w:tblCellMar>
        <w:tblLook w:val="04A0" w:firstRow="1" w:lastRow="0" w:firstColumn="1" w:lastColumn="0" w:noHBand="0" w:noVBand="1"/>
      </w:tblPr>
      <w:tblGrid>
        <w:gridCol w:w="534"/>
        <w:gridCol w:w="608"/>
        <w:gridCol w:w="464"/>
        <w:gridCol w:w="460"/>
        <w:gridCol w:w="600"/>
        <w:gridCol w:w="466"/>
        <w:gridCol w:w="598"/>
        <w:gridCol w:w="464"/>
        <w:gridCol w:w="462"/>
        <w:gridCol w:w="291"/>
        <w:gridCol w:w="305"/>
        <w:gridCol w:w="305"/>
        <w:gridCol w:w="307"/>
        <w:gridCol w:w="453"/>
        <w:gridCol w:w="457"/>
        <w:gridCol w:w="305"/>
        <w:gridCol w:w="455"/>
        <w:gridCol w:w="453"/>
        <w:gridCol w:w="603"/>
        <w:gridCol w:w="300"/>
        <w:gridCol w:w="457"/>
        <w:gridCol w:w="455"/>
        <w:gridCol w:w="533"/>
        <w:gridCol w:w="607"/>
        <w:gridCol w:w="605"/>
      </w:tblGrid>
      <w:tr w:rsidR="009658CD" w:rsidRPr="00880ECD" w:rsidTr="009658CD">
        <w:trPr>
          <w:trHeight w:val="369"/>
        </w:trPr>
        <w:tc>
          <w:tcPr>
            <w:tcW w:w="231" w:type="pct"/>
            <w:vMerge w:val="restart"/>
            <w:tcBorders>
              <w:top w:val="single" w:sz="4" w:space="0" w:color="auto"/>
              <w:left w:val="single" w:sz="4" w:space="0" w:color="auto"/>
              <w:bottom w:val="single" w:sz="8" w:space="0" w:color="000000"/>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ПРОКУРАТУРА</w:t>
            </w:r>
          </w:p>
        </w:tc>
        <w:tc>
          <w:tcPr>
            <w:tcW w:w="263" w:type="pct"/>
            <w:vMerge w:val="restart"/>
            <w:tcBorders>
              <w:top w:val="single" w:sz="4" w:space="0" w:color="auto"/>
              <w:left w:val="single" w:sz="8" w:space="0" w:color="auto"/>
              <w:bottom w:val="single" w:sz="8" w:space="0" w:color="000000"/>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Работни дни в месеца по календар</w:t>
            </w:r>
          </w:p>
        </w:tc>
        <w:tc>
          <w:tcPr>
            <w:tcW w:w="201" w:type="pct"/>
            <w:vMerge w:val="restart"/>
            <w:tcBorders>
              <w:top w:val="single" w:sz="4" w:space="0" w:color="auto"/>
              <w:left w:val="single" w:sz="8" w:space="0" w:color="auto"/>
              <w:bottom w:val="single" w:sz="8" w:space="0" w:color="000000"/>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Действително отработени дни</w:t>
            </w:r>
          </w:p>
        </w:tc>
        <w:tc>
          <w:tcPr>
            <w:tcW w:w="3780" w:type="pct"/>
            <w:gridSpan w:val="20"/>
            <w:tcBorders>
              <w:top w:val="single" w:sz="4" w:space="0" w:color="auto"/>
              <w:left w:val="nil"/>
              <w:bottom w:val="single" w:sz="8" w:space="0" w:color="auto"/>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Дейност по администриране</w:t>
            </w:r>
          </w:p>
        </w:tc>
        <w:tc>
          <w:tcPr>
            <w:tcW w:w="525" w:type="pct"/>
            <w:gridSpan w:val="2"/>
            <w:tcBorders>
              <w:top w:val="single" w:sz="4" w:space="0" w:color="auto"/>
              <w:left w:val="single" w:sz="8" w:space="0" w:color="auto"/>
              <w:bottom w:val="single" w:sz="8" w:space="0" w:color="000000"/>
              <w:right w:val="single" w:sz="4" w:space="0" w:color="auto"/>
            </w:tcBorders>
            <w:shd w:val="clear" w:color="auto" w:fill="E5B8B7" w:themeFill="accent2" w:themeFillTint="66"/>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r>
      <w:tr w:rsidR="009658CD" w:rsidRPr="00880ECD" w:rsidTr="009658CD">
        <w:trPr>
          <w:trHeight w:val="860"/>
        </w:trPr>
        <w:tc>
          <w:tcPr>
            <w:tcW w:w="231" w:type="pct"/>
            <w:vMerge/>
            <w:tcBorders>
              <w:top w:val="single" w:sz="8" w:space="0" w:color="auto"/>
              <w:left w:val="single" w:sz="4"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263"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01"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459"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11.1.Предложение по ЗСВ</w:t>
            </w:r>
          </w:p>
        </w:tc>
        <w:tc>
          <w:tcPr>
            <w:tcW w:w="461"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11.2. Становища по ЗСВ</w:t>
            </w:r>
          </w:p>
        </w:tc>
        <w:tc>
          <w:tcPr>
            <w:tcW w:w="401"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11.3.Произнасяне по дисциплинарни преписки</w:t>
            </w:r>
          </w:p>
        </w:tc>
        <w:tc>
          <w:tcPr>
            <w:tcW w:w="258"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11.4.Организиране и провеждане на  работни/обучителни съвещания</w:t>
            </w:r>
          </w:p>
        </w:tc>
        <w:tc>
          <w:tcPr>
            <w:tcW w:w="265"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11.5.Участие в работни/обучителни съвещания, срещи, празници</w:t>
            </w:r>
          </w:p>
        </w:tc>
        <w:tc>
          <w:tcPr>
            <w:tcW w:w="394"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11.6. Заповеди /без такива по кадрови въпроси и за командироване/ и указания</w:t>
            </w:r>
          </w:p>
        </w:tc>
        <w:tc>
          <w:tcPr>
            <w:tcW w:w="329"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noWrap/>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11.7. Становища</w:t>
            </w:r>
          </w:p>
        </w:tc>
        <w:tc>
          <w:tcPr>
            <w:tcW w:w="457"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11.8. Справки/писма до други звена, институции, граждани</w:t>
            </w:r>
          </w:p>
        </w:tc>
        <w:tc>
          <w:tcPr>
            <w:tcW w:w="328"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11.9. Изготвени вътрешни организационни актове/правилници, правила/</w:t>
            </w:r>
          </w:p>
        </w:tc>
        <w:tc>
          <w:tcPr>
            <w:tcW w:w="428" w:type="pct"/>
            <w:gridSpan w:val="2"/>
            <w:vMerge w:val="restart"/>
            <w:tcBorders>
              <w:top w:val="single" w:sz="8" w:space="0" w:color="auto"/>
              <w:left w:val="single" w:sz="8" w:space="0" w:color="auto"/>
              <w:bottom w:val="single" w:sz="8" w:space="0" w:color="000000"/>
              <w:right w:val="single" w:sz="8" w:space="0" w:color="000000"/>
            </w:tcBorders>
            <w:shd w:val="clear" w:color="auto" w:fill="E5B8B7" w:themeFill="accent2" w:themeFillTint="66"/>
            <w:textDirection w:val="btLr"/>
            <w:vAlign w:val="center"/>
            <w:hideMark/>
          </w:tcPr>
          <w:p w:rsidR="009658CD" w:rsidRPr="00880ECD" w:rsidRDefault="009658CD" w:rsidP="00F63914">
            <w:pPr>
              <w:spacing w:after="0" w:line="240" w:lineRule="auto"/>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11.10. Контролна дейност на административния ръководител спрямо прокурорите в прокуратурата и региона</w:t>
            </w:r>
          </w:p>
        </w:tc>
        <w:tc>
          <w:tcPr>
            <w:tcW w:w="525" w:type="pct"/>
            <w:gridSpan w:val="2"/>
            <w:vMerge w:val="restart"/>
            <w:tcBorders>
              <w:top w:val="single" w:sz="8" w:space="0" w:color="auto"/>
              <w:left w:val="single" w:sz="8" w:space="0" w:color="auto"/>
              <w:bottom w:val="single" w:sz="8" w:space="0" w:color="000000"/>
              <w:right w:val="single" w:sz="4"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11. Дейност по администриране - общо</w:t>
            </w:r>
          </w:p>
        </w:tc>
      </w:tr>
      <w:tr w:rsidR="009658CD" w:rsidRPr="00880ECD" w:rsidTr="009658CD">
        <w:trPr>
          <w:trHeight w:val="609"/>
        </w:trPr>
        <w:tc>
          <w:tcPr>
            <w:tcW w:w="231" w:type="pct"/>
            <w:vMerge/>
            <w:tcBorders>
              <w:top w:val="single" w:sz="8" w:space="0" w:color="auto"/>
              <w:left w:val="single" w:sz="4"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263"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01"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459"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61"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01"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5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65"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94"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29"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57"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2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2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525" w:type="pct"/>
            <w:gridSpan w:val="2"/>
            <w:vMerge/>
            <w:tcBorders>
              <w:top w:val="single" w:sz="8" w:space="0" w:color="auto"/>
              <w:left w:val="single" w:sz="8" w:space="0" w:color="auto"/>
              <w:bottom w:val="single" w:sz="8" w:space="0" w:color="000000"/>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r>
      <w:tr w:rsidR="009658CD" w:rsidRPr="00880ECD" w:rsidTr="009658CD">
        <w:trPr>
          <w:trHeight w:val="1686"/>
        </w:trPr>
        <w:tc>
          <w:tcPr>
            <w:tcW w:w="231" w:type="pct"/>
            <w:vMerge/>
            <w:tcBorders>
              <w:top w:val="single" w:sz="8" w:space="0" w:color="auto"/>
              <w:left w:val="single" w:sz="4"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263"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01" w:type="pct"/>
            <w:vMerge/>
            <w:tcBorders>
              <w:top w:val="single" w:sz="8" w:space="0" w:color="auto"/>
              <w:left w:val="single" w:sz="8" w:space="0" w:color="auto"/>
              <w:bottom w:val="single" w:sz="8" w:space="0" w:color="000000"/>
              <w:right w:val="single" w:sz="8"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c>
          <w:tcPr>
            <w:tcW w:w="459"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61"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01"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5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65"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94"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29"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57"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32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428" w:type="pct"/>
            <w:gridSpan w:val="2"/>
            <w:vMerge/>
            <w:tcBorders>
              <w:top w:val="single" w:sz="8" w:space="0" w:color="auto"/>
              <w:left w:val="single" w:sz="8" w:space="0" w:color="auto"/>
              <w:bottom w:val="single" w:sz="8" w:space="0" w:color="000000"/>
              <w:right w:val="single" w:sz="8" w:space="0" w:color="000000"/>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525" w:type="pct"/>
            <w:gridSpan w:val="2"/>
            <w:vMerge/>
            <w:tcBorders>
              <w:top w:val="single" w:sz="8" w:space="0" w:color="auto"/>
              <w:left w:val="single" w:sz="8" w:space="0" w:color="auto"/>
              <w:bottom w:val="single" w:sz="8" w:space="0" w:color="000000"/>
              <w:right w:val="single" w:sz="4" w:space="0" w:color="auto"/>
            </w:tcBorders>
            <w:shd w:val="clear" w:color="auto" w:fill="E5B8B7" w:themeFill="accent2" w:themeFillTint="66"/>
            <w:vAlign w:val="center"/>
            <w:hideMark/>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p>
        </w:tc>
      </w:tr>
      <w:tr w:rsidR="005376BE" w:rsidRPr="00880ECD" w:rsidTr="009658CD">
        <w:trPr>
          <w:cantSplit/>
          <w:trHeight w:val="901"/>
        </w:trPr>
        <w:tc>
          <w:tcPr>
            <w:tcW w:w="231" w:type="pct"/>
            <w:tcBorders>
              <w:top w:val="nil"/>
              <w:left w:val="single" w:sz="4" w:space="0" w:color="auto"/>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РП-Варна</w:t>
            </w:r>
          </w:p>
        </w:tc>
        <w:tc>
          <w:tcPr>
            <w:tcW w:w="263"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201"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p>
        </w:tc>
        <w:tc>
          <w:tcPr>
            <w:tcW w:w="199"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60"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202"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59"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201"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00"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26"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132"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32"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133"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96"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198"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32"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197"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96"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61"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30"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198"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197"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31"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c>
          <w:tcPr>
            <w:tcW w:w="263" w:type="pct"/>
            <w:tcBorders>
              <w:top w:val="nil"/>
              <w:left w:val="nil"/>
              <w:bottom w:val="single" w:sz="8" w:space="0" w:color="auto"/>
              <w:right w:val="single" w:sz="8"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Брой</w:t>
            </w:r>
          </w:p>
        </w:tc>
        <w:tc>
          <w:tcPr>
            <w:tcW w:w="262" w:type="pct"/>
            <w:tcBorders>
              <w:top w:val="nil"/>
              <w:left w:val="nil"/>
              <w:bottom w:val="single" w:sz="8" w:space="0" w:color="auto"/>
              <w:right w:val="single" w:sz="4" w:space="0" w:color="auto"/>
            </w:tcBorders>
            <w:shd w:val="clear" w:color="auto" w:fill="E5B8B7" w:themeFill="accent2" w:themeFillTint="66"/>
            <w:textDirection w:val="btLr"/>
            <w:vAlign w:val="center"/>
            <w:hideMark/>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точки</w:t>
            </w:r>
          </w:p>
        </w:tc>
      </w:tr>
      <w:tr w:rsidR="005376BE" w:rsidRPr="00880ECD" w:rsidTr="009658CD">
        <w:trPr>
          <w:cantSplit/>
          <w:trHeight w:val="561"/>
        </w:trPr>
        <w:tc>
          <w:tcPr>
            <w:tcW w:w="231" w:type="pct"/>
            <w:tcBorders>
              <w:top w:val="nil"/>
              <w:left w:val="single" w:sz="4" w:space="0" w:color="auto"/>
              <w:bottom w:val="single" w:sz="8" w:space="0" w:color="auto"/>
              <w:right w:val="single" w:sz="8" w:space="0" w:color="auto"/>
            </w:tcBorders>
            <w:shd w:val="clear" w:color="auto" w:fill="auto"/>
            <w:noWrap/>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2019</w:t>
            </w:r>
          </w:p>
        </w:tc>
        <w:tc>
          <w:tcPr>
            <w:tcW w:w="263"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842</w:t>
            </w:r>
          </w:p>
        </w:tc>
        <w:tc>
          <w:tcPr>
            <w:tcW w:w="201"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615</w:t>
            </w:r>
          </w:p>
        </w:tc>
        <w:tc>
          <w:tcPr>
            <w:tcW w:w="199"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23</w:t>
            </w:r>
          </w:p>
        </w:tc>
        <w:tc>
          <w:tcPr>
            <w:tcW w:w="260"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16,1</w:t>
            </w:r>
          </w:p>
        </w:tc>
        <w:tc>
          <w:tcPr>
            <w:tcW w:w="202"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12</w:t>
            </w:r>
          </w:p>
        </w:tc>
        <w:tc>
          <w:tcPr>
            <w:tcW w:w="259"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8,4</w:t>
            </w:r>
          </w:p>
        </w:tc>
        <w:tc>
          <w:tcPr>
            <w:tcW w:w="201"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2</w:t>
            </w:r>
          </w:p>
        </w:tc>
        <w:tc>
          <w:tcPr>
            <w:tcW w:w="200"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3</w:t>
            </w:r>
          </w:p>
        </w:tc>
        <w:tc>
          <w:tcPr>
            <w:tcW w:w="126"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w:t>
            </w:r>
          </w:p>
        </w:tc>
        <w:tc>
          <w:tcPr>
            <w:tcW w:w="132"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2</w:t>
            </w:r>
          </w:p>
        </w:tc>
        <w:tc>
          <w:tcPr>
            <w:tcW w:w="132"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9</w:t>
            </w:r>
          </w:p>
        </w:tc>
        <w:tc>
          <w:tcPr>
            <w:tcW w:w="133"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9</w:t>
            </w:r>
          </w:p>
        </w:tc>
        <w:tc>
          <w:tcPr>
            <w:tcW w:w="196"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237</w:t>
            </w:r>
          </w:p>
        </w:tc>
        <w:tc>
          <w:tcPr>
            <w:tcW w:w="198"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237</w:t>
            </w:r>
          </w:p>
        </w:tc>
        <w:tc>
          <w:tcPr>
            <w:tcW w:w="132"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w:t>
            </w:r>
          </w:p>
        </w:tc>
        <w:tc>
          <w:tcPr>
            <w:tcW w:w="197"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w:t>
            </w:r>
          </w:p>
        </w:tc>
        <w:tc>
          <w:tcPr>
            <w:tcW w:w="196"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484</w:t>
            </w:r>
          </w:p>
        </w:tc>
        <w:tc>
          <w:tcPr>
            <w:tcW w:w="261"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4"/>
                <w:szCs w:val="14"/>
                <w:lang w:eastAsia="bg-BG"/>
              </w:rPr>
            </w:pPr>
            <w:r w:rsidRPr="00880ECD">
              <w:rPr>
                <w:rFonts w:ascii="Times New Roman" w:eastAsia="Calibri" w:hAnsi="Times New Roman" w:cs="Times New Roman"/>
                <w:sz w:val="14"/>
                <w:szCs w:val="14"/>
                <w:lang w:eastAsia="bg-BG"/>
              </w:rPr>
              <w:t>145,2</w:t>
            </w:r>
          </w:p>
        </w:tc>
        <w:tc>
          <w:tcPr>
            <w:tcW w:w="130"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3</w:t>
            </w:r>
          </w:p>
        </w:tc>
        <w:tc>
          <w:tcPr>
            <w:tcW w:w="198"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9</w:t>
            </w:r>
          </w:p>
        </w:tc>
        <w:tc>
          <w:tcPr>
            <w:tcW w:w="197"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38</w:t>
            </w:r>
          </w:p>
        </w:tc>
        <w:tc>
          <w:tcPr>
            <w:tcW w:w="231"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19</w:t>
            </w:r>
          </w:p>
        </w:tc>
        <w:tc>
          <w:tcPr>
            <w:tcW w:w="263" w:type="pct"/>
            <w:tcBorders>
              <w:top w:val="nil"/>
              <w:left w:val="nil"/>
              <w:bottom w:val="single" w:sz="8"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810</w:t>
            </w:r>
          </w:p>
        </w:tc>
        <w:tc>
          <w:tcPr>
            <w:tcW w:w="262" w:type="pct"/>
            <w:tcBorders>
              <w:top w:val="nil"/>
              <w:left w:val="nil"/>
              <w:bottom w:val="single" w:sz="8" w:space="0" w:color="auto"/>
              <w:right w:val="single" w:sz="4" w:space="0" w:color="auto"/>
            </w:tcBorders>
            <w:shd w:val="clear" w:color="auto" w:fill="auto"/>
            <w:noWrap/>
            <w:vAlign w:val="center"/>
          </w:tcPr>
          <w:p w:rsidR="009658CD" w:rsidRPr="00880ECD" w:rsidRDefault="009658CD" w:rsidP="00F63914">
            <w:pPr>
              <w:spacing w:after="0" w:line="240" w:lineRule="auto"/>
              <w:jc w:val="center"/>
              <w:rPr>
                <w:rFonts w:ascii="Times New Roman" w:eastAsia="Calibri" w:hAnsi="Times New Roman" w:cs="Times New Roman"/>
                <w:sz w:val="16"/>
                <w:szCs w:val="16"/>
                <w:lang w:eastAsia="bg-BG"/>
              </w:rPr>
            </w:pPr>
            <w:r w:rsidRPr="00880ECD">
              <w:rPr>
                <w:rFonts w:ascii="Times New Roman" w:eastAsia="Calibri" w:hAnsi="Times New Roman" w:cs="Times New Roman"/>
                <w:sz w:val="16"/>
                <w:szCs w:val="16"/>
                <w:lang w:eastAsia="bg-BG"/>
              </w:rPr>
              <w:t>449,7</w:t>
            </w:r>
          </w:p>
        </w:tc>
      </w:tr>
      <w:tr w:rsidR="005376BE" w:rsidRPr="00880ECD" w:rsidTr="009658CD">
        <w:trPr>
          <w:cantSplit/>
          <w:trHeight w:val="561"/>
        </w:trPr>
        <w:tc>
          <w:tcPr>
            <w:tcW w:w="231" w:type="pct"/>
            <w:tcBorders>
              <w:top w:val="nil"/>
              <w:left w:val="single" w:sz="4" w:space="0" w:color="auto"/>
              <w:bottom w:val="single" w:sz="4" w:space="0" w:color="auto"/>
              <w:right w:val="single" w:sz="8" w:space="0" w:color="auto"/>
            </w:tcBorders>
            <w:shd w:val="clear" w:color="auto" w:fill="auto"/>
            <w:noWrap/>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Cs/>
                <w:sz w:val="16"/>
                <w:szCs w:val="16"/>
                <w:lang w:eastAsia="bg-BG"/>
              </w:rPr>
            </w:pPr>
            <w:r w:rsidRPr="00880ECD">
              <w:rPr>
                <w:rFonts w:ascii="Times New Roman" w:eastAsia="Times New Roman" w:hAnsi="Times New Roman" w:cs="Times New Roman"/>
                <w:bCs/>
                <w:sz w:val="16"/>
                <w:szCs w:val="16"/>
                <w:lang w:eastAsia="bg-BG"/>
              </w:rPr>
              <w:t>2020</w:t>
            </w:r>
          </w:p>
        </w:tc>
        <w:tc>
          <w:tcPr>
            <w:tcW w:w="263"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1000</w:t>
            </w:r>
          </w:p>
        </w:tc>
        <w:tc>
          <w:tcPr>
            <w:tcW w:w="201"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840</w:t>
            </w:r>
          </w:p>
        </w:tc>
        <w:tc>
          <w:tcPr>
            <w:tcW w:w="199"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12</w:t>
            </w:r>
          </w:p>
        </w:tc>
        <w:tc>
          <w:tcPr>
            <w:tcW w:w="260"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8,4</w:t>
            </w:r>
          </w:p>
        </w:tc>
        <w:tc>
          <w:tcPr>
            <w:tcW w:w="202"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12</w:t>
            </w:r>
          </w:p>
        </w:tc>
        <w:tc>
          <w:tcPr>
            <w:tcW w:w="259"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8,4</w:t>
            </w:r>
          </w:p>
        </w:tc>
        <w:tc>
          <w:tcPr>
            <w:tcW w:w="201"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w:t>
            </w:r>
          </w:p>
        </w:tc>
        <w:tc>
          <w:tcPr>
            <w:tcW w:w="200"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1,5</w:t>
            </w:r>
          </w:p>
        </w:tc>
        <w:tc>
          <w:tcPr>
            <w:tcW w:w="126"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132"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132"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w:t>
            </w:r>
          </w:p>
        </w:tc>
        <w:tc>
          <w:tcPr>
            <w:tcW w:w="133"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7</w:t>
            </w:r>
          </w:p>
        </w:tc>
        <w:tc>
          <w:tcPr>
            <w:tcW w:w="196"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219</w:t>
            </w:r>
          </w:p>
        </w:tc>
        <w:tc>
          <w:tcPr>
            <w:tcW w:w="198"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219</w:t>
            </w:r>
          </w:p>
        </w:tc>
        <w:tc>
          <w:tcPr>
            <w:tcW w:w="132"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197"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0</w:t>
            </w:r>
          </w:p>
        </w:tc>
        <w:tc>
          <w:tcPr>
            <w:tcW w:w="196"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558</w:t>
            </w:r>
          </w:p>
        </w:tc>
        <w:tc>
          <w:tcPr>
            <w:tcW w:w="261"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4"/>
                <w:szCs w:val="14"/>
                <w:lang w:eastAsia="bg-BG"/>
              </w:rPr>
            </w:pPr>
            <w:r w:rsidRPr="00880ECD">
              <w:rPr>
                <w:rFonts w:ascii="Times New Roman" w:eastAsia="Times New Roman" w:hAnsi="Times New Roman" w:cs="Times New Roman"/>
                <w:sz w:val="14"/>
                <w:szCs w:val="14"/>
                <w:lang w:eastAsia="bg-BG"/>
              </w:rPr>
              <w:t>167,4</w:t>
            </w:r>
          </w:p>
        </w:tc>
        <w:tc>
          <w:tcPr>
            <w:tcW w:w="130"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21</w:t>
            </w:r>
          </w:p>
        </w:tc>
        <w:tc>
          <w:tcPr>
            <w:tcW w:w="198"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63</w:t>
            </w:r>
          </w:p>
        </w:tc>
        <w:tc>
          <w:tcPr>
            <w:tcW w:w="197"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59</w:t>
            </w:r>
          </w:p>
        </w:tc>
        <w:tc>
          <w:tcPr>
            <w:tcW w:w="231"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29,5</w:t>
            </w:r>
          </w:p>
        </w:tc>
        <w:tc>
          <w:tcPr>
            <w:tcW w:w="263" w:type="pct"/>
            <w:tcBorders>
              <w:top w:val="nil"/>
              <w:left w:val="nil"/>
              <w:bottom w:val="single" w:sz="4" w:space="0" w:color="auto"/>
              <w:right w:val="single" w:sz="8"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889</w:t>
            </w:r>
          </w:p>
        </w:tc>
        <w:tc>
          <w:tcPr>
            <w:tcW w:w="262" w:type="pct"/>
            <w:tcBorders>
              <w:top w:val="nil"/>
              <w:left w:val="nil"/>
              <w:bottom w:val="single" w:sz="4" w:space="0" w:color="auto"/>
              <w:right w:val="single" w:sz="4" w:space="0" w:color="auto"/>
            </w:tcBorders>
            <w:shd w:val="clear" w:color="auto" w:fill="auto"/>
            <w:noWrap/>
            <w:vAlign w:val="center"/>
          </w:tcPr>
          <w:p w:rsidR="009658CD" w:rsidRPr="00880ECD" w:rsidRDefault="009658CD" w:rsidP="00F63914">
            <w:pPr>
              <w:spacing w:after="0" w:line="240" w:lineRule="auto"/>
              <w:jc w:val="center"/>
              <w:rPr>
                <w:rFonts w:ascii="Times New Roman" w:eastAsia="Times New Roman" w:hAnsi="Times New Roman" w:cs="Times New Roman"/>
                <w:sz w:val="16"/>
                <w:szCs w:val="16"/>
                <w:lang w:eastAsia="bg-BG"/>
              </w:rPr>
            </w:pPr>
            <w:r w:rsidRPr="00880ECD">
              <w:rPr>
                <w:rFonts w:ascii="Times New Roman" w:eastAsia="Times New Roman" w:hAnsi="Times New Roman" w:cs="Times New Roman"/>
                <w:sz w:val="16"/>
                <w:szCs w:val="16"/>
                <w:lang w:eastAsia="bg-BG"/>
              </w:rPr>
              <w:t>504,2</w:t>
            </w:r>
          </w:p>
        </w:tc>
      </w:tr>
      <w:tr w:rsidR="005376BE" w:rsidRPr="00880ECD" w:rsidTr="009658CD">
        <w:trPr>
          <w:cantSplit/>
          <w:trHeight w:val="561"/>
        </w:trPr>
        <w:tc>
          <w:tcPr>
            <w:tcW w:w="231" w:type="pct"/>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rsidR="009658CD" w:rsidRPr="00880ECD" w:rsidRDefault="009658CD" w:rsidP="00F63914">
            <w:pPr>
              <w:spacing w:after="0" w:line="240" w:lineRule="auto"/>
              <w:jc w:val="center"/>
              <w:rPr>
                <w:rFonts w:ascii="Times New Roman" w:eastAsia="Times New Roman" w:hAnsi="Times New Roman" w:cs="Times New Roman"/>
                <w:b/>
                <w:bCs/>
                <w:sz w:val="16"/>
                <w:szCs w:val="16"/>
                <w:lang w:eastAsia="bg-BG"/>
              </w:rPr>
            </w:pPr>
            <w:r w:rsidRPr="00880ECD">
              <w:rPr>
                <w:rFonts w:ascii="Times New Roman" w:eastAsia="Times New Roman" w:hAnsi="Times New Roman" w:cs="Times New Roman"/>
                <w:b/>
                <w:bCs/>
                <w:sz w:val="16"/>
                <w:szCs w:val="16"/>
                <w:lang w:eastAsia="bg-BG"/>
              </w:rPr>
              <w:t>2021</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944</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725</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19</w:t>
            </w:r>
          </w:p>
        </w:tc>
        <w:tc>
          <w:tcPr>
            <w:tcW w:w="26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13,3</w:t>
            </w:r>
          </w:p>
        </w:tc>
        <w:tc>
          <w:tcPr>
            <w:tcW w:w="20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16</w:t>
            </w:r>
          </w:p>
        </w:tc>
        <w:tc>
          <w:tcPr>
            <w:tcW w:w="259"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11,2</w:t>
            </w:r>
          </w:p>
        </w:tc>
        <w:tc>
          <w:tcPr>
            <w:tcW w:w="20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1,5</w:t>
            </w:r>
          </w:p>
        </w:tc>
        <w:tc>
          <w:tcPr>
            <w:tcW w:w="12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0</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0</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w:t>
            </w:r>
          </w:p>
        </w:tc>
        <w:tc>
          <w:tcPr>
            <w:tcW w:w="13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253</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253</w:t>
            </w:r>
          </w:p>
        </w:tc>
        <w:tc>
          <w:tcPr>
            <w:tcW w:w="13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w:t>
            </w:r>
          </w:p>
        </w:tc>
        <w:tc>
          <w:tcPr>
            <w:tcW w:w="196"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740</w:t>
            </w:r>
          </w:p>
        </w:tc>
        <w:tc>
          <w:tcPr>
            <w:tcW w:w="26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222</w:t>
            </w:r>
          </w:p>
        </w:tc>
        <w:tc>
          <w:tcPr>
            <w:tcW w:w="130"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4</w:t>
            </w:r>
          </w:p>
        </w:tc>
        <w:tc>
          <w:tcPr>
            <w:tcW w:w="1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12</w:t>
            </w:r>
          </w:p>
        </w:tc>
        <w:tc>
          <w:tcPr>
            <w:tcW w:w="197"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91</w:t>
            </w:r>
          </w:p>
        </w:tc>
        <w:tc>
          <w:tcPr>
            <w:tcW w:w="231"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45,5</w:t>
            </w:r>
          </w:p>
        </w:tc>
        <w:tc>
          <w:tcPr>
            <w:tcW w:w="263"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1132</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bottom"/>
          </w:tcPr>
          <w:p w:rsidR="009658CD" w:rsidRPr="00880ECD" w:rsidRDefault="009658CD" w:rsidP="00F63914">
            <w:pPr>
              <w:spacing w:after="0" w:line="240" w:lineRule="auto"/>
              <w:jc w:val="right"/>
              <w:rPr>
                <w:rFonts w:ascii="Times New Roman" w:eastAsia="Times New Roman" w:hAnsi="Times New Roman" w:cs="Times New Roman"/>
                <w:b/>
                <w:sz w:val="16"/>
                <w:szCs w:val="16"/>
                <w:lang w:eastAsia="bg-BG"/>
              </w:rPr>
            </w:pPr>
            <w:r w:rsidRPr="00880ECD">
              <w:rPr>
                <w:rFonts w:ascii="Times New Roman" w:eastAsia="Times New Roman" w:hAnsi="Times New Roman" w:cs="Times New Roman"/>
                <w:b/>
                <w:sz w:val="16"/>
                <w:szCs w:val="16"/>
                <w:lang w:eastAsia="bg-BG"/>
              </w:rPr>
              <w:t>566,5</w:t>
            </w:r>
          </w:p>
        </w:tc>
      </w:tr>
    </w:tbl>
    <w:p w:rsidR="009658CD" w:rsidRDefault="009658CD" w:rsidP="00F63914">
      <w:pPr>
        <w:pStyle w:val="a6"/>
        <w:ind w:left="420"/>
      </w:pPr>
    </w:p>
    <w:p w:rsidR="005376BE" w:rsidRDefault="005376BE" w:rsidP="005376BE">
      <w:pPr>
        <w:keepNext/>
        <w:keepLines/>
        <w:spacing w:before="480" w:after="0"/>
        <w:jc w:val="center"/>
        <w:outlineLvl w:val="0"/>
        <w:rPr>
          <w:rFonts w:ascii="Times New Roman" w:eastAsiaTheme="majorEastAsia" w:hAnsi="Times New Roman" w:cs="Times New Roman"/>
          <w:bCs/>
          <w:caps/>
          <w:color w:val="0070C0"/>
          <w:sz w:val="28"/>
          <w:szCs w:val="28"/>
        </w:rPr>
      </w:pPr>
    </w:p>
    <w:p w:rsidR="005376BE" w:rsidRDefault="005376BE" w:rsidP="005376BE">
      <w:pPr>
        <w:keepNext/>
        <w:keepLines/>
        <w:spacing w:before="480" w:after="0"/>
        <w:jc w:val="center"/>
        <w:outlineLvl w:val="0"/>
        <w:rPr>
          <w:rFonts w:ascii="Times New Roman" w:eastAsiaTheme="majorEastAsia" w:hAnsi="Times New Roman" w:cs="Times New Roman"/>
          <w:bCs/>
          <w:caps/>
          <w:color w:val="0070C0"/>
          <w:sz w:val="28"/>
          <w:szCs w:val="28"/>
        </w:rPr>
      </w:pPr>
      <w:bookmarkStart w:id="27" w:name="_GoBack"/>
      <w:bookmarkEnd w:id="27"/>
    </w:p>
    <w:p w:rsidR="009658CD" w:rsidRPr="00880ECD" w:rsidRDefault="009658CD" w:rsidP="005376BE">
      <w:pPr>
        <w:keepNext/>
        <w:keepLines/>
        <w:spacing w:before="480" w:after="0"/>
        <w:jc w:val="center"/>
        <w:outlineLvl w:val="0"/>
        <w:rPr>
          <w:rFonts w:ascii="Times New Roman" w:eastAsiaTheme="majorEastAsia" w:hAnsi="Times New Roman" w:cs="Times New Roman"/>
          <w:bCs/>
          <w:caps/>
          <w:color w:val="0070C0"/>
          <w:sz w:val="28"/>
          <w:szCs w:val="28"/>
        </w:rPr>
      </w:pPr>
      <w:r w:rsidRPr="00413777">
        <w:rPr>
          <w:rFonts w:ascii="Times New Roman" w:eastAsiaTheme="majorEastAsia" w:hAnsi="Times New Roman" w:cs="Times New Roman"/>
          <w:bCs/>
          <w:caps/>
          <w:color w:val="0070C0"/>
          <w:sz w:val="28"/>
          <w:szCs w:val="28"/>
        </w:rPr>
        <w:t xml:space="preserve">раздел </w:t>
      </w:r>
      <w:r w:rsidRPr="00413777">
        <w:rPr>
          <w:rFonts w:ascii="Times New Roman" w:eastAsiaTheme="majorEastAsia" w:hAnsi="Times New Roman" w:cs="Times New Roman"/>
          <w:bCs/>
          <w:caps/>
          <w:color w:val="0070C0"/>
          <w:sz w:val="28"/>
          <w:szCs w:val="28"/>
          <w:lang w:val="en-US"/>
        </w:rPr>
        <w:t>VII</w:t>
      </w:r>
    </w:p>
    <w:p w:rsidR="009658CD" w:rsidRPr="00413777" w:rsidRDefault="009658CD" w:rsidP="005376BE">
      <w:pPr>
        <w:keepNext/>
        <w:keepLines/>
        <w:spacing w:before="480" w:after="0"/>
        <w:jc w:val="center"/>
        <w:outlineLvl w:val="0"/>
        <w:rPr>
          <w:rFonts w:ascii="Times New Roman" w:eastAsiaTheme="majorEastAsia" w:hAnsi="Times New Roman" w:cs="Times New Roman"/>
          <w:bCs/>
          <w:caps/>
          <w:color w:val="0070C0"/>
          <w:sz w:val="28"/>
          <w:szCs w:val="28"/>
        </w:rPr>
      </w:pPr>
      <w:r w:rsidRPr="00413777">
        <w:rPr>
          <w:rFonts w:ascii="Times New Roman" w:eastAsiaTheme="majorEastAsia" w:hAnsi="Times New Roman" w:cs="Times New Roman"/>
          <w:bCs/>
          <w:caps/>
          <w:color w:val="0070C0"/>
          <w:sz w:val="28"/>
          <w:szCs w:val="28"/>
        </w:rPr>
        <w:t>Приоритети в дейността на прокуратурата</w:t>
      </w:r>
      <w:bookmarkStart w:id="28" w:name="_Toc506555655"/>
      <w:bookmarkStart w:id="29" w:name="_Toc506555769"/>
      <w:bookmarkStart w:id="30" w:name="_Toc506557872"/>
      <w:r w:rsidRPr="00413777">
        <w:rPr>
          <w:rFonts w:ascii="Times New Roman" w:eastAsiaTheme="majorEastAsia" w:hAnsi="Times New Roman" w:cs="Times New Roman"/>
          <w:bCs/>
          <w:caps/>
          <w:color w:val="0070C0"/>
          <w:sz w:val="28"/>
          <w:szCs w:val="28"/>
        </w:rPr>
        <w:t xml:space="preserve"> и на разследващите органи</w:t>
      </w:r>
      <w:bookmarkEnd w:id="28"/>
      <w:bookmarkEnd w:id="29"/>
      <w:bookmarkEnd w:id="30"/>
    </w:p>
    <w:p w:rsidR="009658CD" w:rsidRPr="00413777" w:rsidRDefault="009658CD" w:rsidP="005376BE">
      <w:pPr>
        <w:spacing w:after="0" w:line="240" w:lineRule="auto"/>
        <w:jc w:val="both"/>
        <w:rPr>
          <w:rFonts w:ascii="Times New Roman" w:eastAsia="Times New Roman" w:hAnsi="Times New Roman" w:cs="Times New Roman"/>
          <w:sz w:val="28"/>
          <w:szCs w:val="28"/>
          <w:lang w:eastAsia="bg-BG"/>
        </w:rPr>
      </w:pPr>
    </w:p>
    <w:p w:rsidR="009658CD" w:rsidRPr="00413777" w:rsidRDefault="009658CD" w:rsidP="005376BE">
      <w:pPr>
        <w:spacing w:after="0" w:line="240" w:lineRule="auto"/>
        <w:jc w:val="both"/>
        <w:rPr>
          <w:rFonts w:ascii="Times New Roman" w:eastAsia="Times New Roman" w:hAnsi="Times New Roman" w:cs="Times New Roman"/>
          <w:sz w:val="28"/>
          <w:szCs w:val="28"/>
          <w:lang w:eastAsia="bg-BG"/>
        </w:rPr>
      </w:pP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Срочно решаване на преписки и дела – създадена е в това отношение организация в ОП – Варна </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Засилване на прилагането на екипния принцип при разследване на дела за тежки престъпления и на дела от особен обществен интерес. </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Използване в максимална степен на ресурса на следователите за възлагането им на дела по реда на чл. 194 ал.1, т. 4 НПК.</w:t>
      </w:r>
    </w:p>
    <w:p w:rsidR="009658CD" w:rsidRPr="00AF1BA0" w:rsidRDefault="009658CD" w:rsidP="005376BE">
      <w:pPr>
        <w:numPr>
          <w:ilvl w:val="0"/>
          <w:numId w:val="13"/>
        </w:numPr>
        <w:spacing w:after="0" w:line="240" w:lineRule="auto"/>
        <w:ind w:firstLine="0"/>
        <w:contextualSpacing/>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Активна работата по делата за корупционни престъпления и за престъпления, свързани със злоупотреба със средства на ЕС;</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Засилване на взаимодействието по делата за данъчни престъпления с органите на  НАП. </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Активен мониторинг спрямо делата за престъпления с предмет наркотични вещества и трафик на хора. </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Продължаване на засиления контрол на делата срещу едни и същи обвиняем, съгласно Споразумението между ПРБ и МВР за взаимодействие в тази връзка.  </w:t>
      </w:r>
    </w:p>
    <w:p w:rsidR="009658CD" w:rsidRPr="00AF1BA0" w:rsidRDefault="009658CD" w:rsidP="005376BE">
      <w:pPr>
        <w:spacing w:after="0" w:line="240" w:lineRule="auto"/>
        <w:ind w:left="1353"/>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   </w:t>
      </w:r>
    </w:p>
    <w:p w:rsidR="009658CD" w:rsidRPr="00AF1BA0" w:rsidRDefault="009658CD" w:rsidP="005376BE">
      <w:pPr>
        <w:numPr>
          <w:ilvl w:val="0"/>
          <w:numId w:val="13"/>
        </w:numPr>
        <w:spacing w:after="0" w:line="240" w:lineRule="auto"/>
        <w:ind w:firstLine="0"/>
        <w:contextualSpacing/>
        <w:jc w:val="both"/>
        <w:rPr>
          <w:rFonts w:ascii="Times New Roman" w:eastAsia="Times New Roman" w:hAnsi="Times New Roman" w:cs="Times New Roman"/>
          <w:sz w:val="28"/>
          <w:szCs w:val="28"/>
          <w:highlight w:val="yellow"/>
          <w:lang w:eastAsia="bg-BG"/>
        </w:rPr>
      </w:pPr>
      <w:r w:rsidRPr="00AF1BA0">
        <w:rPr>
          <w:rFonts w:ascii="Times New Roman" w:eastAsia="Times New Roman" w:hAnsi="Times New Roman" w:cs="Times New Roman"/>
          <w:sz w:val="28"/>
          <w:szCs w:val="28"/>
          <w:highlight w:val="yellow"/>
          <w:lang w:eastAsia="bg-BG"/>
        </w:rPr>
        <w:t xml:space="preserve">Оптимизиране на ефективността на деловодната дейност и отстраняване на затрудненията при работата с УИС на ПРБ, своевременно въвеждане на данните в УИС и правилно отчитане на натовареността на прокурорите. </w:t>
      </w:r>
    </w:p>
    <w:p w:rsidR="009658CD" w:rsidRPr="00AF1BA0" w:rsidRDefault="009658CD" w:rsidP="005376BE">
      <w:pPr>
        <w:widowControl w:val="0"/>
        <w:numPr>
          <w:ilvl w:val="0"/>
          <w:numId w:val="13"/>
        </w:numPr>
        <w:spacing w:after="0" w:line="240" w:lineRule="auto"/>
        <w:ind w:firstLine="0"/>
        <w:contextualSpacing/>
        <w:jc w:val="both"/>
        <w:rPr>
          <w:rFonts w:ascii="Times New Roman" w:eastAsia="Times New Roman" w:hAnsi="Times New Roman" w:cs="Times New Roman"/>
          <w:color w:val="000000"/>
          <w:sz w:val="28"/>
          <w:szCs w:val="28"/>
          <w:highlight w:val="yellow"/>
          <w:lang w:eastAsia="bg-BG"/>
        </w:rPr>
      </w:pPr>
      <w:r w:rsidRPr="00AF1BA0">
        <w:rPr>
          <w:rFonts w:ascii="Times New Roman" w:eastAsia="Times New Roman" w:hAnsi="Times New Roman" w:cs="Times New Roman"/>
          <w:sz w:val="28"/>
          <w:szCs w:val="28"/>
          <w:highlight w:val="yellow"/>
          <w:lang w:eastAsia="bg-BG"/>
        </w:rPr>
        <w:t>Водене на ефикасна медийна политика, в съответствие с указанията на Главния прокурор</w:t>
      </w:r>
    </w:p>
    <w:p w:rsidR="009658CD" w:rsidRPr="00413777" w:rsidRDefault="009658CD" w:rsidP="005376BE">
      <w:pPr>
        <w:spacing w:after="0" w:line="240" w:lineRule="auto"/>
        <w:jc w:val="both"/>
        <w:rPr>
          <w:rFonts w:ascii="Times New Roman" w:eastAsia="Times New Roman" w:hAnsi="Times New Roman" w:cs="Times New Roman"/>
          <w:sz w:val="28"/>
          <w:szCs w:val="28"/>
          <w:lang w:eastAsia="bg-BG"/>
        </w:rPr>
      </w:pPr>
      <w:r w:rsidRPr="00AF1BA0">
        <w:rPr>
          <w:rFonts w:ascii="Times New Roman" w:eastAsia="Times New Roman" w:hAnsi="Times New Roman" w:cs="Times New Roman"/>
          <w:sz w:val="28"/>
          <w:szCs w:val="28"/>
          <w:highlight w:val="yellow"/>
          <w:lang w:eastAsia="bg-BG"/>
        </w:rPr>
        <w:t xml:space="preserve">Горепосочените приоритети са само основата, върху която следва да се </w:t>
      </w:r>
      <w:proofErr w:type="spellStart"/>
      <w:r w:rsidRPr="00AF1BA0">
        <w:rPr>
          <w:rFonts w:ascii="Times New Roman" w:eastAsia="Times New Roman" w:hAnsi="Times New Roman" w:cs="Times New Roman"/>
          <w:sz w:val="28"/>
          <w:szCs w:val="28"/>
          <w:highlight w:val="yellow"/>
          <w:lang w:eastAsia="bg-BG"/>
        </w:rPr>
        <w:t>надграждат</w:t>
      </w:r>
      <w:proofErr w:type="spellEnd"/>
      <w:r w:rsidRPr="00AF1BA0">
        <w:rPr>
          <w:rFonts w:ascii="Times New Roman" w:eastAsia="Times New Roman" w:hAnsi="Times New Roman" w:cs="Times New Roman"/>
          <w:sz w:val="28"/>
          <w:szCs w:val="28"/>
          <w:highlight w:val="yellow"/>
          <w:lang w:eastAsia="bg-BG"/>
        </w:rPr>
        <w:t xml:space="preserve"> добрите практики за подобряване на работата като цяло и постигане на още по-добри резултати и през настоящата 2021 г.</w:t>
      </w:r>
    </w:p>
    <w:p w:rsidR="009658CD" w:rsidRDefault="009658CD" w:rsidP="005376BE">
      <w:pPr>
        <w:pStyle w:val="a6"/>
        <w:ind w:left="420"/>
      </w:pPr>
    </w:p>
    <w:sectPr w:rsidR="009658CD" w:rsidSect="005376BE">
      <w:pgSz w:w="11906" w:h="16838"/>
      <w:pgMar w:top="993" w:right="707"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B48AE7A"/>
    <w:lvl w:ilvl="0">
      <w:numFmt w:val="bullet"/>
      <w:lvlText w:val="*"/>
      <w:lvlJc w:val="left"/>
      <w:pPr>
        <w:ind w:left="0" w:firstLine="0"/>
      </w:pPr>
    </w:lvl>
  </w:abstractNum>
  <w:abstractNum w:abstractNumId="1">
    <w:nsid w:val="011650F0"/>
    <w:multiLevelType w:val="hybridMultilevel"/>
    <w:tmpl w:val="59BE59F2"/>
    <w:lvl w:ilvl="0" w:tplc="7772B18C">
      <w:start w:val="1"/>
      <w:numFmt w:val="bullet"/>
      <w:lvlText w:val=""/>
      <w:lvlJc w:val="left"/>
      <w:pPr>
        <w:tabs>
          <w:tab w:val="num" w:pos="1777"/>
        </w:tabs>
        <w:ind w:left="1777" w:hanging="360"/>
      </w:pPr>
      <w:rPr>
        <w:rFonts w:ascii="Symbol" w:hAnsi="Symbol" w:hint="default"/>
      </w:rPr>
    </w:lvl>
    <w:lvl w:ilvl="1" w:tplc="04020003">
      <w:start w:val="1"/>
      <w:numFmt w:val="bullet"/>
      <w:lvlText w:val="o"/>
      <w:lvlJc w:val="left"/>
      <w:pPr>
        <w:tabs>
          <w:tab w:val="num" w:pos="2149"/>
        </w:tabs>
        <w:ind w:left="2149" w:hanging="360"/>
      </w:pPr>
      <w:rPr>
        <w:rFonts w:ascii="Courier New" w:hAnsi="Courier New" w:hint="default"/>
      </w:rPr>
    </w:lvl>
    <w:lvl w:ilvl="2" w:tplc="04020005" w:tentative="1">
      <w:start w:val="1"/>
      <w:numFmt w:val="bullet"/>
      <w:lvlText w:val=""/>
      <w:lvlJc w:val="left"/>
      <w:pPr>
        <w:tabs>
          <w:tab w:val="num" w:pos="2869"/>
        </w:tabs>
        <w:ind w:left="2869" w:hanging="360"/>
      </w:pPr>
      <w:rPr>
        <w:rFonts w:ascii="Wingdings" w:hAnsi="Wingdings" w:hint="default"/>
      </w:rPr>
    </w:lvl>
    <w:lvl w:ilvl="3" w:tplc="04020001" w:tentative="1">
      <w:start w:val="1"/>
      <w:numFmt w:val="bullet"/>
      <w:lvlText w:val=""/>
      <w:lvlJc w:val="left"/>
      <w:pPr>
        <w:tabs>
          <w:tab w:val="num" w:pos="3589"/>
        </w:tabs>
        <w:ind w:left="3589" w:hanging="360"/>
      </w:pPr>
      <w:rPr>
        <w:rFonts w:ascii="Symbol" w:hAnsi="Symbol" w:hint="default"/>
      </w:rPr>
    </w:lvl>
    <w:lvl w:ilvl="4" w:tplc="04020003" w:tentative="1">
      <w:start w:val="1"/>
      <w:numFmt w:val="bullet"/>
      <w:lvlText w:val="o"/>
      <w:lvlJc w:val="left"/>
      <w:pPr>
        <w:tabs>
          <w:tab w:val="num" w:pos="4309"/>
        </w:tabs>
        <w:ind w:left="4309" w:hanging="360"/>
      </w:pPr>
      <w:rPr>
        <w:rFonts w:ascii="Courier New" w:hAnsi="Courier New" w:hint="default"/>
      </w:rPr>
    </w:lvl>
    <w:lvl w:ilvl="5" w:tplc="04020005" w:tentative="1">
      <w:start w:val="1"/>
      <w:numFmt w:val="bullet"/>
      <w:lvlText w:val=""/>
      <w:lvlJc w:val="left"/>
      <w:pPr>
        <w:tabs>
          <w:tab w:val="num" w:pos="5029"/>
        </w:tabs>
        <w:ind w:left="5029" w:hanging="360"/>
      </w:pPr>
      <w:rPr>
        <w:rFonts w:ascii="Wingdings" w:hAnsi="Wingdings" w:hint="default"/>
      </w:rPr>
    </w:lvl>
    <w:lvl w:ilvl="6" w:tplc="04020001" w:tentative="1">
      <w:start w:val="1"/>
      <w:numFmt w:val="bullet"/>
      <w:lvlText w:val=""/>
      <w:lvlJc w:val="left"/>
      <w:pPr>
        <w:tabs>
          <w:tab w:val="num" w:pos="5749"/>
        </w:tabs>
        <w:ind w:left="5749" w:hanging="360"/>
      </w:pPr>
      <w:rPr>
        <w:rFonts w:ascii="Symbol" w:hAnsi="Symbol" w:hint="default"/>
      </w:rPr>
    </w:lvl>
    <w:lvl w:ilvl="7" w:tplc="04020003" w:tentative="1">
      <w:start w:val="1"/>
      <w:numFmt w:val="bullet"/>
      <w:lvlText w:val="o"/>
      <w:lvlJc w:val="left"/>
      <w:pPr>
        <w:tabs>
          <w:tab w:val="num" w:pos="6469"/>
        </w:tabs>
        <w:ind w:left="6469" w:hanging="360"/>
      </w:pPr>
      <w:rPr>
        <w:rFonts w:ascii="Courier New" w:hAnsi="Courier New" w:hint="default"/>
      </w:rPr>
    </w:lvl>
    <w:lvl w:ilvl="8" w:tplc="04020005" w:tentative="1">
      <w:start w:val="1"/>
      <w:numFmt w:val="bullet"/>
      <w:lvlText w:val=""/>
      <w:lvlJc w:val="left"/>
      <w:pPr>
        <w:tabs>
          <w:tab w:val="num" w:pos="7189"/>
        </w:tabs>
        <w:ind w:left="7189" w:hanging="360"/>
      </w:pPr>
      <w:rPr>
        <w:rFonts w:ascii="Wingdings" w:hAnsi="Wingdings" w:hint="default"/>
      </w:rPr>
    </w:lvl>
  </w:abstractNum>
  <w:abstractNum w:abstractNumId="2">
    <w:nsid w:val="01996F90"/>
    <w:multiLevelType w:val="hybridMultilevel"/>
    <w:tmpl w:val="6CEC2466"/>
    <w:lvl w:ilvl="0" w:tplc="0ED0BBD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15EF2719"/>
    <w:multiLevelType w:val="multilevel"/>
    <w:tmpl w:val="3A6C97C8"/>
    <w:lvl w:ilvl="0">
      <w:start w:val="2"/>
      <w:numFmt w:val="decimal"/>
      <w:lvlText w:val="%1."/>
      <w:lvlJc w:val="left"/>
      <w:pPr>
        <w:ind w:left="420" w:hanging="420"/>
      </w:pPr>
      <w:rPr>
        <w:rFonts w:hint="default"/>
        <w:b/>
      </w:rPr>
    </w:lvl>
    <w:lvl w:ilvl="1">
      <w:start w:val="7"/>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
    <w:nsid w:val="1A962676"/>
    <w:multiLevelType w:val="multilevel"/>
    <w:tmpl w:val="0C28DB2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b/>
        <w:u w:val="single"/>
      </w:rPr>
    </w:lvl>
    <w:lvl w:ilvl="2">
      <w:start w:val="1"/>
      <w:numFmt w:val="decimal"/>
      <w:isLgl/>
      <w:lvlText w:val="%1.%2.%3."/>
      <w:lvlJc w:val="left"/>
      <w:pPr>
        <w:ind w:left="1287" w:hanging="720"/>
      </w:pPr>
      <w:rPr>
        <w:rFonts w:hint="default"/>
        <w:b/>
        <w:u w:val="single"/>
      </w:rPr>
    </w:lvl>
    <w:lvl w:ilvl="3">
      <w:start w:val="1"/>
      <w:numFmt w:val="decimal"/>
      <w:isLgl/>
      <w:lvlText w:val="%1.%2.%3.%4."/>
      <w:lvlJc w:val="left"/>
      <w:pPr>
        <w:ind w:left="1647" w:hanging="1080"/>
      </w:pPr>
      <w:rPr>
        <w:rFonts w:hint="default"/>
        <w:b/>
        <w:u w:val="single"/>
      </w:rPr>
    </w:lvl>
    <w:lvl w:ilvl="4">
      <w:start w:val="1"/>
      <w:numFmt w:val="decimal"/>
      <w:isLgl/>
      <w:lvlText w:val="%1.%2.%3.%4.%5."/>
      <w:lvlJc w:val="left"/>
      <w:pPr>
        <w:ind w:left="1647" w:hanging="1080"/>
      </w:pPr>
      <w:rPr>
        <w:rFonts w:hint="default"/>
        <w:b/>
        <w:u w:val="single"/>
      </w:rPr>
    </w:lvl>
    <w:lvl w:ilvl="5">
      <w:start w:val="1"/>
      <w:numFmt w:val="decimal"/>
      <w:isLgl/>
      <w:lvlText w:val="%1.%2.%3.%4.%5.%6."/>
      <w:lvlJc w:val="left"/>
      <w:pPr>
        <w:ind w:left="2007" w:hanging="1440"/>
      </w:pPr>
      <w:rPr>
        <w:rFonts w:hint="default"/>
        <w:b/>
        <w:u w:val="single"/>
      </w:rPr>
    </w:lvl>
    <w:lvl w:ilvl="6">
      <w:start w:val="1"/>
      <w:numFmt w:val="decimal"/>
      <w:isLgl/>
      <w:lvlText w:val="%1.%2.%3.%4.%5.%6.%7."/>
      <w:lvlJc w:val="left"/>
      <w:pPr>
        <w:ind w:left="2367" w:hanging="1800"/>
      </w:pPr>
      <w:rPr>
        <w:rFonts w:hint="default"/>
        <w:b/>
        <w:u w:val="single"/>
      </w:rPr>
    </w:lvl>
    <w:lvl w:ilvl="7">
      <w:start w:val="1"/>
      <w:numFmt w:val="decimal"/>
      <w:isLgl/>
      <w:lvlText w:val="%1.%2.%3.%4.%5.%6.%7.%8."/>
      <w:lvlJc w:val="left"/>
      <w:pPr>
        <w:ind w:left="2367" w:hanging="1800"/>
      </w:pPr>
      <w:rPr>
        <w:rFonts w:hint="default"/>
        <w:b/>
        <w:u w:val="single"/>
      </w:rPr>
    </w:lvl>
    <w:lvl w:ilvl="8">
      <w:start w:val="1"/>
      <w:numFmt w:val="decimal"/>
      <w:isLgl/>
      <w:lvlText w:val="%1.%2.%3.%4.%5.%6.%7.%8.%9."/>
      <w:lvlJc w:val="left"/>
      <w:pPr>
        <w:ind w:left="2727" w:hanging="2160"/>
      </w:pPr>
      <w:rPr>
        <w:rFonts w:hint="default"/>
        <w:b/>
        <w:u w:val="single"/>
      </w:rPr>
    </w:lvl>
  </w:abstractNum>
  <w:abstractNum w:abstractNumId="5">
    <w:nsid w:val="1C081317"/>
    <w:multiLevelType w:val="hybridMultilevel"/>
    <w:tmpl w:val="779C16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DC720F0"/>
    <w:multiLevelType w:val="hybridMultilevel"/>
    <w:tmpl w:val="BEBCB19E"/>
    <w:lvl w:ilvl="0" w:tplc="0402000B">
      <w:start w:val="1"/>
      <w:numFmt w:val="bullet"/>
      <w:lvlText w:val=""/>
      <w:lvlJc w:val="left"/>
      <w:pPr>
        <w:ind w:left="502" w:hanging="360"/>
      </w:pPr>
      <w:rPr>
        <w:rFonts w:ascii="Wingdings" w:hAnsi="Wingdings" w:hint="default"/>
      </w:rPr>
    </w:lvl>
    <w:lvl w:ilvl="1" w:tplc="04020003" w:tentative="1">
      <w:start w:val="1"/>
      <w:numFmt w:val="bullet"/>
      <w:lvlText w:val="o"/>
      <w:lvlJc w:val="left"/>
      <w:pPr>
        <w:ind w:left="1157" w:hanging="360"/>
      </w:pPr>
      <w:rPr>
        <w:rFonts w:ascii="Courier New" w:hAnsi="Courier New" w:cs="Courier New" w:hint="default"/>
      </w:rPr>
    </w:lvl>
    <w:lvl w:ilvl="2" w:tplc="04020005" w:tentative="1">
      <w:start w:val="1"/>
      <w:numFmt w:val="bullet"/>
      <w:lvlText w:val=""/>
      <w:lvlJc w:val="left"/>
      <w:pPr>
        <w:ind w:left="1877" w:hanging="360"/>
      </w:pPr>
      <w:rPr>
        <w:rFonts w:ascii="Wingdings" w:hAnsi="Wingdings" w:hint="default"/>
      </w:rPr>
    </w:lvl>
    <w:lvl w:ilvl="3" w:tplc="04020001" w:tentative="1">
      <w:start w:val="1"/>
      <w:numFmt w:val="bullet"/>
      <w:lvlText w:val=""/>
      <w:lvlJc w:val="left"/>
      <w:pPr>
        <w:ind w:left="2597" w:hanging="360"/>
      </w:pPr>
      <w:rPr>
        <w:rFonts w:ascii="Symbol" w:hAnsi="Symbol" w:hint="default"/>
      </w:rPr>
    </w:lvl>
    <w:lvl w:ilvl="4" w:tplc="04020003" w:tentative="1">
      <w:start w:val="1"/>
      <w:numFmt w:val="bullet"/>
      <w:lvlText w:val="o"/>
      <w:lvlJc w:val="left"/>
      <w:pPr>
        <w:ind w:left="3317" w:hanging="360"/>
      </w:pPr>
      <w:rPr>
        <w:rFonts w:ascii="Courier New" w:hAnsi="Courier New" w:cs="Courier New" w:hint="default"/>
      </w:rPr>
    </w:lvl>
    <w:lvl w:ilvl="5" w:tplc="04020005" w:tentative="1">
      <w:start w:val="1"/>
      <w:numFmt w:val="bullet"/>
      <w:lvlText w:val=""/>
      <w:lvlJc w:val="left"/>
      <w:pPr>
        <w:ind w:left="4037" w:hanging="360"/>
      </w:pPr>
      <w:rPr>
        <w:rFonts w:ascii="Wingdings" w:hAnsi="Wingdings" w:hint="default"/>
      </w:rPr>
    </w:lvl>
    <w:lvl w:ilvl="6" w:tplc="04020001" w:tentative="1">
      <w:start w:val="1"/>
      <w:numFmt w:val="bullet"/>
      <w:lvlText w:val=""/>
      <w:lvlJc w:val="left"/>
      <w:pPr>
        <w:ind w:left="4757" w:hanging="360"/>
      </w:pPr>
      <w:rPr>
        <w:rFonts w:ascii="Symbol" w:hAnsi="Symbol" w:hint="default"/>
      </w:rPr>
    </w:lvl>
    <w:lvl w:ilvl="7" w:tplc="04020003" w:tentative="1">
      <w:start w:val="1"/>
      <w:numFmt w:val="bullet"/>
      <w:lvlText w:val="o"/>
      <w:lvlJc w:val="left"/>
      <w:pPr>
        <w:ind w:left="5477" w:hanging="360"/>
      </w:pPr>
      <w:rPr>
        <w:rFonts w:ascii="Courier New" w:hAnsi="Courier New" w:cs="Courier New" w:hint="default"/>
      </w:rPr>
    </w:lvl>
    <w:lvl w:ilvl="8" w:tplc="04020005" w:tentative="1">
      <w:start w:val="1"/>
      <w:numFmt w:val="bullet"/>
      <w:lvlText w:val=""/>
      <w:lvlJc w:val="left"/>
      <w:pPr>
        <w:ind w:left="6197" w:hanging="360"/>
      </w:pPr>
      <w:rPr>
        <w:rFonts w:ascii="Wingdings" w:hAnsi="Wingdings" w:hint="default"/>
      </w:rPr>
    </w:lvl>
  </w:abstractNum>
  <w:abstractNum w:abstractNumId="7">
    <w:nsid w:val="1F937580"/>
    <w:multiLevelType w:val="hybridMultilevel"/>
    <w:tmpl w:val="ED9401DE"/>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8">
    <w:nsid w:val="2F2017CF"/>
    <w:multiLevelType w:val="hybridMultilevel"/>
    <w:tmpl w:val="4588F5C2"/>
    <w:lvl w:ilvl="0" w:tplc="0402000D">
      <w:start w:val="1"/>
      <w:numFmt w:val="bullet"/>
      <w:lvlText w:val=""/>
      <w:lvlJc w:val="left"/>
      <w:pPr>
        <w:ind w:left="2007" w:hanging="360"/>
      </w:pPr>
      <w:rPr>
        <w:rFonts w:ascii="Wingdings" w:hAnsi="Wingdings" w:hint="default"/>
      </w:rPr>
    </w:lvl>
    <w:lvl w:ilvl="1" w:tplc="04020003" w:tentative="1">
      <w:start w:val="1"/>
      <w:numFmt w:val="bullet"/>
      <w:lvlText w:val="o"/>
      <w:lvlJc w:val="left"/>
      <w:pPr>
        <w:ind w:left="2727" w:hanging="360"/>
      </w:pPr>
      <w:rPr>
        <w:rFonts w:ascii="Courier New" w:hAnsi="Courier New" w:cs="Courier New" w:hint="default"/>
      </w:rPr>
    </w:lvl>
    <w:lvl w:ilvl="2" w:tplc="04020005" w:tentative="1">
      <w:start w:val="1"/>
      <w:numFmt w:val="bullet"/>
      <w:lvlText w:val=""/>
      <w:lvlJc w:val="left"/>
      <w:pPr>
        <w:ind w:left="3447" w:hanging="360"/>
      </w:pPr>
      <w:rPr>
        <w:rFonts w:ascii="Wingdings" w:hAnsi="Wingdings" w:hint="default"/>
      </w:rPr>
    </w:lvl>
    <w:lvl w:ilvl="3" w:tplc="04020001" w:tentative="1">
      <w:start w:val="1"/>
      <w:numFmt w:val="bullet"/>
      <w:lvlText w:val=""/>
      <w:lvlJc w:val="left"/>
      <w:pPr>
        <w:ind w:left="4167" w:hanging="360"/>
      </w:pPr>
      <w:rPr>
        <w:rFonts w:ascii="Symbol" w:hAnsi="Symbol" w:hint="default"/>
      </w:rPr>
    </w:lvl>
    <w:lvl w:ilvl="4" w:tplc="04020003" w:tentative="1">
      <w:start w:val="1"/>
      <w:numFmt w:val="bullet"/>
      <w:lvlText w:val="o"/>
      <w:lvlJc w:val="left"/>
      <w:pPr>
        <w:ind w:left="4887" w:hanging="360"/>
      </w:pPr>
      <w:rPr>
        <w:rFonts w:ascii="Courier New" w:hAnsi="Courier New" w:cs="Courier New" w:hint="default"/>
      </w:rPr>
    </w:lvl>
    <w:lvl w:ilvl="5" w:tplc="04020005" w:tentative="1">
      <w:start w:val="1"/>
      <w:numFmt w:val="bullet"/>
      <w:lvlText w:val=""/>
      <w:lvlJc w:val="left"/>
      <w:pPr>
        <w:ind w:left="5607" w:hanging="360"/>
      </w:pPr>
      <w:rPr>
        <w:rFonts w:ascii="Wingdings" w:hAnsi="Wingdings" w:hint="default"/>
      </w:rPr>
    </w:lvl>
    <w:lvl w:ilvl="6" w:tplc="04020001" w:tentative="1">
      <w:start w:val="1"/>
      <w:numFmt w:val="bullet"/>
      <w:lvlText w:val=""/>
      <w:lvlJc w:val="left"/>
      <w:pPr>
        <w:ind w:left="6327" w:hanging="360"/>
      </w:pPr>
      <w:rPr>
        <w:rFonts w:ascii="Symbol" w:hAnsi="Symbol" w:hint="default"/>
      </w:rPr>
    </w:lvl>
    <w:lvl w:ilvl="7" w:tplc="04020003" w:tentative="1">
      <w:start w:val="1"/>
      <w:numFmt w:val="bullet"/>
      <w:lvlText w:val="o"/>
      <w:lvlJc w:val="left"/>
      <w:pPr>
        <w:ind w:left="7047" w:hanging="360"/>
      </w:pPr>
      <w:rPr>
        <w:rFonts w:ascii="Courier New" w:hAnsi="Courier New" w:cs="Courier New" w:hint="default"/>
      </w:rPr>
    </w:lvl>
    <w:lvl w:ilvl="8" w:tplc="04020005" w:tentative="1">
      <w:start w:val="1"/>
      <w:numFmt w:val="bullet"/>
      <w:lvlText w:val=""/>
      <w:lvlJc w:val="left"/>
      <w:pPr>
        <w:ind w:left="7767" w:hanging="360"/>
      </w:pPr>
      <w:rPr>
        <w:rFonts w:ascii="Wingdings" w:hAnsi="Wingdings" w:hint="default"/>
      </w:rPr>
    </w:lvl>
  </w:abstractNum>
  <w:abstractNum w:abstractNumId="9">
    <w:nsid w:val="3D71590E"/>
    <w:multiLevelType w:val="multilevel"/>
    <w:tmpl w:val="FFF88266"/>
    <w:lvl w:ilvl="0">
      <w:start w:val="1"/>
      <w:numFmt w:val="upperRoman"/>
      <w:lvlText w:val="%1."/>
      <w:lvlJc w:val="left"/>
      <w:pPr>
        <w:ind w:left="1440" w:hanging="72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44A82D71"/>
    <w:multiLevelType w:val="hybridMultilevel"/>
    <w:tmpl w:val="14E26E88"/>
    <w:lvl w:ilvl="0" w:tplc="843C7600">
      <w:numFmt w:val="bullet"/>
      <w:lvlText w:val="-"/>
      <w:lvlJc w:val="left"/>
      <w:pPr>
        <w:ind w:left="1260" w:hanging="360"/>
      </w:pPr>
      <w:rPr>
        <w:rFonts w:ascii="Times New Roman" w:hAnsi="Times New Roman"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1">
    <w:nsid w:val="4C9B1A43"/>
    <w:multiLevelType w:val="hybridMultilevel"/>
    <w:tmpl w:val="D0223B68"/>
    <w:lvl w:ilvl="0" w:tplc="D28E2F88">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2">
    <w:nsid w:val="74820130"/>
    <w:multiLevelType w:val="multilevel"/>
    <w:tmpl w:val="55B80E52"/>
    <w:lvl w:ilvl="0">
      <w:start w:val="1"/>
      <w:numFmt w:val="decimal"/>
      <w:lvlText w:val="%1."/>
      <w:lvlJc w:val="left"/>
      <w:pPr>
        <w:ind w:left="675" w:hanging="675"/>
      </w:pPr>
      <w:rPr>
        <w:rFonts w:hint="default"/>
      </w:rPr>
    </w:lvl>
    <w:lvl w:ilvl="1">
      <w:start w:val="1"/>
      <w:numFmt w:val="decimal"/>
      <w:lvlText w:val="%1.%2."/>
      <w:lvlJc w:val="left"/>
      <w:pPr>
        <w:ind w:left="1661" w:hanging="720"/>
      </w:pPr>
      <w:rPr>
        <w:rFonts w:hint="default"/>
      </w:rPr>
    </w:lvl>
    <w:lvl w:ilvl="2">
      <w:start w:val="2"/>
      <w:numFmt w:val="decimal"/>
      <w:lvlText w:val="%1.%2.%3."/>
      <w:lvlJc w:val="left"/>
      <w:pPr>
        <w:ind w:left="2602" w:hanging="720"/>
      </w:pPr>
      <w:rPr>
        <w:rFonts w:hint="default"/>
      </w:rPr>
    </w:lvl>
    <w:lvl w:ilvl="3">
      <w:start w:val="1"/>
      <w:numFmt w:val="decimal"/>
      <w:lvlText w:val="%1.%2.%3.%4."/>
      <w:lvlJc w:val="left"/>
      <w:pPr>
        <w:ind w:left="3903" w:hanging="1080"/>
      </w:pPr>
      <w:rPr>
        <w:rFonts w:hint="default"/>
      </w:rPr>
    </w:lvl>
    <w:lvl w:ilvl="4">
      <w:start w:val="1"/>
      <w:numFmt w:val="decimal"/>
      <w:lvlText w:val="%1.%2.%3.%4.%5."/>
      <w:lvlJc w:val="left"/>
      <w:pPr>
        <w:ind w:left="4844" w:hanging="1080"/>
      </w:pPr>
      <w:rPr>
        <w:rFonts w:hint="default"/>
      </w:rPr>
    </w:lvl>
    <w:lvl w:ilvl="5">
      <w:start w:val="1"/>
      <w:numFmt w:val="decimal"/>
      <w:lvlText w:val="%1.%2.%3.%4.%5.%6."/>
      <w:lvlJc w:val="left"/>
      <w:pPr>
        <w:ind w:left="6145" w:hanging="1440"/>
      </w:pPr>
      <w:rPr>
        <w:rFonts w:hint="default"/>
      </w:rPr>
    </w:lvl>
    <w:lvl w:ilvl="6">
      <w:start w:val="1"/>
      <w:numFmt w:val="decimal"/>
      <w:lvlText w:val="%1.%2.%3.%4.%5.%6.%7."/>
      <w:lvlJc w:val="left"/>
      <w:pPr>
        <w:ind w:left="7446" w:hanging="1800"/>
      </w:pPr>
      <w:rPr>
        <w:rFonts w:hint="default"/>
      </w:rPr>
    </w:lvl>
    <w:lvl w:ilvl="7">
      <w:start w:val="1"/>
      <w:numFmt w:val="decimal"/>
      <w:lvlText w:val="%1.%2.%3.%4.%5.%6.%7.%8."/>
      <w:lvlJc w:val="left"/>
      <w:pPr>
        <w:ind w:left="8387" w:hanging="1800"/>
      </w:pPr>
      <w:rPr>
        <w:rFonts w:hint="default"/>
      </w:rPr>
    </w:lvl>
    <w:lvl w:ilvl="8">
      <w:start w:val="1"/>
      <w:numFmt w:val="decimal"/>
      <w:lvlText w:val="%1.%2.%3.%4.%5.%6.%7.%8.%9."/>
      <w:lvlJc w:val="left"/>
      <w:pPr>
        <w:ind w:left="9688" w:hanging="2160"/>
      </w:pPr>
      <w:rPr>
        <w:rFonts w:hint="default"/>
      </w:rPr>
    </w:lvl>
  </w:abstractNum>
  <w:abstractNum w:abstractNumId="13">
    <w:nsid w:val="77FD0570"/>
    <w:multiLevelType w:val="hybridMultilevel"/>
    <w:tmpl w:val="4FC6E66C"/>
    <w:lvl w:ilvl="0" w:tplc="201ADE8C">
      <w:numFmt w:val="bullet"/>
      <w:lvlText w:val="-"/>
      <w:lvlJc w:val="left"/>
      <w:pPr>
        <w:ind w:left="785"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num w:numId="1">
    <w:abstractNumId w:val="9"/>
  </w:num>
  <w:num w:numId="2">
    <w:abstractNumId w:val="7"/>
  </w:num>
  <w:num w:numId="3">
    <w:abstractNumId w:val="6"/>
  </w:num>
  <w:num w:numId="4">
    <w:abstractNumId w:val="0"/>
    <w:lvlOverride w:ilvl="0">
      <w:lvl w:ilvl="0">
        <w:numFmt w:val="bullet"/>
        <w:lvlText w:val="-"/>
        <w:legacy w:legacy="1" w:legacySpace="0" w:legacyIndent="140"/>
        <w:lvlJc w:val="left"/>
        <w:pPr>
          <w:ind w:left="0" w:firstLine="0"/>
        </w:pPr>
        <w:rPr>
          <w:rFonts w:ascii="Times New Roman" w:hAnsi="Times New Roman" w:cs="Times New Roman" w:hint="default"/>
        </w:rPr>
      </w:lvl>
    </w:lvlOverride>
  </w:num>
  <w:num w:numId="5">
    <w:abstractNumId w:val="3"/>
  </w:num>
  <w:num w:numId="6">
    <w:abstractNumId w:val="4"/>
  </w:num>
  <w:num w:numId="7">
    <w:abstractNumId w:val="12"/>
  </w:num>
  <w:num w:numId="8">
    <w:abstractNumId w:val="1"/>
  </w:num>
  <w:num w:numId="9">
    <w:abstractNumId w:val="8"/>
  </w:num>
  <w:num w:numId="10">
    <w:abstractNumId w:val="2"/>
  </w:num>
  <w:num w:numId="11">
    <w:abstractNumId w:val="5"/>
  </w:num>
  <w:num w:numId="12">
    <w:abstractNumId w:val="13"/>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07C"/>
    <w:rsid w:val="00096BD5"/>
    <w:rsid w:val="000C6AED"/>
    <w:rsid w:val="00163256"/>
    <w:rsid w:val="001A2348"/>
    <w:rsid w:val="003B5039"/>
    <w:rsid w:val="0051459B"/>
    <w:rsid w:val="0053260F"/>
    <w:rsid w:val="005376BE"/>
    <w:rsid w:val="005A71A3"/>
    <w:rsid w:val="00604D52"/>
    <w:rsid w:val="006328B7"/>
    <w:rsid w:val="006B00B3"/>
    <w:rsid w:val="006E44E6"/>
    <w:rsid w:val="007063B5"/>
    <w:rsid w:val="00835D05"/>
    <w:rsid w:val="008F1F18"/>
    <w:rsid w:val="009658CD"/>
    <w:rsid w:val="009D2F06"/>
    <w:rsid w:val="00A32BEF"/>
    <w:rsid w:val="00AF1BA0"/>
    <w:rsid w:val="00B76566"/>
    <w:rsid w:val="00C22CE6"/>
    <w:rsid w:val="00C952C6"/>
    <w:rsid w:val="00CD1ADF"/>
    <w:rsid w:val="00D90146"/>
    <w:rsid w:val="00D92376"/>
    <w:rsid w:val="00EB435B"/>
    <w:rsid w:val="00F63914"/>
    <w:rsid w:val="00FA5085"/>
    <w:rsid w:val="00FD507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58CD"/>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07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D507C"/>
    <w:rPr>
      <w:rFonts w:ascii="Tahoma" w:hAnsi="Tahoma" w:cs="Tahoma"/>
      <w:sz w:val="16"/>
      <w:szCs w:val="16"/>
    </w:rPr>
  </w:style>
  <w:style w:type="table" w:styleId="a5">
    <w:name w:val="Table Grid"/>
    <w:basedOn w:val="a1"/>
    <w:uiPriority w:val="39"/>
    <w:rsid w:val="00FD507C"/>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D90146"/>
    <w:pPr>
      <w:ind w:left="720"/>
      <w:contextualSpacing/>
    </w:pPr>
  </w:style>
  <w:style w:type="character" w:customStyle="1" w:styleId="10">
    <w:name w:val="Заглавие 1 Знак"/>
    <w:basedOn w:val="a0"/>
    <w:link w:val="1"/>
    <w:rsid w:val="009658C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658CD"/>
    <w:pPr>
      <w:keepNext/>
      <w:keepLines/>
      <w:spacing w:before="480" w:after="0"/>
      <w:jc w:val="both"/>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507C"/>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FD507C"/>
    <w:rPr>
      <w:rFonts w:ascii="Tahoma" w:hAnsi="Tahoma" w:cs="Tahoma"/>
      <w:sz w:val="16"/>
      <w:szCs w:val="16"/>
    </w:rPr>
  </w:style>
  <w:style w:type="table" w:styleId="a5">
    <w:name w:val="Table Grid"/>
    <w:basedOn w:val="a1"/>
    <w:uiPriority w:val="39"/>
    <w:rsid w:val="00FD507C"/>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D90146"/>
    <w:pPr>
      <w:ind w:left="720"/>
      <w:contextualSpacing/>
    </w:pPr>
  </w:style>
  <w:style w:type="character" w:customStyle="1" w:styleId="10">
    <w:name w:val="Заглавие 1 Знак"/>
    <w:basedOn w:val="a0"/>
    <w:link w:val="1"/>
    <w:rsid w:val="009658C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settings" Target="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theme" Target="theme/theme1.xml"/><Relationship Id="rId8"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D:\&#1042;&#1072;&#1085;&#1103;%20&#1044;&#1080;&#1084;&#1080;&#1090;&#1088;&#1086;&#1074;&#1072;\Desktop\MV\&#1052;&#1045;&#1057;&#1045;&#1063;&#1053;&#1048;%20&#1054;&#1058;&#1063;&#1045;&#1058;&#1048;\&#1054;&#1058;&#1063;&#1045;&#1058;&#1048;%202021\&#1044;&#1054;&#1050;&#1051;&#1040;&#1044;%202021\&#1044;&#1048;&#1040;&#1043;&#1056;&#1040;&#1052;&#1048;\&#1044;&#1048;&#1040;&#1043;&#1056;&#1040;&#1052;&#1048;%20&#1047;&#1040;%20&#1044;&#1054;&#1050;&#1051;&#1040;&#1044;&#1040;.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42;&#1072;&#1085;&#1103;%20&#1044;&#1080;&#1084;&#1080;&#1090;&#1088;&#1086;&#1074;&#1072;\Desktop\MV\&#1052;&#1045;&#1057;&#1045;&#1063;&#1053;&#1048;%20&#1054;&#1058;&#1063;&#1045;&#1058;&#1048;\&#1054;&#1058;&#1063;&#1045;&#1058;&#1048;%202021\&#1044;&#1054;&#1050;&#1051;&#1040;&#1044;%202021\&#1044;&#1048;&#1040;&#1043;&#1056;&#1040;&#1052;&#1048;\&#1044;&#1048;&#1040;&#1043;&#1056;&#1040;&#1052;&#1048;%20&#1047;&#1040;%20&#1044;&#1054;&#1050;&#1051;&#1040;&#1044;&#1040;.xlsx" TargetMode="External"/><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20.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21.xml"/></Relationships>
</file>

<file path=word/charts/_rels/chart22.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22.xml"/></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23.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24.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25.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2.xlsx"/><Relationship Id="rId1" Type="http://schemas.openxmlformats.org/officeDocument/2006/relationships/themeOverride" Target="../theme/themeOverride26.xml"/></Relationships>
</file>

<file path=word/charts/_rels/chart27.xml.rels><?xml version="1.0" encoding="UTF-8" standalone="yes"?>
<Relationships xmlns="http://schemas.openxmlformats.org/package/2006/relationships"><Relationship Id="rId3" Type="http://schemas.openxmlformats.org/officeDocument/2006/relationships/package" Target="../embeddings/Microsoft_Excel_Worksheet23.xlsx"/><Relationship Id="rId2" Type="http://schemas.openxmlformats.org/officeDocument/2006/relationships/image" Target="../media/image1.jpeg"/><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Лист1!$A$2</c:f>
              <c:strCache>
                <c:ptCount val="1"/>
                <c:pt idx="0">
                  <c:v>2021</c:v>
                </c:pt>
              </c:strCache>
            </c:strRef>
          </c:tx>
          <c:invertIfNegative val="0"/>
          <c:cat>
            <c:strRef>
              <c:f>Лист1!$B$1:$G$1</c:f>
              <c:strCache>
                <c:ptCount val="6"/>
                <c:pt idx="0">
                  <c:v>Останали неприключени в края на предходен отчетен период</c:v>
                </c:pt>
                <c:pt idx="1">
                  <c:v>Новообразувани ДП, възложени на основание чл. 194, ал. 1 т. 1,2 и 3 от НПК</c:v>
                </c:pt>
                <c:pt idx="2">
                  <c:v>Новообразувани ДП, възложени на основание чл. 194, ал. 1 т. 4</c:v>
                </c:pt>
                <c:pt idx="3">
                  <c:v>Възложени по реда на чл. 195 ал. 4 от НПК</c:v>
                </c:pt>
                <c:pt idx="4">
                  <c:v>ДП, по които работата е продължена, тъй като производството е възобновено</c:v>
                </c:pt>
                <c:pt idx="5">
                  <c:v>ДП, по които работата е продължена след приключването им от следовател</c:v>
                </c:pt>
              </c:strCache>
            </c:strRef>
          </c:cat>
          <c:val>
            <c:numRef>
              <c:f>Лист1!$B$2:$G$2</c:f>
              <c:numCache>
                <c:formatCode>General</c:formatCode>
                <c:ptCount val="6"/>
                <c:pt idx="0">
                  <c:v>345</c:v>
                </c:pt>
                <c:pt idx="1">
                  <c:v>84</c:v>
                </c:pt>
                <c:pt idx="2">
                  <c:v>92</c:v>
                </c:pt>
                <c:pt idx="3">
                  <c:v>0</c:v>
                </c:pt>
                <c:pt idx="4">
                  <c:v>61</c:v>
                </c:pt>
                <c:pt idx="5">
                  <c:v>13</c:v>
                </c:pt>
              </c:numCache>
            </c:numRef>
          </c:val>
          <c:extLst xmlns:c16r2="http://schemas.microsoft.com/office/drawing/2015/06/chart">
            <c:ext xmlns:c16="http://schemas.microsoft.com/office/drawing/2014/chart" uri="{C3380CC4-5D6E-409C-BE32-E72D297353CC}">
              <c16:uniqueId val="{00000000-EA6A-45AF-89E5-5A481FC80DF5}"/>
            </c:ext>
          </c:extLst>
        </c:ser>
        <c:ser>
          <c:idx val="1"/>
          <c:order val="1"/>
          <c:tx>
            <c:strRef>
              <c:f>Лист1!$A$3</c:f>
              <c:strCache>
                <c:ptCount val="1"/>
                <c:pt idx="0">
                  <c:v>2020</c:v>
                </c:pt>
              </c:strCache>
            </c:strRef>
          </c:tx>
          <c:invertIfNegative val="0"/>
          <c:cat>
            <c:strRef>
              <c:f>Лист1!$B$1:$G$1</c:f>
              <c:strCache>
                <c:ptCount val="6"/>
                <c:pt idx="0">
                  <c:v>Останали неприключени в края на предходен отчетен период</c:v>
                </c:pt>
                <c:pt idx="1">
                  <c:v>Новообразувани ДП, възложени на основание чл. 194, ал. 1 т. 1,2 и 3 от НПК</c:v>
                </c:pt>
                <c:pt idx="2">
                  <c:v>Новообразувани ДП, възложени на основание чл. 194, ал. 1 т. 4</c:v>
                </c:pt>
                <c:pt idx="3">
                  <c:v>Възложени по реда на чл. 195 ал. 4 от НПК</c:v>
                </c:pt>
                <c:pt idx="4">
                  <c:v>ДП, по които работата е продължена, тъй като производството е възобновено</c:v>
                </c:pt>
                <c:pt idx="5">
                  <c:v>ДП, по които работата е продължена след приключването им от следовател</c:v>
                </c:pt>
              </c:strCache>
            </c:strRef>
          </c:cat>
          <c:val>
            <c:numRef>
              <c:f>Лист1!$B$3:$G$3</c:f>
              <c:numCache>
                <c:formatCode>General</c:formatCode>
                <c:ptCount val="6"/>
                <c:pt idx="0">
                  <c:v>351</c:v>
                </c:pt>
                <c:pt idx="1">
                  <c:v>85</c:v>
                </c:pt>
                <c:pt idx="2">
                  <c:v>102</c:v>
                </c:pt>
                <c:pt idx="3">
                  <c:v>0</c:v>
                </c:pt>
                <c:pt idx="4">
                  <c:v>46</c:v>
                </c:pt>
                <c:pt idx="5">
                  <c:v>10</c:v>
                </c:pt>
              </c:numCache>
            </c:numRef>
          </c:val>
          <c:extLst xmlns:c16r2="http://schemas.microsoft.com/office/drawing/2015/06/chart">
            <c:ext xmlns:c16="http://schemas.microsoft.com/office/drawing/2014/chart" uri="{C3380CC4-5D6E-409C-BE32-E72D297353CC}">
              <c16:uniqueId val="{00000001-EA6A-45AF-89E5-5A481FC80DF5}"/>
            </c:ext>
          </c:extLst>
        </c:ser>
        <c:ser>
          <c:idx val="2"/>
          <c:order val="2"/>
          <c:tx>
            <c:strRef>
              <c:f>Лист1!$A$4</c:f>
              <c:strCache>
                <c:ptCount val="1"/>
                <c:pt idx="0">
                  <c:v>2019</c:v>
                </c:pt>
              </c:strCache>
            </c:strRef>
          </c:tx>
          <c:invertIfNegative val="0"/>
          <c:cat>
            <c:strRef>
              <c:f>Лист1!$B$1:$G$1</c:f>
              <c:strCache>
                <c:ptCount val="6"/>
                <c:pt idx="0">
                  <c:v>Останали неприключени в края на предходен отчетен период</c:v>
                </c:pt>
                <c:pt idx="1">
                  <c:v>Новообразувани ДП, възложени на основание чл. 194, ал. 1 т. 1,2 и 3 от НПК</c:v>
                </c:pt>
                <c:pt idx="2">
                  <c:v>Новообразувани ДП, възложени на основание чл. 194, ал. 1 т. 4</c:v>
                </c:pt>
                <c:pt idx="3">
                  <c:v>Възложени по реда на чл. 195 ал. 4 от НПК</c:v>
                </c:pt>
                <c:pt idx="4">
                  <c:v>ДП, по които работата е продължена, тъй като производството е възобновено</c:v>
                </c:pt>
                <c:pt idx="5">
                  <c:v>ДП, по които работата е продължена след приключването им от следовател</c:v>
                </c:pt>
              </c:strCache>
            </c:strRef>
          </c:cat>
          <c:val>
            <c:numRef>
              <c:f>Лист1!$B$4:$G$4</c:f>
              <c:numCache>
                <c:formatCode>General</c:formatCode>
                <c:ptCount val="6"/>
                <c:pt idx="0">
                  <c:v>307</c:v>
                </c:pt>
                <c:pt idx="1">
                  <c:v>69</c:v>
                </c:pt>
                <c:pt idx="2">
                  <c:v>151</c:v>
                </c:pt>
                <c:pt idx="3">
                  <c:v>0</c:v>
                </c:pt>
                <c:pt idx="4">
                  <c:v>42</c:v>
                </c:pt>
                <c:pt idx="5">
                  <c:v>14</c:v>
                </c:pt>
              </c:numCache>
            </c:numRef>
          </c:val>
          <c:extLst xmlns:c16r2="http://schemas.microsoft.com/office/drawing/2015/06/chart">
            <c:ext xmlns:c16="http://schemas.microsoft.com/office/drawing/2014/chart" uri="{C3380CC4-5D6E-409C-BE32-E72D297353CC}">
              <c16:uniqueId val="{00000002-EA6A-45AF-89E5-5A481FC80DF5}"/>
            </c:ext>
          </c:extLst>
        </c:ser>
        <c:dLbls>
          <c:showLegendKey val="0"/>
          <c:showVal val="0"/>
          <c:showCatName val="0"/>
          <c:showSerName val="0"/>
          <c:showPercent val="0"/>
          <c:showBubbleSize val="0"/>
        </c:dLbls>
        <c:gapWidth val="150"/>
        <c:axId val="158561792"/>
        <c:axId val="160037056"/>
      </c:barChart>
      <c:catAx>
        <c:axId val="158561792"/>
        <c:scaling>
          <c:orientation val="minMax"/>
        </c:scaling>
        <c:delete val="0"/>
        <c:axPos val="b"/>
        <c:numFmt formatCode="General" sourceLinked="0"/>
        <c:majorTickMark val="none"/>
        <c:minorTickMark val="none"/>
        <c:tickLblPos val="nextTo"/>
        <c:crossAx val="160037056"/>
        <c:crosses val="autoZero"/>
        <c:auto val="1"/>
        <c:lblAlgn val="ctr"/>
        <c:lblOffset val="100"/>
        <c:noMultiLvlLbl val="0"/>
      </c:catAx>
      <c:valAx>
        <c:axId val="160037056"/>
        <c:scaling>
          <c:orientation val="minMax"/>
        </c:scaling>
        <c:delete val="0"/>
        <c:axPos val="l"/>
        <c:majorGridlines/>
        <c:numFmt formatCode="General" sourceLinked="1"/>
        <c:majorTickMark val="none"/>
        <c:minorTickMark val="none"/>
        <c:tickLblPos val="nextTo"/>
        <c:crossAx val="158561792"/>
        <c:crosses val="autoZero"/>
        <c:crossBetween val="between"/>
      </c:valAx>
      <c:dTable>
        <c:showHorzBorder val="1"/>
        <c:showVertBorder val="1"/>
        <c:showOutline val="1"/>
        <c:showKeys val="1"/>
      </c:dTable>
    </c:plotArea>
    <c:plotVisOnly val="1"/>
    <c:dispBlanksAs val="gap"/>
    <c:showDLblsOverMax val="0"/>
  </c:chart>
  <c:spPr>
    <a:solidFill>
      <a:srgbClr val="FFFF00"/>
    </a:solidFill>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Прекратени ДП</c:v>
                </c:pt>
              </c:strCache>
            </c:strRef>
          </c:tx>
          <c:invertIfNegative val="0"/>
          <c:cat>
            <c:strRef>
              <c:f>Лист1!$A$2:$A$4</c:f>
              <c:strCache>
                <c:ptCount val="3"/>
                <c:pt idx="0">
                  <c:v>2019 г.</c:v>
                </c:pt>
                <c:pt idx="1">
                  <c:v>2020 г.</c:v>
                </c:pt>
                <c:pt idx="2">
                  <c:v>2021 г.</c:v>
                </c:pt>
              </c:strCache>
            </c:strRef>
          </c:cat>
          <c:val>
            <c:numRef>
              <c:f>Лист1!$B$2:$B$4</c:f>
              <c:numCache>
                <c:formatCode>General</c:formatCode>
                <c:ptCount val="3"/>
                <c:pt idx="0">
                  <c:v>2250</c:v>
                </c:pt>
                <c:pt idx="1">
                  <c:v>2555</c:v>
                </c:pt>
                <c:pt idx="2">
                  <c:v>2643</c:v>
                </c:pt>
              </c:numCache>
            </c:numRef>
          </c:val>
        </c:ser>
        <c:ser>
          <c:idx val="1"/>
          <c:order val="1"/>
          <c:tx>
            <c:strRef>
              <c:f>Лист1!$C$1</c:f>
              <c:strCache>
                <c:ptCount val="1"/>
                <c:pt idx="0">
                  <c:v>Спрени ДП</c:v>
                </c:pt>
              </c:strCache>
            </c:strRef>
          </c:tx>
          <c:invertIfNegative val="0"/>
          <c:cat>
            <c:strRef>
              <c:f>Лист1!$A$2:$A$4</c:f>
              <c:strCache>
                <c:ptCount val="3"/>
                <c:pt idx="0">
                  <c:v>2019 г.</c:v>
                </c:pt>
                <c:pt idx="1">
                  <c:v>2020 г.</c:v>
                </c:pt>
                <c:pt idx="2">
                  <c:v>2021 г.</c:v>
                </c:pt>
              </c:strCache>
            </c:strRef>
          </c:cat>
          <c:val>
            <c:numRef>
              <c:f>Лист1!$C$2:$C$4</c:f>
              <c:numCache>
                <c:formatCode>General</c:formatCode>
                <c:ptCount val="3"/>
                <c:pt idx="0">
                  <c:v>4602</c:v>
                </c:pt>
                <c:pt idx="1">
                  <c:v>4137</c:v>
                </c:pt>
                <c:pt idx="2">
                  <c:v>4002</c:v>
                </c:pt>
              </c:numCache>
            </c:numRef>
          </c:val>
        </c:ser>
        <c:ser>
          <c:idx val="2"/>
          <c:order val="2"/>
          <c:tx>
            <c:strRef>
              <c:f>Лист1!$D$1</c:f>
              <c:strCache>
                <c:ptCount val="1"/>
                <c:pt idx="0">
                  <c:v>Внесени в съда</c:v>
                </c:pt>
              </c:strCache>
            </c:strRef>
          </c:tx>
          <c:invertIfNegative val="0"/>
          <c:cat>
            <c:strRef>
              <c:f>Лист1!$A$2:$A$4</c:f>
              <c:strCache>
                <c:ptCount val="3"/>
                <c:pt idx="0">
                  <c:v>2019 г.</c:v>
                </c:pt>
                <c:pt idx="1">
                  <c:v>2020 г.</c:v>
                </c:pt>
                <c:pt idx="2">
                  <c:v>2021 г.</c:v>
                </c:pt>
              </c:strCache>
            </c:strRef>
          </c:cat>
          <c:val>
            <c:numRef>
              <c:f>Лист1!$D$2:$D$4</c:f>
              <c:numCache>
                <c:formatCode>General</c:formatCode>
                <c:ptCount val="3"/>
                <c:pt idx="0">
                  <c:v>1473</c:v>
                </c:pt>
                <c:pt idx="1">
                  <c:v>1654</c:v>
                </c:pt>
                <c:pt idx="2">
                  <c:v>1677</c:v>
                </c:pt>
              </c:numCache>
            </c:numRef>
          </c:val>
        </c:ser>
        <c:dLbls>
          <c:showLegendKey val="0"/>
          <c:showVal val="0"/>
          <c:showCatName val="0"/>
          <c:showSerName val="0"/>
          <c:showPercent val="0"/>
          <c:showBubbleSize val="0"/>
        </c:dLbls>
        <c:gapWidth val="150"/>
        <c:shape val="pyramid"/>
        <c:axId val="166433280"/>
        <c:axId val="213262912"/>
        <c:axId val="0"/>
      </c:bar3DChart>
      <c:catAx>
        <c:axId val="166433280"/>
        <c:scaling>
          <c:orientation val="minMax"/>
        </c:scaling>
        <c:delete val="0"/>
        <c:axPos val="b"/>
        <c:majorTickMark val="out"/>
        <c:minorTickMark val="none"/>
        <c:tickLblPos val="nextTo"/>
        <c:crossAx val="213262912"/>
        <c:crosses val="autoZero"/>
        <c:auto val="1"/>
        <c:lblAlgn val="ctr"/>
        <c:lblOffset val="100"/>
        <c:noMultiLvlLbl val="0"/>
      </c:catAx>
      <c:valAx>
        <c:axId val="213262912"/>
        <c:scaling>
          <c:orientation val="minMax"/>
        </c:scaling>
        <c:delete val="0"/>
        <c:axPos val="l"/>
        <c:majorGridlines/>
        <c:numFmt formatCode="General" sourceLinked="1"/>
        <c:majorTickMark val="out"/>
        <c:minorTickMark val="none"/>
        <c:tickLblPos val="nextTo"/>
        <c:crossAx val="166433280"/>
        <c:crosses val="autoZero"/>
        <c:crossBetween val="between"/>
      </c:valAx>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2019</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Лист1!$B$2:$B$5</c:f>
              <c:numCache>
                <c:formatCode>General</c:formatCode>
                <c:ptCount val="4"/>
                <c:pt idx="0">
                  <c:v>916</c:v>
                </c:pt>
                <c:pt idx="1">
                  <c:v>362</c:v>
                </c:pt>
                <c:pt idx="2">
                  <c:v>202</c:v>
                </c:pt>
                <c:pt idx="3">
                  <c:v>1473</c:v>
                </c:pt>
              </c:numCache>
            </c:numRef>
          </c:val>
        </c:ser>
        <c:ser>
          <c:idx val="1"/>
          <c:order val="1"/>
          <c:tx>
            <c:strRef>
              <c:f>Лист1!$C$1</c:f>
              <c:strCache>
                <c:ptCount val="1"/>
                <c:pt idx="0">
                  <c:v>2020</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Лист1!$C$2:$C$5</c:f>
              <c:numCache>
                <c:formatCode>General</c:formatCode>
                <c:ptCount val="4"/>
                <c:pt idx="0">
                  <c:v>1078</c:v>
                </c:pt>
                <c:pt idx="1">
                  <c:v>363</c:v>
                </c:pt>
                <c:pt idx="2">
                  <c:v>218</c:v>
                </c:pt>
                <c:pt idx="3">
                  <c:v>1654</c:v>
                </c:pt>
              </c:numCache>
            </c:numRef>
          </c:val>
        </c:ser>
        <c:ser>
          <c:idx val="2"/>
          <c:order val="2"/>
          <c:tx>
            <c:strRef>
              <c:f>Лист1!$D$1</c:f>
              <c:strCache>
                <c:ptCount val="1"/>
                <c:pt idx="0">
                  <c:v>2021</c:v>
                </c:pt>
              </c:strCache>
            </c:strRef>
          </c:tx>
          <c:invertIfNegative val="0"/>
          <c:cat>
            <c:strRef>
              <c:f>Лист1!$A$2:$A$5</c:f>
              <c:strCache>
                <c:ptCount val="4"/>
                <c:pt idx="0">
                  <c:v>Обв. акт</c:v>
                </c:pt>
                <c:pt idx="1">
                  <c:v>Споразумения</c:v>
                </c:pt>
                <c:pt idx="2">
                  <c:v>Предложения по чл.78А</c:v>
                </c:pt>
                <c:pt idx="3">
                  <c:v>Общо внесени в съда дела</c:v>
                </c:pt>
              </c:strCache>
            </c:strRef>
          </c:cat>
          <c:val>
            <c:numRef>
              <c:f>Лист1!$D$2:$D$5</c:f>
              <c:numCache>
                <c:formatCode>General</c:formatCode>
                <c:ptCount val="4"/>
                <c:pt idx="0">
                  <c:v>1081</c:v>
                </c:pt>
                <c:pt idx="1">
                  <c:v>386</c:v>
                </c:pt>
                <c:pt idx="2">
                  <c:v>213</c:v>
                </c:pt>
                <c:pt idx="3">
                  <c:v>1677</c:v>
                </c:pt>
              </c:numCache>
            </c:numRef>
          </c:val>
        </c:ser>
        <c:dLbls>
          <c:showLegendKey val="0"/>
          <c:showVal val="0"/>
          <c:showCatName val="0"/>
          <c:showSerName val="0"/>
          <c:showPercent val="0"/>
          <c:showBubbleSize val="0"/>
        </c:dLbls>
        <c:gapWidth val="150"/>
        <c:shape val="pyramid"/>
        <c:axId val="168629248"/>
        <c:axId val="213262336"/>
        <c:axId val="0"/>
      </c:bar3DChart>
      <c:catAx>
        <c:axId val="168629248"/>
        <c:scaling>
          <c:orientation val="minMax"/>
        </c:scaling>
        <c:delete val="0"/>
        <c:axPos val="b"/>
        <c:majorTickMark val="out"/>
        <c:minorTickMark val="none"/>
        <c:tickLblPos val="nextTo"/>
        <c:crossAx val="213262336"/>
        <c:crosses val="autoZero"/>
        <c:auto val="1"/>
        <c:lblAlgn val="ctr"/>
        <c:lblOffset val="100"/>
        <c:noMultiLvlLbl val="0"/>
      </c:catAx>
      <c:valAx>
        <c:axId val="213262336"/>
        <c:scaling>
          <c:orientation val="minMax"/>
        </c:scaling>
        <c:delete val="0"/>
        <c:axPos val="l"/>
        <c:majorGridlines/>
        <c:numFmt formatCode="General" sourceLinked="1"/>
        <c:majorTickMark val="out"/>
        <c:minorTickMark val="none"/>
        <c:tickLblPos val="nextTo"/>
        <c:crossAx val="168629248"/>
        <c:crosses val="autoZero"/>
        <c:crossBetween val="between"/>
      </c:valAx>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tx>
            <c:strRef>
              <c:f>Лист1!$B$1</c:f>
              <c:strCache>
                <c:ptCount val="1"/>
                <c:pt idx="0">
                  <c:v>Общо спрени</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4602</c:v>
                </c:pt>
                <c:pt idx="1">
                  <c:v>4137</c:v>
                </c:pt>
                <c:pt idx="2">
                  <c:v>4002</c:v>
                </c:pt>
              </c:numCache>
            </c:numRef>
          </c:val>
        </c:ser>
        <c:ser>
          <c:idx val="1"/>
          <c:order val="1"/>
          <c:tx>
            <c:strRef>
              <c:f>Лист1!$C$1</c:f>
              <c:strCache>
                <c:ptCount val="1"/>
                <c:pt idx="0">
                  <c:v>От тях-пораде неразкриване на извършителя</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3935</c:v>
                </c:pt>
                <c:pt idx="1">
                  <c:v>3428</c:v>
                </c:pt>
                <c:pt idx="2">
                  <c:v>3393</c:v>
                </c:pt>
              </c:numCache>
            </c:numRef>
          </c:val>
        </c:ser>
        <c:ser>
          <c:idx val="2"/>
          <c:order val="2"/>
          <c:tx>
            <c:strRef>
              <c:f>Лист1!$D$1</c:f>
              <c:strCache>
                <c:ptCount val="1"/>
                <c:pt idx="0">
                  <c:v>Спрени на други основания</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667</c:v>
                </c:pt>
                <c:pt idx="1">
                  <c:v>709</c:v>
                </c:pt>
                <c:pt idx="2">
                  <c:v>609</c:v>
                </c:pt>
              </c:numCache>
            </c:numRef>
          </c:val>
        </c:ser>
        <c:dLbls>
          <c:showLegendKey val="0"/>
          <c:showVal val="0"/>
          <c:showCatName val="0"/>
          <c:showSerName val="0"/>
          <c:showPercent val="0"/>
          <c:showBubbleSize val="0"/>
        </c:dLbls>
        <c:gapWidth val="150"/>
        <c:axId val="188042240"/>
        <c:axId val="213265792"/>
      </c:barChart>
      <c:catAx>
        <c:axId val="188042240"/>
        <c:scaling>
          <c:orientation val="minMax"/>
        </c:scaling>
        <c:delete val="0"/>
        <c:axPos val="l"/>
        <c:numFmt formatCode="General" sourceLinked="1"/>
        <c:majorTickMark val="out"/>
        <c:minorTickMark val="none"/>
        <c:tickLblPos val="nextTo"/>
        <c:crossAx val="213265792"/>
        <c:crosses val="autoZero"/>
        <c:auto val="1"/>
        <c:lblAlgn val="ctr"/>
        <c:lblOffset val="100"/>
        <c:noMultiLvlLbl val="0"/>
      </c:catAx>
      <c:valAx>
        <c:axId val="213265792"/>
        <c:scaling>
          <c:orientation val="minMax"/>
        </c:scaling>
        <c:delete val="0"/>
        <c:axPos val="b"/>
        <c:majorGridlines/>
        <c:numFmt formatCode="General" sourceLinked="1"/>
        <c:majorTickMark val="out"/>
        <c:minorTickMark val="none"/>
        <c:tickLblPos val="nextTo"/>
        <c:crossAx val="188042240"/>
        <c:crosses val="autoZero"/>
        <c:crossBetween val="between"/>
      </c:valAx>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Общо прекратени, извън тези по давност</c:v>
                </c:pt>
              </c:strCache>
            </c:strRef>
          </c:tx>
          <c:invertIfNegative val="0"/>
          <c:cat>
            <c:numRef>
              <c:f>Лист1!$A$2:$A$4</c:f>
              <c:numCache>
                <c:formatCode>General</c:formatCode>
                <c:ptCount val="3"/>
                <c:pt idx="0">
                  <c:v>2019</c:v>
                </c:pt>
                <c:pt idx="1">
                  <c:v>2020</c:v>
                </c:pt>
                <c:pt idx="2">
                  <c:v>2021</c:v>
                </c:pt>
              </c:numCache>
            </c:numRef>
          </c:cat>
          <c:val>
            <c:numRef>
              <c:f>Лист1!$B$2:$B$4</c:f>
              <c:numCache>
                <c:formatCode>General</c:formatCode>
                <c:ptCount val="3"/>
                <c:pt idx="0">
                  <c:v>2250</c:v>
                </c:pt>
                <c:pt idx="1">
                  <c:v>2555</c:v>
                </c:pt>
                <c:pt idx="2">
                  <c:v>2643</c:v>
                </c:pt>
              </c:numCache>
            </c:numRef>
          </c:val>
        </c:ser>
        <c:ser>
          <c:idx val="1"/>
          <c:order val="1"/>
          <c:tx>
            <c:strRef>
              <c:f>Лист1!$C$1</c:f>
              <c:strCache>
                <c:ptCount val="1"/>
                <c:pt idx="0">
                  <c:v>с/у ИИ</c:v>
                </c:pt>
              </c:strCache>
            </c:strRef>
          </c:tx>
          <c:invertIfNegative val="0"/>
          <c:cat>
            <c:numRef>
              <c:f>Лист1!$A$2:$A$4</c:f>
              <c:numCache>
                <c:formatCode>General</c:formatCode>
                <c:ptCount val="3"/>
                <c:pt idx="0">
                  <c:v>2019</c:v>
                </c:pt>
                <c:pt idx="1">
                  <c:v>2020</c:v>
                </c:pt>
                <c:pt idx="2">
                  <c:v>2021</c:v>
                </c:pt>
              </c:numCache>
            </c:numRef>
          </c:cat>
          <c:val>
            <c:numRef>
              <c:f>Лист1!$C$2:$C$4</c:f>
              <c:numCache>
                <c:formatCode>General</c:formatCode>
                <c:ptCount val="3"/>
                <c:pt idx="0">
                  <c:v>263</c:v>
                </c:pt>
                <c:pt idx="1">
                  <c:v>168</c:v>
                </c:pt>
                <c:pt idx="2">
                  <c:v>202</c:v>
                </c:pt>
              </c:numCache>
            </c:numRef>
          </c:val>
        </c:ser>
        <c:ser>
          <c:idx val="2"/>
          <c:order val="2"/>
          <c:tx>
            <c:strRef>
              <c:f>Лист1!$D$1</c:f>
              <c:strCache>
                <c:ptCount val="1"/>
                <c:pt idx="0">
                  <c:v>с/уНИ</c:v>
                </c:pt>
              </c:strCache>
            </c:strRef>
          </c:tx>
          <c:invertIfNegative val="0"/>
          <c:cat>
            <c:numRef>
              <c:f>Лист1!$A$2:$A$4</c:f>
              <c:numCache>
                <c:formatCode>General</c:formatCode>
                <c:ptCount val="3"/>
                <c:pt idx="0">
                  <c:v>2019</c:v>
                </c:pt>
                <c:pt idx="1">
                  <c:v>2020</c:v>
                </c:pt>
                <c:pt idx="2">
                  <c:v>2021</c:v>
                </c:pt>
              </c:numCache>
            </c:numRef>
          </c:cat>
          <c:val>
            <c:numRef>
              <c:f>Лист1!$D$2:$D$4</c:f>
              <c:numCache>
                <c:formatCode>General</c:formatCode>
                <c:ptCount val="3"/>
                <c:pt idx="0">
                  <c:v>1987</c:v>
                </c:pt>
                <c:pt idx="1">
                  <c:v>2387</c:v>
                </c:pt>
                <c:pt idx="2">
                  <c:v>2441</c:v>
                </c:pt>
              </c:numCache>
            </c:numRef>
          </c:val>
        </c:ser>
        <c:ser>
          <c:idx val="3"/>
          <c:order val="3"/>
          <c:tx>
            <c:strRef>
              <c:f>Лист1!$E$1</c:f>
              <c:strCache>
                <c:ptCount val="1"/>
                <c:pt idx="0">
                  <c:v>Прекратени по давност</c:v>
                </c:pt>
              </c:strCache>
            </c:strRef>
          </c:tx>
          <c:invertIfNegative val="0"/>
          <c:cat>
            <c:numRef>
              <c:f>Лист1!$A$2:$A$4</c:f>
              <c:numCache>
                <c:formatCode>General</c:formatCode>
                <c:ptCount val="3"/>
                <c:pt idx="0">
                  <c:v>2019</c:v>
                </c:pt>
                <c:pt idx="1">
                  <c:v>2020</c:v>
                </c:pt>
                <c:pt idx="2">
                  <c:v>2021</c:v>
                </c:pt>
              </c:numCache>
            </c:numRef>
          </c:cat>
          <c:val>
            <c:numRef>
              <c:f>Лист1!$E$2:$E$4</c:f>
              <c:numCache>
                <c:formatCode>General</c:formatCode>
                <c:ptCount val="3"/>
                <c:pt idx="0">
                  <c:v>2243</c:v>
                </c:pt>
                <c:pt idx="1">
                  <c:v>3283</c:v>
                </c:pt>
                <c:pt idx="2">
                  <c:v>1837</c:v>
                </c:pt>
              </c:numCache>
            </c:numRef>
          </c:val>
        </c:ser>
        <c:ser>
          <c:idx val="4"/>
          <c:order val="4"/>
          <c:tx>
            <c:strRef>
              <c:f>Лист1!$F$1</c:f>
              <c:strCache>
                <c:ptCount val="1"/>
                <c:pt idx="0">
                  <c:v>Общо прекратени, вкл. по давност 2020 год.</c:v>
                </c:pt>
              </c:strCache>
            </c:strRef>
          </c:tx>
          <c:invertIfNegative val="0"/>
          <c:dLbls>
            <c:showLegendKey val="0"/>
            <c:showVal val="1"/>
            <c:showCatName val="0"/>
            <c:showSerName val="0"/>
            <c:showPercent val="0"/>
            <c:showBubbleSize val="0"/>
            <c:showLeaderLines val="0"/>
          </c:dLbls>
          <c:cat>
            <c:numRef>
              <c:f>Лист1!$A$2:$A$4</c:f>
              <c:numCache>
                <c:formatCode>General</c:formatCode>
                <c:ptCount val="3"/>
                <c:pt idx="0">
                  <c:v>2019</c:v>
                </c:pt>
                <c:pt idx="1">
                  <c:v>2020</c:v>
                </c:pt>
                <c:pt idx="2">
                  <c:v>2021</c:v>
                </c:pt>
              </c:numCache>
            </c:numRef>
          </c:cat>
          <c:val>
            <c:numRef>
              <c:f>Лист1!$F$2:$F$4</c:f>
              <c:numCache>
                <c:formatCode>General</c:formatCode>
                <c:ptCount val="3"/>
                <c:pt idx="0">
                  <c:v>4493</c:v>
                </c:pt>
                <c:pt idx="1">
                  <c:v>5853</c:v>
                </c:pt>
                <c:pt idx="2">
                  <c:v>4480</c:v>
                </c:pt>
              </c:numCache>
            </c:numRef>
          </c:val>
        </c:ser>
        <c:dLbls>
          <c:showLegendKey val="0"/>
          <c:showVal val="0"/>
          <c:showCatName val="0"/>
          <c:showSerName val="0"/>
          <c:showPercent val="0"/>
          <c:showBubbleSize val="0"/>
        </c:dLbls>
        <c:gapWidth val="150"/>
        <c:shape val="box"/>
        <c:axId val="193144832"/>
        <c:axId val="213268096"/>
        <c:axId val="0"/>
      </c:bar3DChart>
      <c:catAx>
        <c:axId val="193144832"/>
        <c:scaling>
          <c:orientation val="minMax"/>
        </c:scaling>
        <c:delete val="0"/>
        <c:axPos val="b"/>
        <c:numFmt formatCode="General" sourceLinked="1"/>
        <c:majorTickMark val="out"/>
        <c:minorTickMark val="none"/>
        <c:tickLblPos val="nextTo"/>
        <c:crossAx val="213268096"/>
        <c:crosses val="autoZero"/>
        <c:auto val="1"/>
        <c:lblAlgn val="ctr"/>
        <c:lblOffset val="100"/>
        <c:noMultiLvlLbl val="0"/>
      </c:catAx>
      <c:valAx>
        <c:axId val="213268096"/>
        <c:scaling>
          <c:orientation val="minMax"/>
        </c:scaling>
        <c:delete val="0"/>
        <c:axPos val="l"/>
        <c:majorGridlines/>
        <c:numFmt formatCode="General" sourceLinked="1"/>
        <c:majorTickMark val="out"/>
        <c:minorTickMark val="none"/>
        <c:tickLblPos val="nextTo"/>
        <c:crossAx val="193144832"/>
        <c:crosses val="autoZero"/>
        <c:crossBetween val="between"/>
      </c:valAx>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138</c:v>
                </c:pt>
                <c:pt idx="1">
                  <c:v>1342</c:v>
                </c:pt>
                <c:pt idx="2">
                  <c:v>1480</c:v>
                </c:pt>
              </c:numCache>
            </c:numRef>
          </c:val>
        </c:ser>
        <c:ser>
          <c:idx val="1"/>
          <c:order val="1"/>
          <c:tx>
            <c:strRef>
              <c:f>Лист1!$C$1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150</c:v>
                </c:pt>
                <c:pt idx="1">
                  <c:v>1509</c:v>
                </c:pt>
                <c:pt idx="2">
                  <c:v>1659</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151</c:v>
                </c:pt>
                <c:pt idx="1">
                  <c:v>1529</c:v>
                </c:pt>
                <c:pt idx="2">
                  <c:v>1680</c:v>
                </c:pt>
              </c:numCache>
            </c:numRef>
          </c:val>
        </c:ser>
        <c:dLbls>
          <c:showLegendKey val="0"/>
          <c:showVal val="0"/>
          <c:showCatName val="0"/>
          <c:showSerName val="0"/>
          <c:showPercent val="0"/>
          <c:showBubbleSize val="0"/>
        </c:dLbls>
        <c:gapWidth val="150"/>
        <c:shape val="box"/>
        <c:axId val="193750016"/>
        <c:axId val="223181568"/>
        <c:axId val="0"/>
      </c:bar3DChart>
      <c:catAx>
        <c:axId val="193750016"/>
        <c:scaling>
          <c:orientation val="minMax"/>
        </c:scaling>
        <c:delete val="0"/>
        <c:axPos val="b"/>
        <c:majorTickMark val="out"/>
        <c:minorTickMark val="none"/>
        <c:tickLblPos val="nextTo"/>
        <c:crossAx val="223181568"/>
        <c:crosses val="autoZero"/>
        <c:auto val="1"/>
        <c:lblAlgn val="ctr"/>
        <c:lblOffset val="100"/>
        <c:noMultiLvlLbl val="0"/>
      </c:catAx>
      <c:valAx>
        <c:axId val="223181568"/>
        <c:scaling>
          <c:orientation val="minMax"/>
        </c:scaling>
        <c:delete val="0"/>
        <c:axPos val="l"/>
        <c:majorGridlines/>
        <c:numFmt formatCode="General" sourceLinked="1"/>
        <c:majorTickMark val="out"/>
        <c:minorTickMark val="none"/>
        <c:tickLblPos val="nextTo"/>
        <c:crossAx val="193750016"/>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89</c:v>
                </c:pt>
                <c:pt idx="1">
                  <c:v>827</c:v>
                </c:pt>
                <c:pt idx="2">
                  <c:v>916</c:v>
                </c:pt>
              </c:numCache>
            </c:numRef>
          </c:val>
        </c:ser>
        <c:ser>
          <c:idx val="1"/>
          <c:order val="1"/>
          <c:tx>
            <c:strRef>
              <c:f>Лист1!$C$1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103</c:v>
                </c:pt>
                <c:pt idx="1">
                  <c:v>975</c:v>
                </c:pt>
                <c:pt idx="2">
                  <c:v>1078</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101</c:v>
                </c:pt>
                <c:pt idx="1">
                  <c:v>980</c:v>
                </c:pt>
                <c:pt idx="2">
                  <c:v>1081</c:v>
                </c:pt>
              </c:numCache>
            </c:numRef>
          </c:val>
        </c:ser>
        <c:dLbls>
          <c:showLegendKey val="0"/>
          <c:showVal val="0"/>
          <c:showCatName val="0"/>
          <c:showSerName val="0"/>
          <c:showPercent val="0"/>
          <c:showBubbleSize val="0"/>
        </c:dLbls>
        <c:gapWidth val="150"/>
        <c:shape val="box"/>
        <c:axId val="193842688"/>
        <c:axId val="223180992"/>
        <c:axId val="0"/>
      </c:bar3DChart>
      <c:catAx>
        <c:axId val="193842688"/>
        <c:scaling>
          <c:orientation val="minMax"/>
        </c:scaling>
        <c:delete val="0"/>
        <c:axPos val="b"/>
        <c:majorTickMark val="out"/>
        <c:minorTickMark val="none"/>
        <c:tickLblPos val="nextTo"/>
        <c:crossAx val="223180992"/>
        <c:crosses val="autoZero"/>
        <c:auto val="1"/>
        <c:lblAlgn val="ctr"/>
        <c:lblOffset val="100"/>
        <c:noMultiLvlLbl val="0"/>
      </c:catAx>
      <c:valAx>
        <c:axId val="223180992"/>
        <c:scaling>
          <c:orientation val="minMax"/>
        </c:scaling>
        <c:delete val="0"/>
        <c:axPos val="l"/>
        <c:majorGridlines/>
        <c:numFmt formatCode="General" sourceLinked="1"/>
        <c:majorTickMark val="out"/>
        <c:minorTickMark val="none"/>
        <c:tickLblPos val="nextTo"/>
        <c:crossAx val="193842688"/>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48</c:v>
                </c:pt>
                <c:pt idx="1">
                  <c:v>314</c:v>
                </c:pt>
                <c:pt idx="2">
                  <c:v>362</c:v>
                </c:pt>
              </c:numCache>
            </c:numRef>
          </c:val>
        </c:ser>
        <c:ser>
          <c:idx val="1"/>
          <c:order val="1"/>
          <c:tx>
            <c:strRef>
              <c:f>Лист1!$C$1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47</c:v>
                </c:pt>
                <c:pt idx="1">
                  <c:v>316</c:v>
                </c:pt>
                <c:pt idx="2">
                  <c:v>363</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48</c:v>
                </c:pt>
                <c:pt idx="1">
                  <c:v>338</c:v>
                </c:pt>
                <c:pt idx="2">
                  <c:v>386</c:v>
                </c:pt>
              </c:numCache>
            </c:numRef>
          </c:val>
        </c:ser>
        <c:dLbls>
          <c:showLegendKey val="0"/>
          <c:showVal val="0"/>
          <c:showCatName val="0"/>
          <c:showSerName val="0"/>
          <c:showPercent val="0"/>
          <c:showBubbleSize val="0"/>
        </c:dLbls>
        <c:gapWidth val="150"/>
        <c:shape val="box"/>
        <c:axId val="194426368"/>
        <c:axId val="224305152"/>
        <c:axId val="0"/>
      </c:bar3DChart>
      <c:catAx>
        <c:axId val="194426368"/>
        <c:scaling>
          <c:orientation val="minMax"/>
        </c:scaling>
        <c:delete val="0"/>
        <c:axPos val="b"/>
        <c:majorTickMark val="out"/>
        <c:minorTickMark val="none"/>
        <c:tickLblPos val="nextTo"/>
        <c:crossAx val="224305152"/>
        <c:crosses val="autoZero"/>
        <c:auto val="1"/>
        <c:lblAlgn val="ctr"/>
        <c:lblOffset val="100"/>
        <c:noMultiLvlLbl val="0"/>
      </c:catAx>
      <c:valAx>
        <c:axId val="224305152"/>
        <c:scaling>
          <c:orientation val="minMax"/>
        </c:scaling>
        <c:delete val="0"/>
        <c:axPos val="l"/>
        <c:majorGridlines/>
        <c:numFmt formatCode="General" sourceLinked="1"/>
        <c:majorTickMark val="out"/>
        <c:minorTickMark val="none"/>
        <c:tickLblPos val="nextTo"/>
        <c:crossAx val="194426368"/>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4</c:v>
                </c:pt>
                <c:pt idx="1">
                  <c:v>43</c:v>
                </c:pt>
                <c:pt idx="2">
                  <c:v>47</c:v>
                </c:pt>
              </c:numCache>
            </c:numRef>
          </c:val>
        </c:ser>
        <c:ser>
          <c:idx val="1"/>
          <c:order val="1"/>
          <c:tx>
            <c:strRef>
              <c:f>Лист1!$C$1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5</c:v>
                </c:pt>
                <c:pt idx="1">
                  <c:v>47</c:v>
                </c:pt>
                <c:pt idx="2">
                  <c:v>52</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9</c:v>
                </c:pt>
                <c:pt idx="1">
                  <c:v>36</c:v>
                </c:pt>
                <c:pt idx="2">
                  <c:v>45</c:v>
                </c:pt>
              </c:numCache>
            </c:numRef>
          </c:val>
        </c:ser>
        <c:dLbls>
          <c:showLegendKey val="0"/>
          <c:showVal val="0"/>
          <c:showCatName val="0"/>
          <c:showSerName val="0"/>
          <c:showPercent val="0"/>
          <c:showBubbleSize val="0"/>
        </c:dLbls>
        <c:gapWidth val="150"/>
        <c:shape val="box"/>
        <c:axId val="194708992"/>
        <c:axId val="224309184"/>
        <c:axId val="0"/>
      </c:bar3DChart>
      <c:catAx>
        <c:axId val="194708992"/>
        <c:scaling>
          <c:orientation val="minMax"/>
        </c:scaling>
        <c:delete val="0"/>
        <c:axPos val="b"/>
        <c:majorTickMark val="out"/>
        <c:minorTickMark val="none"/>
        <c:tickLblPos val="nextTo"/>
        <c:crossAx val="224309184"/>
        <c:crosses val="autoZero"/>
        <c:auto val="1"/>
        <c:lblAlgn val="ctr"/>
        <c:lblOffset val="100"/>
        <c:noMultiLvlLbl val="0"/>
      </c:catAx>
      <c:valAx>
        <c:axId val="224309184"/>
        <c:scaling>
          <c:orientation val="minMax"/>
        </c:scaling>
        <c:delete val="0"/>
        <c:axPos val="l"/>
        <c:majorGridlines/>
        <c:numFmt formatCode="General" sourceLinked="1"/>
        <c:majorTickMark val="out"/>
        <c:minorTickMark val="none"/>
        <c:tickLblPos val="nextTo"/>
        <c:crossAx val="194708992"/>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dLbl>
              <c:idx val="0"/>
              <c:layout>
                <c:manualLayout>
                  <c:x val="0"/>
                  <c:y val="-3.1706641168202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4</c:v>
                </c:pt>
                <c:pt idx="1">
                  <c:v>33</c:v>
                </c:pt>
                <c:pt idx="2">
                  <c:v>37</c:v>
                </c:pt>
              </c:numCache>
            </c:numRef>
          </c:val>
        </c:ser>
        <c:ser>
          <c:idx val="1"/>
          <c:order val="1"/>
          <c:tx>
            <c:strRef>
              <c:f>Лист1!$C$1</c:f>
              <c:strCache>
                <c:ptCount val="1"/>
                <c:pt idx="0">
                  <c:v>2020 г.</c:v>
                </c:pt>
              </c:strCache>
            </c:strRef>
          </c:tx>
          <c:invertIfNegative val="0"/>
          <c:dLbls>
            <c:dLbl>
              <c:idx val="0"/>
              <c:layout>
                <c:manualLayout>
                  <c:x val="1.1574074074074073E-2"/>
                  <c:y val="-3.17460317460317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5</c:v>
                </c:pt>
                <c:pt idx="1">
                  <c:v>31</c:v>
                </c:pt>
                <c:pt idx="2">
                  <c:v>36</c:v>
                </c:pt>
              </c:numCache>
            </c:numRef>
          </c:val>
        </c:ser>
        <c:ser>
          <c:idx val="2"/>
          <c:order val="2"/>
          <c:tx>
            <c:strRef>
              <c:f>Лист1!$D$1</c:f>
              <c:strCache>
                <c:ptCount val="1"/>
                <c:pt idx="0">
                  <c:v>2021 г.</c:v>
                </c:pt>
              </c:strCache>
            </c:strRef>
          </c:tx>
          <c:invertIfNegative val="0"/>
          <c:dLbls>
            <c:dLbl>
              <c:idx val="0"/>
              <c:layout>
                <c:manualLayout>
                  <c:x val="1.8518518518518517E-2"/>
                  <c:y val="-3.9633301460253101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9</c:v>
                </c:pt>
                <c:pt idx="1">
                  <c:v>24</c:v>
                </c:pt>
                <c:pt idx="2">
                  <c:v>33</c:v>
                </c:pt>
              </c:numCache>
            </c:numRef>
          </c:val>
        </c:ser>
        <c:dLbls>
          <c:showLegendKey val="0"/>
          <c:showVal val="0"/>
          <c:showCatName val="0"/>
          <c:showSerName val="0"/>
          <c:showPercent val="0"/>
          <c:showBubbleSize val="0"/>
        </c:dLbls>
        <c:gapWidth val="150"/>
        <c:shape val="box"/>
        <c:axId val="194711040"/>
        <c:axId val="224308608"/>
        <c:axId val="0"/>
      </c:bar3DChart>
      <c:catAx>
        <c:axId val="194711040"/>
        <c:scaling>
          <c:orientation val="minMax"/>
        </c:scaling>
        <c:delete val="0"/>
        <c:axPos val="b"/>
        <c:majorTickMark val="out"/>
        <c:minorTickMark val="none"/>
        <c:tickLblPos val="nextTo"/>
        <c:crossAx val="224308608"/>
        <c:crosses val="autoZero"/>
        <c:auto val="1"/>
        <c:lblAlgn val="ctr"/>
        <c:lblOffset val="100"/>
        <c:noMultiLvlLbl val="0"/>
      </c:catAx>
      <c:valAx>
        <c:axId val="224308608"/>
        <c:scaling>
          <c:orientation val="minMax"/>
        </c:scaling>
        <c:delete val="0"/>
        <c:axPos val="l"/>
        <c:majorGridlines/>
        <c:numFmt formatCode="General" sourceLinked="1"/>
        <c:majorTickMark val="out"/>
        <c:minorTickMark val="none"/>
        <c:tickLblPos val="nextTo"/>
        <c:crossAx val="194711040"/>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2</c:v>
                </c:pt>
                <c:pt idx="1">
                  <c:v>7</c:v>
                </c:pt>
                <c:pt idx="2">
                  <c:v>9</c:v>
                </c:pt>
              </c:numCache>
            </c:numRef>
          </c:val>
        </c:ser>
        <c:ser>
          <c:idx val="1"/>
          <c:order val="1"/>
          <c:tx>
            <c:strRef>
              <c:f>Лист1!$C$1</c:f>
              <c:strCache>
                <c:ptCount val="1"/>
                <c:pt idx="0">
                  <c:v>2020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2</c:v>
                </c:pt>
                <c:pt idx="1">
                  <c:v>9</c:v>
                </c:pt>
                <c:pt idx="2">
                  <c:v>11</c:v>
                </c:pt>
              </c:numCache>
            </c:numRef>
          </c:val>
        </c:ser>
        <c:ser>
          <c:idx val="2"/>
          <c:order val="2"/>
          <c:tx>
            <c:strRef>
              <c:f>Лист1!$D$1</c:f>
              <c:strCache>
                <c:ptCount val="1"/>
                <c:pt idx="0">
                  <c:v>2021 г.</c:v>
                </c:pt>
              </c:strCache>
            </c:strRef>
          </c:tx>
          <c:invertIfNegative val="0"/>
          <c:dLbls>
            <c:dLbl>
              <c:idx val="0"/>
              <c:layout>
                <c:manualLayout>
                  <c:x val="1.7334195688445422E-2"/>
                  <c:y val="-3.419129510395269E-2"/>
                </c:manualLayout>
              </c:layout>
              <c:showLegendKey val="0"/>
              <c:showVal val="1"/>
              <c:showCatName val="0"/>
              <c:showSerName val="0"/>
              <c:showPercent val="0"/>
              <c:showBubbleSize val="0"/>
            </c:dLbl>
            <c:dLbl>
              <c:idx val="2"/>
              <c:layout>
                <c:manualLayout>
                  <c:x val="1.4857882018667596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0</c:v>
                </c:pt>
                <c:pt idx="1">
                  <c:v>9</c:v>
                </c:pt>
                <c:pt idx="2">
                  <c:v>9</c:v>
                </c:pt>
              </c:numCache>
            </c:numRef>
          </c:val>
        </c:ser>
        <c:dLbls>
          <c:showLegendKey val="0"/>
          <c:showVal val="0"/>
          <c:showCatName val="0"/>
          <c:showSerName val="0"/>
          <c:showPercent val="0"/>
          <c:showBubbleSize val="0"/>
        </c:dLbls>
        <c:gapWidth val="150"/>
        <c:shape val="box"/>
        <c:axId val="207033344"/>
        <c:axId val="224310336"/>
        <c:axId val="0"/>
      </c:bar3DChart>
      <c:catAx>
        <c:axId val="207033344"/>
        <c:scaling>
          <c:orientation val="minMax"/>
        </c:scaling>
        <c:delete val="0"/>
        <c:axPos val="b"/>
        <c:majorTickMark val="out"/>
        <c:minorTickMark val="none"/>
        <c:tickLblPos val="nextTo"/>
        <c:crossAx val="224310336"/>
        <c:crosses val="autoZero"/>
        <c:auto val="1"/>
        <c:lblAlgn val="ctr"/>
        <c:lblOffset val="100"/>
        <c:noMultiLvlLbl val="0"/>
      </c:catAx>
      <c:valAx>
        <c:axId val="224310336"/>
        <c:scaling>
          <c:orientation val="minMax"/>
        </c:scaling>
        <c:delete val="0"/>
        <c:axPos val="l"/>
        <c:majorGridlines/>
        <c:numFmt formatCode="General" sourceLinked="1"/>
        <c:majorTickMark val="out"/>
        <c:minorTickMark val="none"/>
        <c:tickLblPos val="nextTo"/>
        <c:crossAx val="207033344"/>
        <c:crosses val="autoZero"/>
        <c:crossBetween val="between"/>
      </c:valAx>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Лист2!$A$2</c:f>
              <c:strCache>
                <c:ptCount val="1"/>
                <c:pt idx="0">
                  <c:v>ВОП</c:v>
                </c:pt>
              </c:strCache>
            </c:strRef>
          </c:tx>
          <c:invertIfNegative val="0"/>
          <c:cat>
            <c:strRef>
              <c:f>Лист2!$B$1:$H$1</c:f>
              <c:strCache>
                <c:ptCount val="7"/>
                <c:pt idx="0">
                  <c:v>останали на производство в края на 2020 г.</c:v>
                </c:pt>
                <c:pt idx="1">
                  <c:v>Нови общи 194, ал. 1, т. 1 и 3 НПК</c:v>
                </c:pt>
                <c:pt idx="2">
                  <c:v>Нови възложени от Окр. П-р 194, ал. 1, т. 4 НПК</c:v>
                </c:pt>
                <c:pt idx="3">
                  <c:v>Нови срещу държавни служители от МВР и ДАНС чл. 194, ал. 1, т. 2 от НПК</c:v>
                </c:pt>
                <c:pt idx="4">
                  <c:v>Превъзложени от МВР или др. п-ния, по разпореждане на Окр. П-р, чл. 194, ал. 1, т. 4 НПК</c:v>
                </c:pt>
                <c:pt idx="5">
                  <c:v>Превъзложени от МВР при установяване условията на чл. 194, ал. 1, т. 1 и 3 от НПК</c:v>
                </c:pt>
                <c:pt idx="6">
                  <c:v>ДП с предмет данъчни престъпления</c:v>
                </c:pt>
              </c:strCache>
            </c:strRef>
          </c:cat>
          <c:val>
            <c:numRef>
              <c:f>Лист2!$B$2:$H$2</c:f>
              <c:numCache>
                <c:formatCode>General</c:formatCode>
                <c:ptCount val="7"/>
                <c:pt idx="0">
                  <c:v>166</c:v>
                </c:pt>
                <c:pt idx="1">
                  <c:v>15</c:v>
                </c:pt>
                <c:pt idx="2">
                  <c:v>23</c:v>
                </c:pt>
                <c:pt idx="3">
                  <c:v>2</c:v>
                </c:pt>
                <c:pt idx="4">
                  <c:v>14</c:v>
                </c:pt>
                <c:pt idx="5">
                  <c:v>1</c:v>
                </c:pt>
                <c:pt idx="6">
                  <c:v>13</c:v>
                </c:pt>
              </c:numCache>
            </c:numRef>
          </c:val>
          <c:extLst xmlns:c16r2="http://schemas.microsoft.com/office/drawing/2015/06/chart">
            <c:ext xmlns:c16="http://schemas.microsoft.com/office/drawing/2014/chart" uri="{C3380CC4-5D6E-409C-BE32-E72D297353CC}">
              <c16:uniqueId val="{00000000-08B6-47FE-A601-C7F2E5764FC5}"/>
            </c:ext>
          </c:extLst>
        </c:ser>
        <c:ser>
          <c:idx val="1"/>
          <c:order val="1"/>
          <c:tx>
            <c:strRef>
              <c:f>Лист2!$A$3</c:f>
              <c:strCache>
                <c:ptCount val="1"/>
                <c:pt idx="0">
                  <c:v>ВРП</c:v>
                </c:pt>
              </c:strCache>
            </c:strRef>
          </c:tx>
          <c:invertIfNegative val="0"/>
          <c:cat>
            <c:strRef>
              <c:f>Лист2!$B$1:$H$1</c:f>
              <c:strCache>
                <c:ptCount val="7"/>
                <c:pt idx="0">
                  <c:v>останали на производство в края на 2020 г.</c:v>
                </c:pt>
                <c:pt idx="1">
                  <c:v>Нови общи 194, ал. 1, т. 1 и 3 НПК</c:v>
                </c:pt>
                <c:pt idx="2">
                  <c:v>Нови възложени от Окр. П-р 194, ал. 1, т. 4 НПК</c:v>
                </c:pt>
                <c:pt idx="3">
                  <c:v>Нови срещу държавни служители от МВР и ДАНС чл. 194, ал. 1, т. 2 от НПК</c:v>
                </c:pt>
                <c:pt idx="4">
                  <c:v>Превъзложени от МВР или др. п-ния, по разпореждане на Окр. П-р, чл. 194, ал. 1, т. 4 НПК</c:v>
                </c:pt>
                <c:pt idx="5">
                  <c:v>Превъзложени от МВР при установяване условията на чл. 194, ал. 1, т. 1 и 3 от НПК</c:v>
                </c:pt>
                <c:pt idx="6">
                  <c:v>ДП с предмет данъчни престъпления</c:v>
                </c:pt>
              </c:strCache>
            </c:strRef>
          </c:cat>
          <c:val>
            <c:numRef>
              <c:f>Лист2!$B$3:$H$3</c:f>
              <c:numCache>
                <c:formatCode>General</c:formatCode>
                <c:ptCount val="7"/>
                <c:pt idx="0">
                  <c:v>166</c:v>
                </c:pt>
                <c:pt idx="1">
                  <c:v>33</c:v>
                </c:pt>
                <c:pt idx="2">
                  <c:v>13</c:v>
                </c:pt>
                <c:pt idx="3">
                  <c:v>9</c:v>
                </c:pt>
                <c:pt idx="4">
                  <c:v>39</c:v>
                </c:pt>
                <c:pt idx="5">
                  <c:v>12</c:v>
                </c:pt>
              </c:numCache>
            </c:numRef>
          </c:val>
          <c:extLst xmlns:c16r2="http://schemas.microsoft.com/office/drawing/2015/06/chart">
            <c:ext xmlns:c16="http://schemas.microsoft.com/office/drawing/2014/chart" uri="{C3380CC4-5D6E-409C-BE32-E72D297353CC}">
              <c16:uniqueId val="{00000001-08B6-47FE-A601-C7F2E5764FC5}"/>
            </c:ext>
          </c:extLst>
        </c:ser>
        <c:ser>
          <c:idx val="2"/>
          <c:order val="2"/>
          <c:tx>
            <c:strRef>
              <c:f>Лист2!$A$4</c:f>
              <c:strCache>
                <c:ptCount val="1"/>
                <c:pt idx="0">
                  <c:v>ТО - ДЕВНЯ</c:v>
                </c:pt>
              </c:strCache>
            </c:strRef>
          </c:tx>
          <c:invertIfNegative val="0"/>
          <c:cat>
            <c:strRef>
              <c:f>Лист2!$B$1:$H$1</c:f>
              <c:strCache>
                <c:ptCount val="7"/>
                <c:pt idx="0">
                  <c:v>останали на производство в края на 2020 г.</c:v>
                </c:pt>
                <c:pt idx="1">
                  <c:v>Нови общи 194, ал. 1, т. 1 и 3 НПК</c:v>
                </c:pt>
                <c:pt idx="2">
                  <c:v>Нови възложени от Окр. П-р 194, ал. 1, т. 4 НПК</c:v>
                </c:pt>
                <c:pt idx="3">
                  <c:v>Нови срещу държавни служители от МВР и ДАНС чл. 194, ал. 1, т. 2 от НПК</c:v>
                </c:pt>
                <c:pt idx="4">
                  <c:v>Превъзложени от МВР или др. п-ния, по разпореждане на Окр. П-р, чл. 194, ал. 1, т. 4 НПК</c:v>
                </c:pt>
                <c:pt idx="5">
                  <c:v>Превъзложени от МВР при установяване условията на чл. 194, ал. 1, т. 1 и 3 от НПК</c:v>
                </c:pt>
                <c:pt idx="6">
                  <c:v>ДП с предмет данъчни престъпления</c:v>
                </c:pt>
              </c:strCache>
            </c:strRef>
          </c:cat>
          <c:val>
            <c:numRef>
              <c:f>Лист2!$B$4:$H$4</c:f>
              <c:numCache>
                <c:formatCode>General</c:formatCode>
                <c:ptCount val="7"/>
                <c:pt idx="0">
                  <c:v>7</c:v>
                </c:pt>
                <c:pt idx="1">
                  <c:v>2</c:v>
                </c:pt>
                <c:pt idx="4">
                  <c:v>1</c:v>
                </c:pt>
                <c:pt idx="5">
                  <c:v>1</c:v>
                </c:pt>
              </c:numCache>
            </c:numRef>
          </c:val>
          <c:extLst xmlns:c16r2="http://schemas.microsoft.com/office/drawing/2015/06/chart">
            <c:ext xmlns:c16="http://schemas.microsoft.com/office/drawing/2014/chart" uri="{C3380CC4-5D6E-409C-BE32-E72D297353CC}">
              <c16:uniqueId val="{00000002-08B6-47FE-A601-C7F2E5764FC5}"/>
            </c:ext>
          </c:extLst>
        </c:ser>
        <c:ser>
          <c:idx val="3"/>
          <c:order val="3"/>
          <c:tx>
            <c:strRef>
              <c:f>Лист2!$A$5</c:f>
              <c:strCache>
                <c:ptCount val="1"/>
                <c:pt idx="0">
                  <c:v>ТО - ПРОВАДИЯ</c:v>
                </c:pt>
              </c:strCache>
            </c:strRef>
          </c:tx>
          <c:invertIfNegative val="0"/>
          <c:cat>
            <c:strRef>
              <c:f>Лист2!$B$1:$H$1</c:f>
              <c:strCache>
                <c:ptCount val="7"/>
                <c:pt idx="0">
                  <c:v>останали на производство в края на 2020 г.</c:v>
                </c:pt>
                <c:pt idx="1">
                  <c:v>Нови общи 194, ал. 1, т. 1 и 3 НПК</c:v>
                </c:pt>
                <c:pt idx="2">
                  <c:v>Нови възложени от Окр. П-р 194, ал. 1, т. 4 НПК</c:v>
                </c:pt>
                <c:pt idx="3">
                  <c:v>Нови срещу държавни служители от МВР и ДАНС чл. 194, ал. 1, т. 2 от НПК</c:v>
                </c:pt>
                <c:pt idx="4">
                  <c:v>Превъзложени от МВР или др. п-ния, по разпореждане на Окр. П-р, чл. 194, ал. 1, т. 4 НПК</c:v>
                </c:pt>
                <c:pt idx="5">
                  <c:v>Превъзложени от МВР при установяване условията на чл. 194, ал. 1, т. 1 и 3 от НПК</c:v>
                </c:pt>
                <c:pt idx="6">
                  <c:v>ДП с предмет данъчни престъпления</c:v>
                </c:pt>
              </c:strCache>
            </c:strRef>
          </c:cat>
          <c:val>
            <c:numRef>
              <c:f>Лист2!$B$5:$H$5</c:f>
              <c:numCache>
                <c:formatCode>General</c:formatCode>
                <c:ptCount val="7"/>
                <c:pt idx="0">
                  <c:v>6</c:v>
                </c:pt>
                <c:pt idx="1">
                  <c:v>1</c:v>
                </c:pt>
                <c:pt idx="4">
                  <c:v>2</c:v>
                </c:pt>
              </c:numCache>
            </c:numRef>
          </c:val>
          <c:extLst xmlns:c16r2="http://schemas.microsoft.com/office/drawing/2015/06/chart">
            <c:ext xmlns:c16="http://schemas.microsoft.com/office/drawing/2014/chart" uri="{C3380CC4-5D6E-409C-BE32-E72D297353CC}">
              <c16:uniqueId val="{00000003-08B6-47FE-A601-C7F2E5764FC5}"/>
            </c:ext>
          </c:extLst>
        </c:ser>
        <c:ser>
          <c:idx val="4"/>
          <c:order val="4"/>
          <c:tx>
            <c:strRef>
              <c:f>Лист2!$A$6</c:f>
              <c:strCache>
                <c:ptCount val="1"/>
                <c:pt idx="0">
                  <c:v>ДЕЖ.</c:v>
                </c:pt>
              </c:strCache>
            </c:strRef>
          </c:tx>
          <c:invertIfNegative val="0"/>
          <c:cat>
            <c:strRef>
              <c:f>Лист2!$B$1:$H$1</c:f>
              <c:strCache>
                <c:ptCount val="7"/>
                <c:pt idx="0">
                  <c:v>останали на производство в края на 2020 г.</c:v>
                </c:pt>
                <c:pt idx="1">
                  <c:v>Нови общи 194, ал. 1, т. 1 и 3 НПК</c:v>
                </c:pt>
                <c:pt idx="2">
                  <c:v>Нови възложени от Окр. П-р 194, ал. 1, т. 4 НПК</c:v>
                </c:pt>
                <c:pt idx="3">
                  <c:v>Нови срещу държавни служители от МВР и ДАНС чл. 194, ал. 1, т. 2 от НПК</c:v>
                </c:pt>
                <c:pt idx="4">
                  <c:v>Превъзложени от МВР или др. п-ния, по разпореждане на Окр. П-р, чл. 194, ал. 1, т. 4 НПК</c:v>
                </c:pt>
                <c:pt idx="5">
                  <c:v>Превъзложени от МВР при установяване условията на чл. 194, ал. 1, т. 1 и 3 от НПК</c:v>
                </c:pt>
                <c:pt idx="6">
                  <c:v>ДП с предмет данъчни престъпления</c:v>
                </c:pt>
              </c:strCache>
            </c:strRef>
          </c:cat>
          <c:val>
            <c:numRef>
              <c:f>Лист2!$B$6:$H$6</c:f>
              <c:numCache>
                <c:formatCode>General</c:formatCode>
                <c:ptCount val="7"/>
                <c:pt idx="1">
                  <c:v>15</c:v>
                </c:pt>
                <c:pt idx="3">
                  <c:v>7</c:v>
                </c:pt>
              </c:numCache>
            </c:numRef>
          </c:val>
          <c:extLst xmlns:c16r2="http://schemas.microsoft.com/office/drawing/2015/06/chart">
            <c:ext xmlns:c16="http://schemas.microsoft.com/office/drawing/2014/chart" uri="{C3380CC4-5D6E-409C-BE32-E72D297353CC}">
              <c16:uniqueId val="{00000004-08B6-47FE-A601-C7F2E5764FC5}"/>
            </c:ext>
          </c:extLst>
        </c:ser>
        <c:dLbls>
          <c:showLegendKey val="0"/>
          <c:showVal val="0"/>
          <c:showCatName val="0"/>
          <c:showSerName val="0"/>
          <c:showPercent val="0"/>
          <c:showBubbleSize val="0"/>
        </c:dLbls>
        <c:gapWidth val="150"/>
        <c:axId val="158581248"/>
        <c:axId val="160482432"/>
      </c:barChart>
      <c:catAx>
        <c:axId val="158581248"/>
        <c:scaling>
          <c:orientation val="minMax"/>
        </c:scaling>
        <c:delete val="0"/>
        <c:axPos val="b"/>
        <c:numFmt formatCode="General" sourceLinked="0"/>
        <c:majorTickMark val="none"/>
        <c:minorTickMark val="none"/>
        <c:tickLblPos val="nextTo"/>
        <c:crossAx val="160482432"/>
        <c:crosses val="autoZero"/>
        <c:auto val="1"/>
        <c:lblAlgn val="ctr"/>
        <c:lblOffset val="100"/>
        <c:noMultiLvlLbl val="0"/>
      </c:catAx>
      <c:valAx>
        <c:axId val="160482432"/>
        <c:scaling>
          <c:orientation val="minMax"/>
        </c:scaling>
        <c:delete val="0"/>
        <c:axPos val="l"/>
        <c:majorGridlines/>
        <c:numFmt formatCode="General" sourceLinked="1"/>
        <c:majorTickMark val="none"/>
        <c:minorTickMark val="none"/>
        <c:tickLblPos val="nextTo"/>
        <c:crossAx val="158581248"/>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Върнати</a:t>
            </a:r>
            <a:r>
              <a:rPr lang="bg-BG" baseline="0"/>
              <a:t> с окончателен акт дела</a:t>
            </a:r>
            <a:endParaRPr lang="bg-BG"/>
          </a:p>
        </c:rich>
      </c:tx>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28150543000306782"/>
          <c:y val="0.16697444069491313"/>
          <c:w val="0.71849456999693218"/>
          <c:h val="0.44303368328958881"/>
        </c:manualLayout>
      </c:layout>
      <c:bar3DChart>
        <c:barDir val="col"/>
        <c:grouping val="clustered"/>
        <c:varyColors val="0"/>
        <c:ser>
          <c:idx val="0"/>
          <c:order val="0"/>
          <c:tx>
            <c:strRef>
              <c:f>Лист1!$B$1</c:f>
              <c:strCache>
                <c:ptCount val="1"/>
                <c:pt idx="0">
                  <c:v>РП ВАРНА</c:v>
                </c:pt>
              </c:strCache>
            </c:strRef>
          </c:tx>
          <c:invertIfNegative val="0"/>
          <c:dLbls>
            <c:dLbl>
              <c:idx val="2"/>
              <c:layout>
                <c:manualLayout>
                  <c:x val="1.038566470789214E-2"/>
                  <c:y val="-2.5395276478574987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Лист1!$B$2:$B$4</c:f>
              <c:numCache>
                <c:formatCode>General</c:formatCode>
                <c:ptCount val="3"/>
                <c:pt idx="0">
                  <c:v>52</c:v>
                </c:pt>
                <c:pt idx="1">
                  <c:v>58</c:v>
                </c:pt>
                <c:pt idx="2">
                  <c:v>48</c:v>
                </c:pt>
              </c:numCache>
            </c:numRef>
          </c:val>
        </c:ser>
        <c:ser>
          <c:idx val="1"/>
          <c:order val="1"/>
          <c:tx>
            <c:strRef>
              <c:f>Лист1!$C$1</c:f>
              <c:strCache>
                <c:ptCount val="1"/>
                <c:pt idx="0">
                  <c:v>ОП ВАРНА</c:v>
                </c:pt>
              </c:strCache>
            </c:strRef>
          </c:tx>
          <c:invertIfNegative val="0"/>
          <c:dLbls>
            <c:dLbl>
              <c:idx val="0"/>
              <c:layout>
                <c:manualLayout>
                  <c:x val="6.2313988247352844E-3"/>
                  <c:y val="-1.4511586559185706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Лист1!$C$2:$C$4</c:f>
              <c:numCache>
                <c:formatCode>General</c:formatCode>
                <c:ptCount val="3"/>
                <c:pt idx="0">
                  <c:v>6</c:v>
                </c:pt>
                <c:pt idx="1">
                  <c:v>8</c:v>
                </c:pt>
                <c:pt idx="2">
                  <c:v>9</c:v>
                </c:pt>
              </c:numCache>
            </c:numRef>
          </c:val>
        </c:ser>
        <c:ser>
          <c:idx val="2"/>
          <c:order val="2"/>
          <c:tx>
            <c:strRef>
              <c:f>Лист1!$D$1</c:f>
              <c:strCache>
                <c:ptCount val="1"/>
                <c:pt idx="0">
                  <c:v>общо за Окръжния район</c:v>
                </c:pt>
              </c:strCache>
            </c:strRef>
          </c:tx>
          <c:invertIfNegative val="0"/>
          <c:dLbls>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Лист1!$D$2:$D$4</c:f>
              <c:numCache>
                <c:formatCode>General</c:formatCode>
                <c:ptCount val="3"/>
                <c:pt idx="0">
                  <c:v>58</c:v>
                </c:pt>
                <c:pt idx="1">
                  <c:v>66</c:v>
                </c:pt>
                <c:pt idx="2">
                  <c:v>57</c:v>
                </c:pt>
              </c:numCache>
            </c:numRef>
          </c:val>
        </c:ser>
        <c:dLbls>
          <c:showLegendKey val="0"/>
          <c:showVal val="0"/>
          <c:showCatName val="0"/>
          <c:showSerName val="0"/>
          <c:showPercent val="0"/>
          <c:showBubbleSize val="0"/>
        </c:dLbls>
        <c:gapWidth val="150"/>
        <c:shape val="box"/>
        <c:axId val="207959040"/>
        <c:axId val="229383488"/>
        <c:axId val="0"/>
      </c:bar3DChart>
      <c:catAx>
        <c:axId val="207959040"/>
        <c:scaling>
          <c:orientation val="minMax"/>
        </c:scaling>
        <c:delete val="0"/>
        <c:axPos val="b"/>
        <c:majorTickMark val="none"/>
        <c:minorTickMark val="none"/>
        <c:tickLblPos val="nextTo"/>
        <c:crossAx val="229383488"/>
        <c:crosses val="autoZero"/>
        <c:auto val="1"/>
        <c:lblAlgn val="ctr"/>
        <c:lblOffset val="100"/>
        <c:noMultiLvlLbl val="0"/>
      </c:catAx>
      <c:valAx>
        <c:axId val="229383488"/>
        <c:scaling>
          <c:orientation val="minMax"/>
        </c:scaling>
        <c:delete val="0"/>
        <c:axPos val="l"/>
        <c:majorGridlines/>
        <c:numFmt formatCode="General" sourceLinked="1"/>
        <c:majorTickMark val="none"/>
        <c:minorTickMark val="none"/>
        <c:tickLblPos val="nextTo"/>
        <c:crossAx val="207959040"/>
        <c:crosses val="autoZero"/>
        <c:crossBetween val="between"/>
      </c:valAx>
      <c:dTable>
        <c:showHorzBorder val="1"/>
        <c:showVertBorder val="1"/>
        <c:showOutline val="1"/>
        <c:showKeys val="1"/>
      </c:dTable>
      <c:spPr>
        <a:solidFill>
          <a:srgbClr val="FFFF00"/>
        </a:solidFill>
      </c:spPr>
    </c:plotArea>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8</c:v>
                </c:pt>
                <c:pt idx="1">
                  <c:v>47</c:v>
                </c:pt>
                <c:pt idx="2">
                  <c:v>55</c:v>
                </c:pt>
              </c:numCache>
            </c:numRef>
          </c:val>
        </c:ser>
        <c:ser>
          <c:idx val="1"/>
          <c:order val="1"/>
          <c:tx>
            <c:strRef>
              <c:f>Лист1!$C$1</c:f>
              <c:strCache>
                <c:ptCount val="1"/>
                <c:pt idx="0">
                  <c:v>2020 г.</c:v>
                </c:pt>
              </c:strCache>
            </c:strRef>
          </c:tx>
          <c:invertIfNegative val="0"/>
          <c:dLbls>
            <c:dLbl>
              <c:idx val="0"/>
              <c:layout>
                <c:manualLayout>
                  <c:x val="1.1540622172206801E-2"/>
                  <c:y val="-2.9578184807759266E-2"/>
                </c:manualLayout>
              </c:layout>
              <c:showLegendKey val="0"/>
              <c:showVal val="1"/>
              <c:showCatName val="0"/>
              <c:showSerName val="0"/>
              <c:showPercent val="0"/>
              <c:showBubbleSize val="0"/>
            </c:dLbl>
            <c:dLbl>
              <c:idx val="1"/>
              <c:layout>
                <c:manualLayout>
                  <c:x val="1.1540622172206801E-2"/>
                  <c:y val="-9.8593949359197554E-3"/>
                </c:manualLayout>
              </c:layout>
              <c:showLegendKey val="0"/>
              <c:showVal val="1"/>
              <c:showCatName val="0"/>
              <c:showSerName val="0"/>
              <c:showPercent val="0"/>
              <c:showBubbleSize val="0"/>
            </c:dLbl>
            <c:dLbl>
              <c:idx val="2"/>
              <c:layout>
                <c:manualLayout>
                  <c:x val="9.2324977377654417E-3"/>
                  <c:y val="-4.929697467959877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3</c:v>
                </c:pt>
                <c:pt idx="1">
                  <c:v>20</c:v>
                </c:pt>
                <c:pt idx="2">
                  <c:v>23</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9</c:v>
                </c:pt>
                <c:pt idx="1">
                  <c:v>33</c:v>
                </c:pt>
                <c:pt idx="2">
                  <c:v>42</c:v>
                </c:pt>
              </c:numCache>
            </c:numRef>
          </c:val>
        </c:ser>
        <c:dLbls>
          <c:showLegendKey val="0"/>
          <c:showVal val="0"/>
          <c:showCatName val="0"/>
          <c:showSerName val="0"/>
          <c:showPercent val="0"/>
          <c:showBubbleSize val="0"/>
        </c:dLbls>
        <c:gapWidth val="150"/>
        <c:shape val="box"/>
        <c:axId val="207958016"/>
        <c:axId val="11240000"/>
        <c:axId val="0"/>
      </c:bar3DChart>
      <c:catAx>
        <c:axId val="207958016"/>
        <c:scaling>
          <c:orientation val="minMax"/>
        </c:scaling>
        <c:delete val="0"/>
        <c:axPos val="b"/>
        <c:majorTickMark val="out"/>
        <c:minorTickMark val="none"/>
        <c:tickLblPos val="nextTo"/>
        <c:crossAx val="11240000"/>
        <c:crosses val="autoZero"/>
        <c:auto val="1"/>
        <c:lblAlgn val="ctr"/>
        <c:lblOffset val="100"/>
        <c:noMultiLvlLbl val="0"/>
      </c:catAx>
      <c:valAx>
        <c:axId val="11240000"/>
        <c:scaling>
          <c:orientation val="minMax"/>
        </c:scaling>
        <c:delete val="0"/>
        <c:axPos val="l"/>
        <c:majorGridlines/>
        <c:numFmt formatCode="General" sourceLinked="1"/>
        <c:majorTickMark val="out"/>
        <c:minorTickMark val="none"/>
        <c:tickLblPos val="nextTo"/>
        <c:crossAx val="207958016"/>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Лист1!$B$2:$B$4</c:f>
              <c:numCache>
                <c:formatCode>General</c:formatCode>
                <c:ptCount val="3"/>
                <c:pt idx="0">
                  <c:v>8</c:v>
                </c:pt>
                <c:pt idx="1">
                  <c:v>32</c:v>
                </c:pt>
                <c:pt idx="2">
                  <c:v>40</c:v>
                </c:pt>
              </c:numCache>
            </c:numRef>
          </c:val>
        </c:ser>
        <c:ser>
          <c:idx val="1"/>
          <c:order val="1"/>
          <c:tx>
            <c:strRef>
              <c:f>Лист1!$C$1</c:f>
              <c:strCache>
                <c:ptCount val="1"/>
                <c:pt idx="0">
                  <c:v>2020 г.</c:v>
                </c:pt>
              </c:strCache>
            </c:strRef>
          </c:tx>
          <c:invertIfNegative val="0"/>
          <c:dLbls>
            <c:dLbl>
              <c:idx val="0"/>
              <c:layout>
                <c:manualLayout>
                  <c:x val="6.9444444444444441E-3"/>
                  <c:y val="-4.1165522351582088E-3"/>
                </c:manualLayout>
              </c:layout>
              <c:showLegendKey val="0"/>
              <c:showVal val="1"/>
              <c:showCatName val="0"/>
              <c:showSerName val="0"/>
              <c:showPercent val="0"/>
              <c:showBubbleSize val="0"/>
            </c:dLbl>
            <c:dLbl>
              <c:idx val="1"/>
              <c:layout>
                <c:manualLayout>
                  <c:x val="6.9444444444444441E-3"/>
                  <c:y val="-2.0588840848260244E-2"/>
                </c:manualLayout>
              </c:layout>
              <c:showLegendKey val="0"/>
              <c:showVal val="1"/>
              <c:showCatName val="0"/>
              <c:showSerName val="0"/>
              <c:showPercent val="0"/>
              <c:showBubbleSize val="0"/>
            </c:dLbl>
            <c:dLbl>
              <c:idx val="2"/>
              <c:layout>
                <c:manualLayout>
                  <c:x val="4.6296296296296294E-3"/>
                  <c:y val="-4.116552235158208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Лист1!$C$2:$C$4</c:f>
              <c:numCache>
                <c:formatCode>General</c:formatCode>
                <c:ptCount val="3"/>
                <c:pt idx="0">
                  <c:v>3</c:v>
                </c:pt>
                <c:pt idx="1">
                  <c:v>14</c:v>
                </c:pt>
                <c:pt idx="2">
                  <c:v>17</c:v>
                </c:pt>
              </c:numCache>
            </c:numRef>
          </c:val>
        </c:ser>
        <c:ser>
          <c:idx val="2"/>
          <c:order val="2"/>
          <c:tx>
            <c:strRef>
              <c:f>Лист1!$D$1</c:f>
              <c:strCache>
                <c:ptCount val="1"/>
                <c:pt idx="0">
                  <c:v>2021 г.</c:v>
                </c:pt>
              </c:strCache>
            </c:strRef>
          </c:tx>
          <c:invertIfNegative val="0"/>
          <c:dLbls>
            <c:showLegendKey val="0"/>
            <c:showVal val="1"/>
            <c:showCatName val="0"/>
            <c:showSerName val="0"/>
            <c:showPercent val="0"/>
            <c:showBubbleSize val="0"/>
            <c:showLeaderLines val="0"/>
          </c:dLbls>
          <c:cat>
            <c:strRef>
              <c:f>Лист1!$A$2:$A$4</c:f>
              <c:strCache>
                <c:ptCount val="3"/>
                <c:pt idx="0">
                  <c:v>ОП ВАРНА</c:v>
                </c:pt>
                <c:pt idx="1">
                  <c:v>РП ВАРНА</c:v>
                </c:pt>
                <c:pt idx="2">
                  <c:v>Общо за района на ОП Варна</c:v>
                </c:pt>
              </c:strCache>
            </c:strRef>
          </c:cat>
          <c:val>
            <c:numRef>
              <c:f>Лист1!$D$2:$D$4</c:f>
              <c:numCache>
                <c:formatCode>General</c:formatCode>
                <c:ptCount val="3"/>
                <c:pt idx="0">
                  <c:v>8</c:v>
                </c:pt>
                <c:pt idx="1">
                  <c:v>27</c:v>
                </c:pt>
                <c:pt idx="2">
                  <c:v>35</c:v>
                </c:pt>
              </c:numCache>
            </c:numRef>
          </c:val>
        </c:ser>
        <c:dLbls>
          <c:showLegendKey val="0"/>
          <c:showVal val="0"/>
          <c:showCatName val="0"/>
          <c:showSerName val="0"/>
          <c:showPercent val="0"/>
          <c:showBubbleSize val="0"/>
        </c:dLbls>
        <c:gapWidth val="150"/>
        <c:shape val="box"/>
        <c:axId val="211842048"/>
        <c:axId val="365104512"/>
        <c:axId val="0"/>
      </c:bar3DChart>
      <c:catAx>
        <c:axId val="211842048"/>
        <c:scaling>
          <c:orientation val="minMax"/>
        </c:scaling>
        <c:delete val="0"/>
        <c:axPos val="b"/>
        <c:majorTickMark val="out"/>
        <c:minorTickMark val="none"/>
        <c:tickLblPos val="nextTo"/>
        <c:crossAx val="365104512"/>
        <c:crosses val="autoZero"/>
        <c:auto val="1"/>
        <c:lblAlgn val="ctr"/>
        <c:lblOffset val="100"/>
        <c:noMultiLvlLbl val="0"/>
      </c:catAx>
      <c:valAx>
        <c:axId val="365104512"/>
        <c:scaling>
          <c:orientation val="minMax"/>
        </c:scaling>
        <c:delete val="0"/>
        <c:axPos val="l"/>
        <c:majorGridlines/>
        <c:numFmt formatCode="General" sourceLinked="1"/>
        <c:majorTickMark val="out"/>
        <c:minorTickMark val="none"/>
        <c:tickLblPos val="nextTo"/>
        <c:crossAx val="211842048"/>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7.8832932341790604E-2"/>
          <c:y val="4.4057617797775277E-2"/>
          <c:w val="0.77185112277631962"/>
          <c:h val="0.85670903062219617"/>
        </c:manualLayout>
      </c:layout>
      <c:bar3DChart>
        <c:barDir val="col"/>
        <c:grouping val="clustered"/>
        <c:varyColors val="0"/>
        <c:ser>
          <c:idx val="0"/>
          <c:order val="0"/>
          <c:tx>
            <c:strRef>
              <c:f>Лист1!$B$1</c:f>
              <c:strCache>
                <c:ptCount val="1"/>
                <c:pt idx="0">
                  <c:v>2019 г.</c:v>
                </c:pt>
              </c:strCache>
            </c:strRef>
          </c:tx>
          <c:invertIfNegative val="0"/>
          <c:dLbls>
            <c:dLbl>
              <c:idx val="0"/>
              <c:layout>
                <c:manualLayout>
                  <c:x val="1.3888888888888888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Лист1!$B$2:$B$3</c:f>
              <c:numCache>
                <c:formatCode>General</c:formatCode>
                <c:ptCount val="2"/>
                <c:pt idx="0">
                  <c:v>0</c:v>
                </c:pt>
                <c:pt idx="1">
                  <c:v>15</c:v>
                </c:pt>
              </c:numCache>
            </c:numRef>
          </c:val>
        </c:ser>
        <c:ser>
          <c:idx val="1"/>
          <c:order val="1"/>
          <c:tx>
            <c:strRef>
              <c:f>Лист1!$C$1</c:f>
              <c:strCache>
                <c:ptCount val="1"/>
                <c:pt idx="0">
                  <c:v>2020 г.</c:v>
                </c:pt>
              </c:strCache>
            </c:strRef>
          </c:tx>
          <c:invertIfNegative val="0"/>
          <c:dLbls>
            <c:dLbl>
              <c:idx val="0"/>
              <c:layout>
                <c:manualLayout>
                  <c:x val="1.3888888888888888E-2"/>
                  <c:y val="-1.58730158730158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Лист1!$C$2:$C$3</c:f>
              <c:numCache>
                <c:formatCode>General</c:formatCode>
                <c:ptCount val="2"/>
                <c:pt idx="0">
                  <c:v>0</c:v>
                </c:pt>
                <c:pt idx="1">
                  <c:v>6</c:v>
                </c:pt>
              </c:numCache>
            </c:numRef>
          </c:val>
        </c:ser>
        <c:ser>
          <c:idx val="2"/>
          <c:order val="2"/>
          <c:tx>
            <c:strRef>
              <c:f>Лист1!$D$1</c:f>
              <c:strCache>
                <c:ptCount val="1"/>
                <c:pt idx="0">
                  <c:v>2021 г.</c:v>
                </c:pt>
              </c:strCache>
            </c:strRef>
          </c:tx>
          <c:invertIfNegative val="0"/>
          <c:dLbls>
            <c:dLbl>
              <c:idx val="0"/>
              <c:layout>
                <c:manualLayout>
                  <c:x val="9.2592592592592171E-3"/>
                  <c:y val="-1.5873015873015872E-2"/>
                </c:manualLayout>
              </c:layout>
              <c:showLegendKey val="0"/>
              <c:showVal val="1"/>
              <c:showCatName val="0"/>
              <c:showSerName val="0"/>
              <c:showPercent val="0"/>
              <c:showBubbleSize val="0"/>
            </c:dLbl>
            <c:dLbl>
              <c:idx val="1"/>
              <c:layout>
                <c:manualLayout>
                  <c:x val="1.3888888888888888E-2"/>
                  <c:y val="-2.380952380952380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ОП ВАРНА</c:v>
                </c:pt>
                <c:pt idx="1">
                  <c:v>РП ВАРНА</c:v>
                </c:pt>
              </c:strCache>
            </c:strRef>
          </c:cat>
          <c:val>
            <c:numRef>
              <c:f>Лист1!$D$2:$D$3</c:f>
              <c:numCache>
                <c:formatCode>General</c:formatCode>
                <c:ptCount val="2"/>
                <c:pt idx="0">
                  <c:v>1</c:v>
                </c:pt>
                <c:pt idx="1">
                  <c:v>6</c:v>
                </c:pt>
              </c:numCache>
            </c:numRef>
          </c:val>
        </c:ser>
        <c:dLbls>
          <c:showLegendKey val="0"/>
          <c:showVal val="0"/>
          <c:showCatName val="0"/>
          <c:showSerName val="0"/>
          <c:showPercent val="0"/>
          <c:showBubbleSize val="0"/>
        </c:dLbls>
        <c:gapWidth val="150"/>
        <c:shape val="box"/>
        <c:axId val="211844096"/>
        <c:axId val="11241728"/>
        <c:axId val="0"/>
      </c:bar3DChart>
      <c:catAx>
        <c:axId val="211844096"/>
        <c:scaling>
          <c:orientation val="minMax"/>
        </c:scaling>
        <c:delete val="0"/>
        <c:axPos val="b"/>
        <c:majorTickMark val="out"/>
        <c:minorTickMark val="none"/>
        <c:tickLblPos val="nextTo"/>
        <c:crossAx val="11241728"/>
        <c:crosses val="autoZero"/>
        <c:auto val="1"/>
        <c:lblAlgn val="ctr"/>
        <c:lblOffset val="100"/>
        <c:noMultiLvlLbl val="0"/>
      </c:catAx>
      <c:valAx>
        <c:axId val="11241728"/>
        <c:scaling>
          <c:orientation val="minMax"/>
        </c:scaling>
        <c:delete val="0"/>
        <c:axPos val="l"/>
        <c:majorGridlines/>
        <c:numFmt formatCode="General" sourceLinked="1"/>
        <c:majorTickMark val="out"/>
        <c:minorTickMark val="none"/>
        <c:tickLblPos val="nextTo"/>
        <c:crossAx val="211844096"/>
        <c:crosses val="autoZero"/>
        <c:crossBetween val="between"/>
      </c:valAx>
      <c:spPr>
        <a:solidFill>
          <a:srgbClr val="FFFF00"/>
        </a:solidFill>
      </c:spPr>
    </c:plotArea>
    <c:legend>
      <c:legendPos val="r"/>
      <c:layout/>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Брой</a:t>
            </a:r>
            <a:r>
              <a:rPr lang="bg-BG" baseline="0"/>
              <a:t> оправдателни присъди /влезли в сила по лица/</a:t>
            </a:r>
            <a:endParaRPr lang="bg-BG"/>
          </a:p>
        </c:rich>
      </c:tx>
      <c:layout/>
      <c:overlay val="0"/>
      <c:spPr>
        <a:solidFill>
          <a:srgbClr val="FFFF00"/>
        </a:solidFill>
      </c:spPr>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РП ВАРНА</c:v>
                </c:pt>
              </c:strCache>
            </c:strRef>
          </c:tx>
          <c:invertIfNegative val="0"/>
          <c:dLbls>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Лист1!$B$2:$B$4</c:f>
              <c:numCache>
                <c:formatCode>General</c:formatCode>
                <c:ptCount val="3"/>
                <c:pt idx="0">
                  <c:v>51</c:v>
                </c:pt>
                <c:pt idx="1">
                  <c:v>25</c:v>
                </c:pt>
                <c:pt idx="2">
                  <c:v>63</c:v>
                </c:pt>
              </c:numCache>
            </c:numRef>
          </c:val>
        </c:ser>
        <c:ser>
          <c:idx val="1"/>
          <c:order val="1"/>
          <c:tx>
            <c:strRef>
              <c:f>Лист1!$C$1</c:f>
              <c:strCache>
                <c:ptCount val="1"/>
                <c:pt idx="0">
                  <c:v>ОП ВАРНА</c:v>
                </c:pt>
              </c:strCache>
            </c:strRef>
          </c:tx>
          <c:invertIfNegative val="0"/>
          <c:dLbls>
            <c:dLbl>
              <c:idx val="0"/>
              <c:layout>
                <c:manualLayout>
                  <c:x val="6.8160264998523195E-3"/>
                  <c:y val="-4.0954411934954827E-3"/>
                </c:manualLayout>
              </c:layout>
              <c:showLegendKey val="0"/>
              <c:showVal val="1"/>
              <c:showCatName val="0"/>
              <c:showSerName val="0"/>
              <c:showPercent val="0"/>
              <c:showBubbleSize val="0"/>
            </c:dLbl>
            <c:dLbl>
              <c:idx val="1"/>
              <c:layout>
                <c:manualLayout>
                  <c:x val="1.1360044166420532E-2"/>
                  <c:y val="-4.0954411934953326E-3"/>
                </c:manualLayout>
              </c:layout>
              <c:showLegendKey val="0"/>
              <c:showVal val="1"/>
              <c:showCatName val="0"/>
              <c:showSerName val="0"/>
              <c:showPercent val="0"/>
              <c:showBubbleSize val="0"/>
            </c:dLbl>
            <c:dLbl>
              <c:idx val="2"/>
              <c:layout>
                <c:manualLayout>
                  <c:x val="6.8160264998523195E-3"/>
                  <c:y val="-4.0954411934954072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Лист1!$C$2:$C$4</c:f>
              <c:numCache>
                <c:formatCode>General</c:formatCode>
                <c:ptCount val="3"/>
                <c:pt idx="0">
                  <c:v>5</c:v>
                </c:pt>
                <c:pt idx="1">
                  <c:v>3</c:v>
                </c:pt>
                <c:pt idx="2">
                  <c:v>6</c:v>
                </c:pt>
              </c:numCache>
            </c:numRef>
          </c:val>
        </c:ser>
        <c:ser>
          <c:idx val="2"/>
          <c:order val="2"/>
          <c:tx>
            <c:strRef>
              <c:f>Лист1!$D$1</c:f>
              <c:strCache>
                <c:ptCount val="1"/>
                <c:pt idx="0">
                  <c:v>Общо за Окръжния район</c:v>
                </c:pt>
              </c:strCache>
            </c:strRef>
          </c:tx>
          <c:invertIfNegative val="0"/>
          <c:dLbls>
            <c:showLegendKey val="0"/>
            <c:showVal val="1"/>
            <c:showCatName val="0"/>
            <c:showSerName val="0"/>
            <c:showPercent val="0"/>
            <c:showBubbleSize val="0"/>
            <c:showLeaderLines val="0"/>
          </c:dLbls>
          <c:cat>
            <c:strRef>
              <c:f>Лист1!$A$2:$A$4</c:f>
              <c:strCache>
                <c:ptCount val="3"/>
                <c:pt idx="0">
                  <c:v>2019 г.</c:v>
                </c:pt>
                <c:pt idx="1">
                  <c:v>2020 г.</c:v>
                </c:pt>
                <c:pt idx="2">
                  <c:v>2021 г.</c:v>
                </c:pt>
              </c:strCache>
            </c:strRef>
          </c:cat>
          <c:val>
            <c:numRef>
              <c:f>Лист1!$D$2:$D$4</c:f>
              <c:numCache>
                <c:formatCode>General</c:formatCode>
                <c:ptCount val="3"/>
                <c:pt idx="0">
                  <c:v>56</c:v>
                </c:pt>
                <c:pt idx="1">
                  <c:v>28</c:v>
                </c:pt>
                <c:pt idx="2">
                  <c:v>69</c:v>
                </c:pt>
              </c:numCache>
            </c:numRef>
          </c:val>
        </c:ser>
        <c:dLbls>
          <c:showLegendKey val="0"/>
          <c:showVal val="0"/>
          <c:showCatName val="0"/>
          <c:showSerName val="0"/>
          <c:showPercent val="0"/>
          <c:showBubbleSize val="0"/>
        </c:dLbls>
        <c:gapWidth val="150"/>
        <c:shape val="box"/>
        <c:axId val="212321280"/>
        <c:axId val="11245184"/>
        <c:axId val="0"/>
      </c:bar3DChart>
      <c:catAx>
        <c:axId val="212321280"/>
        <c:scaling>
          <c:orientation val="minMax"/>
        </c:scaling>
        <c:delete val="0"/>
        <c:axPos val="b"/>
        <c:majorTickMark val="none"/>
        <c:minorTickMark val="none"/>
        <c:tickLblPos val="nextTo"/>
        <c:crossAx val="11245184"/>
        <c:crosses val="autoZero"/>
        <c:auto val="1"/>
        <c:lblAlgn val="ctr"/>
        <c:lblOffset val="100"/>
        <c:noMultiLvlLbl val="0"/>
      </c:catAx>
      <c:valAx>
        <c:axId val="11245184"/>
        <c:scaling>
          <c:orientation val="minMax"/>
        </c:scaling>
        <c:delete val="0"/>
        <c:axPos val="l"/>
        <c:majorGridlines/>
        <c:numFmt formatCode="General" sourceLinked="1"/>
        <c:majorTickMark val="none"/>
        <c:minorTickMark val="none"/>
        <c:tickLblPos val="nextTo"/>
        <c:crossAx val="212321280"/>
        <c:crosses val="autoZero"/>
        <c:crossBetween val="between"/>
      </c:valAx>
      <c:dTable>
        <c:showHorzBorder val="1"/>
        <c:showVertBorder val="1"/>
        <c:showOutline val="1"/>
        <c:showKeys val="1"/>
      </c:dTable>
      <c:spPr>
        <a:solidFill>
          <a:srgbClr val="FFFF00"/>
        </a:solidFill>
      </c:spPr>
    </c:plotArea>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layout/>
      <c:overlay val="0"/>
    </c:title>
    <c:autoTitleDeleted val="0"/>
    <c:plotArea>
      <c:layout/>
      <c:lineChart>
        <c:grouping val="stacked"/>
        <c:varyColors val="0"/>
        <c:ser>
          <c:idx val="0"/>
          <c:order val="0"/>
          <c:tx>
            <c:strRef>
              <c:f>Лист1!$B$1</c:f>
              <c:strCache>
                <c:ptCount val="1"/>
                <c:pt idx="0">
                  <c:v>ОБЕМ ПРОКУРОРСКА ДЕЙНОСТ</c:v>
                </c:pt>
              </c:strCache>
            </c:strRef>
          </c:tx>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Лист1!$A$2:$A$4</c:f>
              <c:numCache>
                <c:formatCode>General</c:formatCode>
                <c:ptCount val="3"/>
                <c:pt idx="0">
                  <c:v>2019</c:v>
                </c:pt>
                <c:pt idx="1">
                  <c:v>2020</c:v>
                </c:pt>
                <c:pt idx="2">
                  <c:v>2021</c:v>
                </c:pt>
              </c:numCache>
            </c:numRef>
          </c:cat>
          <c:val>
            <c:numRef>
              <c:f>Лист1!$B$2:$B$4</c:f>
              <c:numCache>
                <c:formatCode>General</c:formatCode>
                <c:ptCount val="3"/>
                <c:pt idx="0">
                  <c:v>15655</c:v>
                </c:pt>
                <c:pt idx="1">
                  <c:v>16101</c:v>
                </c:pt>
                <c:pt idx="2">
                  <c:v>17636</c:v>
                </c:pt>
              </c:numCache>
            </c:numRef>
          </c:val>
          <c:smooth val="0"/>
          <c:extLst xmlns:c16r2="http://schemas.microsoft.com/office/drawing/2015/06/chart">
            <c:ext xmlns:c16="http://schemas.microsoft.com/office/drawing/2014/chart" uri="{C3380CC4-5D6E-409C-BE32-E72D297353CC}">
              <c16:uniqueId val="{00000000-3801-4F1B-98B0-22F9C234720A}"/>
            </c:ext>
          </c:extLst>
        </c:ser>
        <c:dLbls>
          <c:showLegendKey val="0"/>
          <c:showVal val="1"/>
          <c:showCatName val="0"/>
          <c:showSerName val="0"/>
          <c:showPercent val="0"/>
          <c:showBubbleSize val="0"/>
        </c:dLbls>
        <c:marker val="1"/>
        <c:smooth val="0"/>
        <c:axId val="351113216"/>
        <c:axId val="11246336"/>
      </c:lineChart>
      <c:valAx>
        <c:axId val="11246336"/>
        <c:scaling>
          <c:orientation val="minMax"/>
        </c:scaling>
        <c:delete val="1"/>
        <c:axPos val="l"/>
        <c:majorGridlines/>
        <c:numFmt formatCode="General" sourceLinked="1"/>
        <c:majorTickMark val="none"/>
        <c:minorTickMark val="none"/>
        <c:tickLblPos val="nextTo"/>
        <c:crossAx val="351113216"/>
        <c:crosses val="autoZero"/>
        <c:crossBetween val="between"/>
      </c:valAx>
      <c:catAx>
        <c:axId val="351113216"/>
        <c:scaling>
          <c:orientation val="minMax"/>
        </c:scaling>
        <c:delete val="0"/>
        <c:axPos val="b"/>
        <c:numFmt formatCode="General" sourceLinked="1"/>
        <c:majorTickMark val="none"/>
        <c:minorTickMark val="none"/>
        <c:tickLblPos val="nextTo"/>
        <c:crossAx val="11246336"/>
        <c:crosses val="autoZero"/>
        <c:auto val="1"/>
        <c:lblAlgn val="ctr"/>
        <c:lblOffset val="100"/>
        <c:noMultiLvlLbl val="0"/>
      </c:catAx>
    </c:plotArea>
    <c:legend>
      <c:legendPos val="t"/>
      <c:layout/>
      <c:overlay val="0"/>
    </c:legend>
    <c:plotVisOnly val="1"/>
    <c:dispBlanksAs val="gap"/>
    <c:showDLblsOverMax val="0"/>
  </c:chart>
  <c:spPr>
    <a:solidFill>
      <a:schemeClr val="bg2">
        <a:lumMod val="90000"/>
      </a:schemeClr>
    </a:solidFill>
    <a:ln>
      <a:gradFill>
        <a:gsLst>
          <a:gs pos="0">
            <a:schemeClr val="bg2">
              <a:lumMod val="25000"/>
            </a:schemeClr>
          </a:gs>
          <a:gs pos="50000">
            <a:schemeClr val="accent1">
              <a:tint val="44500"/>
              <a:satMod val="160000"/>
            </a:schemeClr>
          </a:gs>
          <a:gs pos="100000">
            <a:schemeClr val="accent1">
              <a:tint val="23500"/>
              <a:satMod val="160000"/>
            </a:schemeClr>
          </a:gs>
        </a:gsLst>
        <a:lin ang="5400000" scaled="0"/>
      </a:gradFill>
    </a:ln>
    <a:effectLst>
      <a:glow rad="139700">
        <a:schemeClr val="accent3">
          <a:satMod val="175000"/>
          <a:alpha val="40000"/>
        </a:schemeClr>
      </a:glow>
    </a:effectLst>
  </c:sp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bg-BG"/>
              <a:t>Дейност по администриране</a:t>
            </a:r>
          </a:p>
        </c:rich>
      </c:tx>
      <c:layout/>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99109490405798"/>
          <c:y val="0.18294513432430071"/>
          <c:w val="0.78339098102650717"/>
          <c:h val="0.4548350495124705"/>
        </c:manualLayout>
      </c:layout>
      <c:bar3DChart>
        <c:barDir val="col"/>
        <c:grouping val="clustered"/>
        <c:varyColors val="0"/>
        <c:ser>
          <c:idx val="0"/>
          <c:order val="0"/>
          <c:tx>
            <c:strRef>
              <c:f>Лист1!$B$1</c:f>
              <c:strCache>
                <c:ptCount val="1"/>
                <c:pt idx="0">
                  <c:v>2019</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5"/>
                <c:pt idx="0">
                  <c:v>Дейност по администриране общо (брой)</c:v>
                </c:pt>
                <c:pt idx="1">
                  <c:v>Дейност по администриране  (бр. точки)</c:v>
                </c:pt>
                <c:pt idx="2">
                  <c:v>Произнасяне по дисциплинарни преписки</c:v>
                </c:pt>
                <c:pt idx="3">
                  <c:v>Заповеди (без такива по кадрови въпроси и за командироване) и указания</c:v>
                </c:pt>
                <c:pt idx="4">
                  <c:v>Справки/ писма до други звена, институции и граждани</c:v>
                </c:pt>
              </c:strCache>
              <c:extLst xmlns:c16r2="http://schemas.microsoft.com/office/drawing/2015/06/chart"/>
            </c:strRef>
          </c:cat>
          <c:val>
            <c:numRef>
              <c:f>Лист1!$B$2:$B$11</c:f>
              <c:numCache>
                <c:formatCode>General</c:formatCode>
                <c:ptCount val="5"/>
                <c:pt idx="0">
                  <c:v>257</c:v>
                </c:pt>
                <c:pt idx="1">
                  <c:v>257</c:v>
                </c:pt>
                <c:pt idx="2">
                  <c:v>3</c:v>
                </c:pt>
                <c:pt idx="3">
                  <c:v>202</c:v>
                </c:pt>
                <c:pt idx="4">
                  <c:v>11</c:v>
                </c:pt>
              </c:numCache>
              <c:extLst xmlns:c16r2="http://schemas.microsoft.com/office/drawing/2015/06/chart"/>
            </c:numRef>
          </c:val>
          <c:extLst xmlns:c16r2="http://schemas.microsoft.com/office/drawing/2015/06/chart">
            <c:ext xmlns:c16="http://schemas.microsoft.com/office/drawing/2014/chart" uri="{C3380CC4-5D6E-409C-BE32-E72D297353CC}">
              <c16:uniqueId val="{00000000-0CEE-4AD1-948A-4DFA776AE71F}"/>
            </c:ext>
          </c:extLst>
        </c:ser>
        <c:ser>
          <c:idx val="1"/>
          <c:order val="1"/>
          <c:tx>
            <c:strRef>
              <c:f>Лист1!$C$1</c:f>
              <c:strCache>
                <c:ptCount val="1"/>
                <c:pt idx="0">
                  <c:v>2020</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5"/>
                <c:pt idx="0">
                  <c:v>Дейност по администриране общо (брой)</c:v>
                </c:pt>
                <c:pt idx="1">
                  <c:v>Дейност по администриране  (бр. точки)</c:v>
                </c:pt>
                <c:pt idx="2">
                  <c:v>Произнасяне по дисциплинарни преписки</c:v>
                </c:pt>
                <c:pt idx="3">
                  <c:v>Заповеди (без такива по кадрови въпроси и за командироване) и указания</c:v>
                </c:pt>
                <c:pt idx="4">
                  <c:v>Справки/ писма до други звена, институции и граждани</c:v>
                </c:pt>
              </c:strCache>
              <c:extLst xmlns:c16r2="http://schemas.microsoft.com/office/drawing/2015/06/chart"/>
            </c:strRef>
          </c:cat>
          <c:val>
            <c:numRef>
              <c:f>Лист1!$C$2:$C$11</c:f>
              <c:numCache>
                <c:formatCode>General</c:formatCode>
                <c:ptCount val="5"/>
                <c:pt idx="0">
                  <c:v>1176</c:v>
                </c:pt>
                <c:pt idx="1">
                  <c:v>670</c:v>
                </c:pt>
                <c:pt idx="2">
                  <c:v>3</c:v>
                </c:pt>
                <c:pt idx="3">
                  <c:v>315</c:v>
                </c:pt>
                <c:pt idx="4">
                  <c:v>769</c:v>
                </c:pt>
              </c:numCache>
              <c:extLst xmlns:c16r2="http://schemas.microsoft.com/office/drawing/2015/06/chart"/>
            </c:numRef>
          </c:val>
          <c:extLst xmlns:c16r2="http://schemas.microsoft.com/office/drawing/2015/06/chart">
            <c:ext xmlns:c16="http://schemas.microsoft.com/office/drawing/2014/chart" uri="{C3380CC4-5D6E-409C-BE32-E72D297353CC}">
              <c16:uniqueId val="{00000001-0CEE-4AD1-948A-4DFA776AE71F}"/>
            </c:ext>
          </c:extLst>
        </c:ser>
        <c:ser>
          <c:idx val="2"/>
          <c:order val="2"/>
          <c:tx>
            <c:strRef>
              <c:f>Лист1!$D$1</c:f>
              <c:strCache>
                <c:ptCount val="1"/>
                <c:pt idx="0">
                  <c:v>2021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Лист1!$A$2:$A$11</c:f>
              <c:strCache>
                <c:ptCount val="5"/>
                <c:pt idx="0">
                  <c:v>Дейност по администриране общо (брой)</c:v>
                </c:pt>
                <c:pt idx="1">
                  <c:v>Дейност по администриране  (бр. точки)</c:v>
                </c:pt>
                <c:pt idx="2">
                  <c:v>Произнасяне по дисциплинарни преписки</c:v>
                </c:pt>
                <c:pt idx="3">
                  <c:v>Заповеди (без такива по кадрови въпроси и за командироване) и указания</c:v>
                </c:pt>
                <c:pt idx="4">
                  <c:v>Справки/ писма до други звена, институции и граждани</c:v>
                </c:pt>
              </c:strCache>
              <c:extLst xmlns:c16r2="http://schemas.microsoft.com/office/drawing/2015/06/chart"/>
            </c:strRef>
          </c:cat>
          <c:val>
            <c:numRef>
              <c:f>Лист1!$D$2:$D$11</c:f>
              <c:numCache>
                <c:formatCode>General</c:formatCode>
                <c:ptCount val="5"/>
                <c:pt idx="0">
                  <c:v>1853</c:v>
                </c:pt>
                <c:pt idx="1">
                  <c:v>808</c:v>
                </c:pt>
                <c:pt idx="2">
                  <c:v>7</c:v>
                </c:pt>
                <c:pt idx="3">
                  <c:v>278</c:v>
                </c:pt>
                <c:pt idx="4">
                  <c:v>1518</c:v>
                </c:pt>
              </c:numCache>
              <c:extLst xmlns:c16r2="http://schemas.microsoft.com/office/drawing/2015/06/chart"/>
            </c:numRef>
          </c:val>
          <c:extLst xmlns:c16r2="http://schemas.microsoft.com/office/drawing/2015/06/chart">
            <c:ext xmlns:c16="http://schemas.microsoft.com/office/drawing/2014/chart" uri="{C3380CC4-5D6E-409C-BE32-E72D297353CC}">
              <c16:uniqueId val="{00000002-0CEE-4AD1-948A-4DFA776AE71F}"/>
            </c:ext>
          </c:extLst>
        </c:ser>
        <c:dLbls>
          <c:showLegendKey val="0"/>
          <c:showVal val="1"/>
          <c:showCatName val="0"/>
          <c:showSerName val="0"/>
          <c:showPercent val="0"/>
          <c:showBubbleSize val="0"/>
        </c:dLbls>
        <c:gapWidth val="95"/>
        <c:shape val="box"/>
        <c:axId val="221909504"/>
        <c:axId val="11264000"/>
        <c:axId val="0"/>
      </c:bar3DChart>
      <c:catAx>
        <c:axId val="22190950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bg-BG"/>
          </a:p>
        </c:txPr>
        <c:crossAx val="11264000"/>
        <c:crosses val="autoZero"/>
        <c:auto val="1"/>
        <c:lblAlgn val="ctr"/>
        <c:lblOffset val="100"/>
        <c:noMultiLvlLbl val="0"/>
      </c:catAx>
      <c:valAx>
        <c:axId val="11264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crossAx val="221909504"/>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bg-B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marker>
            <c:symbol val="diamond"/>
            <c:size val="16"/>
            <c:spPr>
              <a:solidFill>
                <a:srgbClr val="00B0F0"/>
              </a:solidFill>
            </c:spPr>
          </c:marker>
          <c:dPt>
            <c:idx val="1"/>
            <c:bubble3D val="0"/>
            <c:spPr>
              <a:ln w="34925">
                <a:solidFill>
                  <a:srgbClr val="00B0F0"/>
                </a:solidFill>
              </a:ln>
            </c:spPr>
            <c:extLst xmlns:c16r2="http://schemas.microsoft.com/office/drawing/2015/06/chart">
              <c:ext xmlns:c16="http://schemas.microsoft.com/office/drawing/2014/chart" uri="{C3380CC4-5D6E-409C-BE32-E72D297353CC}">
                <c16:uniqueId val="{00000001-D9BE-4356-902A-86DADD60F965}"/>
              </c:ext>
            </c:extLst>
          </c:dPt>
          <c:dPt>
            <c:idx val="2"/>
            <c:bubble3D val="0"/>
            <c:spPr>
              <a:ln>
                <a:solidFill>
                  <a:srgbClr val="00B0F0"/>
                </a:solidFill>
              </a:ln>
            </c:spPr>
            <c:extLst xmlns:c16r2="http://schemas.microsoft.com/office/drawing/2015/06/chart">
              <c:ext xmlns:c16="http://schemas.microsoft.com/office/drawing/2014/chart" uri="{C3380CC4-5D6E-409C-BE32-E72D297353CC}">
                <c16:uniqueId val="{00000003-D9BE-4356-902A-86DADD60F965}"/>
              </c:ext>
            </c:extLst>
          </c:dPt>
          <c:dLbls>
            <c:dLbl>
              <c:idx val="0"/>
              <c:layout>
                <c:manualLayout>
                  <c:x val="-8.3333333333333329E-2"/>
                  <c:y val="9.7222222222222182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D9BE-4356-902A-86DADD60F965}"/>
                </c:ext>
              </c:extLst>
            </c:dLbl>
            <c:dLbl>
              <c:idx val="1"/>
              <c:layout>
                <c:manualLayout>
                  <c:x val="-7.7066899896168731E-2"/>
                  <c:y val="0.10107274270570241"/>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D9BE-4356-902A-86DADD60F965}"/>
                </c:ext>
              </c:extLst>
            </c:dLbl>
            <c:dLbl>
              <c:idx val="2"/>
              <c:layout>
                <c:manualLayout>
                  <c:x val="-8.3333333333333329E-2"/>
                  <c:y val="8.3333333333333329E-2"/>
                </c:manualLayout>
              </c:layout>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D9BE-4356-902A-86DADD60F965}"/>
                </c:ext>
              </c:extLst>
            </c:dLbl>
            <c:spPr>
              <a:noFill/>
              <a:ln>
                <a:noFill/>
              </a:ln>
              <a:effectLst/>
            </c:spPr>
            <c:txPr>
              <a:bodyPr/>
              <a:lstStyle/>
              <a:p>
                <a:pPr>
                  <a:defRPr sz="1200" b="1"/>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обем!$B$24:$D$24</c:f>
              <c:strCache>
                <c:ptCount val="3"/>
                <c:pt idx="0">
                  <c:v>2019 г.</c:v>
                </c:pt>
                <c:pt idx="1">
                  <c:v>2020 г.</c:v>
                </c:pt>
                <c:pt idx="2">
                  <c:v>2021 г.</c:v>
                </c:pt>
              </c:strCache>
            </c:strRef>
          </c:cat>
          <c:val>
            <c:numRef>
              <c:f>обем!$B$25:$D$25</c:f>
              <c:numCache>
                <c:formatCode>#,##0</c:formatCode>
                <c:ptCount val="3"/>
                <c:pt idx="0">
                  <c:v>72072</c:v>
                </c:pt>
                <c:pt idx="1">
                  <c:v>83386</c:v>
                </c:pt>
                <c:pt idx="2">
                  <c:v>81561</c:v>
                </c:pt>
              </c:numCache>
            </c:numRef>
          </c:val>
          <c:smooth val="0"/>
          <c:extLst xmlns:c16r2="http://schemas.microsoft.com/office/drawing/2015/06/chart">
            <c:ext xmlns:c16="http://schemas.microsoft.com/office/drawing/2014/chart" uri="{C3380CC4-5D6E-409C-BE32-E72D297353CC}">
              <c16:uniqueId val="{00000005-D9BE-4356-902A-86DADD60F965}"/>
            </c:ext>
          </c:extLst>
        </c:ser>
        <c:dLbls>
          <c:showLegendKey val="0"/>
          <c:showVal val="0"/>
          <c:showCatName val="0"/>
          <c:showSerName val="0"/>
          <c:showPercent val="0"/>
          <c:showBubbleSize val="0"/>
        </c:dLbls>
        <c:marker val="1"/>
        <c:smooth val="0"/>
        <c:axId val="222352384"/>
        <c:axId val="11265728"/>
      </c:lineChart>
      <c:catAx>
        <c:axId val="222352384"/>
        <c:scaling>
          <c:orientation val="minMax"/>
        </c:scaling>
        <c:delete val="0"/>
        <c:axPos val="b"/>
        <c:numFmt formatCode="General" sourceLinked="1"/>
        <c:majorTickMark val="out"/>
        <c:minorTickMark val="none"/>
        <c:tickLblPos val="nextTo"/>
        <c:txPr>
          <a:bodyPr/>
          <a:lstStyle/>
          <a:p>
            <a:pPr>
              <a:defRPr sz="1200" b="1"/>
            </a:pPr>
            <a:endParaRPr lang="bg-BG"/>
          </a:p>
        </c:txPr>
        <c:crossAx val="11265728"/>
        <c:crosses val="autoZero"/>
        <c:auto val="1"/>
        <c:lblAlgn val="ctr"/>
        <c:lblOffset val="100"/>
        <c:noMultiLvlLbl val="0"/>
      </c:catAx>
      <c:valAx>
        <c:axId val="11265728"/>
        <c:scaling>
          <c:orientation val="minMax"/>
        </c:scaling>
        <c:delete val="0"/>
        <c:axPos val="l"/>
        <c:majorGridlines/>
        <c:numFmt formatCode="#,##0" sourceLinked="1"/>
        <c:majorTickMark val="out"/>
        <c:minorTickMark val="none"/>
        <c:tickLblPos val="nextTo"/>
        <c:crossAx val="222352384"/>
        <c:crosses val="autoZero"/>
        <c:crossBetween val="between"/>
      </c:valAx>
      <c:spPr>
        <a:blipFill>
          <a:blip xmlns:r="http://schemas.openxmlformats.org/officeDocument/2006/relationships" r:embed="rId2"/>
          <a:tile tx="0" ty="0" sx="100000" sy="100000" flip="none" algn="tl"/>
        </a:blipFill>
      </c:spPr>
    </c:plotArea>
    <c:plotVisOnly val="1"/>
    <c:dispBlanksAs val="gap"/>
    <c:showDLblsOverMax val="0"/>
  </c:chart>
  <c:spPr>
    <a:blipFill>
      <a:blip xmlns:r="http://schemas.openxmlformats.org/officeDocument/2006/relationships" r:embed="rId2"/>
      <a:tile tx="0" ty="0" sx="100000" sy="100000" flip="none" algn="tl"/>
    </a:blipFill>
  </c:spPr>
  <c:txPr>
    <a:bodyPr/>
    <a:lstStyle/>
    <a:p>
      <a:pPr>
        <a:defRPr sz="1200">
          <a:latin typeface="Times New Roman" panose="02020603050405020304" pitchFamily="18" charset="0"/>
          <a:cs typeface="Times New Roman" panose="02020603050405020304" pitchFamily="18" charset="0"/>
        </a:defRPr>
      </a:pPr>
      <a:endParaRPr lang="bg-BG"/>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198673082531354E-2"/>
          <c:y val="4.4057617797775318E-2"/>
          <c:w val="0.90480132691746851"/>
          <c:h val="0.8565310586176732"/>
        </c:manualLayout>
      </c:layout>
      <c:lineChart>
        <c:grouping val="stacked"/>
        <c:varyColors val="0"/>
        <c:ser>
          <c:idx val="0"/>
          <c:order val="0"/>
          <c:tx>
            <c:strRef>
              <c:f>Лист1!$B$1</c:f>
              <c:strCache>
                <c:ptCount val="1"/>
                <c:pt idx="0">
                  <c:v>Преписки на производство</c:v>
                </c:pt>
              </c:strCache>
            </c:strRef>
          </c:tx>
          <c:dLbls>
            <c:dLbl>
              <c:idx val="0"/>
              <c:layout>
                <c:manualLayout>
                  <c:x val="-2.3148148148148147E-3"/>
                  <c:y val="5.1646316266274771E-2"/>
                </c:manualLayout>
              </c:layout>
              <c:showLegendKey val="0"/>
              <c:showVal val="1"/>
              <c:showCatName val="0"/>
              <c:showSerName val="0"/>
              <c:showPercent val="0"/>
              <c:showBubbleSize val="0"/>
            </c:dLbl>
            <c:dLbl>
              <c:idx val="2"/>
              <c:layout>
                <c:manualLayout>
                  <c:x val="-9.2592592592592587E-3"/>
                  <c:y val="5.5619109825218983E-2"/>
                </c:manualLayout>
              </c:layout>
              <c:showLegendKey val="0"/>
              <c:showVal val="1"/>
              <c:showCatName val="0"/>
              <c:showSerName val="0"/>
              <c:showPercent val="0"/>
              <c:showBubbleSize val="0"/>
            </c:dLbl>
            <c:dLbl>
              <c:idx val="6"/>
              <c:layout>
                <c:manualLayout>
                  <c:x val="0"/>
                  <c:y val="-4.7673522707330558E-2"/>
                </c:manualLayout>
              </c:layout>
              <c:showLegendKey val="0"/>
              <c:showVal val="1"/>
              <c:showCatName val="0"/>
              <c:showSerName val="0"/>
              <c:showPercent val="0"/>
              <c:showBubbleSize val="0"/>
            </c:dLbl>
            <c:dLbl>
              <c:idx val="7"/>
              <c:layout>
                <c:manualLayout>
                  <c:x val="2.3148148148148147E-3"/>
                  <c:y val="-2.7798571985168257E-2"/>
                </c:manualLayout>
              </c:layout>
              <c:showLegendKey val="0"/>
              <c:showVal val="1"/>
              <c:showCatName val="0"/>
              <c:showSerName val="0"/>
              <c:showPercent val="0"/>
              <c:showBubbleSize val="0"/>
            </c:dLbl>
            <c:dLbl>
              <c:idx val="8"/>
              <c:layout>
                <c:manualLayout>
                  <c:x val="-4.8611111111111112E-2"/>
                  <c:y val="5.9523809523809521E-2"/>
                </c:manualLayout>
              </c:layout>
              <c:showLegendKey val="0"/>
              <c:showVal val="1"/>
              <c:showCatName val="0"/>
              <c:showSerName val="0"/>
              <c:showPercent val="0"/>
              <c:showBubbleSize val="0"/>
            </c:dLbl>
            <c:dLbl>
              <c:idx val="9"/>
              <c:layout>
                <c:manualLayout>
                  <c:x val="-3.4722222222222224E-2"/>
                  <c:y val="-7.1437326884314784E-2"/>
                </c:manualLayout>
              </c:layout>
              <c:showLegendKey val="0"/>
              <c:showVal val="1"/>
              <c:showCatName val="0"/>
              <c:showSerName val="0"/>
              <c:showPercent val="0"/>
              <c:showBubbleSize val="0"/>
            </c:dLbl>
            <c:dLbl>
              <c:idx val="10"/>
              <c:layout>
                <c:manualLayout>
                  <c:x val="-9.2592592592592587E-3"/>
                  <c:y val="4.3650793650793648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Лист1!$A$2:$A$13</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Лист1!$B$2:$B$13</c:f>
              <c:numCache>
                <c:formatCode>General</c:formatCode>
                <c:ptCount val="11"/>
                <c:pt idx="0">
                  <c:v>16283</c:v>
                </c:pt>
                <c:pt idx="1">
                  <c:v>15902</c:v>
                </c:pt>
                <c:pt idx="2">
                  <c:v>19876</c:v>
                </c:pt>
                <c:pt idx="3">
                  <c:v>27504</c:v>
                </c:pt>
                <c:pt idx="4">
                  <c:v>23008</c:v>
                </c:pt>
                <c:pt idx="5">
                  <c:v>23224</c:v>
                </c:pt>
                <c:pt idx="6">
                  <c:v>21185</c:v>
                </c:pt>
                <c:pt idx="7">
                  <c:v>20213</c:v>
                </c:pt>
                <c:pt idx="8">
                  <c:v>19919</c:v>
                </c:pt>
                <c:pt idx="9">
                  <c:v>18849</c:v>
                </c:pt>
                <c:pt idx="10">
                  <c:v>18282</c:v>
                </c:pt>
              </c:numCache>
            </c:numRef>
          </c:val>
          <c:smooth val="0"/>
        </c:ser>
        <c:dLbls>
          <c:showLegendKey val="0"/>
          <c:showVal val="0"/>
          <c:showCatName val="0"/>
          <c:showSerName val="0"/>
          <c:showPercent val="0"/>
          <c:showBubbleSize val="0"/>
        </c:dLbls>
        <c:marker val="1"/>
        <c:smooth val="0"/>
        <c:axId val="158590464"/>
        <c:axId val="160484736"/>
      </c:lineChart>
      <c:catAx>
        <c:axId val="158590464"/>
        <c:scaling>
          <c:orientation val="minMax"/>
        </c:scaling>
        <c:delete val="0"/>
        <c:axPos val="b"/>
        <c:majorTickMark val="out"/>
        <c:minorTickMark val="none"/>
        <c:tickLblPos val="nextTo"/>
        <c:crossAx val="160484736"/>
        <c:crosses val="autoZero"/>
        <c:auto val="1"/>
        <c:lblAlgn val="ctr"/>
        <c:lblOffset val="100"/>
        <c:noMultiLvlLbl val="0"/>
      </c:catAx>
      <c:valAx>
        <c:axId val="160484736"/>
        <c:scaling>
          <c:orientation val="minMax"/>
        </c:scaling>
        <c:delete val="0"/>
        <c:axPos val="l"/>
        <c:majorGridlines/>
        <c:numFmt formatCode="General" sourceLinked="1"/>
        <c:majorTickMark val="out"/>
        <c:minorTickMark val="none"/>
        <c:tickLblPos val="nextTo"/>
        <c:crossAx val="158590464"/>
        <c:crosses val="autoZero"/>
        <c:crossBetween val="between"/>
      </c:valAx>
      <c:spPr>
        <a:solidFill>
          <a:srgbClr val="FFFF00"/>
        </a:solidFill>
      </c:spPr>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Брой въззивни</a:t>
            </a:r>
            <a:r>
              <a:rPr lang="bg-BG" baseline="0"/>
              <a:t> произнасяния</a:t>
            </a:r>
            <a:endParaRPr lang="bg-BG"/>
          </a:p>
        </c:rich>
      </c:tx>
      <c:layout/>
      <c:overlay val="0"/>
    </c:title>
    <c:autoTitleDeleted val="0"/>
    <c:plotArea>
      <c:layout>
        <c:manualLayout>
          <c:layoutTarget val="inner"/>
          <c:xMode val="edge"/>
          <c:yMode val="edge"/>
          <c:x val="8.346256197142024E-2"/>
          <c:y val="0.16300618672665917"/>
          <c:w val="0.90264854913969084"/>
          <c:h val="0.73341482161071614"/>
        </c:manualLayout>
      </c:layout>
      <c:lineChart>
        <c:grouping val="stacked"/>
        <c:varyColors val="0"/>
        <c:ser>
          <c:idx val="0"/>
          <c:order val="0"/>
          <c:tx>
            <c:strRef>
              <c:f>Лист1!$B$1</c:f>
              <c:strCache>
                <c:ptCount val="1"/>
                <c:pt idx="0">
                  <c:v>Колона1</c:v>
                </c:pt>
              </c:strCache>
            </c:strRef>
          </c:tx>
          <c:dLbls>
            <c:dLbl>
              <c:idx val="0"/>
              <c:layout>
                <c:manualLayout>
                  <c:x val="-1.3888888888888888E-2"/>
                  <c:y val="-5.164633242219728E-2"/>
                </c:manualLayout>
              </c:layout>
              <c:showLegendKey val="0"/>
              <c:showVal val="1"/>
              <c:showCatName val="0"/>
              <c:showSerName val="0"/>
              <c:showPercent val="0"/>
              <c:showBubbleSize val="0"/>
            </c:dLbl>
            <c:dLbl>
              <c:idx val="1"/>
              <c:layout>
                <c:manualLayout>
                  <c:x val="-6.9444444444444441E-3"/>
                  <c:y val="-3.9727948017074813E-2"/>
                </c:manualLayout>
              </c:layout>
              <c:showLegendKey val="0"/>
              <c:showVal val="1"/>
              <c:showCatName val="0"/>
              <c:showSerName val="0"/>
              <c:showPercent val="0"/>
              <c:showBubbleSize val="0"/>
            </c:dLbl>
            <c:dLbl>
              <c:idx val="6"/>
              <c:layout>
                <c:manualLayout>
                  <c:x val="0"/>
                  <c:y val="-4.3650793650793648E-2"/>
                </c:manualLayout>
              </c:layout>
              <c:showLegendKey val="0"/>
              <c:showVal val="1"/>
              <c:showCatName val="0"/>
              <c:showSerName val="0"/>
              <c:showPercent val="0"/>
              <c:showBubbleSize val="0"/>
            </c:dLbl>
            <c:dLbl>
              <c:idx val="7"/>
              <c:layout>
                <c:manualLayout>
                  <c:x val="-3.0092592592592591E-2"/>
                  <c:y val="3.97122456930975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Лист1!$A$2:$A$12</c:f>
              <c:strCache>
                <c:ptCount val="11"/>
                <c:pt idx="0">
                  <c:v>2011 г.</c:v>
                </c:pt>
                <c:pt idx="1">
                  <c:v>2012 г.</c:v>
                </c:pt>
                <c:pt idx="2">
                  <c:v>2013 г.</c:v>
                </c:pt>
                <c:pt idx="3">
                  <c:v>2014 г.</c:v>
                </c:pt>
                <c:pt idx="4">
                  <c:v>2015 г.</c:v>
                </c:pt>
                <c:pt idx="5">
                  <c:v>2016 г.</c:v>
                </c:pt>
                <c:pt idx="6">
                  <c:v>2017 г.</c:v>
                </c:pt>
                <c:pt idx="7">
                  <c:v>2018 г.</c:v>
                </c:pt>
                <c:pt idx="8">
                  <c:v>2019 г.</c:v>
                </c:pt>
                <c:pt idx="9">
                  <c:v>2020 г.</c:v>
                </c:pt>
                <c:pt idx="10">
                  <c:v>2021 г.</c:v>
                </c:pt>
              </c:strCache>
            </c:strRef>
          </c:cat>
          <c:val>
            <c:numRef>
              <c:f>Лист1!$B$2:$B$12</c:f>
              <c:numCache>
                <c:formatCode>General</c:formatCode>
                <c:ptCount val="11"/>
                <c:pt idx="0">
                  <c:v>518</c:v>
                </c:pt>
                <c:pt idx="1">
                  <c:v>374</c:v>
                </c:pt>
                <c:pt idx="2">
                  <c:v>637</c:v>
                </c:pt>
                <c:pt idx="3">
                  <c:v>1032</c:v>
                </c:pt>
                <c:pt idx="4">
                  <c:v>718</c:v>
                </c:pt>
                <c:pt idx="5">
                  <c:v>542</c:v>
                </c:pt>
                <c:pt idx="6">
                  <c:v>509</c:v>
                </c:pt>
                <c:pt idx="7">
                  <c:v>662</c:v>
                </c:pt>
                <c:pt idx="8">
                  <c:v>536</c:v>
                </c:pt>
                <c:pt idx="9">
                  <c:v>720</c:v>
                </c:pt>
                <c:pt idx="10">
                  <c:v>664</c:v>
                </c:pt>
              </c:numCache>
            </c:numRef>
          </c:val>
          <c:smooth val="0"/>
        </c:ser>
        <c:dLbls>
          <c:showLegendKey val="0"/>
          <c:showVal val="0"/>
          <c:showCatName val="0"/>
          <c:showSerName val="0"/>
          <c:showPercent val="0"/>
          <c:showBubbleSize val="0"/>
        </c:dLbls>
        <c:marker val="1"/>
        <c:smooth val="0"/>
        <c:axId val="159342592"/>
        <c:axId val="160484160"/>
      </c:lineChart>
      <c:catAx>
        <c:axId val="159342592"/>
        <c:scaling>
          <c:orientation val="minMax"/>
        </c:scaling>
        <c:delete val="0"/>
        <c:axPos val="b"/>
        <c:majorTickMark val="out"/>
        <c:minorTickMark val="none"/>
        <c:tickLblPos val="nextTo"/>
        <c:crossAx val="160484160"/>
        <c:crosses val="autoZero"/>
        <c:auto val="1"/>
        <c:lblAlgn val="ctr"/>
        <c:lblOffset val="100"/>
        <c:noMultiLvlLbl val="0"/>
      </c:catAx>
      <c:valAx>
        <c:axId val="160484160"/>
        <c:scaling>
          <c:orientation val="minMax"/>
        </c:scaling>
        <c:delete val="0"/>
        <c:axPos val="l"/>
        <c:majorGridlines/>
        <c:numFmt formatCode="General" sourceLinked="1"/>
        <c:majorTickMark val="out"/>
        <c:minorTickMark val="none"/>
        <c:tickLblPos val="nextTo"/>
        <c:crossAx val="159342592"/>
        <c:crosses val="autoZero"/>
        <c:crossBetween val="between"/>
      </c:valAx>
      <c:spPr>
        <a:solidFill>
          <a:srgbClr val="FFFF00"/>
        </a:solidFill>
      </c:spPr>
    </c:plotArea>
    <c:plotVisOnly val="1"/>
    <c:dispBlanksAs val="zero"/>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Динамика на броя на наблюдаваните досъдебни</a:t>
            </a:r>
            <a:r>
              <a:rPr lang="bg-BG" baseline="0"/>
              <a:t> производства през периода 2009 - 2021 г.</a:t>
            </a:r>
          </a:p>
          <a:p>
            <a:pPr>
              <a:defRPr/>
            </a:pPr>
            <a:r>
              <a:rPr lang="bg-BG" sz="1200" baseline="0"/>
              <a:t>(вкл. прекратените по давност)</a:t>
            </a:r>
            <a:endParaRPr lang="bg-BG" sz="1200"/>
          </a:p>
        </c:rich>
      </c:tx>
      <c:layout/>
      <c:overlay val="0"/>
    </c:title>
    <c:autoTitleDeleted val="0"/>
    <c:plotArea>
      <c:layout>
        <c:manualLayout>
          <c:layoutTarget val="inner"/>
          <c:xMode val="edge"/>
          <c:yMode val="edge"/>
          <c:x val="0"/>
          <c:y val="0.39910729908761405"/>
          <c:w val="1"/>
          <c:h val="0.55818396220532152"/>
        </c:manualLayout>
      </c:layout>
      <c:lineChart>
        <c:grouping val="standard"/>
        <c:varyColors val="0"/>
        <c:ser>
          <c:idx val="0"/>
          <c:order val="0"/>
          <c:dLbls>
            <c:dLbl>
              <c:idx val="0"/>
              <c:layout>
                <c:manualLayout>
                  <c:x val="-5.1331109652960047E-2"/>
                  <c:y val="-6.3539593108956016E-2"/>
                </c:manualLayout>
              </c:layout>
              <c:dLblPos val="r"/>
              <c:showLegendKey val="0"/>
              <c:showVal val="1"/>
              <c:showCatName val="0"/>
              <c:showSerName val="0"/>
              <c:showPercent val="0"/>
              <c:showBubbleSize val="0"/>
            </c:dLbl>
            <c:dLbl>
              <c:idx val="1"/>
              <c:layout>
                <c:manualLayout>
                  <c:x val="-6.2905183727034117E-2"/>
                  <c:y val="-9.128469427512019E-2"/>
                </c:manualLayout>
              </c:layout>
              <c:dLblPos val="r"/>
              <c:showLegendKey val="0"/>
              <c:showVal val="1"/>
              <c:showCatName val="0"/>
              <c:showSerName val="0"/>
              <c:showPercent val="0"/>
              <c:showBubbleSize val="0"/>
            </c:dLbl>
            <c:dLbl>
              <c:idx val="2"/>
              <c:layout>
                <c:manualLayout>
                  <c:x val="-6.5219998541848942E-2"/>
                  <c:y val="-6.7472043517116609E-2"/>
                </c:manualLayout>
              </c:layout>
              <c:dLblPos val="r"/>
              <c:showLegendKey val="0"/>
              <c:showVal val="1"/>
              <c:showCatName val="0"/>
              <c:showSerName val="0"/>
              <c:showPercent val="0"/>
              <c:showBubbleSize val="0"/>
            </c:dLbl>
            <c:dLbl>
              <c:idx val="3"/>
              <c:layout>
                <c:manualLayout>
                  <c:x val="1.1168890347039976E-2"/>
                  <c:y val="-7.9365079365079413E-3"/>
                </c:manualLayout>
              </c:layout>
              <c:dLblPos val="r"/>
              <c:showLegendKey val="0"/>
              <c:showVal val="1"/>
              <c:showCatName val="0"/>
              <c:showSerName val="0"/>
              <c:showPercent val="0"/>
              <c:showBubbleSize val="0"/>
            </c:dLbl>
            <c:dLbl>
              <c:idx val="4"/>
              <c:layout>
                <c:manualLayout>
                  <c:x val="-0.11614592446777496"/>
                  <c:y val="7.2750482331543374E-17"/>
                </c:manualLayout>
              </c:layout>
              <c:dLblPos val="r"/>
              <c:showLegendKey val="0"/>
              <c:showVal val="1"/>
              <c:showCatName val="0"/>
              <c:showSerName val="0"/>
              <c:showPercent val="0"/>
              <c:showBubbleSize val="0"/>
            </c:dLbl>
            <c:dLbl>
              <c:idx val="5"/>
              <c:layout>
                <c:manualLayout>
                  <c:x val="-5.3645924467774768E-2"/>
                  <c:y val="-4.7619047619047623E-2"/>
                </c:manualLayout>
              </c:layout>
              <c:dLblPos val="r"/>
              <c:showLegendKey val="0"/>
              <c:showVal val="1"/>
              <c:showCatName val="0"/>
              <c:showSerName val="0"/>
              <c:showPercent val="0"/>
              <c:showBubbleSize val="0"/>
            </c:dLbl>
            <c:dLbl>
              <c:idx val="6"/>
              <c:layout>
                <c:manualLayout>
                  <c:x val="-5.5960739282589773E-2"/>
                  <c:y val="5.9523809523809507E-2"/>
                </c:manualLayout>
              </c:layout>
              <c:dLblPos val="r"/>
              <c:showLegendKey val="0"/>
              <c:showVal val="1"/>
              <c:showCatName val="0"/>
              <c:showSerName val="0"/>
              <c:showPercent val="0"/>
              <c:showBubbleSize val="0"/>
            </c:dLbl>
            <c:dLbl>
              <c:idx val="7"/>
              <c:layout>
                <c:manualLayout>
                  <c:x val="-5.1331109652960095E-2"/>
                  <c:y val="3.968253968253968E-2"/>
                </c:manualLayout>
              </c:layout>
              <c:dLblPos val="r"/>
              <c:showLegendKey val="0"/>
              <c:showVal val="1"/>
              <c:showCatName val="0"/>
              <c:showSerName val="0"/>
              <c:showPercent val="0"/>
              <c:showBubbleSize val="0"/>
            </c:dLbl>
            <c:dLbl>
              <c:idx val="8"/>
              <c:layout>
                <c:manualLayout>
                  <c:x val="-5.1331109652960047E-2"/>
                  <c:y val="7.1428571428571425E-2"/>
                </c:manualLayout>
              </c:layout>
              <c:dLblPos val="r"/>
              <c:showLegendKey val="0"/>
              <c:showVal val="1"/>
              <c:showCatName val="0"/>
              <c:showSerName val="0"/>
              <c:showPercent val="0"/>
              <c:showBubbleSize val="0"/>
            </c:dLbl>
            <c:dLbl>
              <c:idx val="9"/>
              <c:layout>
                <c:manualLayout>
                  <c:x val="-3.663203557888605E-2"/>
                  <c:y val="5.1587301587301577E-2"/>
                </c:manualLayout>
              </c:layout>
              <c:dLblPos val="r"/>
              <c:showLegendKey val="0"/>
              <c:showVal val="1"/>
              <c:showCatName val="0"/>
              <c:showSerName val="0"/>
              <c:showPercent val="0"/>
              <c:showBubbleSize val="0"/>
            </c:dLbl>
            <c:dLbl>
              <c:idx val="10"/>
              <c:layout>
                <c:manualLayout>
                  <c:x val="-3.0003280839895011E-2"/>
                  <c:y val="7.1428571428571425E-2"/>
                </c:manualLayout>
              </c:layout>
              <c:dLblPos val="r"/>
              <c:showLegendKey val="0"/>
              <c:showVal val="1"/>
              <c:showCatName val="0"/>
              <c:showSerName val="0"/>
              <c:showPercent val="0"/>
              <c:showBubbleSize val="0"/>
            </c:dLbl>
            <c:dLbl>
              <c:idx val="11"/>
              <c:layout>
                <c:manualLayout>
                  <c:x val="-2.872302420530767E-2"/>
                  <c:y val="-6.3492063492063489E-2"/>
                </c:manualLayout>
              </c:layout>
              <c:dLblPos val="r"/>
              <c:showLegendKey val="0"/>
              <c:showVal val="1"/>
              <c:showCatName val="0"/>
              <c:showSerName val="0"/>
              <c:showPercent val="0"/>
              <c:showBubbleSize val="0"/>
            </c:dLbl>
            <c:dLbl>
              <c:idx val="12"/>
              <c:layout>
                <c:manualLayout>
                  <c:x val="-2.1051509186351874E-2"/>
                  <c:y val="5.5555555555555552E-2"/>
                </c:manualLayout>
              </c:layout>
              <c:dLblPos val="r"/>
              <c:showLegendKey val="0"/>
              <c:showVal val="1"/>
              <c:showCatName val="0"/>
              <c:showSerName val="0"/>
              <c:showPercent val="0"/>
              <c:showBubbleSize val="0"/>
            </c:dLbl>
            <c:dLbl>
              <c:idx val="13"/>
              <c:layout>
                <c:manualLayout>
                  <c:x val="-2.3073782443861185E-2"/>
                  <c:y val="-6.7460317460317457E-2"/>
                </c:manualLayout>
              </c:layout>
              <c:dLblPos val="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Лист1!$A$1:$M$1</c:f>
              <c:strCache>
                <c:ptCount val="13"/>
                <c:pt idx="0">
                  <c:v>2009 г.</c:v>
                </c:pt>
                <c:pt idx="1">
                  <c:v>2010 г.</c:v>
                </c:pt>
                <c:pt idx="2">
                  <c:v>2011 г.</c:v>
                </c:pt>
                <c:pt idx="3">
                  <c:v>2012 г.</c:v>
                </c:pt>
                <c:pt idx="4">
                  <c:v>2013 г.</c:v>
                </c:pt>
                <c:pt idx="5">
                  <c:v>2014 г.</c:v>
                </c:pt>
                <c:pt idx="6">
                  <c:v>2015 г.</c:v>
                </c:pt>
                <c:pt idx="7">
                  <c:v>2016 г.</c:v>
                </c:pt>
                <c:pt idx="8">
                  <c:v>2017 г.</c:v>
                </c:pt>
                <c:pt idx="9">
                  <c:v>2018 г.</c:v>
                </c:pt>
                <c:pt idx="10">
                  <c:v>2019 г.</c:v>
                </c:pt>
                <c:pt idx="11">
                  <c:v>2020 г.</c:v>
                </c:pt>
                <c:pt idx="12">
                  <c:v>2021 г.</c:v>
                </c:pt>
              </c:strCache>
            </c:strRef>
          </c:cat>
          <c:val>
            <c:numRef>
              <c:f>Лист1!$A$2:$M$2</c:f>
              <c:numCache>
                <c:formatCode>General</c:formatCode>
                <c:ptCount val="13"/>
                <c:pt idx="0">
                  <c:v>53493</c:v>
                </c:pt>
                <c:pt idx="1">
                  <c:v>24997</c:v>
                </c:pt>
                <c:pt idx="2">
                  <c:v>21315</c:v>
                </c:pt>
                <c:pt idx="3">
                  <c:v>19150</c:v>
                </c:pt>
                <c:pt idx="4">
                  <c:v>21430</c:v>
                </c:pt>
                <c:pt idx="5">
                  <c:v>17355</c:v>
                </c:pt>
                <c:pt idx="6">
                  <c:v>14994</c:v>
                </c:pt>
                <c:pt idx="7">
                  <c:v>17002</c:v>
                </c:pt>
                <c:pt idx="8">
                  <c:v>19583</c:v>
                </c:pt>
                <c:pt idx="9">
                  <c:v>15686</c:v>
                </c:pt>
                <c:pt idx="10">
                  <c:v>16167</c:v>
                </c:pt>
                <c:pt idx="11">
                  <c:v>16953</c:v>
                </c:pt>
                <c:pt idx="12">
                  <c:v>15286</c:v>
                </c:pt>
              </c:numCache>
            </c:numRef>
          </c:val>
          <c:smooth val="0"/>
        </c:ser>
        <c:dLbls>
          <c:showLegendKey val="0"/>
          <c:showVal val="1"/>
          <c:showCatName val="0"/>
          <c:showSerName val="0"/>
          <c:showPercent val="0"/>
          <c:showBubbleSize val="0"/>
        </c:dLbls>
        <c:marker val="1"/>
        <c:smooth val="0"/>
        <c:axId val="159781888"/>
        <c:axId val="194953216"/>
      </c:lineChart>
      <c:catAx>
        <c:axId val="159781888"/>
        <c:scaling>
          <c:orientation val="minMax"/>
        </c:scaling>
        <c:delete val="1"/>
        <c:axPos val="b"/>
        <c:numFmt formatCode="General" sourceLinked="1"/>
        <c:majorTickMark val="none"/>
        <c:minorTickMark val="none"/>
        <c:tickLblPos val="none"/>
        <c:crossAx val="194953216"/>
        <c:crosses val="autoZero"/>
        <c:auto val="1"/>
        <c:lblAlgn val="ctr"/>
        <c:lblOffset val="100"/>
        <c:noMultiLvlLbl val="0"/>
      </c:catAx>
      <c:valAx>
        <c:axId val="194953216"/>
        <c:scaling>
          <c:orientation val="minMax"/>
        </c:scaling>
        <c:delete val="1"/>
        <c:axPos val="l"/>
        <c:numFmt formatCode="General" sourceLinked="1"/>
        <c:majorTickMark val="out"/>
        <c:minorTickMark val="none"/>
        <c:tickLblPos val="none"/>
        <c:crossAx val="159781888"/>
        <c:crosses val="autoZero"/>
        <c:crossBetween val="between"/>
      </c:valAx>
      <c:spPr>
        <a:solidFill>
          <a:srgbClr val="FFFF00"/>
        </a:solidFill>
      </c:spPr>
    </c:plotArea>
    <c:plotVisOnly val="1"/>
    <c:dispBlanksAs val="gap"/>
    <c:showDLblsOverMax val="0"/>
  </c:chart>
  <c:spPr>
    <a:solidFill>
      <a:srgbClr val="FFFF00"/>
    </a:solidFill>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883858267716529E-2"/>
          <c:y val="5.0592479767780224E-2"/>
          <c:w val="0.87933836395450571"/>
          <c:h val="0.85642365899250972"/>
        </c:manualLayout>
      </c:layout>
      <c:lineChart>
        <c:grouping val="stacked"/>
        <c:varyColors val="0"/>
        <c:ser>
          <c:idx val="0"/>
          <c:order val="0"/>
          <c:dLbls>
            <c:dLbl>
              <c:idx val="0"/>
              <c:layout>
                <c:manualLayout>
                  <c:x val="2.3148148148148147E-3"/>
                  <c:y val="-4.3618165888908246E-2"/>
                </c:manualLayout>
              </c:layout>
              <c:showLegendKey val="0"/>
              <c:showVal val="1"/>
              <c:showCatName val="0"/>
              <c:showSerName val="0"/>
              <c:showPercent val="0"/>
              <c:showBubbleSize val="0"/>
            </c:dLbl>
            <c:dLbl>
              <c:idx val="1"/>
              <c:layout>
                <c:manualLayout>
                  <c:x val="-2.3148148148147722E-3"/>
                  <c:y val="3.5714285714285712E-2"/>
                </c:manualLayout>
              </c:layout>
              <c:showLegendKey val="0"/>
              <c:showVal val="1"/>
              <c:showCatName val="0"/>
              <c:showSerName val="0"/>
              <c:showPercent val="0"/>
              <c:showBubbleSize val="0"/>
            </c:dLbl>
            <c:dLbl>
              <c:idx val="2"/>
              <c:layout>
                <c:manualLayout>
                  <c:x val="2.3148148148148147E-3"/>
                  <c:y val="-5.1625919401026767E-2"/>
                </c:manualLayout>
              </c:layout>
              <c:showLegendKey val="0"/>
              <c:showVal val="1"/>
              <c:showCatName val="0"/>
              <c:showSerName val="0"/>
              <c:showPercent val="0"/>
              <c:showBubbleSize val="0"/>
            </c:dLbl>
            <c:dLbl>
              <c:idx val="3"/>
              <c:layout>
                <c:manualLayout>
                  <c:x val="-8.4875562720133283E-17"/>
                  <c:y val="-3.1769796554478008E-2"/>
                </c:manualLayout>
              </c:layout>
              <c:showLegendKey val="0"/>
              <c:showVal val="1"/>
              <c:showCatName val="0"/>
              <c:showSerName val="0"/>
              <c:showPercent val="0"/>
              <c:showBubbleSize val="0"/>
            </c:dLbl>
            <c:dLbl>
              <c:idx val="4"/>
              <c:layout>
                <c:manualLayout>
                  <c:x val="0"/>
                  <c:y val="-5.1625919401026767E-2"/>
                </c:manualLayout>
              </c:layout>
              <c:showLegendKey val="0"/>
              <c:showVal val="1"/>
              <c:showCatName val="0"/>
              <c:showSerName val="0"/>
              <c:showPercent val="0"/>
              <c:showBubbleSize val="0"/>
            </c:dLbl>
            <c:dLbl>
              <c:idx val="5"/>
              <c:layout>
                <c:manualLayout>
                  <c:x val="-2.0833333333333332E-2"/>
                  <c:y val="-5.1625919401026725E-2"/>
                </c:manualLayout>
              </c:layout>
              <c:showLegendKey val="0"/>
              <c:showVal val="1"/>
              <c:showCatName val="0"/>
              <c:showSerName val="0"/>
              <c:showPercent val="0"/>
              <c:showBubbleSize val="0"/>
            </c:dLbl>
            <c:dLbl>
              <c:idx val="6"/>
              <c:layout>
                <c:manualLayout>
                  <c:x val="-4.3981481481481483E-2"/>
                  <c:y val="-4.3650793650793648E-2"/>
                </c:manualLayout>
              </c:layout>
              <c:showLegendKey val="0"/>
              <c:showVal val="1"/>
              <c:showCatName val="0"/>
              <c:showSerName val="0"/>
              <c:showPercent val="0"/>
              <c:showBubbleSize val="0"/>
            </c:dLbl>
            <c:dLbl>
              <c:idx val="7"/>
              <c:layout>
                <c:manualLayout>
                  <c:x val="-2.7777777777777776E-2"/>
                  <c:y val="7.2927418556008358E-2"/>
                </c:manualLayout>
              </c:layout>
              <c:showLegendKey val="0"/>
              <c:showVal val="1"/>
              <c:showCatName val="0"/>
              <c:showSerName val="0"/>
              <c:showPercent val="0"/>
              <c:showBubbleSize val="0"/>
            </c:dLbl>
            <c:dLbl>
              <c:idx val="8"/>
              <c:layout>
                <c:manualLayout>
                  <c:x val="-4.8611111111111112E-2"/>
                  <c:y val="-7.7303272302298401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Лист1!$A$2:$A$11</c:f>
              <c:strCache>
                <c:ptCount val="10"/>
                <c:pt idx="0">
                  <c:v>2012 г.</c:v>
                </c:pt>
                <c:pt idx="1">
                  <c:v>2013 г.</c:v>
                </c:pt>
                <c:pt idx="2">
                  <c:v>2014 г.</c:v>
                </c:pt>
                <c:pt idx="3">
                  <c:v>2015 г. </c:v>
                </c:pt>
                <c:pt idx="4">
                  <c:v>2016 г.</c:v>
                </c:pt>
                <c:pt idx="5">
                  <c:v>2017 г.</c:v>
                </c:pt>
                <c:pt idx="6">
                  <c:v>2018 г.</c:v>
                </c:pt>
                <c:pt idx="7">
                  <c:v>2019 г.</c:v>
                </c:pt>
                <c:pt idx="8">
                  <c:v>2020 г.</c:v>
                </c:pt>
                <c:pt idx="9">
                  <c:v>2021 г.</c:v>
                </c:pt>
              </c:strCache>
            </c:strRef>
          </c:cat>
          <c:val>
            <c:numRef>
              <c:f>Лист1!$B$2:$B$11</c:f>
              <c:numCache>
                <c:formatCode>General</c:formatCode>
                <c:ptCount val="10"/>
                <c:pt idx="0">
                  <c:v>9656</c:v>
                </c:pt>
                <c:pt idx="1">
                  <c:v>10144</c:v>
                </c:pt>
                <c:pt idx="2">
                  <c:v>9178</c:v>
                </c:pt>
                <c:pt idx="3">
                  <c:v>8704</c:v>
                </c:pt>
                <c:pt idx="4">
                  <c:v>8272</c:v>
                </c:pt>
                <c:pt idx="5">
                  <c:v>8337</c:v>
                </c:pt>
                <c:pt idx="6">
                  <c:v>7859</c:v>
                </c:pt>
                <c:pt idx="7">
                  <c:v>8036</c:v>
                </c:pt>
                <c:pt idx="8">
                  <c:v>7665</c:v>
                </c:pt>
                <c:pt idx="9">
                  <c:v>7234</c:v>
                </c:pt>
              </c:numCache>
            </c:numRef>
          </c:val>
          <c:smooth val="0"/>
        </c:ser>
        <c:dLbls>
          <c:showLegendKey val="0"/>
          <c:showVal val="0"/>
          <c:showCatName val="0"/>
          <c:showSerName val="0"/>
          <c:showPercent val="0"/>
          <c:showBubbleSize val="0"/>
        </c:dLbls>
        <c:marker val="1"/>
        <c:smooth val="0"/>
        <c:axId val="159783424"/>
        <c:axId val="195406080"/>
      </c:lineChart>
      <c:catAx>
        <c:axId val="159783424"/>
        <c:scaling>
          <c:orientation val="minMax"/>
        </c:scaling>
        <c:delete val="0"/>
        <c:axPos val="b"/>
        <c:majorTickMark val="out"/>
        <c:minorTickMark val="none"/>
        <c:tickLblPos val="nextTo"/>
        <c:crossAx val="195406080"/>
        <c:crosses val="autoZero"/>
        <c:auto val="1"/>
        <c:lblAlgn val="ctr"/>
        <c:lblOffset val="100"/>
        <c:noMultiLvlLbl val="0"/>
      </c:catAx>
      <c:valAx>
        <c:axId val="195406080"/>
        <c:scaling>
          <c:orientation val="minMax"/>
        </c:scaling>
        <c:delete val="0"/>
        <c:axPos val="l"/>
        <c:majorGridlines/>
        <c:numFmt formatCode="General" sourceLinked="1"/>
        <c:majorTickMark val="out"/>
        <c:minorTickMark val="none"/>
        <c:tickLblPos val="nextTo"/>
        <c:crossAx val="159783424"/>
        <c:crosses val="autoZero"/>
        <c:crossBetween val="between"/>
      </c:valAx>
      <c:spPr>
        <a:solidFill>
          <a:srgbClr val="FFFF00"/>
        </a:solidFill>
      </c:spPr>
    </c:plotArea>
    <c:plotVisOnly val="1"/>
    <c:dispBlanksAs val="zero"/>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layout/>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6.9458114610673666E-2"/>
          <c:y val="0.21737032870891138"/>
          <c:w val="0.56500856663750365"/>
          <c:h val="0.6800003877414903"/>
        </c:manualLayout>
      </c:layout>
      <c:pie3DChart>
        <c:varyColors val="1"/>
        <c:ser>
          <c:idx val="0"/>
          <c:order val="0"/>
          <c:tx>
            <c:strRef>
              <c:f>Лист1!$B$1</c:f>
              <c:strCache>
                <c:ptCount val="1"/>
                <c:pt idx="0">
                  <c:v>Видове ДП</c:v>
                </c:pt>
              </c:strCache>
            </c:strRef>
          </c:tx>
          <c:dLbls>
            <c:dLbl>
              <c:idx val="1"/>
              <c:layout>
                <c:manualLayout>
                  <c:x val="2.70359434237387E-2"/>
                  <c:y val="4.3031800743400496E-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Лист1!$A$2:$A$3</c:f>
              <c:strCache>
                <c:ptCount val="2"/>
                <c:pt idx="0">
                  <c:v>БП - 753-5,6%</c:v>
                </c:pt>
                <c:pt idx="1">
                  <c:v>ДПОР -13449</c:v>
                </c:pt>
              </c:strCache>
            </c:strRef>
          </c:cat>
          <c:val>
            <c:numRef>
              <c:f>Лист1!$B$2:$B$3</c:f>
              <c:numCache>
                <c:formatCode>General</c:formatCode>
                <c:ptCount val="2"/>
                <c:pt idx="0">
                  <c:v>753</c:v>
                </c:pt>
                <c:pt idx="1">
                  <c:v>13449</c:v>
                </c:pt>
              </c:numCache>
            </c:numRef>
          </c:val>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spPr>
    <a:solidFill>
      <a:srgbClr val="FFFF00"/>
    </a:soli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0.13617333924808694"/>
          <c:y val="0.44636944706772652"/>
          <c:w val="0.86342592592592593"/>
          <c:h val="0.47102487189101361"/>
        </c:manualLayout>
      </c:layout>
      <c:barChart>
        <c:barDir val="col"/>
        <c:grouping val="clustered"/>
        <c:varyColors val="0"/>
        <c:ser>
          <c:idx val="0"/>
          <c:order val="0"/>
          <c:tx>
            <c:strRef>
              <c:f>Лист1!$B$1</c:f>
              <c:strCache>
                <c:ptCount val="1"/>
                <c:pt idx="0">
                  <c:v>Брой на делата по разследващи органи</c:v>
                </c:pt>
              </c:strCache>
            </c:strRef>
          </c:tx>
          <c:invertIfNegative val="0"/>
          <c:dPt>
            <c:idx val="0"/>
            <c:invertIfNegative val="0"/>
            <c:bubble3D val="0"/>
          </c:dPt>
          <c:dPt>
            <c:idx val="1"/>
            <c:invertIfNegative val="0"/>
            <c:bubble3D val="0"/>
          </c:dPt>
          <c:cat>
            <c:strRef>
              <c:f>Лист1!$A$2:$A$5</c:f>
              <c:strCache>
                <c:ptCount val="4"/>
                <c:pt idx="0">
                  <c:v>Разследващи полицаи - 12318 или 95,8%</c:v>
                </c:pt>
                <c:pt idx="1">
                  <c:v>Следователи - 521 или 4,1%</c:v>
                </c:pt>
                <c:pt idx="2">
                  <c:v>Разследващи митнически инспектори - 13или 0,1%</c:v>
                </c:pt>
                <c:pt idx="3">
                  <c:v>Прокурори - 1 или 0%</c:v>
                </c:pt>
              </c:strCache>
            </c:strRef>
          </c:cat>
          <c:val>
            <c:numRef>
              <c:f>Лист1!$B$2:$B$5</c:f>
              <c:numCache>
                <c:formatCode>General</c:formatCode>
                <c:ptCount val="4"/>
                <c:pt idx="0">
                  <c:v>12318</c:v>
                </c:pt>
                <c:pt idx="1">
                  <c:v>521</c:v>
                </c:pt>
                <c:pt idx="2">
                  <c:v>13</c:v>
                </c:pt>
                <c:pt idx="3">
                  <c:v>1</c:v>
                </c:pt>
              </c:numCache>
            </c:numRef>
          </c:val>
        </c:ser>
        <c:dLbls>
          <c:showLegendKey val="0"/>
          <c:showVal val="0"/>
          <c:showCatName val="0"/>
          <c:showSerName val="0"/>
          <c:showPercent val="0"/>
          <c:showBubbleSize val="0"/>
        </c:dLbls>
        <c:gapWidth val="100"/>
        <c:axId val="159783936"/>
        <c:axId val="207791232"/>
      </c:barChart>
      <c:catAx>
        <c:axId val="159783936"/>
        <c:scaling>
          <c:orientation val="minMax"/>
        </c:scaling>
        <c:delete val="0"/>
        <c:axPos val="b"/>
        <c:majorTickMark val="out"/>
        <c:minorTickMark val="none"/>
        <c:tickLblPos val="nextTo"/>
        <c:crossAx val="207791232"/>
        <c:crosses val="autoZero"/>
        <c:auto val="1"/>
        <c:lblAlgn val="ctr"/>
        <c:lblOffset val="100"/>
        <c:noMultiLvlLbl val="0"/>
      </c:catAx>
      <c:valAx>
        <c:axId val="207791232"/>
        <c:scaling>
          <c:orientation val="minMax"/>
        </c:scaling>
        <c:delete val="0"/>
        <c:axPos val="l"/>
        <c:majorGridlines/>
        <c:numFmt formatCode="General" sourceLinked="1"/>
        <c:majorTickMark val="out"/>
        <c:minorTickMark val="none"/>
        <c:tickLblPos val="nextTo"/>
        <c:crossAx val="159783936"/>
        <c:crosses val="autoZero"/>
        <c:crossBetween val="between"/>
      </c:valAx>
    </c:plotArea>
    <c:plotVisOnly val="1"/>
    <c:dispBlanksAs val="gap"/>
    <c:showDLblsOverMax val="0"/>
  </c:chart>
  <c:spPr>
    <a:solidFill>
      <a:srgbClr val="FFFF00"/>
    </a:solidFill>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bg-BG"/>
              <a:t>Продължителност на разследването</a:t>
            </a:r>
          </a:p>
        </c:rich>
      </c:tx>
      <c:layout/>
      <c:overlay val="0"/>
    </c:title>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2.5470253718285214E-2"/>
          <c:y val="0.25765121778013628"/>
          <c:w val="0.94907407407407407"/>
          <c:h val="0.63872418894252958"/>
        </c:manualLayout>
      </c:layout>
      <c:bar3DChart>
        <c:barDir val="col"/>
        <c:grouping val="clustered"/>
        <c:varyColors val="0"/>
        <c:ser>
          <c:idx val="0"/>
          <c:order val="0"/>
          <c:tx>
            <c:strRef>
              <c:f>Лист1!$B$1</c:f>
              <c:strCache>
                <c:ptCount val="1"/>
                <c:pt idx="0">
                  <c:v>до 8 месеца </c:v>
                </c:pt>
              </c:strCache>
            </c:strRef>
          </c:tx>
          <c:invertIfNegative val="0"/>
          <c:dLbls>
            <c:dLbl>
              <c:idx val="0"/>
              <c:layout>
                <c:manualLayout>
                  <c:x val="7.407407407407407E-2"/>
                  <c:y val="0.15868551021389449"/>
                </c:manualLayout>
              </c:layout>
              <c:showLegendKey val="0"/>
              <c:showVal val="1"/>
              <c:showCatName val="0"/>
              <c:showSerName val="0"/>
              <c:showPercent val="0"/>
              <c:showBubbleSize val="0"/>
            </c:dLbl>
            <c:dLbl>
              <c:idx val="1"/>
              <c:layout>
                <c:manualLayout>
                  <c:x val="7.8687664041994787E-2"/>
                  <c:y val="0.13876009509197282"/>
                </c:manualLayout>
              </c:layout>
              <c:showLegendKey val="0"/>
              <c:showVal val="1"/>
              <c:showCatName val="0"/>
              <c:showSerName val="0"/>
              <c:showPercent val="0"/>
              <c:showBubbleSize val="0"/>
            </c:dLbl>
            <c:dLbl>
              <c:idx val="2"/>
              <c:layout>
                <c:manualLayout>
                  <c:x val="7.407407407407407E-2"/>
                  <c:y val="0.11499334643439448"/>
                </c:manualLayout>
              </c:layout>
              <c:showLegendKey val="0"/>
              <c:showVal val="1"/>
              <c:showCatName val="0"/>
              <c:showSerName val="0"/>
              <c:showPercent val="0"/>
              <c:showBubbleSize val="0"/>
            </c:dLbl>
            <c:dLbl>
              <c:idx val="3"/>
              <c:layout>
                <c:manualLayout>
                  <c:x val="7.6385061242344704E-2"/>
                  <c:y val="0.12689389326943912"/>
                </c:manualLayout>
              </c:layout>
              <c:showLegendKey val="0"/>
              <c:showVal val="1"/>
              <c:showCatName val="0"/>
              <c:showSerName val="0"/>
              <c:showPercent val="0"/>
              <c:showBubbleSize val="0"/>
            </c:dLbl>
            <c:dLbl>
              <c:idx val="4"/>
              <c:layout>
                <c:manualLayout>
                  <c:x val="7.407407407407407E-2"/>
                  <c:y val="0.13085449766672475"/>
                </c:manualLayout>
              </c:layout>
              <c:showLegendKey val="0"/>
              <c:showVal val="1"/>
              <c:showCatName val="0"/>
              <c:showSerName val="0"/>
              <c:showPercent val="0"/>
              <c:showBubbleSize val="0"/>
            </c:dLbl>
            <c:dLbl>
              <c:idx val="5"/>
              <c:layout>
                <c:manualLayout>
                  <c:x val="6.7129629629629636E-2"/>
                  <c:y val="0.13493562183518515"/>
                </c:manualLayout>
              </c:layout>
              <c:showLegendKey val="0"/>
              <c:showVal val="1"/>
              <c:showCatName val="0"/>
              <c:showSerName val="0"/>
              <c:showPercent val="0"/>
              <c:showBubbleSize val="0"/>
            </c:dLbl>
            <c:dLbl>
              <c:idx val="6"/>
              <c:layout>
                <c:manualLayout>
                  <c:x val="6.0185185185185182E-2"/>
                  <c:y val="0.13878507328288989"/>
                </c:manualLayout>
              </c:layout>
              <c:showLegendKey val="0"/>
              <c:showVal val="1"/>
              <c:showCatName val="0"/>
              <c:showSerName val="0"/>
              <c:showPercent val="0"/>
              <c:showBubbleSize val="0"/>
            </c:dLbl>
            <c:dLbl>
              <c:idx val="7"/>
              <c:layout>
                <c:manualLayout>
                  <c:x val="6.0185185185185182E-2"/>
                  <c:y val="0.14665776961590582"/>
                </c:manualLayout>
              </c:layout>
              <c:showLegendKey val="0"/>
              <c:showVal val="1"/>
              <c:showCatName val="0"/>
              <c:showSerName val="0"/>
              <c:showPercent val="0"/>
              <c:showBubbleSize val="0"/>
            </c:dLbl>
            <c:dLbl>
              <c:idx val="8"/>
              <c:layout>
                <c:manualLayout>
                  <c:x val="5.5555555555555552E-2"/>
                  <c:y val="0.14275036109097244"/>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2019 г. </c:v>
                </c:pt>
                <c:pt idx="1">
                  <c:v>2020 г.</c:v>
                </c:pt>
                <c:pt idx="2">
                  <c:v>2021 г.</c:v>
                </c:pt>
              </c:strCache>
            </c:strRef>
          </c:cat>
          <c:val>
            <c:numRef>
              <c:f>Лист1!$B$2:$B$4</c:f>
              <c:numCache>
                <c:formatCode>General</c:formatCode>
                <c:ptCount val="3"/>
                <c:pt idx="0">
                  <c:v>2087</c:v>
                </c:pt>
                <c:pt idx="1">
                  <c:v>2399</c:v>
                </c:pt>
                <c:pt idx="2">
                  <c:v>2274</c:v>
                </c:pt>
              </c:numCache>
            </c:numRef>
          </c:val>
        </c:ser>
        <c:ser>
          <c:idx val="1"/>
          <c:order val="1"/>
          <c:tx>
            <c:strRef>
              <c:f>Лист1!$C$1</c:f>
              <c:strCache>
                <c:ptCount val="1"/>
                <c:pt idx="0">
                  <c:v>до 1 година</c:v>
                </c:pt>
              </c:strCache>
            </c:strRef>
          </c:tx>
          <c:invertIfNegative val="0"/>
          <c:dLbls>
            <c:dLbl>
              <c:idx val="3"/>
              <c:layout>
                <c:manualLayout>
                  <c:x val="5.5572871099445989E-2"/>
                  <c:y val="4.3615043615043612E-2"/>
                </c:manualLayout>
              </c:layout>
              <c:showLegendKey val="0"/>
              <c:showVal val="1"/>
              <c:showCatName val="0"/>
              <c:showSerName val="0"/>
              <c:showPercent val="0"/>
              <c:showBubbleSize val="0"/>
            </c:dLbl>
            <c:dLbl>
              <c:idx val="4"/>
              <c:layout>
                <c:manualLayout>
                  <c:x val="6.0185185185185182E-2"/>
                  <c:y val="3.172230246466054E-2"/>
                </c:manualLayout>
              </c:layout>
              <c:showLegendKey val="0"/>
              <c:showVal val="1"/>
              <c:showCatName val="0"/>
              <c:showSerName val="0"/>
              <c:showPercent val="0"/>
              <c:showBubbleSize val="0"/>
            </c:dLbl>
            <c:dLbl>
              <c:idx val="5"/>
              <c:layout>
                <c:manualLayout>
                  <c:x val="6.4814814814814811E-2"/>
                  <c:y val="5.9479317121238516E-2"/>
                </c:manualLayout>
              </c:layout>
              <c:showLegendKey val="0"/>
              <c:showVal val="1"/>
              <c:showCatName val="0"/>
              <c:showSerName val="0"/>
              <c:showPercent val="0"/>
              <c:showBubbleSize val="0"/>
            </c:dLbl>
            <c:dLbl>
              <c:idx val="6"/>
              <c:layout>
                <c:manualLayout>
                  <c:x val="5.3240740740740741E-2"/>
                  <c:y val="3.1746031746031744E-2"/>
                </c:manualLayout>
              </c:layout>
              <c:showLegendKey val="0"/>
              <c:showVal val="1"/>
              <c:showCatName val="0"/>
              <c:showSerName val="0"/>
              <c:showPercent val="0"/>
              <c:showBubbleSize val="0"/>
            </c:dLbl>
            <c:dLbl>
              <c:idx val="7"/>
              <c:layout>
                <c:manualLayout>
                  <c:x val="5.5555555555555552E-2"/>
                  <c:y val="4.7332164399021492E-2"/>
                </c:manualLayout>
              </c:layout>
              <c:showLegendKey val="0"/>
              <c:showVal val="1"/>
              <c:showCatName val="0"/>
              <c:showSerName val="0"/>
              <c:showPercent val="0"/>
              <c:showBubbleSize val="0"/>
            </c:dLbl>
            <c:dLbl>
              <c:idx val="8"/>
              <c:layout>
                <c:manualLayout>
                  <c:x val="5.0925925925925923E-2"/>
                  <c:y val="6.7496067496067499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Лист1!$A$2:$A$4</c:f>
              <c:strCache>
                <c:ptCount val="3"/>
                <c:pt idx="0">
                  <c:v>2019 г. </c:v>
                </c:pt>
                <c:pt idx="1">
                  <c:v>2020 г.</c:v>
                </c:pt>
                <c:pt idx="2">
                  <c:v>2021 г.</c:v>
                </c:pt>
              </c:strCache>
            </c:strRef>
          </c:cat>
          <c:val>
            <c:numRef>
              <c:f>Лист1!$C$2:$C$4</c:f>
              <c:numCache>
                <c:formatCode>General</c:formatCode>
                <c:ptCount val="3"/>
                <c:pt idx="0">
                  <c:v>487</c:v>
                </c:pt>
                <c:pt idx="1">
                  <c:v>469</c:v>
                </c:pt>
                <c:pt idx="2">
                  <c:v>547</c:v>
                </c:pt>
              </c:numCache>
            </c:numRef>
          </c:val>
        </c:ser>
        <c:ser>
          <c:idx val="2"/>
          <c:order val="2"/>
          <c:tx>
            <c:strRef>
              <c:f>Лист1!$D$1</c:f>
              <c:strCache>
                <c:ptCount val="1"/>
                <c:pt idx="0">
                  <c:v>над 1 година </c:v>
                </c:pt>
              </c:strCache>
            </c:strRef>
          </c:tx>
          <c:invertIfNegative val="0"/>
          <c:cat>
            <c:strRef>
              <c:f>Лист1!$A$2:$A$4</c:f>
              <c:strCache>
                <c:ptCount val="3"/>
                <c:pt idx="0">
                  <c:v>2019 г. </c:v>
                </c:pt>
                <c:pt idx="1">
                  <c:v>2020 г.</c:v>
                </c:pt>
                <c:pt idx="2">
                  <c:v>2021 г.</c:v>
                </c:pt>
              </c:strCache>
            </c:strRef>
          </c:cat>
          <c:val>
            <c:numRef>
              <c:f>Лист1!$D$2:$D$4</c:f>
              <c:numCache>
                <c:formatCode>General</c:formatCode>
                <c:ptCount val="3"/>
                <c:pt idx="0">
                  <c:v>771</c:v>
                </c:pt>
                <c:pt idx="1">
                  <c:v>799</c:v>
                </c:pt>
                <c:pt idx="2">
                  <c:v>819</c:v>
                </c:pt>
              </c:numCache>
            </c:numRef>
          </c:val>
        </c:ser>
        <c:ser>
          <c:idx val="3"/>
          <c:order val="3"/>
          <c:tx>
            <c:strRef>
              <c:f>Лист1!$E$1</c:f>
              <c:strCache>
                <c:ptCount val="1"/>
                <c:pt idx="0">
                  <c:v>над 2 години</c:v>
                </c:pt>
              </c:strCache>
            </c:strRef>
          </c:tx>
          <c:invertIfNegative val="0"/>
          <c:cat>
            <c:strRef>
              <c:f>Лист1!$A$2:$A$4</c:f>
              <c:strCache>
                <c:ptCount val="3"/>
                <c:pt idx="0">
                  <c:v>2019 г. </c:v>
                </c:pt>
                <c:pt idx="1">
                  <c:v>2020 г.</c:v>
                </c:pt>
                <c:pt idx="2">
                  <c:v>2021 г.</c:v>
                </c:pt>
              </c:strCache>
            </c:strRef>
          </c:cat>
          <c:val>
            <c:numRef>
              <c:f>Лист1!$E$2:$E$4</c:f>
              <c:numCache>
                <c:formatCode>General</c:formatCode>
                <c:ptCount val="3"/>
                <c:pt idx="0">
                  <c:v>378</c:v>
                </c:pt>
                <c:pt idx="1">
                  <c:v>542</c:v>
                </c:pt>
                <c:pt idx="2">
                  <c:v>680</c:v>
                </c:pt>
              </c:numCache>
            </c:numRef>
          </c:val>
        </c:ser>
        <c:dLbls>
          <c:showLegendKey val="0"/>
          <c:showVal val="1"/>
          <c:showCatName val="0"/>
          <c:showSerName val="0"/>
          <c:showPercent val="0"/>
          <c:showBubbleSize val="0"/>
        </c:dLbls>
        <c:gapWidth val="150"/>
        <c:shape val="pyramid"/>
        <c:axId val="160207360"/>
        <c:axId val="207795840"/>
        <c:axId val="0"/>
      </c:bar3DChart>
      <c:catAx>
        <c:axId val="160207360"/>
        <c:scaling>
          <c:orientation val="minMax"/>
        </c:scaling>
        <c:delete val="0"/>
        <c:axPos val="b"/>
        <c:majorTickMark val="none"/>
        <c:minorTickMark val="none"/>
        <c:tickLblPos val="nextTo"/>
        <c:crossAx val="207795840"/>
        <c:crosses val="autoZero"/>
        <c:auto val="1"/>
        <c:lblAlgn val="ctr"/>
        <c:lblOffset val="100"/>
        <c:noMultiLvlLbl val="0"/>
      </c:catAx>
      <c:valAx>
        <c:axId val="207795840"/>
        <c:scaling>
          <c:orientation val="minMax"/>
        </c:scaling>
        <c:delete val="1"/>
        <c:axPos val="l"/>
        <c:numFmt formatCode="General" sourceLinked="1"/>
        <c:majorTickMark val="out"/>
        <c:minorTickMark val="none"/>
        <c:tickLblPos val="none"/>
        <c:crossAx val="160207360"/>
        <c:crosses val="autoZero"/>
        <c:crossBetween val="between"/>
      </c:valAx>
      <c:spPr>
        <a:solidFill>
          <a:srgbClr val="FFFF00"/>
        </a:solidFill>
      </c:spPr>
    </c:plotArea>
    <c:legend>
      <c:legendPos val="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Крайна сянка">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6.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Крайна сянка">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7.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Крайна сянка">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2486E-4181-4C03-9E93-FDB8A4248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57</Pages>
  <Words>17097</Words>
  <Characters>97457</Characters>
  <Application>Microsoft Office Word</Application>
  <DocSecurity>0</DocSecurity>
  <Lines>812</Lines>
  <Paragraphs>228</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114326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2022-03-29T13:31:00Z</dcterms:created>
  <dcterms:modified xsi:type="dcterms:W3CDTF">2022-03-31T14:45:00Z</dcterms:modified>
</cp:coreProperties>
</file>