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48"/>
      </w:tblGrid>
      <w:tr w:rsidR="00475FD6" w:rsidRPr="00413EB4" w:rsidTr="00F03957">
        <w:trPr>
          <w:trHeight w:val="983"/>
        </w:trPr>
        <w:tc>
          <w:tcPr>
            <w:tcW w:w="10348" w:type="dxa"/>
            <w:tcBorders>
              <w:top w:val="single" w:sz="4" w:space="0" w:color="auto"/>
              <w:bottom w:val="single" w:sz="4" w:space="0" w:color="auto"/>
            </w:tcBorders>
            <w:shd w:val="pct10" w:color="000000" w:fill="FFFFFF"/>
          </w:tcPr>
          <w:p w:rsidR="00475FD6" w:rsidRPr="00D30672" w:rsidRDefault="00475FD6" w:rsidP="00C02E8D">
            <w:pPr>
              <w:pStyle w:val="1"/>
              <w:spacing w:before="360" w:after="120" w:line="400" w:lineRule="exact"/>
              <w:rPr>
                <w:b w:val="0"/>
                <w:bCs w:val="0"/>
                <w:color w:val="auto"/>
                <w:sz w:val="46"/>
                <w:szCs w:val="46"/>
              </w:rPr>
            </w:pPr>
            <w:r w:rsidRPr="00D30672">
              <w:rPr>
                <w:b w:val="0"/>
                <w:bCs w:val="0"/>
                <w:color w:val="auto"/>
                <w:sz w:val="46"/>
                <w:szCs w:val="46"/>
              </w:rPr>
              <w:t>О К Р Ъ Ж Н А   П Р О К У Р А Т У Р А   С Л И В Е Н</w:t>
            </w:r>
          </w:p>
        </w:tc>
      </w:tr>
    </w:tbl>
    <w:p w:rsidR="00475FD6" w:rsidRPr="0073372B" w:rsidRDefault="00475FD6" w:rsidP="00475FD6">
      <w:pPr>
        <w:pStyle w:val="2"/>
        <w:spacing w:line="400" w:lineRule="exact"/>
      </w:pPr>
    </w:p>
    <w:p w:rsidR="00475FD6" w:rsidRDefault="00475FD6" w:rsidP="00475FD6">
      <w:pPr>
        <w:pStyle w:val="2"/>
        <w:spacing w:line="400" w:lineRule="exact"/>
      </w:pPr>
    </w:p>
    <w:p w:rsidR="00475FD6" w:rsidRPr="0073372B" w:rsidRDefault="00475FD6" w:rsidP="00475FD6">
      <w:pPr>
        <w:pStyle w:val="2"/>
        <w:spacing w:line="400" w:lineRule="exact"/>
      </w:pPr>
    </w:p>
    <w:p w:rsidR="00475FD6" w:rsidRPr="0073372B" w:rsidRDefault="00514E11" w:rsidP="00475FD6">
      <w:pPr>
        <w:pStyle w:val="2"/>
        <w:spacing w:line="400" w:lineRule="exact"/>
        <w:rPr>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7.35pt;margin-top:8.75pt;width:390.5pt;height:49.7pt;z-index:251667456" o:allowincell="f" fillcolor="#4d4d4d">
            <v:shadow color="#868686"/>
            <v:textpath style="font-family:&quot;Times New Roman&quot;;font-weight:bold;v-text-kern:t" trim="t" fitpath="t" string="ОТЧЕТЕН ДОКЛАД"/>
          </v:shape>
        </w:pict>
      </w:r>
    </w:p>
    <w:p w:rsidR="00475FD6" w:rsidRPr="0073372B" w:rsidRDefault="00475FD6" w:rsidP="00475FD6">
      <w:pPr>
        <w:pStyle w:val="2"/>
        <w:spacing w:line="400" w:lineRule="exact"/>
      </w:pPr>
    </w:p>
    <w:p w:rsidR="00475FD6" w:rsidRPr="0073372B" w:rsidRDefault="00475FD6" w:rsidP="00475FD6">
      <w:pPr>
        <w:pStyle w:val="2"/>
        <w:spacing w:line="400" w:lineRule="exact"/>
      </w:pPr>
    </w:p>
    <w:p w:rsidR="00475FD6" w:rsidRPr="0073372B" w:rsidRDefault="00475FD6" w:rsidP="00475FD6">
      <w:pPr>
        <w:pStyle w:val="2"/>
        <w:spacing w:after="0" w:line="360" w:lineRule="auto"/>
        <w:jc w:val="center"/>
        <w:rPr>
          <w:sz w:val="44"/>
          <w:szCs w:val="44"/>
        </w:rPr>
      </w:pPr>
      <w:r>
        <w:rPr>
          <w:noProof/>
        </w:rPr>
        <w:drawing>
          <wp:anchor distT="0" distB="0" distL="114300" distR="114300" simplePos="0" relativeHeight="251668480" behindDoc="0" locked="0" layoutInCell="1" allowOverlap="1">
            <wp:simplePos x="0" y="0"/>
            <wp:positionH relativeFrom="column">
              <wp:posOffset>1530350</wp:posOffset>
            </wp:positionH>
            <wp:positionV relativeFrom="paragraph">
              <wp:posOffset>155575</wp:posOffset>
            </wp:positionV>
            <wp:extent cx="3197860" cy="3674110"/>
            <wp:effectExtent l="0" t="0" r="2540" b="2540"/>
            <wp:wrapNone/>
            <wp:docPr id="7" name="Картина 7" descr="Prokur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kuratu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7860" cy="3674110"/>
                    </a:xfrm>
                    <a:prstGeom prst="rect">
                      <a:avLst/>
                    </a:prstGeom>
                    <a:noFill/>
                  </pic:spPr>
                </pic:pic>
              </a:graphicData>
            </a:graphic>
            <wp14:sizeRelH relativeFrom="page">
              <wp14:pctWidth>0</wp14:pctWidth>
            </wp14:sizeRelH>
            <wp14:sizeRelV relativeFrom="page">
              <wp14:pctHeight>0</wp14:pctHeight>
            </wp14:sizeRelV>
          </wp:anchor>
        </w:drawing>
      </w:r>
    </w:p>
    <w:p w:rsidR="00475FD6" w:rsidRPr="0073372B" w:rsidRDefault="00475FD6" w:rsidP="00475FD6">
      <w:pPr>
        <w:pStyle w:val="2"/>
        <w:spacing w:after="0" w:line="360" w:lineRule="auto"/>
        <w:jc w:val="center"/>
        <w:rPr>
          <w:sz w:val="44"/>
          <w:szCs w:val="44"/>
        </w:rPr>
      </w:pPr>
    </w:p>
    <w:p w:rsidR="00475FD6" w:rsidRPr="002E35A1" w:rsidRDefault="00475FD6" w:rsidP="00475FD6">
      <w:pPr>
        <w:pStyle w:val="2"/>
        <w:spacing w:after="0" w:line="360" w:lineRule="auto"/>
        <w:jc w:val="center"/>
        <w:rPr>
          <w:sz w:val="44"/>
          <w:szCs w:val="44"/>
        </w:rPr>
      </w:pPr>
    </w:p>
    <w:p w:rsidR="00475FD6" w:rsidRPr="002E35A1" w:rsidRDefault="00475FD6" w:rsidP="00475FD6">
      <w:pPr>
        <w:pStyle w:val="2"/>
        <w:spacing w:after="0" w:line="360" w:lineRule="auto"/>
        <w:jc w:val="center"/>
        <w:rPr>
          <w:sz w:val="44"/>
          <w:szCs w:val="44"/>
        </w:rPr>
      </w:pPr>
    </w:p>
    <w:p w:rsidR="00475FD6" w:rsidRPr="002E35A1" w:rsidRDefault="00475FD6" w:rsidP="00475FD6">
      <w:pPr>
        <w:pStyle w:val="2"/>
        <w:spacing w:after="0" w:line="360" w:lineRule="auto"/>
        <w:jc w:val="center"/>
        <w:rPr>
          <w:sz w:val="44"/>
          <w:szCs w:val="44"/>
        </w:rPr>
      </w:pPr>
    </w:p>
    <w:p w:rsidR="00475FD6" w:rsidRPr="002E35A1" w:rsidRDefault="00475FD6" w:rsidP="00475FD6">
      <w:pPr>
        <w:pStyle w:val="2"/>
        <w:spacing w:after="0" w:line="360" w:lineRule="auto"/>
        <w:jc w:val="center"/>
        <w:rPr>
          <w:sz w:val="44"/>
          <w:szCs w:val="44"/>
        </w:rPr>
      </w:pPr>
    </w:p>
    <w:p w:rsidR="00475FD6" w:rsidRPr="002E35A1" w:rsidRDefault="00475FD6" w:rsidP="00475FD6">
      <w:pPr>
        <w:pStyle w:val="2"/>
        <w:spacing w:after="0" w:line="360" w:lineRule="auto"/>
        <w:jc w:val="center"/>
        <w:rPr>
          <w:sz w:val="44"/>
          <w:szCs w:val="44"/>
        </w:rPr>
      </w:pPr>
    </w:p>
    <w:p w:rsidR="00475FD6" w:rsidRPr="002E35A1" w:rsidRDefault="00475FD6" w:rsidP="00475FD6">
      <w:pPr>
        <w:pStyle w:val="2"/>
        <w:spacing w:after="0" w:line="360" w:lineRule="auto"/>
        <w:jc w:val="center"/>
        <w:rPr>
          <w:sz w:val="44"/>
          <w:szCs w:val="44"/>
        </w:rPr>
      </w:pPr>
    </w:p>
    <w:p w:rsidR="00475FD6" w:rsidRPr="0073372B" w:rsidRDefault="00475FD6" w:rsidP="00475FD6">
      <w:pPr>
        <w:pStyle w:val="2"/>
        <w:spacing w:after="0" w:line="360" w:lineRule="auto"/>
        <w:jc w:val="center"/>
        <w:rPr>
          <w:sz w:val="44"/>
          <w:szCs w:val="44"/>
        </w:rPr>
      </w:pPr>
      <w:r w:rsidRPr="0073372B">
        <w:rPr>
          <w:sz w:val="44"/>
          <w:szCs w:val="44"/>
        </w:rPr>
        <w:t xml:space="preserve">ЗА ДЕЙНОСТТА НА ОКРЪЖНА ПРОКУРАТУРА </w:t>
      </w:r>
      <w:r>
        <w:rPr>
          <w:sz w:val="44"/>
          <w:szCs w:val="44"/>
        </w:rPr>
        <w:t xml:space="preserve">СЛИВЕН </w:t>
      </w:r>
      <w:r w:rsidRPr="0073372B">
        <w:rPr>
          <w:sz w:val="44"/>
          <w:szCs w:val="44"/>
        </w:rPr>
        <w:t>И РАЙОНН</w:t>
      </w:r>
      <w:r>
        <w:rPr>
          <w:sz w:val="44"/>
          <w:szCs w:val="44"/>
        </w:rPr>
        <w:t xml:space="preserve">А </w:t>
      </w:r>
      <w:r w:rsidRPr="0073372B">
        <w:rPr>
          <w:sz w:val="44"/>
          <w:szCs w:val="44"/>
        </w:rPr>
        <w:t>ПРОКУРАТУР</w:t>
      </w:r>
      <w:r>
        <w:rPr>
          <w:sz w:val="44"/>
          <w:szCs w:val="44"/>
        </w:rPr>
        <w:t>А</w:t>
      </w:r>
      <w:r w:rsidRPr="0073372B">
        <w:rPr>
          <w:sz w:val="44"/>
          <w:szCs w:val="44"/>
        </w:rPr>
        <w:t xml:space="preserve"> </w:t>
      </w:r>
      <w:r>
        <w:rPr>
          <w:sz w:val="44"/>
          <w:szCs w:val="44"/>
        </w:rPr>
        <w:t>СЛИВЕН</w:t>
      </w:r>
    </w:p>
    <w:p w:rsidR="00475FD6" w:rsidRPr="00897630" w:rsidRDefault="00475FD6" w:rsidP="00475FD6">
      <w:pPr>
        <w:spacing w:line="360" w:lineRule="auto"/>
        <w:jc w:val="center"/>
        <w:rPr>
          <w:b/>
          <w:bCs/>
          <w:sz w:val="48"/>
          <w:szCs w:val="48"/>
        </w:rPr>
      </w:pPr>
      <w:r w:rsidRPr="0073372B">
        <w:rPr>
          <w:b/>
          <w:bCs/>
          <w:sz w:val="48"/>
          <w:szCs w:val="48"/>
        </w:rPr>
        <w:t xml:space="preserve">за   2 0 </w:t>
      </w:r>
      <w:r>
        <w:rPr>
          <w:b/>
          <w:bCs/>
          <w:sz w:val="48"/>
          <w:szCs w:val="48"/>
          <w:lang w:val="en-US"/>
        </w:rPr>
        <w:t xml:space="preserve">2 </w:t>
      </w:r>
      <w:r w:rsidR="00EE77FD">
        <w:rPr>
          <w:b/>
          <w:bCs/>
          <w:sz w:val="48"/>
          <w:szCs w:val="48"/>
          <w:lang w:val="en-US"/>
        </w:rPr>
        <w:t>4</w:t>
      </w:r>
      <w:r w:rsidRPr="0073372B">
        <w:rPr>
          <w:b/>
          <w:bCs/>
          <w:sz w:val="48"/>
          <w:szCs w:val="48"/>
        </w:rPr>
        <w:t xml:space="preserve">  г.</w:t>
      </w:r>
    </w:p>
    <w:p w:rsidR="00475FD6" w:rsidRDefault="00475FD6" w:rsidP="009D7E47">
      <w:pPr>
        <w:spacing w:line="360" w:lineRule="exact"/>
        <w:ind w:firstLine="697"/>
        <w:jc w:val="both"/>
        <w:rPr>
          <w:sz w:val="32"/>
          <w:szCs w:val="32"/>
        </w:rPr>
      </w:pPr>
    </w:p>
    <w:p w:rsidR="00786B41" w:rsidRPr="00660595" w:rsidRDefault="00786B41" w:rsidP="00786B41">
      <w:pPr>
        <w:widowControl/>
        <w:autoSpaceDE/>
        <w:autoSpaceDN/>
        <w:adjustRightInd/>
        <w:ind w:firstLine="708"/>
        <w:jc w:val="both"/>
        <w:rPr>
          <w:rFonts w:eastAsiaTheme="minorHAnsi"/>
          <w:sz w:val="28"/>
          <w:szCs w:val="28"/>
          <w:lang w:eastAsia="en-US"/>
        </w:rPr>
      </w:pPr>
      <w:r w:rsidRPr="00660595">
        <w:rPr>
          <w:rFonts w:eastAsiaTheme="minorHAnsi"/>
          <w:sz w:val="28"/>
          <w:szCs w:val="28"/>
          <w:lang w:eastAsia="en-US"/>
        </w:rPr>
        <w:lastRenderedPageBreak/>
        <w:t>Дейността на Окръжна прокуратура - Сливен през 202</w:t>
      </w:r>
      <w:r w:rsidR="00346403">
        <w:rPr>
          <w:rFonts w:eastAsiaTheme="minorHAnsi"/>
          <w:sz w:val="28"/>
          <w:szCs w:val="28"/>
          <w:lang w:val="en-US" w:eastAsia="en-US"/>
        </w:rPr>
        <w:t>4</w:t>
      </w:r>
      <w:r w:rsidRPr="00660595">
        <w:rPr>
          <w:rFonts w:eastAsiaTheme="minorHAnsi"/>
          <w:sz w:val="28"/>
          <w:szCs w:val="28"/>
          <w:lang w:eastAsia="en-US"/>
        </w:rPr>
        <w:t xml:space="preserve"> година бе съобразена с основните задачи, стоящи пред Прокуратурата, свързани с борбата срещу  престъпността и правонарушенията.</w:t>
      </w:r>
    </w:p>
    <w:p w:rsidR="00786B41" w:rsidRPr="00660595" w:rsidRDefault="00786B41" w:rsidP="00786B41">
      <w:pPr>
        <w:widowControl/>
        <w:autoSpaceDE/>
        <w:autoSpaceDN/>
        <w:adjustRightInd/>
        <w:ind w:firstLine="708"/>
        <w:jc w:val="both"/>
        <w:rPr>
          <w:rFonts w:eastAsiaTheme="minorHAnsi"/>
          <w:sz w:val="28"/>
          <w:szCs w:val="28"/>
          <w:lang w:eastAsia="en-US"/>
        </w:rPr>
      </w:pPr>
      <w:r w:rsidRPr="00660595">
        <w:rPr>
          <w:rFonts w:eastAsiaTheme="minorHAnsi"/>
          <w:sz w:val="28"/>
          <w:szCs w:val="28"/>
          <w:lang w:eastAsia="en-US"/>
        </w:rPr>
        <w:t>Основна цел на Окръжна прокуратура Сливен беше укрепване законността в района и подобряване взаимодействието на прокуратурата с териториалните поделения на МВР, разследващите звена и съда.</w:t>
      </w:r>
    </w:p>
    <w:p w:rsidR="00786B41" w:rsidRPr="00786B41" w:rsidRDefault="00786B41" w:rsidP="00786B41">
      <w:pPr>
        <w:widowControl/>
        <w:autoSpaceDE/>
        <w:autoSpaceDN/>
        <w:adjustRightInd/>
        <w:jc w:val="both"/>
        <w:rPr>
          <w:rFonts w:eastAsiaTheme="minorHAnsi"/>
          <w:i/>
          <w:sz w:val="28"/>
          <w:szCs w:val="28"/>
          <w:lang w:eastAsia="en-US"/>
        </w:rPr>
      </w:pPr>
    </w:p>
    <w:p w:rsidR="00265F77" w:rsidRDefault="00265F77" w:rsidP="00265F77">
      <w:pPr>
        <w:widowControl/>
        <w:autoSpaceDE/>
        <w:adjustRightInd/>
        <w:jc w:val="center"/>
        <w:rPr>
          <w:rFonts w:eastAsiaTheme="minorHAnsi"/>
          <w:b/>
          <w:sz w:val="32"/>
          <w:szCs w:val="32"/>
          <w:lang w:eastAsia="en-US"/>
        </w:rPr>
      </w:pPr>
      <w:r>
        <w:rPr>
          <w:rFonts w:eastAsiaTheme="minorHAnsi"/>
          <w:b/>
          <w:sz w:val="32"/>
          <w:szCs w:val="32"/>
          <w:lang w:eastAsia="en-US"/>
        </w:rPr>
        <w:t>РАЗДЕЛ</w:t>
      </w:r>
      <w:r>
        <w:rPr>
          <w:rFonts w:eastAsiaTheme="minorHAnsi"/>
          <w:b/>
          <w:sz w:val="32"/>
          <w:szCs w:val="32"/>
          <w:lang w:val="en-US" w:eastAsia="en-US"/>
        </w:rPr>
        <w:t xml:space="preserve"> </w:t>
      </w:r>
      <w:r>
        <w:rPr>
          <w:rFonts w:eastAsiaTheme="minorHAnsi"/>
          <w:b/>
          <w:sz w:val="32"/>
          <w:szCs w:val="32"/>
          <w:lang w:eastAsia="en-US"/>
        </w:rPr>
        <w:t>I</w:t>
      </w:r>
    </w:p>
    <w:p w:rsidR="00265F77" w:rsidRDefault="00265F77" w:rsidP="00265F77">
      <w:pPr>
        <w:widowControl/>
        <w:autoSpaceDE/>
        <w:adjustRightInd/>
        <w:jc w:val="center"/>
        <w:rPr>
          <w:rFonts w:eastAsiaTheme="minorHAnsi"/>
          <w:b/>
          <w:sz w:val="28"/>
          <w:szCs w:val="28"/>
          <w:lang w:eastAsia="en-US"/>
        </w:rPr>
      </w:pPr>
    </w:p>
    <w:p w:rsidR="00265F77" w:rsidRDefault="00265F77" w:rsidP="00265F77">
      <w:pPr>
        <w:widowControl/>
        <w:autoSpaceDE/>
        <w:adjustRightInd/>
        <w:jc w:val="center"/>
        <w:rPr>
          <w:rFonts w:eastAsiaTheme="minorHAnsi"/>
          <w:b/>
          <w:sz w:val="28"/>
          <w:szCs w:val="28"/>
          <w:lang w:eastAsia="en-US"/>
        </w:rPr>
      </w:pPr>
      <w:bookmarkStart w:id="0" w:name="OLE_LINK10"/>
      <w:r>
        <w:rPr>
          <w:rFonts w:eastAsiaTheme="minorHAnsi"/>
          <w:b/>
          <w:sz w:val="28"/>
          <w:szCs w:val="28"/>
          <w:lang w:eastAsia="en-US"/>
        </w:rPr>
        <w:t>ОБОБЩЕНИ ИЗВОДИ ЗА ДЕЙНОСТТА НА ПРОКУРАТУРАТА И РАЗСЛЕДВАЩИТЕ ОРГАНИ</w:t>
      </w:r>
    </w:p>
    <w:p w:rsidR="00265F77" w:rsidRDefault="00265F77" w:rsidP="00265F77">
      <w:pPr>
        <w:widowControl/>
        <w:autoSpaceDE/>
        <w:adjustRightInd/>
        <w:jc w:val="center"/>
        <w:rPr>
          <w:rFonts w:eastAsiaTheme="minorHAnsi"/>
          <w:b/>
          <w:sz w:val="28"/>
          <w:szCs w:val="28"/>
          <w:lang w:eastAsia="en-US"/>
        </w:rPr>
      </w:pPr>
    </w:p>
    <w:p w:rsidR="00265F77" w:rsidRDefault="00265F77" w:rsidP="00265F77">
      <w:pPr>
        <w:widowControl/>
        <w:autoSpaceDE/>
        <w:adjustRightInd/>
        <w:ind w:firstLine="708"/>
        <w:jc w:val="both"/>
        <w:rPr>
          <w:rFonts w:eastAsiaTheme="minorHAnsi"/>
          <w:sz w:val="28"/>
          <w:szCs w:val="28"/>
          <w:lang w:eastAsia="en-US"/>
        </w:rPr>
      </w:pPr>
      <w:r>
        <w:rPr>
          <w:rFonts w:eastAsiaTheme="minorHAnsi"/>
          <w:sz w:val="28"/>
          <w:szCs w:val="28"/>
          <w:lang w:eastAsia="en-US"/>
        </w:rPr>
        <w:t xml:space="preserve">Сливенският съдебен район обхваща територията на административна област Сливен, с общо население по статистически данни към началото на 2024г.  около 170 051 жители, на територия от 3544 кв.км, представляваща 3,19% от територията на Р България.  Административна област Сливен включва Община Сливен с население 110 972 души, Община Твърдица с население 13 197 души, </w:t>
      </w:r>
      <w:proofErr w:type="spellStart"/>
      <w:r>
        <w:rPr>
          <w:rFonts w:eastAsiaTheme="minorHAnsi"/>
          <w:sz w:val="28"/>
          <w:szCs w:val="28"/>
          <w:lang w:eastAsia="en-US"/>
        </w:rPr>
        <w:t>Oбщина</w:t>
      </w:r>
      <w:proofErr w:type="spellEnd"/>
      <w:r>
        <w:rPr>
          <w:rFonts w:eastAsiaTheme="minorHAnsi"/>
          <w:sz w:val="28"/>
          <w:szCs w:val="28"/>
          <w:lang w:eastAsia="en-US"/>
        </w:rPr>
        <w:t xml:space="preserve"> Нова Загора с население 30 007 души и </w:t>
      </w:r>
      <w:proofErr w:type="spellStart"/>
      <w:r>
        <w:rPr>
          <w:rFonts w:eastAsiaTheme="minorHAnsi"/>
          <w:sz w:val="28"/>
          <w:szCs w:val="28"/>
          <w:lang w:eastAsia="en-US"/>
        </w:rPr>
        <w:t>Oбщина</w:t>
      </w:r>
      <w:proofErr w:type="spellEnd"/>
      <w:r>
        <w:rPr>
          <w:rFonts w:eastAsiaTheme="minorHAnsi"/>
          <w:sz w:val="28"/>
          <w:szCs w:val="28"/>
          <w:lang w:eastAsia="en-US"/>
        </w:rPr>
        <w:t xml:space="preserve"> Котел - 15875 души.</w:t>
      </w:r>
      <w:r>
        <w:rPr>
          <w:rFonts w:eastAsiaTheme="minorHAnsi"/>
          <w:i/>
          <w:sz w:val="28"/>
          <w:szCs w:val="28"/>
          <w:lang w:eastAsia="en-US"/>
        </w:rPr>
        <w:t xml:space="preserve"> </w:t>
      </w:r>
      <w:r>
        <w:rPr>
          <w:rFonts w:eastAsiaTheme="minorHAnsi"/>
          <w:sz w:val="28"/>
          <w:szCs w:val="28"/>
          <w:lang w:eastAsia="en-US"/>
        </w:rPr>
        <w:t>От цялото население на областта приблизително 65% живеят в градовете и 35% живеят в селата. Обособеният на територията на областта съдебен район включва Окръжна прокуратура и Районна прокуратура Сливен с 2 териториални отделения към нея. Към Областна дирекция на МВР-Сливен функционират 4 районни управления.</w:t>
      </w:r>
    </w:p>
    <w:p w:rsidR="00265F77" w:rsidRDefault="00265F77" w:rsidP="00265F77">
      <w:pPr>
        <w:widowControl/>
        <w:autoSpaceDE/>
        <w:adjustRightInd/>
        <w:ind w:firstLine="708"/>
        <w:jc w:val="both"/>
        <w:rPr>
          <w:rFonts w:eastAsiaTheme="minorHAnsi"/>
          <w:i/>
          <w:sz w:val="28"/>
          <w:szCs w:val="28"/>
          <w:lang w:eastAsia="en-US"/>
        </w:rPr>
      </w:pPr>
      <w:r>
        <w:rPr>
          <w:rFonts w:eastAsiaTheme="minorHAnsi"/>
          <w:sz w:val="28"/>
          <w:szCs w:val="28"/>
          <w:lang w:eastAsia="en-US"/>
        </w:rPr>
        <w:t xml:space="preserve">Състоянието на престъпността в област Сливен и през 2024 година е естествено отражение на общото състояние на престъпността в страната, както и на спецификите в териториално-географското разположение, в демографското, социалното, икономическото състояние и заетостта на човешките ресурси. Специфичните за района рискови фактори, оказващи влияние на тенденциите на престъпността в областта продължават да са ниското образователно ниво и липса на квалификация на голяма част от населението, високата безработица, наличие на концентрирани малцинствени групи в няколко населени места.   Както през предходните години, така и през 2024г., традиционната престъпност – престъпленията против собствеността и </w:t>
      </w:r>
      <w:proofErr w:type="spellStart"/>
      <w:r>
        <w:rPr>
          <w:rFonts w:eastAsiaTheme="minorHAnsi"/>
          <w:sz w:val="28"/>
          <w:szCs w:val="28"/>
          <w:lang w:eastAsia="en-US"/>
        </w:rPr>
        <w:t>общоопасните</w:t>
      </w:r>
      <w:proofErr w:type="spellEnd"/>
      <w:r>
        <w:rPr>
          <w:rFonts w:eastAsiaTheme="minorHAnsi"/>
          <w:sz w:val="28"/>
          <w:szCs w:val="28"/>
          <w:lang w:eastAsia="en-US"/>
        </w:rPr>
        <w:t xml:space="preserve"> престъпления, тясно свързани с горепосочените фактори, запазват значителен дял в общата статистика на престъпността.</w:t>
      </w:r>
    </w:p>
    <w:p w:rsidR="00265F77" w:rsidRDefault="00265F77" w:rsidP="00265F77">
      <w:pPr>
        <w:widowControl/>
        <w:autoSpaceDE/>
        <w:adjustRightInd/>
        <w:ind w:firstLine="708"/>
        <w:jc w:val="both"/>
        <w:rPr>
          <w:rFonts w:eastAsiaTheme="minorHAnsi"/>
          <w:sz w:val="28"/>
          <w:szCs w:val="28"/>
          <w:lang w:eastAsia="en-US"/>
        </w:rPr>
      </w:pPr>
      <w:r>
        <w:rPr>
          <w:rFonts w:eastAsiaTheme="minorHAnsi"/>
          <w:sz w:val="28"/>
          <w:szCs w:val="28"/>
          <w:lang w:eastAsia="en-US"/>
        </w:rPr>
        <w:t>Наред с намаляване на населението, през отчетният период се наблюдава и сериозно намаляване на нивото на регистрираната престъпност в региона с 8,55% и намаляване на наблюдаваните досъдебни производства в прокуратурите.</w:t>
      </w:r>
    </w:p>
    <w:p w:rsidR="00265F77" w:rsidRDefault="00265F77" w:rsidP="00265F77">
      <w:pPr>
        <w:widowControl/>
        <w:autoSpaceDE/>
        <w:adjustRightInd/>
        <w:ind w:firstLine="708"/>
        <w:jc w:val="both"/>
        <w:rPr>
          <w:rFonts w:eastAsiaTheme="minorHAnsi"/>
          <w:sz w:val="28"/>
          <w:szCs w:val="28"/>
          <w:lang w:eastAsia="en-US"/>
        </w:rPr>
      </w:pPr>
      <w:r>
        <w:rPr>
          <w:rFonts w:eastAsiaTheme="minorHAnsi"/>
          <w:sz w:val="28"/>
          <w:szCs w:val="28"/>
          <w:lang w:eastAsia="en-US"/>
        </w:rPr>
        <w:t>През 202</w:t>
      </w:r>
      <w:r>
        <w:rPr>
          <w:rFonts w:eastAsiaTheme="minorHAnsi"/>
          <w:sz w:val="28"/>
          <w:szCs w:val="28"/>
          <w:lang w:val="en-US" w:eastAsia="en-US"/>
        </w:rPr>
        <w:t>4</w:t>
      </w:r>
      <w:r>
        <w:rPr>
          <w:rFonts w:eastAsiaTheme="minorHAnsi"/>
          <w:sz w:val="28"/>
          <w:szCs w:val="28"/>
          <w:lang w:eastAsia="en-US"/>
        </w:rPr>
        <w:t xml:space="preserve">г. прокурорите от системата на Окръжна прокуратура - Сливен са наблюдавали общо </w:t>
      </w:r>
      <w:r>
        <w:rPr>
          <w:rFonts w:eastAsiaTheme="minorHAnsi"/>
          <w:sz w:val="28"/>
          <w:szCs w:val="28"/>
          <w:lang w:val="en-US" w:eastAsia="en-US"/>
        </w:rPr>
        <w:t xml:space="preserve">3949 </w:t>
      </w:r>
      <w:r>
        <w:rPr>
          <w:rFonts w:eastAsiaTheme="minorHAnsi"/>
          <w:sz w:val="28"/>
          <w:szCs w:val="28"/>
          <w:lang w:eastAsia="en-US"/>
        </w:rPr>
        <w:t xml:space="preserve">досъдебни производства или с 11,08% </w:t>
      </w:r>
      <w:r>
        <w:rPr>
          <w:rFonts w:eastAsiaTheme="minorHAnsi"/>
          <w:sz w:val="28"/>
          <w:szCs w:val="28"/>
          <w:lang w:eastAsia="en-US"/>
        </w:rPr>
        <w:lastRenderedPageBreak/>
        <w:t>по-малко от 202</w:t>
      </w:r>
      <w:r>
        <w:rPr>
          <w:rFonts w:eastAsiaTheme="minorHAnsi"/>
          <w:sz w:val="28"/>
          <w:szCs w:val="28"/>
          <w:lang w:val="en-US" w:eastAsia="en-US"/>
        </w:rPr>
        <w:t>3</w:t>
      </w:r>
      <w:r>
        <w:rPr>
          <w:rFonts w:eastAsiaTheme="minorHAnsi"/>
          <w:sz w:val="28"/>
          <w:szCs w:val="28"/>
          <w:lang w:eastAsia="en-US"/>
        </w:rPr>
        <w:t xml:space="preserve">г., когато са били наблюдавани </w:t>
      </w:r>
      <w:r>
        <w:rPr>
          <w:rFonts w:eastAsiaTheme="minorHAnsi"/>
          <w:sz w:val="28"/>
          <w:szCs w:val="28"/>
          <w:lang w:val="en-US" w:eastAsia="en-US"/>
        </w:rPr>
        <w:t>4441</w:t>
      </w:r>
      <w:r>
        <w:rPr>
          <w:rFonts w:eastAsiaTheme="minorHAnsi"/>
          <w:sz w:val="28"/>
          <w:szCs w:val="28"/>
          <w:lang w:eastAsia="en-US"/>
        </w:rPr>
        <w:t xml:space="preserve"> досъдебни производства. Намалението е още по-голямо спрямо 2022г. -  20,88%, когато са били наблюдавани 4991 досъдебни производства. От наблюдаваните производства, новообразувани през отчетния период са общо 2170 досъдебни производства. Налице е намаление и на новообразуваните досъдебни производства в сравнение с предходните две години: през 2023г. техният брой е възлизал на 2332, а през 2022г. - 2289 бр. В процентно съотношение намалението е с 6,95% спрямо 2023 г., а  спрямо 2022 г. е с 5,2%.</w:t>
      </w:r>
    </w:p>
    <w:p w:rsidR="00265F77" w:rsidRDefault="00265F77" w:rsidP="00265F77">
      <w:pPr>
        <w:widowControl/>
        <w:autoSpaceDE/>
        <w:adjustRightInd/>
        <w:ind w:firstLine="708"/>
        <w:jc w:val="both"/>
        <w:rPr>
          <w:rFonts w:eastAsiaTheme="minorHAnsi"/>
          <w:i/>
          <w:sz w:val="28"/>
          <w:szCs w:val="28"/>
          <w:lang w:eastAsia="en-US"/>
        </w:rPr>
      </w:pPr>
      <w:r>
        <w:rPr>
          <w:rFonts w:eastAsiaTheme="minorHAnsi"/>
          <w:sz w:val="28"/>
          <w:szCs w:val="28"/>
          <w:lang w:eastAsia="en-US"/>
        </w:rPr>
        <w:t>През 2024г. са приключени общо 2295 досъдебни производства, при 2333 за 2023г. и 2454 за 2022г., което показва намаление в броя на приключените досъдебни производства с 1,63% спрямо 2023 г. и с 6,48% спрямо 2022г.</w:t>
      </w:r>
    </w:p>
    <w:p w:rsidR="00265F77" w:rsidRDefault="00265F77" w:rsidP="00265F77">
      <w:pPr>
        <w:widowControl/>
        <w:autoSpaceDE/>
        <w:adjustRightInd/>
        <w:ind w:firstLine="708"/>
        <w:jc w:val="both"/>
        <w:rPr>
          <w:rFonts w:eastAsiaTheme="minorHAnsi"/>
          <w:i/>
          <w:sz w:val="28"/>
          <w:szCs w:val="28"/>
          <w:lang w:eastAsia="en-US"/>
        </w:rPr>
      </w:pPr>
      <w:r>
        <w:rPr>
          <w:rFonts w:eastAsiaTheme="minorHAnsi"/>
          <w:sz w:val="28"/>
          <w:szCs w:val="28"/>
          <w:lang w:eastAsia="en-US"/>
        </w:rPr>
        <w:t>През 2024г. в съда са внесени 947 прокурорски акта, при 1020 внесени акта в съда за 2023г. и 1001 акта за 2022 г. Налице е намаление на броя на внесените в съда прокурорски актове през отчетния период спрямо 2023 г.  с</w:t>
      </w:r>
      <w:r w:rsidR="0084763F">
        <w:rPr>
          <w:rFonts w:eastAsiaTheme="minorHAnsi"/>
          <w:sz w:val="28"/>
          <w:szCs w:val="28"/>
          <w:lang w:eastAsia="en-US"/>
        </w:rPr>
        <w:t>ъс</w:t>
      </w:r>
      <w:r>
        <w:rPr>
          <w:rFonts w:eastAsiaTheme="minorHAnsi"/>
          <w:sz w:val="28"/>
          <w:szCs w:val="28"/>
          <w:lang w:eastAsia="en-US"/>
        </w:rPr>
        <w:t xml:space="preserve"> 7,16%, а в сравнение с 2022г. - с 5,</w:t>
      </w:r>
      <w:r>
        <w:rPr>
          <w:rFonts w:eastAsiaTheme="minorHAnsi"/>
          <w:sz w:val="28"/>
          <w:szCs w:val="28"/>
          <w:lang w:val="en-US" w:eastAsia="en-US"/>
        </w:rPr>
        <w:t>3</w:t>
      </w:r>
      <w:r>
        <w:rPr>
          <w:rFonts w:eastAsiaTheme="minorHAnsi"/>
          <w:sz w:val="28"/>
          <w:szCs w:val="28"/>
          <w:lang w:eastAsia="en-US"/>
        </w:rPr>
        <w:t>9%.</w:t>
      </w:r>
      <w:r>
        <w:rPr>
          <w:rFonts w:eastAsiaTheme="minorHAnsi"/>
          <w:i/>
          <w:sz w:val="28"/>
          <w:szCs w:val="28"/>
          <w:lang w:eastAsia="en-US"/>
        </w:rPr>
        <w:t xml:space="preserve"> </w:t>
      </w:r>
    </w:p>
    <w:p w:rsidR="00265F77" w:rsidRDefault="00265F77" w:rsidP="00265F77">
      <w:pPr>
        <w:widowControl/>
        <w:autoSpaceDE/>
        <w:adjustRightInd/>
        <w:ind w:firstLine="708"/>
        <w:jc w:val="both"/>
        <w:rPr>
          <w:rFonts w:eastAsiaTheme="minorHAnsi"/>
          <w:sz w:val="28"/>
          <w:szCs w:val="28"/>
          <w:lang w:eastAsia="en-US"/>
        </w:rPr>
      </w:pPr>
      <w:r>
        <w:rPr>
          <w:rFonts w:eastAsiaTheme="minorHAnsi"/>
          <w:sz w:val="28"/>
          <w:szCs w:val="28"/>
          <w:lang w:eastAsia="en-US"/>
        </w:rPr>
        <w:t xml:space="preserve">Общо решените от съда дела през отчетния период са 1053 бр. (при 1072 за 2023г. и 1114 за 2022г.). Забелязва се намаление на броя на решените от съда дела спрямо предходната 2023 година с 1,77%, а спрямо  2022г. намалението е с 5,47%. </w:t>
      </w:r>
    </w:p>
    <w:p w:rsidR="00265F77" w:rsidRDefault="00265F77" w:rsidP="00265F77">
      <w:pPr>
        <w:widowControl/>
        <w:autoSpaceDE/>
        <w:adjustRightInd/>
        <w:ind w:firstLine="708"/>
        <w:jc w:val="both"/>
        <w:rPr>
          <w:rFonts w:eastAsiaTheme="minorHAnsi"/>
          <w:sz w:val="28"/>
          <w:szCs w:val="28"/>
          <w:lang w:eastAsia="en-US"/>
        </w:rPr>
      </w:pPr>
      <w:r>
        <w:rPr>
          <w:rFonts w:eastAsiaTheme="minorHAnsi"/>
          <w:sz w:val="28"/>
          <w:szCs w:val="28"/>
          <w:lang w:eastAsia="en-US"/>
        </w:rPr>
        <w:t>През 2024г. относителният дял на внесените в съда досъдебни производства - 947 бр., спрямо наблюдаваните 3949 ДП е 23,98%. През предходната  2023 година процентното съотношение по този показател е 22,92%, а през 2022г. е било 19,98%. Тези резултати свидетелстват за трайна тенденция на повишаване на ефективността на прокуратурите от сливенския съдебен район.</w:t>
      </w:r>
    </w:p>
    <w:p w:rsidR="00265F77" w:rsidRDefault="00265F77" w:rsidP="00265F77">
      <w:pPr>
        <w:widowControl/>
        <w:autoSpaceDE/>
        <w:adjustRightInd/>
        <w:ind w:firstLine="708"/>
        <w:jc w:val="both"/>
        <w:rPr>
          <w:rFonts w:eastAsiaTheme="minorHAnsi"/>
          <w:i/>
          <w:sz w:val="28"/>
          <w:szCs w:val="28"/>
          <w:lang w:eastAsia="en-US"/>
        </w:rPr>
      </w:pPr>
      <w:r>
        <w:rPr>
          <w:rFonts w:eastAsiaTheme="minorHAnsi"/>
          <w:sz w:val="28"/>
          <w:szCs w:val="28"/>
          <w:lang w:eastAsia="en-US"/>
        </w:rPr>
        <w:t>По данни на ОД на МВР – Сливен през 2024 г. в областта са били регистрирани 2011 престъпления, като се отчита намаление на броя им с 8,55%, спрямо 2023 г., когато техният брой е бил 2199 и намаление</w:t>
      </w:r>
      <w:r>
        <w:rPr>
          <w:rFonts w:eastAsiaTheme="minorHAnsi"/>
          <w:sz w:val="28"/>
          <w:szCs w:val="28"/>
          <w:lang w:val="en-US" w:eastAsia="en-US"/>
        </w:rPr>
        <w:t xml:space="preserve"> </w:t>
      </w:r>
      <w:r>
        <w:rPr>
          <w:rFonts w:eastAsiaTheme="minorHAnsi"/>
          <w:sz w:val="28"/>
          <w:szCs w:val="28"/>
          <w:lang w:eastAsia="en-US"/>
        </w:rPr>
        <w:t>с 11,84%  спрямо 2022г., когато техният брой е бил 2281. От регистрираните 2011 престъпления</w:t>
      </w:r>
      <w:r>
        <w:rPr>
          <w:rFonts w:eastAsiaTheme="minorHAnsi"/>
          <w:sz w:val="28"/>
          <w:szCs w:val="28"/>
          <w:lang w:val="en-US" w:eastAsia="en-US"/>
        </w:rPr>
        <w:t xml:space="preserve">, </w:t>
      </w:r>
      <w:r>
        <w:rPr>
          <w:rFonts w:eastAsiaTheme="minorHAnsi"/>
          <w:sz w:val="28"/>
          <w:szCs w:val="28"/>
          <w:lang w:eastAsia="en-US"/>
        </w:rPr>
        <w:t>1794 са криминални и 217 – икономически.</w:t>
      </w:r>
      <w:r>
        <w:rPr>
          <w:rFonts w:eastAsiaTheme="minorHAnsi"/>
          <w:i/>
          <w:sz w:val="28"/>
          <w:szCs w:val="28"/>
          <w:lang w:eastAsia="en-US"/>
        </w:rPr>
        <w:t xml:space="preserve"> </w:t>
      </w:r>
    </w:p>
    <w:p w:rsidR="00265F77" w:rsidRDefault="00265F77" w:rsidP="00265F77">
      <w:pPr>
        <w:widowControl/>
        <w:autoSpaceDE/>
        <w:adjustRightInd/>
        <w:ind w:firstLine="708"/>
        <w:jc w:val="both"/>
        <w:rPr>
          <w:rFonts w:eastAsiaTheme="minorHAnsi"/>
          <w:i/>
          <w:sz w:val="28"/>
          <w:szCs w:val="28"/>
          <w:lang w:eastAsia="en-US"/>
        </w:rPr>
      </w:pPr>
      <w:r>
        <w:rPr>
          <w:rFonts w:eastAsiaTheme="minorHAnsi"/>
          <w:sz w:val="28"/>
          <w:szCs w:val="28"/>
          <w:lang w:eastAsia="en-US"/>
        </w:rPr>
        <w:t xml:space="preserve">През 2024г. </w:t>
      </w:r>
      <w:proofErr w:type="spellStart"/>
      <w:r>
        <w:rPr>
          <w:rFonts w:eastAsiaTheme="minorHAnsi"/>
          <w:sz w:val="28"/>
          <w:szCs w:val="28"/>
          <w:lang w:eastAsia="en-US"/>
        </w:rPr>
        <w:t>разкриваемостта</w:t>
      </w:r>
      <w:proofErr w:type="spellEnd"/>
      <w:r>
        <w:rPr>
          <w:rFonts w:eastAsiaTheme="minorHAnsi"/>
          <w:sz w:val="28"/>
          <w:szCs w:val="28"/>
          <w:lang w:eastAsia="en-US"/>
        </w:rPr>
        <w:t xml:space="preserve">, отчетена от ОД на МВР – Сливен за цялата област при криминалните престъпления е 58,58%. За сравнение през 2023 г. е 61,59%, а за 2022 г. - 54,94%. През 2024 г. са били регистрирани 217 икономически престъпления. </w:t>
      </w:r>
      <w:proofErr w:type="spellStart"/>
      <w:r>
        <w:rPr>
          <w:rFonts w:eastAsiaTheme="minorHAnsi"/>
          <w:sz w:val="28"/>
          <w:szCs w:val="28"/>
          <w:lang w:eastAsia="en-US"/>
        </w:rPr>
        <w:t>Разкриваемостта</w:t>
      </w:r>
      <w:proofErr w:type="spellEnd"/>
      <w:r>
        <w:rPr>
          <w:rFonts w:eastAsiaTheme="minorHAnsi"/>
          <w:sz w:val="28"/>
          <w:szCs w:val="28"/>
          <w:lang w:eastAsia="en-US"/>
        </w:rPr>
        <w:t xml:space="preserve"> по това направление е 57,14%, при 51,36% за 2023 г. и 41,26% за 2022г.</w:t>
      </w:r>
      <w:r>
        <w:rPr>
          <w:rFonts w:eastAsiaTheme="minorHAnsi"/>
          <w:i/>
          <w:sz w:val="28"/>
          <w:szCs w:val="28"/>
          <w:lang w:eastAsia="en-US"/>
        </w:rPr>
        <w:t xml:space="preserve"> </w:t>
      </w:r>
    </w:p>
    <w:p w:rsidR="00265F77" w:rsidRDefault="00265F77" w:rsidP="00265F77">
      <w:pPr>
        <w:widowControl/>
        <w:autoSpaceDE/>
        <w:adjustRightInd/>
        <w:ind w:firstLine="708"/>
        <w:jc w:val="both"/>
        <w:rPr>
          <w:rFonts w:eastAsiaTheme="minorHAnsi"/>
          <w:sz w:val="28"/>
          <w:szCs w:val="28"/>
          <w:lang w:eastAsia="en-US"/>
        </w:rPr>
      </w:pPr>
      <w:r>
        <w:rPr>
          <w:rFonts w:eastAsiaTheme="minorHAnsi"/>
          <w:sz w:val="28"/>
          <w:szCs w:val="28"/>
          <w:lang w:eastAsia="en-US"/>
        </w:rPr>
        <w:t xml:space="preserve">Средният процент на </w:t>
      </w:r>
      <w:proofErr w:type="spellStart"/>
      <w:r>
        <w:rPr>
          <w:rFonts w:eastAsiaTheme="minorHAnsi"/>
          <w:sz w:val="28"/>
          <w:szCs w:val="28"/>
          <w:lang w:eastAsia="en-US"/>
        </w:rPr>
        <w:t>разкриваемост</w:t>
      </w:r>
      <w:proofErr w:type="spellEnd"/>
      <w:r>
        <w:rPr>
          <w:rFonts w:eastAsiaTheme="minorHAnsi"/>
          <w:sz w:val="28"/>
          <w:szCs w:val="28"/>
          <w:lang w:eastAsia="en-US"/>
        </w:rPr>
        <w:t xml:space="preserve"> общо за  криминалните и икономически престъпления, отчетен в ОД на МВР Сливен е 58,43%, при 50,97% за 2023г. и 53,17% за 2022 година.</w:t>
      </w:r>
    </w:p>
    <w:p w:rsidR="00265F77" w:rsidRDefault="00265F77" w:rsidP="00265F77">
      <w:pPr>
        <w:widowControl/>
        <w:autoSpaceDE/>
        <w:adjustRightInd/>
        <w:ind w:firstLine="708"/>
        <w:jc w:val="both"/>
        <w:rPr>
          <w:rFonts w:eastAsiaTheme="minorHAnsi"/>
          <w:sz w:val="28"/>
          <w:szCs w:val="28"/>
          <w:lang w:eastAsia="en-US"/>
        </w:rPr>
      </w:pPr>
      <w:r>
        <w:rPr>
          <w:rFonts w:eastAsiaTheme="minorHAnsi"/>
          <w:sz w:val="28"/>
          <w:szCs w:val="28"/>
          <w:lang w:eastAsia="en-US"/>
        </w:rPr>
        <w:t xml:space="preserve">Най-голям дял от регистрираните криминални престъпления заемат тези срещу собствеността. На второ място, като дял от регистрираните престъпления са </w:t>
      </w:r>
      <w:proofErr w:type="spellStart"/>
      <w:r>
        <w:rPr>
          <w:rFonts w:eastAsiaTheme="minorHAnsi"/>
          <w:sz w:val="28"/>
          <w:szCs w:val="28"/>
          <w:lang w:eastAsia="en-US"/>
        </w:rPr>
        <w:t>общоопасните</w:t>
      </w:r>
      <w:proofErr w:type="spellEnd"/>
      <w:r>
        <w:rPr>
          <w:rFonts w:eastAsiaTheme="minorHAnsi"/>
          <w:sz w:val="28"/>
          <w:szCs w:val="28"/>
          <w:lang w:eastAsia="en-US"/>
        </w:rPr>
        <w:t xml:space="preserve"> престъпления, следвани от престъпленията </w:t>
      </w:r>
      <w:r>
        <w:rPr>
          <w:rFonts w:eastAsiaTheme="minorHAnsi"/>
          <w:sz w:val="28"/>
          <w:szCs w:val="28"/>
          <w:lang w:eastAsia="en-US"/>
        </w:rPr>
        <w:lastRenderedPageBreak/>
        <w:t>против личността. От регистрираните през 2024г. 217 икономически престъпления, с най-голям дял са тези против стопанството. На второ място са документните престъпления, а на трето – престъпления против интелектуалната собственост.</w:t>
      </w:r>
    </w:p>
    <w:p w:rsidR="00265F77" w:rsidRDefault="00265F77" w:rsidP="00265F77">
      <w:pPr>
        <w:widowControl/>
        <w:autoSpaceDE/>
        <w:adjustRightInd/>
        <w:ind w:firstLine="708"/>
        <w:jc w:val="both"/>
        <w:rPr>
          <w:rFonts w:eastAsiaTheme="minorHAnsi"/>
          <w:sz w:val="28"/>
          <w:szCs w:val="28"/>
          <w:lang w:eastAsia="en-US"/>
        </w:rPr>
      </w:pPr>
      <w:r>
        <w:rPr>
          <w:rFonts w:eastAsiaTheme="minorHAnsi"/>
          <w:sz w:val="28"/>
          <w:szCs w:val="28"/>
          <w:lang w:eastAsia="en-US"/>
        </w:rPr>
        <w:t>През отчетния период, както и през предходните години, от страна на ръководствата на Окръжна прокуратура и Районна прокуратура – Сливен, с цел  подобряване ефективността на дейността по противодействие на престъпността в съдебния район и на тази по разкриване и доказване на престъпленията, са полагани усилия за поддържане на тясно  взаимодействие между прокуратурата, следствените органи и оперативните служби на МВР и ДАНС, чрез провеждане на периодични работни срещи, с цел обмен на информация и набелязване на задачи, които биха довели до постигането на по-добри резултати при провеждане на разследванията по досъдебните производства и особено по тези със значим обществен интерес. На изключително високо ниво е поддържано и взаимодействието между прокурорите от съдебния район и  разследващите органи, с цел  оказване на методическа помощ  и подобряване на ефективността на разследванията по досъдебните производства, разкриване на извършителите на престъпления, привличането им към наказателна отговорност, вземането по отношение на същите на адекватни мерки за неотклонение и своевременното им предаване на съд.</w:t>
      </w:r>
    </w:p>
    <w:bookmarkEnd w:id="0"/>
    <w:p w:rsidR="00265F77" w:rsidRPr="00B04644" w:rsidRDefault="00265F77" w:rsidP="00AA6C9E">
      <w:pPr>
        <w:spacing w:line="340" w:lineRule="exact"/>
        <w:ind w:firstLine="709"/>
        <w:jc w:val="both"/>
        <w:rPr>
          <w:b/>
          <w:sz w:val="28"/>
          <w:szCs w:val="28"/>
        </w:rPr>
      </w:pPr>
    </w:p>
    <w:p w:rsidR="00F97AFD" w:rsidRDefault="00F97AFD" w:rsidP="00D02DF1">
      <w:pPr>
        <w:spacing w:after="120" w:line="340" w:lineRule="exact"/>
        <w:ind w:left="720"/>
        <w:jc w:val="center"/>
        <w:rPr>
          <w:b/>
          <w:sz w:val="32"/>
          <w:szCs w:val="32"/>
          <w:lang w:val="en-US"/>
        </w:rPr>
      </w:pPr>
      <w:bookmarkStart w:id="1" w:name="OLE_LINK9"/>
      <w:bookmarkStart w:id="2" w:name="OLE_LINK11"/>
    </w:p>
    <w:p w:rsidR="00D02DF1" w:rsidRDefault="00D02DF1" w:rsidP="00D02DF1">
      <w:pPr>
        <w:spacing w:after="120" w:line="340" w:lineRule="exact"/>
        <w:ind w:left="720"/>
        <w:jc w:val="center"/>
        <w:rPr>
          <w:b/>
          <w:sz w:val="32"/>
          <w:szCs w:val="32"/>
          <w:lang w:val="be-BY"/>
        </w:rPr>
      </w:pPr>
      <w:r w:rsidRPr="00265F77">
        <w:rPr>
          <w:b/>
          <w:sz w:val="32"/>
          <w:szCs w:val="32"/>
          <w:lang w:val="be-BY"/>
        </w:rPr>
        <w:t xml:space="preserve">РАЗДЕЛ </w:t>
      </w:r>
      <w:r w:rsidRPr="00265F77">
        <w:rPr>
          <w:b/>
          <w:sz w:val="32"/>
          <w:szCs w:val="32"/>
          <w:lang w:val="en-US"/>
        </w:rPr>
        <w:t>II</w:t>
      </w:r>
    </w:p>
    <w:p w:rsidR="00D02DF1" w:rsidRDefault="00D02DF1" w:rsidP="00D02DF1">
      <w:pPr>
        <w:spacing w:after="120" w:line="340" w:lineRule="exact"/>
        <w:ind w:left="720"/>
        <w:jc w:val="center"/>
        <w:rPr>
          <w:b/>
          <w:sz w:val="28"/>
          <w:szCs w:val="28"/>
          <w:lang w:val="be-BY"/>
        </w:rPr>
      </w:pPr>
      <w:r>
        <w:rPr>
          <w:b/>
          <w:sz w:val="28"/>
          <w:szCs w:val="28"/>
          <w:lang w:val="be-BY"/>
        </w:rPr>
        <w:t>І. ДОСЪДЕБНА ФАЗА</w:t>
      </w:r>
    </w:p>
    <w:p w:rsidR="00D02DF1" w:rsidRDefault="00D02DF1" w:rsidP="00D02DF1">
      <w:pPr>
        <w:spacing w:after="120" w:line="340" w:lineRule="exact"/>
        <w:ind w:left="720"/>
        <w:jc w:val="both"/>
        <w:rPr>
          <w:sz w:val="28"/>
          <w:szCs w:val="28"/>
        </w:rPr>
      </w:pPr>
      <w:r>
        <w:rPr>
          <w:b/>
          <w:sz w:val="28"/>
          <w:szCs w:val="28"/>
        </w:rPr>
        <w:t>1. Преписки</w:t>
      </w:r>
      <w:r w:rsidR="0084763F">
        <w:rPr>
          <w:b/>
          <w:sz w:val="28"/>
          <w:szCs w:val="28"/>
        </w:rPr>
        <w:t xml:space="preserve">. Проверки по чл.145 от ЗСВ – </w:t>
      </w:r>
      <w:proofErr w:type="spellStart"/>
      <w:r w:rsidR="0084763F">
        <w:rPr>
          <w:b/>
          <w:sz w:val="28"/>
          <w:szCs w:val="28"/>
        </w:rPr>
        <w:t>срочност</w:t>
      </w:r>
      <w:proofErr w:type="spellEnd"/>
      <w:r w:rsidR="0084763F">
        <w:rPr>
          <w:b/>
          <w:sz w:val="28"/>
          <w:szCs w:val="28"/>
        </w:rPr>
        <w:t>, резултати, мерки.</w:t>
      </w:r>
      <w:r>
        <w:rPr>
          <w:sz w:val="28"/>
          <w:szCs w:val="28"/>
        </w:rPr>
        <w:t xml:space="preserve"> </w:t>
      </w:r>
    </w:p>
    <w:p w:rsidR="00D02DF1" w:rsidRDefault="00D02DF1" w:rsidP="00D02DF1">
      <w:pPr>
        <w:ind w:firstLine="851"/>
        <w:jc w:val="both"/>
        <w:rPr>
          <w:sz w:val="28"/>
          <w:szCs w:val="28"/>
        </w:rPr>
      </w:pPr>
      <w:r>
        <w:rPr>
          <w:sz w:val="28"/>
          <w:szCs w:val="28"/>
        </w:rPr>
        <w:t>През 2024</w:t>
      </w:r>
      <w:r>
        <w:rPr>
          <w:sz w:val="28"/>
          <w:szCs w:val="28"/>
          <w:lang w:val="be-BY"/>
        </w:rPr>
        <w:t xml:space="preserve"> </w:t>
      </w:r>
      <w:r>
        <w:rPr>
          <w:sz w:val="28"/>
          <w:szCs w:val="28"/>
        </w:rPr>
        <w:t>г. прокурорите от системата на Окръжна прокуратура - Сливен са работили общо по 5550</w:t>
      </w:r>
      <w:r>
        <w:rPr>
          <w:sz w:val="28"/>
          <w:szCs w:val="28"/>
          <w:lang w:val="en-US"/>
        </w:rPr>
        <w:t xml:space="preserve"> </w:t>
      </w:r>
      <w:r>
        <w:rPr>
          <w:sz w:val="28"/>
          <w:szCs w:val="28"/>
        </w:rPr>
        <w:t xml:space="preserve">преписки, </w:t>
      </w:r>
      <w:r>
        <w:rPr>
          <w:sz w:val="28"/>
          <w:szCs w:val="28"/>
          <w:lang w:val="be-BY"/>
        </w:rPr>
        <w:t>от които</w:t>
      </w:r>
      <w:r>
        <w:rPr>
          <w:sz w:val="28"/>
          <w:szCs w:val="28"/>
        </w:rPr>
        <w:t xml:space="preserve"> новообразуваните преписки са 4989 бр.</w:t>
      </w:r>
      <w:r>
        <w:rPr>
          <w:sz w:val="28"/>
          <w:szCs w:val="28"/>
          <w:lang w:val="en-US"/>
        </w:rPr>
        <w:t xml:space="preserve"> </w:t>
      </w:r>
    </w:p>
    <w:p w:rsidR="00D02DF1" w:rsidRDefault="00D02DF1" w:rsidP="00D02DF1">
      <w:pPr>
        <w:spacing w:line="360" w:lineRule="exact"/>
        <w:ind w:firstLine="851"/>
        <w:jc w:val="both"/>
        <w:rPr>
          <w:sz w:val="28"/>
          <w:szCs w:val="28"/>
          <w:lang w:val="be-BY"/>
        </w:rPr>
      </w:pPr>
      <w:r>
        <w:rPr>
          <w:sz w:val="28"/>
          <w:szCs w:val="28"/>
          <w:lang w:val="be-BY"/>
        </w:rPr>
        <w:t>Налице е приблизителен паритет на наблюдаваните преписки спрямо 2023 година и</w:t>
      </w:r>
      <w:r>
        <w:rPr>
          <w:sz w:val="28"/>
          <w:szCs w:val="28"/>
        </w:rPr>
        <w:t xml:space="preserve"> за 2022 год. За сравнение –</w:t>
      </w:r>
      <w:r>
        <w:rPr>
          <w:sz w:val="28"/>
          <w:szCs w:val="28"/>
          <w:lang w:val="en-US"/>
        </w:rPr>
        <w:t xml:space="preserve"> </w:t>
      </w:r>
      <w:r>
        <w:rPr>
          <w:sz w:val="28"/>
          <w:szCs w:val="28"/>
        </w:rPr>
        <w:t>през 2023 год. прокурорите са работили по 5586 преписки, от които новообразувани 4999, а през 2022 г. прокурорите са работили по 5526 преписки, от които новообразувани 4985</w:t>
      </w:r>
      <w:r w:rsidR="00A7110D">
        <w:rPr>
          <w:sz w:val="28"/>
          <w:szCs w:val="28"/>
        </w:rPr>
        <w:t>бр</w:t>
      </w:r>
      <w:r>
        <w:rPr>
          <w:sz w:val="28"/>
          <w:szCs w:val="28"/>
          <w:lang w:val="be-BY"/>
        </w:rPr>
        <w:t xml:space="preserve">. </w:t>
      </w:r>
    </w:p>
    <w:p w:rsidR="00D02DF1" w:rsidRDefault="00D02DF1" w:rsidP="00D02DF1">
      <w:pPr>
        <w:spacing w:line="360" w:lineRule="exact"/>
        <w:ind w:firstLine="851"/>
        <w:jc w:val="both"/>
        <w:rPr>
          <w:sz w:val="28"/>
          <w:szCs w:val="28"/>
          <w:lang w:val="be-BY"/>
        </w:rPr>
      </w:pPr>
      <w:r>
        <w:rPr>
          <w:sz w:val="28"/>
          <w:szCs w:val="28"/>
          <w:lang w:val="be-BY"/>
        </w:rPr>
        <w:t xml:space="preserve">Намалението в проценти при общия брой преписки спрямо 2023 г. </w:t>
      </w:r>
      <w:r w:rsidR="007F6618">
        <w:rPr>
          <w:sz w:val="28"/>
          <w:szCs w:val="28"/>
          <w:lang w:val="be-BY"/>
        </w:rPr>
        <w:t>е с 0,64%, а спрямо 2022 г. се отчита увеличение</w:t>
      </w:r>
      <w:r>
        <w:rPr>
          <w:sz w:val="28"/>
          <w:szCs w:val="28"/>
          <w:lang w:val="be-BY"/>
        </w:rPr>
        <w:t xml:space="preserve"> с 0,</w:t>
      </w:r>
      <w:r w:rsidR="007F6618">
        <w:rPr>
          <w:sz w:val="28"/>
          <w:szCs w:val="28"/>
          <w:lang w:val="be-BY"/>
        </w:rPr>
        <w:t>43%</w:t>
      </w:r>
      <w:r>
        <w:rPr>
          <w:sz w:val="28"/>
          <w:szCs w:val="28"/>
          <w:lang w:val="be-BY"/>
        </w:rPr>
        <w:t>. При новобразуваните преписки се наблюдава намаление с 0,2 % спрямо 2023 г. и увеличение с 0,</w:t>
      </w:r>
      <w:r>
        <w:rPr>
          <w:sz w:val="28"/>
          <w:szCs w:val="28"/>
        </w:rPr>
        <w:t>08</w:t>
      </w:r>
      <w:r>
        <w:rPr>
          <w:sz w:val="28"/>
          <w:szCs w:val="28"/>
          <w:lang w:val="be-BY"/>
        </w:rPr>
        <w:t>% спрямо 2022 г.</w:t>
      </w:r>
    </w:p>
    <w:p w:rsidR="00D02DF1" w:rsidRDefault="00D02DF1" w:rsidP="00D02DF1">
      <w:pPr>
        <w:spacing w:line="360" w:lineRule="exact"/>
        <w:ind w:firstLine="708"/>
        <w:jc w:val="both"/>
        <w:rPr>
          <w:sz w:val="28"/>
          <w:szCs w:val="28"/>
        </w:rPr>
      </w:pPr>
      <w:r>
        <w:rPr>
          <w:sz w:val="28"/>
          <w:szCs w:val="28"/>
        </w:rPr>
        <w:lastRenderedPageBreak/>
        <w:t xml:space="preserve">Общият брой на преписките, които прокурорите от системата на Окръжна прокуратура - Сливен са решили в едномесечен срок (включително с възлагане на проверка или извършване лична проверка от прокурор, </w:t>
      </w:r>
      <w:proofErr w:type="spellStart"/>
      <w:r>
        <w:rPr>
          <w:sz w:val="28"/>
          <w:szCs w:val="28"/>
        </w:rPr>
        <w:t>инстанционни</w:t>
      </w:r>
      <w:proofErr w:type="spellEnd"/>
      <w:r>
        <w:rPr>
          <w:sz w:val="28"/>
          <w:szCs w:val="28"/>
        </w:rPr>
        <w:t xml:space="preserve"> преписки и изпратени по компетентност на други прокуратури или органи) </w:t>
      </w:r>
      <w:r>
        <w:rPr>
          <w:sz w:val="28"/>
          <w:szCs w:val="28"/>
          <w:lang w:val="be-BY"/>
        </w:rPr>
        <w:t xml:space="preserve">е </w:t>
      </w:r>
      <w:r>
        <w:rPr>
          <w:sz w:val="28"/>
          <w:szCs w:val="28"/>
        </w:rPr>
        <w:t>5295</w:t>
      </w:r>
      <w:r>
        <w:rPr>
          <w:sz w:val="28"/>
          <w:szCs w:val="28"/>
          <w:lang w:val="en-US"/>
        </w:rPr>
        <w:t xml:space="preserve"> </w:t>
      </w:r>
      <w:r>
        <w:rPr>
          <w:sz w:val="28"/>
          <w:szCs w:val="28"/>
        </w:rPr>
        <w:t>бр., като няма решени над едномесечния срок. С отказ да се образува досъдебно производство са решени 3675 преписки, а с постановления за образуване на досъдебно производство – 973 преписки.</w:t>
      </w:r>
    </w:p>
    <w:p w:rsidR="00D02DF1" w:rsidRDefault="00D02DF1" w:rsidP="00D02DF1">
      <w:pPr>
        <w:spacing w:line="360" w:lineRule="exact"/>
        <w:ind w:firstLine="708"/>
        <w:jc w:val="both"/>
        <w:rPr>
          <w:sz w:val="28"/>
          <w:szCs w:val="28"/>
        </w:rPr>
      </w:pPr>
      <w:r>
        <w:rPr>
          <w:sz w:val="28"/>
          <w:szCs w:val="28"/>
        </w:rPr>
        <w:t>По 1622</w:t>
      </w:r>
      <w:r>
        <w:rPr>
          <w:sz w:val="28"/>
          <w:szCs w:val="28"/>
          <w:lang w:val="en-US"/>
        </w:rPr>
        <w:t xml:space="preserve"> </w:t>
      </w:r>
      <w:r>
        <w:rPr>
          <w:sz w:val="28"/>
          <w:szCs w:val="28"/>
        </w:rPr>
        <w:t>преписки е била възложена проверка от прокурор на друг орган. От тях</w:t>
      </w:r>
      <w:r w:rsidR="005849DE">
        <w:rPr>
          <w:sz w:val="28"/>
          <w:szCs w:val="28"/>
        </w:rPr>
        <w:t>,</w:t>
      </w:r>
      <w:r>
        <w:rPr>
          <w:sz w:val="28"/>
          <w:szCs w:val="28"/>
        </w:rPr>
        <w:t xml:space="preserve"> след приключване на проверката</w:t>
      </w:r>
      <w:r w:rsidR="005849DE">
        <w:rPr>
          <w:sz w:val="28"/>
          <w:szCs w:val="28"/>
        </w:rPr>
        <w:t>,</w:t>
      </w:r>
      <w:r>
        <w:rPr>
          <w:sz w:val="28"/>
          <w:szCs w:val="28"/>
        </w:rPr>
        <w:t xml:space="preserve"> с образуване на досъдебно производство са решени</w:t>
      </w:r>
      <w:r>
        <w:rPr>
          <w:sz w:val="28"/>
          <w:szCs w:val="28"/>
          <w:lang w:val="en-US"/>
        </w:rPr>
        <w:t xml:space="preserve"> </w:t>
      </w:r>
      <w:r>
        <w:rPr>
          <w:sz w:val="28"/>
          <w:szCs w:val="28"/>
        </w:rPr>
        <w:t>295, а с отказ</w:t>
      </w:r>
      <w:r>
        <w:rPr>
          <w:sz w:val="28"/>
          <w:szCs w:val="28"/>
          <w:lang w:val="en-US"/>
        </w:rPr>
        <w:t xml:space="preserve"> </w:t>
      </w:r>
      <w:r>
        <w:rPr>
          <w:sz w:val="28"/>
          <w:szCs w:val="28"/>
        </w:rPr>
        <w:t>да се образува досъдебно производство – 914</w:t>
      </w:r>
      <w:r>
        <w:rPr>
          <w:sz w:val="28"/>
          <w:szCs w:val="28"/>
          <w:lang w:val="en-US"/>
        </w:rPr>
        <w:t xml:space="preserve"> </w:t>
      </w:r>
      <w:r>
        <w:rPr>
          <w:sz w:val="28"/>
          <w:szCs w:val="28"/>
        </w:rPr>
        <w:t>бр. Приключили са 1359</w:t>
      </w:r>
      <w:r>
        <w:rPr>
          <w:sz w:val="28"/>
          <w:szCs w:val="28"/>
          <w:lang w:val="en-US"/>
        </w:rPr>
        <w:t xml:space="preserve"> </w:t>
      </w:r>
      <w:r>
        <w:rPr>
          <w:sz w:val="28"/>
          <w:szCs w:val="28"/>
        </w:rPr>
        <w:t>проверки, всички</w:t>
      </w:r>
      <w:r>
        <w:rPr>
          <w:sz w:val="28"/>
          <w:szCs w:val="28"/>
          <w:lang w:val="en-US"/>
        </w:rPr>
        <w:t xml:space="preserve"> </w:t>
      </w:r>
      <w:r>
        <w:rPr>
          <w:sz w:val="28"/>
          <w:szCs w:val="28"/>
        </w:rPr>
        <w:t>в законовия срок по чл.145, ал.2 от ЗСВ. По 5</w:t>
      </w:r>
      <w:r>
        <w:rPr>
          <w:sz w:val="28"/>
          <w:szCs w:val="28"/>
          <w:lang w:val="en-US"/>
        </w:rPr>
        <w:t xml:space="preserve"> </w:t>
      </w:r>
      <w:r>
        <w:rPr>
          <w:sz w:val="28"/>
          <w:szCs w:val="28"/>
        </w:rPr>
        <w:t>преписки са били извършени лични проверки от прокурор, приключени в законовия срок. С разпореждане на прокурор са били върнати 101 преписки за допълване на проверката. Следва да се посочи, че общият брой на преписките с неприключени проверки е 263.</w:t>
      </w:r>
    </w:p>
    <w:p w:rsidR="00D02DF1" w:rsidRDefault="00D02DF1" w:rsidP="00D02DF1">
      <w:pPr>
        <w:spacing w:line="360" w:lineRule="exact"/>
        <w:ind w:firstLine="708"/>
        <w:jc w:val="both"/>
        <w:rPr>
          <w:sz w:val="28"/>
          <w:szCs w:val="28"/>
        </w:rPr>
      </w:pPr>
      <w:r>
        <w:rPr>
          <w:sz w:val="28"/>
          <w:szCs w:val="28"/>
        </w:rPr>
        <w:t>Когато възложената проверка не е приключвала в първоначално определения от прокурорите срок за извършването й, органите, извършващи проверката са уведомявали прокуратурата за причините за това и своевременно е искано продължаване на срока за извършване на проверката.</w:t>
      </w:r>
      <w:r>
        <w:rPr>
          <w:sz w:val="28"/>
          <w:szCs w:val="28"/>
          <w:lang w:val="be-BY"/>
        </w:rPr>
        <w:t xml:space="preserve"> </w:t>
      </w:r>
    </w:p>
    <w:p w:rsidR="00D02DF1" w:rsidRDefault="00D02DF1" w:rsidP="00D02DF1">
      <w:pPr>
        <w:spacing w:line="360" w:lineRule="exact"/>
        <w:ind w:firstLine="720"/>
        <w:jc w:val="both"/>
        <w:rPr>
          <w:sz w:val="28"/>
          <w:szCs w:val="28"/>
        </w:rPr>
      </w:pPr>
      <w:r>
        <w:rPr>
          <w:sz w:val="28"/>
          <w:szCs w:val="28"/>
        </w:rPr>
        <w:t xml:space="preserve">От страна на прокурорите от Окръжна прокуратура - Сливен са решени 133 </w:t>
      </w:r>
      <w:proofErr w:type="spellStart"/>
      <w:r>
        <w:rPr>
          <w:sz w:val="28"/>
          <w:szCs w:val="28"/>
        </w:rPr>
        <w:t>инстанционни</w:t>
      </w:r>
      <w:proofErr w:type="spellEnd"/>
      <w:r>
        <w:rPr>
          <w:sz w:val="28"/>
          <w:szCs w:val="28"/>
        </w:rPr>
        <w:t xml:space="preserve"> преписки, при което потвърдените актове на Районна прокуратура - Сливен са 116, в т.ч. 60 постановления за отказ от образуване на досъдебно производство. Отменените актове на Районна прокуратура - Сливен са 41, в т.ч. 23 постановления за отказ от образуване на досъдебно производство. О</w:t>
      </w:r>
      <w:r w:rsidR="00A7110D">
        <w:rPr>
          <w:sz w:val="28"/>
          <w:szCs w:val="28"/>
        </w:rPr>
        <w:t>тчетените данни сочат, че 87,22</w:t>
      </w:r>
      <w:r>
        <w:rPr>
          <w:sz w:val="28"/>
          <w:szCs w:val="28"/>
        </w:rPr>
        <w:t xml:space="preserve">% от постановените по преписките прокурорски актове на Районна прокуратура - Сливен са били потвърдени при осъществения </w:t>
      </w:r>
      <w:proofErr w:type="spellStart"/>
      <w:r>
        <w:rPr>
          <w:sz w:val="28"/>
          <w:szCs w:val="28"/>
        </w:rPr>
        <w:t>инстанционен</w:t>
      </w:r>
      <w:proofErr w:type="spellEnd"/>
      <w:r>
        <w:rPr>
          <w:sz w:val="28"/>
          <w:szCs w:val="28"/>
        </w:rPr>
        <w:t xml:space="preserve"> контрол. </w:t>
      </w:r>
    </w:p>
    <w:p w:rsidR="00D02DF1" w:rsidRDefault="00D02DF1" w:rsidP="00D02DF1">
      <w:pPr>
        <w:spacing w:line="360" w:lineRule="exact"/>
        <w:ind w:firstLine="708"/>
        <w:jc w:val="both"/>
        <w:rPr>
          <w:sz w:val="28"/>
          <w:szCs w:val="28"/>
        </w:rPr>
      </w:pPr>
      <w:r>
        <w:rPr>
          <w:sz w:val="28"/>
          <w:szCs w:val="28"/>
        </w:rPr>
        <w:t xml:space="preserve">В обобщение следва да бъде посочено, че в организацията на работата по предварителните проверки не са констатирани проблеми, а дейността на прокуратурите от системата на Окръжна прокуратура - Сливен по този показател се отличава с бързина, </w:t>
      </w:r>
      <w:proofErr w:type="spellStart"/>
      <w:r>
        <w:rPr>
          <w:sz w:val="28"/>
          <w:szCs w:val="28"/>
        </w:rPr>
        <w:t>срочност</w:t>
      </w:r>
      <w:proofErr w:type="spellEnd"/>
      <w:r>
        <w:rPr>
          <w:sz w:val="28"/>
          <w:szCs w:val="28"/>
        </w:rPr>
        <w:t>, ефективност и качество.</w:t>
      </w:r>
    </w:p>
    <w:p w:rsidR="00265F77" w:rsidRDefault="00265F77" w:rsidP="00D02DF1">
      <w:pPr>
        <w:spacing w:line="360" w:lineRule="exact"/>
        <w:ind w:firstLine="708"/>
        <w:jc w:val="both"/>
        <w:rPr>
          <w:sz w:val="28"/>
          <w:szCs w:val="28"/>
          <w:lang w:val="en-US"/>
        </w:rPr>
      </w:pPr>
    </w:p>
    <w:p w:rsidR="00F97AFD" w:rsidRDefault="00F97AFD" w:rsidP="00D02DF1">
      <w:pPr>
        <w:spacing w:line="360" w:lineRule="exact"/>
        <w:ind w:firstLine="708"/>
        <w:jc w:val="both"/>
        <w:rPr>
          <w:sz w:val="28"/>
          <w:szCs w:val="28"/>
          <w:lang w:val="en-US"/>
        </w:rPr>
      </w:pPr>
    </w:p>
    <w:p w:rsidR="00F97AFD" w:rsidRPr="00F97AFD" w:rsidRDefault="00F97AFD" w:rsidP="00D02DF1">
      <w:pPr>
        <w:spacing w:line="360" w:lineRule="exact"/>
        <w:ind w:firstLine="708"/>
        <w:jc w:val="both"/>
        <w:rPr>
          <w:sz w:val="28"/>
          <w:szCs w:val="28"/>
          <w:lang w:val="en-US"/>
        </w:rPr>
      </w:pPr>
    </w:p>
    <w:p w:rsidR="00D02DF1" w:rsidRDefault="00D02DF1" w:rsidP="00D02DF1">
      <w:pPr>
        <w:tabs>
          <w:tab w:val="left" w:pos="0"/>
        </w:tabs>
        <w:spacing w:line="340" w:lineRule="exact"/>
        <w:ind w:firstLine="700"/>
        <w:jc w:val="both"/>
        <w:rPr>
          <w:b/>
          <w:sz w:val="28"/>
          <w:szCs w:val="28"/>
          <w:lang w:val="en-US"/>
        </w:rPr>
      </w:pPr>
      <w:r>
        <w:rPr>
          <w:b/>
          <w:sz w:val="28"/>
          <w:szCs w:val="28"/>
        </w:rPr>
        <w:lastRenderedPageBreak/>
        <w:t xml:space="preserve">Преписки и наказателни производства, образувани след </w:t>
      </w:r>
      <w:proofErr w:type="spellStart"/>
      <w:r>
        <w:rPr>
          <w:b/>
          <w:sz w:val="28"/>
          <w:szCs w:val="28"/>
        </w:rPr>
        <w:t>самосезиране</w:t>
      </w:r>
      <w:proofErr w:type="spellEnd"/>
      <w:r>
        <w:rPr>
          <w:b/>
          <w:sz w:val="28"/>
          <w:szCs w:val="28"/>
        </w:rPr>
        <w:t xml:space="preserve"> и по сигнали на контролните органи и материали на ДАНС. Постановени присъди.</w:t>
      </w:r>
    </w:p>
    <w:p w:rsidR="00D02DF1" w:rsidRDefault="00D02DF1" w:rsidP="00D02DF1">
      <w:pPr>
        <w:spacing w:line="340" w:lineRule="exact"/>
        <w:ind w:firstLine="709"/>
        <w:jc w:val="both"/>
        <w:rPr>
          <w:sz w:val="28"/>
          <w:szCs w:val="28"/>
          <w:lang w:val="be-BY"/>
        </w:rPr>
      </w:pPr>
      <w:r>
        <w:rPr>
          <w:sz w:val="28"/>
          <w:szCs w:val="28"/>
        </w:rPr>
        <w:t>През отчетния период в прокуратурите от системата на Окръжна прокуратура - Сливен са наблюдавани общо</w:t>
      </w:r>
      <w:r>
        <w:rPr>
          <w:color w:val="FF0000"/>
          <w:sz w:val="28"/>
          <w:szCs w:val="28"/>
          <w:lang w:val="be-BY"/>
        </w:rPr>
        <w:t xml:space="preserve"> </w:t>
      </w:r>
      <w:r>
        <w:rPr>
          <w:sz w:val="28"/>
          <w:szCs w:val="28"/>
          <w:lang w:val="be-BY"/>
        </w:rPr>
        <w:t xml:space="preserve">4 </w:t>
      </w:r>
      <w:r>
        <w:rPr>
          <w:sz w:val="28"/>
          <w:szCs w:val="28"/>
        </w:rPr>
        <w:t>преписк</w:t>
      </w:r>
      <w:r w:rsidR="00A7110D">
        <w:rPr>
          <w:sz w:val="28"/>
          <w:szCs w:val="28"/>
        </w:rPr>
        <w:t xml:space="preserve">и, образувани след </w:t>
      </w:r>
      <w:proofErr w:type="spellStart"/>
      <w:r w:rsidR="00A7110D">
        <w:rPr>
          <w:sz w:val="28"/>
          <w:szCs w:val="28"/>
        </w:rPr>
        <w:t>самосезиране</w:t>
      </w:r>
      <w:proofErr w:type="spellEnd"/>
      <w:r>
        <w:rPr>
          <w:sz w:val="28"/>
          <w:szCs w:val="28"/>
        </w:rPr>
        <w:t xml:space="preserve">. </w:t>
      </w:r>
      <w:r>
        <w:rPr>
          <w:sz w:val="28"/>
          <w:szCs w:val="28"/>
          <w:lang w:val="be-BY"/>
        </w:rPr>
        <w:t xml:space="preserve">Наблюдавано е едно </w:t>
      </w:r>
      <w:r>
        <w:rPr>
          <w:color w:val="000000" w:themeColor="text1"/>
          <w:sz w:val="28"/>
          <w:szCs w:val="28"/>
          <w:lang w:val="be-BY"/>
        </w:rPr>
        <w:t>досъдебно производство</w:t>
      </w:r>
      <w:r>
        <w:rPr>
          <w:sz w:val="28"/>
          <w:szCs w:val="28"/>
          <w:lang w:val="be-BY"/>
        </w:rPr>
        <w:t>, като в съда е внесен прокурорски акт и едно лице е осъдено с влязъла в сила присъда. Сравнителният анализ показва устойчивост по този показател спрямо 2023 година и 2022 год</w:t>
      </w:r>
      <w:r w:rsidR="00A7110D">
        <w:rPr>
          <w:sz w:val="28"/>
          <w:szCs w:val="28"/>
          <w:lang w:val="be-BY"/>
        </w:rPr>
        <w:t xml:space="preserve">ина, когато са били наблюдавани </w:t>
      </w:r>
      <w:r>
        <w:rPr>
          <w:sz w:val="28"/>
          <w:szCs w:val="28"/>
          <w:lang w:val="be-BY"/>
        </w:rPr>
        <w:t>3 преписки след самосезиране.</w:t>
      </w:r>
    </w:p>
    <w:p w:rsidR="00D02DF1" w:rsidRDefault="00D02DF1" w:rsidP="00D02DF1">
      <w:pPr>
        <w:spacing w:line="340" w:lineRule="exact"/>
        <w:ind w:firstLine="709"/>
        <w:jc w:val="both"/>
        <w:rPr>
          <w:sz w:val="28"/>
          <w:szCs w:val="28"/>
          <w:lang w:val="be-BY"/>
        </w:rPr>
      </w:pPr>
      <w:r>
        <w:rPr>
          <w:sz w:val="28"/>
          <w:szCs w:val="28"/>
        </w:rPr>
        <w:t>По сигнали на</w:t>
      </w:r>
      <w:r w:rsidR="00A7110D">
        <w:rPr>
          <w:sz w:val="28"/>
          <w:szCs w:val="28"/>
        </w:rPr>
        <w:t xml:space="preserve"> контролните органи през 2024 г</w:t>
      </w:r>
      <w:r>
        <w:rPr>
          <w:sz w:val="28"/>
          <w:szCs w:val="28"/>
        </w:rPr>
        <w:t xml:space="preserve">. са образувани 72 преписки, 23 от които са решени с образуване на </w:t>
      </w:r>
      <w:proofErr w:type="spellStart"/>
      <w:r>
        <w:rPr>
          <w:sz w:val="28"/>
          <w:szCs w:val="28"/>
        </w:rPr>
        <w:t>досъдебн</w:t>
      </w:r>
      <w:proofErr w:type="spellEnd"/>
      <w:r>
        <w:rPr>
          <w:sz w:val="28"/>
          <w:szCs w:val="28"/>
          <w:lang w:val="be-BY"/>
        </w:rPr>
        <w:t>о</w:t>
      </w:r>
      <w:r>
        <w:rPr>
          <w:sz w:val="28"/>
          <w:szCs w:val="28"/>
        </w:rPr>
        <w:t xml:space="preserve"> </w:t>
      </w:r>
      <w:proofErr w:type="spellStart"/>
      <w:r>
        <w:rPr>
          <w:sz w:val="28"/>
          <w:szCs w:val="28"/>
        </w:rPr>
        <w:t>производств</w:t>
      </w:r>
      <w:proofErr w:type="spellEnd"/>
      <w:r>
        <w:rPr>
          <w:sz w:val="28"/>
          <w:szCs w:val="28"/>
          <w:lang w:val="be-BY"/>
        </w:rPr>
        <w:t>о</w:t>
      </w:r>
      <w:r>
        <w:rPr>
          <w:sz w:val="28"/>
          <w:szCs w:val="28"/>
        </w:rPr>
        <w:t xml:space="preserve">. </w:t>
      </w:r>
      <w:r>
        <w:rPr>
          <w:sz w:val="28"/>
          <w:szCs w:val="28"/>
          <w:lang w:val="be-BY"/>
        </w:rPr>
        <w:t xml:space="preserve">ОП-Сливен и РП-Сливен са наблюдавали 41 </w:t>
      </w:r>
      <w:r>
        <w:rPr>
          <w:color w:val="000000" w:themeColor="text1"/>
          <w:sz w:val="28"/>
          <w:szCs w:val="28"/>
          <w:lang w:val="be-BY"/>
        </w:rPr>
        <w:t>досъдебни производства от отчитаната категория</w:t>
      </w:r>
      <w:r>
        <w:rPr>
          <w:sz w:val="28"/>
          <w:szCs w:val="28"/>
          <w:lang w:val="be-BY"/>
        </w:rPr>
        <w:t>, като са внесени в съда 7 прокурорски акта</w:t>
      </w:r>
      <w:r>
        <w:rPr>
          <w:sz w:val="28"/>
          <w:szCs w:val="28"/>
        </w:rPr>
        <w:t>, осъдени са 3 лица с влязъл в сила съдебен акт</w:t>
      </w:r>
      <w:r>
        <w:rPr>
          <w:sz w:val="28"/>
          <w:szCs w:val="28"/>
          <w:lang w:val="be-BY"/>
        </w:rPr>
        <w:t>. За сравнение</w:t>
      </w:r>
      <w:r>
        <w:rPr>
          <w:sz w:val="28"/>
          <w:szCs w:val="28"/>
          <w:lang w:val="en-US"/>
        </w:rPr>
        <w:t>,</w:t>
      </w:r>
      <w:r>
        <w:rPr>
          <w:sz w:val="28"/>
          <w:szCs w:val="28"/>
          <w:lang w:val="be-BY"/>
        </w:rPr>
        <w:t xml:space="preserve"> през 2023 година са били наблюдавани 58 преписки, 19 от които са решени с образуване на досъдебно производство. През 2022 год. са били наблюдавани 58 преписки, 13 от които са решени с образуване на досъдебно производство. </w:t>
      </w:r>
    </w:p>
    <w:p w:rsidR="00D02DF1" w:rsidRDefault="00D02DF1" w:rsidP="00D02DF1">
      <w:pPr>
        <w:spacing w:line="340" w:lineRule="exact"/>
        <w:ind w:firstLine="708"/>
        <w:jc w:val="both"/>
        <w:rPr>
          <w:sz w:val="28"/>
          <w:szCs w:val="28"/>
          <w:lang w:val="be-BY"/>
        </w:rPr>
      </w:pPr>
      <w:r>
        <w:rPr>
          <w:sz w:val="28"/>
          <w:szCs w:val="28"/>
        </w:rPr>
        <w:t xml:space="preserve">От образуваните по сигнали на контролни органи преписки, за 2024 г. по сигнали на Национална агенция по приходите са наблюдавани 67 преписки, от които по 22 са образувани досъдебни производства. </w:t>
      </w:r>
      <w:r>
        <w:rPr>
          <w:sz w:val="28"/>
          <w:szCs w:val="28"/>
          <w:lang w:val="be-BY"/>
        </w:rPr>
        <w:t xml:space="preserve">Наблюдавани са 40 </w:t>
      </w:r>
      <w:r>
        <w:rPr>
          <w:color w:val="000000" w:themeColor="text1"/>
          <w:sz w:val="28"/>
          <w:szCs w:val="28"/>
          <w:lang w:val="be-BY"/>
        </w:rPr>
        <w:t>досъдебни производства,</w:t>
      </w:r>
      <w:r>
        <w:rPr>
          <w:sz w:val="28"/>
          <w:szCs w:val="28"/>
          <w:lang w:val="be-BY"/>
        </w:rPr>
        <w:t xml:space="preserve"> образувани по сигнали на НАП, като са внесени 7 прокурорски акта в съда и са осъдени 3 лица с влязъл сила съдебен акт. </w:t>
      </w:r>
    </w:p>
    <w:p w:rsidR="00D02DF1" w:rsidRDefault="00D02DF1" w:rsidP="00D02DF1">
      <w:pPr>
        <w:spacing w:line="340" w:lineRule="exact"/>
        <w:ind w:firstLine="708"/>
        <w:jc w:val="both"/>
        <w:rPr>
          <w:sz w:val="28"/>
          <w:szCs w:val="28"/>
        </w:rPr>
      </w:pPr>
      <w:r>
        <w:rPr>
          <w:sz w:val="28"/>
          <w:szCs w:val="28"/>
        </w:rPr>
        <w:t xml:space="preserve">През 2024г. по сигнали на Агенция за държавна финансова инспекция са наблюдавани от Окръжна прокуратура – Сливен 5 преписки, по които през годината е образувано едно досъдебно производство. </w:t>
      </w:r>
    </w:p>
    <w:p w:rsidR="00D02DF1" w:rsidRDefault="00D02DF1" w:rsidP="00D02DF1">
      <w:pPr>
        <w:spacing w:line="340" w:lineRule="exact"/>
        <w:ind w:firstLine="708"/>
        <w:jc w:val="both"/>
        <w:rPr>
          <w:sz w:val="28"/>
          <w:szCs w:val="28"/>
        </w:rPr>
      </w:pPr>
      <w:r>
        <w:rPr>
          <w:sz w:val="28"/>
          <w:szCs w:val="28"/>
        </w:rPr>
        <w:t>Окръжна прокуратура - Сливен не е наблюдавала</w:t>
      </w:r>
      <w:r>
        <w:rPr>
          <w:sz w:val="28"/>
          <w:szCs w:val="28"/>
          <w:lang w:val="be-BY"/>
        </w:rPr>
        <w:t xml:space="preserve"> </w:t>
      </w:r>
      <w:r>
        <w:rPr>
          <w:sz w:val="28"/>
          <w:szCs w:val="28"/>
        </w:rPr>
        <w:t xml:space="preserve">преписки, образувани по сигнали на Агенция „Митници“, респ. през годината не е образувано досъдебно производство. </w:t>
      </w:r>
    </w:p>
    <w:p w:rsidR="00D02DF1" w:rsidRDefault="00D02DF1" w:rsidP="00D02DF1">
      <w:pPr>
        <w:spacing w:line="340" w:lineRule="exact"/>
        <w:ind w:firstLine="708"/>
        <w:jc w:val="both"/>
        <w:rPr>
          <w:sz w:val="28"/>
          <w:szCs w:val="28"/>
          <w:lang w:val="be-BY"/>
        </w:rPr>
      </w:pPr>
      <w:r>
        <w:rPr>
          <w:sz w:val="28"/>
          <w:szCs w:val="28"/>
        </w:rPr>
        <w:t>През отчетния период Окръжна прокуратура - Сливен е наблюдавала</w:t>
      </w:r>
      <w:r>
        <w:rPr>
          <w:sz w:val="28"/>
          <w:szCs w:val="28"/>
          <w:lang w:val="be-BY"/>
        </w:rPr>
        <w:t xml:space="preserve"> 13 </w:t>
      </w:r>
      <w:r>
        <w:rPr>
          <w:sz w:val="28"/>
          <w:szCs w:val="28"/>
        </w:rPr>
        <w:t>преписки, образувани</w:t>
      </w:r>
      <w:r>
        <w:rPr>
          <w:sz w:val="28"/>
          <w:szCs w:val="28"/>
          <w:lang w:val="be-BY"/>
        </w:rPr>
        <w:t xml:space="preserve"> </w:t>
      </w:r>
      <w:r>
        <w:rPr>
          <w:sz w:val="28"/>
          <w:szCs w:val="28"/>
        </w:rPr>
        <w:t>по материали от ДАНС, от които по 4 преписки са образувани досъдебни производства</w:t>
      </w:r>
      <w:r>
        <w:rPr>
          <w:sz w:val="28"/>
          <w:szCs w:val="28"/>
          <w:lang w:val="be-BY"/>
        </w:rPr>
        <w:t>. Наблюдавани са 7 досъдебни производства. Една от наблюдаваните преписки е образувана по материали на Дирекция за финансово разузнаване и решена с образуване на досъдебно производство.</w:t>
      </w:r>
    </w:p>
    <w:p w:rsidR="00D02DF1" w:rsidRDefault="00D02DF1" w:rsidP="00D02DF1">
      <w:pPr>
        <w:spacing w:line="340" w:lineRule="exact"/>
        <w:ind w:firstLine="708"/>
        <w:jc w:val="both"/>
        <w:rPr>
          <w:sz w:val="28"/>
          <w:szCs w:val="28"/>
          <w:lang w:val="be-BY"/>
        </w:rPr>
      </w:pPr>
      <w:r>
        <w:rPr>
          <w:sz w:val="28"/>
          <w:szCs w:val="28"/>
          <w:lang w:val="be-BY"/>
        </w:rPr>
        <w:t>През 2024 г. по материали на Дирекция “Вътрешна сигурност-МВР” са наблюдавани общо 2 преписки на РП – Сливен.</w:t>
      </w:r>
    </w:p>
    <w:p w:rsidR="00D02DF1" w:rsidRDefault="00D02DF1" w:rsidP="00D02DF1">
      <w:pPr>
        <w:spacing w:line="340" w:lineRule="exact"/>
        <w:ind w:firstLine="709"/>
        <w:jc w:val="both"/>
        <w:rPr>
          <w:sz w:val="28"/>
          <w:szCs w:val="28"/>
          <w:lang w:val="be-BY"/>
        </w:rPr>
      </w:pPr>
      <w:r>
        <w:rPr>
          <w:sz w:val="28"/>
          <w:szCs w:val="28"/>
        </w:rPr>
        <w:t xml:space="preserve">През отчетния период няма образувани преписки, наблюдавани досъдебни производства, внесени в съда прокурорски актове и осъдени лица, образувани по сигнали на Сметна палата, Дирекцията за национален </w:t>
      </w:r>
      <w:r>
        <w:rPr>
          <w:sz w:val="28"/>
          <w:szCs w:val="28"/>
        </w:rPr>
        <w:lastRenderedPageBreak/>
        <w:t>строителен контрол и Агенция за следприватизационен контрол.</w:t>
      </w:r>
    </w:p>
    <w:p w:rsidR="006D5679" w:rsidRDefault="006D5679" w:rsidP="00D02DF1">
      <w:pPr>
        <w:spacing w:line="340" w:lineRule="exact"/>
        <w:ind w:firstLine="700"/>
        <w:jc w:val="both"/>
        <w:rPr>
          <w:b/>
          <w:sz w:val="28"/>
          <w:szCs w:val="28"/>
        </w:rPr>
      </w:pPr>
    </w:p>
    <w:p w:rsidR="00D02DF1" w:rsidRDefault="00D02DF1" w:rsidP="00D02DF1">
      <w:pPr>
        <w:spacing w:line="340" w:lineRule="exact"/>
        <w:ind w:firstLine="700"/>
        <w:jc w:val="both"/>
        <w:rPr>
          <w:b/>
          <w:sz w:val="28"/>
          <w:szCs w:val="28"/>
        </w:rPr>
      </w:pPr>
      <w:r>
        <w:rPr>
          <w:b/>
          <w:sz w:val="28"/>
          <w:szCs w:val="28"/>
        </w:rPr>
        <w:t>2. Следствен надзор</w:t>
      </w:r>
    </w:p>
    <w:p w:rsidR="00265F77" w:rsidRDefault="00265F77" w:rsidP="00D02DF1">
      <w:pPr>
        <w:spacing w:line="340" w:lineRule="exact"/>
        <w:ind w:firstLine="700"/>
        <w:jc w:val="both"/>
        <w:rPr>
          <w:b/>
          <w:sz w:val="28"/>
          <w:szCs w:val="28"/>
          <w:lang w:val="be-BY"/>
        </w:rPr>
      </w:pPr>
    </w:p>
    <w:p w:rsidR="00D02DF1" w:rsidRDefault="00D02DF1" w:rsidP="00D02DF1">
      <w:pPr>
        <w:spacing w:after="120" w:line="340" w:lineRule="exact"/>
        <w:ind w:firstLine="709"/>
        <w:jc w:val="both"/>
        <w:rPr>
          <w:b/>
          <w:sz w:val="28"/>
          <w:szCs w:val="28"/>
        </w:rPr>
      </w:pPr>
      <w:r>
        <w:rPr>
          <w:b/>
          <w:sz w:val="28"/>
          <w:szCs w:val="28"/>
        </w:rPr>
        <w:t xml:space="preserve">2.1. Обобщени данни по видове досъдебни производства, по видове разследващи органи и съобразно систематиката на НК, вкл. по отношение пострадалите лица и на ощетените юридически лица от престъпления. </w:t>
      </w:r>
    </w:p>
    <w:p w:rsidR="00D02DF1" w:rsidRDefault="00D02DF1" w:rsidP="00D02DF1">
      <w:pPr>
        <w:spacing w:line="340" w:lineRule="exact"/>
        <w:ind w:firstLine="709"/>
        <w:jc w:val="both"/>
        <w:rPr>
          <w:sz w:val="28"/>
          <w:szCs w:val="28"/>
        </w:rPr>
      </w:pPr>
      <w:r>
        <w:rPr>
          <w:sz w:val="28"/>
          <w:szCs w:val="28"/>
        </w:rPr>
        <w:t>През периода 01.</w:t>
      </w:r>
      <w:proofErr w:type="spellStart"/>
      <w:r>
        <w:rPr>
          <w:sz w:val="28"/>
          <w:szCs w:val="28"/>
        </w:rPr>
        <w:t>01</w:t>
      </w:r>
      <w:proofErr w:type="spellEnd"/>
      <w:r>
        <w:rPr>
          <w:sz w:val="28"/>
          <w:szCs w:val="28"/>
        </w:rPr>
        <w:t>.</w:t>
      </w:r>
      <w:r>
        <w:rPr>
          <w:sz w:val="28"/>
          <w:szCs w:val="28"/>
          <w:lang w:val="be-BY"/>
        </w:rPr>
        <w:t xml:space="preserve">2024 г. </w:t>
      </w:r>
      <w:r>
        <w:rPr>
          <w:sz w:val="28"/>
          <w:szCs w:val="28"/>
        </w:rPr>
        <w:t>– 31.12.2024 г. прокурорите от системата на Окръжна прокуратура - Сливен са наблюдавали общо</w:t>
      </w:r>
      <w:r>
        <w:rPr>
          <w:sz w:val="28"/>
          <w:szCs w:val="28"/>
          <w:lang w:val="be-BY"/>
        </w:rPr>
        <w:t xml:space="preserve"> </w:t>
      </w:r>
      <w:r>
        <w:rPr>
          <w:sz w:val="28"/>
          <w:szCs w:val="28"/>
        </w:rPr>
        <w:t>3949</w:t>
      </w:r>
      <w:r>
        <w:rPr>
          <w:sz w:val="28"/>
          <w:szCs w:val="28"/>
          <w:lang w:val="en-US"/>
        </w:rPr>
        <w:t xml:space="preserve"> </w:t>
      </w:r>
      <w:r>
        <w:rPr>
          <w:color w:val="000000" w:themeColor="text1"/>
          <w:sz w:val="28"/>
          <w:szCs w:val="28"/>
          <w:lang w:val="be-BY"/>
        </w:rPr>
        <w:t>досъдебни производства, включително такива прекратени по давност</w:t>
      </w:r>
      <w:r>
        <w:rPr>
          <w:sz w:val="28"/>
          <w:szCs w:val="28"/>
        </w:rPr>
        <w:t xml:space="preserve">. Наблюдаваните </w:t>
      </w:r>
      <w:r>
        <w:rPr>
          <w:color w:val="000000" w:themeColor="text1"/>
          <w:sz w:val="28"/>
          <w:szCs w:val="28"/>
          <w:lang w:val="be-BY"/>
        </w:rPr>
        <w:t>досъдебни производства</w:t>
      </w:r>
      <w:r>
        <w:rPr>
          <w:sz w:val="28"/>
          <w:szCs w:val="28"/>
        </w:rPr>
        <w:t xml:space="preserve"> (делата на производство), без прекратените по давност</w:t>
      </w:r>
      <w:r w:rsidR="005849DE">
        <w:rPr>
          <w:sz w:val="28"/>
          <w:szCs w:val="28"/>
        </w:rPr>
        <w:t>,</w:t>
      </w:r>
      <w:r>
        <w:rPr>
          <w:sz w:val="28"/>
          <w:szCs w:val="28"/>
        </w:rPr>
        <w:t xml:space="preserve"> са 3406, а новообразуваните </w:t>
      </w:r>
      <w:r>
        <w:rPr>
          <w:color w:val="000000" w:themeColor="text1"/>
          <w:sz w:val="28"/>
          <w:szCs w:val="28"/>
          <w:lang w:val="be-BY"/>
        </w:rPr>
        <w:t>досъдебни производства за отчетния период са 2170.</w:t>
      </w:r>
    </w:p>
    <w:p w:rsidR="00D02DF1" w:rsidRDefault="00D02DF1" w:rsidP="00D02DF1">
      <w:pPr>
        <w:spacing w:line="340" w:lineRule="exact"/>
        <w:ind w:firstLine="709"/>
        <w:jc w:val="both"/>
        <w:rPr>
          <w:sz w:val="28"/>
          <w:szCs w:val="28"/>
          <w:lang w:val="be-BY"/>
        </w:rPr>
      </w:pPr>
      <w:r>
        <w:rPr>
          <w:sz w:val="28"/>
          <w:szCs w:val="28"/>
        </w:rPr>
        <w:t>За 2024 год. са наблюдавани общо 265 бързи производства, при 253 бързи производства за 2023 год. и 344 бързи производства за 2022 г.</w:t>
      </w:r>
      <w:r w:rsidR="005849DE">
        <w:rPr>
          <w:sz w:val="28"/>
          <w:szCs w:val="28"/>
        </w:rPr>
        <w:t xml:space="preserve"> Отчита се увеличение на бързите производства спрямо 2023 г. с 12 броя и намаление спрямо 2022 г. със 79 броя.</w:t>
      </w:r>
    </w:p>
    <w:p w:rsidR="00D02DF1" w:rsidRDefault="00D02DF1" w:rsidP="00D02DF1">
      <w:pPr>
        <w:spacing w:line="340" w:lineRule="exact"/>
        <w:ind w:firstLine="709"/>
        <w:jc w:val="both"/>
        <w:rPr>
          <w:sz w:val="28"/>
          <w:szCs w:val="28"/>
        </w:rPr>
      </w:pPr>
    </w:p>
    <w:p w:rsidR="00D02DF1" w:rsidRDefault="00D02DF1" w:rsidP="00D02DF1">
      <w:pPr>
        <w:spacing w:line="340" w:lineRule="exact"/>
        <w:jc w:val="center"/>
        <w:rPr>
          <w:b/>
          <w:i/>
          <w:sz w:val="28"/>
          <w:szCs w:val="28"/>
          <w:u w:val="single"/>
          <w:lang w:val="be-BY"/>
        </w:rPr>
      </w:pPr>
      <w:r>
        <w:rPr>
          <w:b/>
          <w:i/>
          <w:sz w:val="28"/>
          <w:szCs w:val="28"/>
          <w:u w:val="single"/>
          <w:lang w:val="be-BY"/>
        </w:rPr>
        <w:t>В графичен вид по прокуратури и общо за региона за последните три години сравнителните данни са следните:</w:t>
      </w:r>
    </w:p>
    <w:p w:rsidR="00D02DF1" w:rsidRDefault="00D02DF1" w:rsidP="00D02DF1">
      <w:pPr>
        <w:spacing w:line="340" w:lineRule="exact"/>
        <w:jc w:val="both"/>
        <w:rPr>
          <w:b/>
          <w:sz w:val="28"/>
          <w:szCs w:val="28"/>
          <w:u w:val="single"/>
          <w:lang w:val="be-BY"/>
        </w:rPr>
      </w:pPr>
    </w:p>
    <w:p w:rsidR="00D02DF1" w:rsidRDefault="00D02DF1" w:rsidP="00D02DF1">
      <w:pPr>
        <w:spacing w:line="340" w:lineRule="atLeast"/>
        <w:ind w:firstLine="709"/>
        <w:jc w:val="center"/>
        <w:rPr>
          <w:noProof/>
          <w:lang w:eastAsia="en-US"/>
        </w:rPr>
      </w:pPr>
      <w:r>
        <w:rPr>
          <w:noProof/>
        </w:rPr>
        <w:drawing>
          <wp:inline distT="0" distB="0" distL="0" distR="0" wp14:anchorId="2530EDAC" wp14:editId="611A93EF">
            <wp:extent cx="3645724" cy="2030681"/>
            <wp:effectExtent l="0" t="0" r="0" b="0"/>
            <wp:docPr id="10" name="Ди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5F77" w:rsidRDefault="00265F77" w:rsidP="00D02DF1">
      <w:pPr>
        <w:spacing w:line="340" w:lineRule="exact"/>
        <w:ind w:firstLine="709"/>
        <w:jc w:val="both"/>
        <w:rPr>
          <w:sz w:val="28"/>
          <w:szCs w:val="28"/>
          <w:lang w:val="be-BY"/>
        </w:rPr>
      </w:pPr>
    </w:p>
    <w:p w:rsidR="00D02DF1" w:rsidRDefault="00D02DF1" w:rsidP="00D02DF1">
      <w:pPr>
        <w:spacing w:line="340" w:lineRule="exact"/>
        <w:ind w:firstLine="709"/>
        <w:jc w:val="both"/>
        <w:rPr>
          <w:sz w:val="28"/>
          <w:szCs w:val="28"/>
        </w:rPr>
      </w:pPr>
      <w:r>
        <w:rPr>
          <w:sz w:val="28"/>
          <w:szCs w:val="28"/>
          <w:lang w:val="be-BY"/>
        </w:rPr>
        <w:t xml:space="preserve">През 2024 г. по общия ред са разследвани 3212 </w:t>
      </w:r>
      <w:r>
        <w:rPr>
          <w:color w:val="000000" w:themeColor="text1"/>
          <w:sz w:val="28"/>
          <w:szCs w:val="28"/>
          <w:lang w:val="be-BY"/>
        </w:rPr>
        <w:t xml:space="preserve">досъдебни производства, като в това число са включени бързите производства, при които разследването е приключило по общия ред. </w:t>
      </w:r>
    </w:p>
    <w:p w:rsidR="00D02DF1" w:rsidRDefault="00D02DF1" w:rsidP="00D02DF1">
      <w:pPr>
        <w:pStyle w:val="a7"/>
        <w:spacing w:line="340" w:lineRule="exact"/>
        <w:ind w:left="0" w:firstLine="708"/>
        <w:jc w:val="both"/>
        <w:rPr>
          <w:noProof/>
          <w:lang w:val="be-BY"/>
        </w:rPr>
      </w:pPr>
      <w:r>
        <w:rPr>
          <w:sz w:val="28"/>
          <w:szCs w:val="28"/>
        </w:rPr>
        <w:t>Сравнено</w:t>
      </w:r>
      <w:r>
        <w:rPr>
          <w:sz w:val="28"/>
          <w:szCs w:val="28"/>
          <w:lang w:val="be-BY"/>
        </w:rPr>
        <w:t xml:space="preserve"> с предходните две години се наблюдава значително увеличение по този показател спрямо данните за 2022 година и незначителен спад спрямо данните за 2023 година, като в графичен вид по прокуратури и общо за региона за последните три години, данните са следните:</w:t>
      </w:r>
      <w:r>
        <w:rPr>
          <w:noProof/>
          <w:lang w:val="be-BY"/>
        </w:rPr>
        <w:t xml:space="preserve"> </w:t>
      </w:r>
    </w:p>
    <w:p w:rsidR="00D02DF1" w:rsidRDefault="00D02DF1" w:rsidP="00D02DF1">
      <w:pPr>
        <w:pStyle w:val="a7"/>
        <w:spacing w:line="340" w:lineRule="exact"/>
        <w:ind w:left="0" w:firstLine="708"/>
        <w:jc w:val="both"/>
        <w:rPr>
          <w:noProof/>
          <w:lang w:val="be-BY"/>
        </w:rPr>
      </w:pPr>
      <w:r>
        <w:rPr>
          <w:noProof/>
        </w:rPr>
        <w:lastRenderedPageBreak/>
        <w:drawing>
          <wp:anchor distT="0" distB="0" distL="114300" distR="114300" simplePos="0" relativeHeight="251686912" behindDoc="1" locked="0" layoutInCell="1" allowOverlap="1" wp14:anchorId="53AA175B" wp14:editId="3F4EEE9A">
            <wp:simplePos x="0" y="0"/>
            <wp:positionH relativeFrom="column">
              <wp:posOffset>567055</wp:posOffset>
            </wp:positionH>
            <wp:positionV relativeFrom="paragraph">
              <wp:posOffset>-425450</wp:posOffset>
            </wp:positionV>
            <wp:extent cx="5019675" cy="2667000"/>
            <wp:effectExtent l="0" t="0" r="0" b="0"/>
            <wp:wrapTight wrapText="bothSides">
              <wp:wrapPolygon edited="0">
                <wp:start x="0" y="0"/>
                <wp:lineTo x="0" y="21446"/>
                <wp:lineTo x="21477" y="21446"/>
                <wp:lineTo x="21477" y="0"/>
                <wp:lineTo x="0" y="0"/>
              </wp:wrapPolygon>
            </wp:wrapTight>
            <wp:docPr id="13" name="Диагра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D02DF1" w:rsidRDefault="00D02DF1" w:rsidP="00D02DF1">
      <w:pPr>
        <w:pStyle w:val="a7"/>
        <w:spacing w:line="340" w:lineRule="exact"/>
        <w:ind w:left="0" w:firstLine="708"/>
        <w:jc w:val="both"/>
        <w:rPr>
          <w:noProof/>
          <w:lang w:val="be-BY"/>
        </w:rPr>
      </w:pPr>
    </w:p>
    <w:p w:rsidR="00D02DF1" w:rsidRDefault="00D02DF1" w:rsidP="00D02DF1">
      <w:pPr>
        <w:pStyle w:val="a7"/>
        <w:spacing w:line="340" w:lineRule="exact"/>
        <w:ind w:left="0" w:firstLine="708"/>
        <w:jc w:val="both"/>
        <w:rPr>
          <w:noProof/>
          <w:lang w:val="be-BY"/>
        </w:rPr>
      </w:pPr>
    </w:p>
    <w:p w:rsidR="00D02DF1" w:rsidRDefault="00D02DF1" w:rsidP="00D02DF1">
      <w:pPr>
        <w:pStyle w:val="a7"/>
        <w:spacing w:line="340" w:lineRule="exact"/>
        <w:ind w:left="0" w:firstLine="708"/>
        <w:jc w:val="both"/>
        <w:rPr>
          <w:noProof/>
          <w:lang w:val="be-BY"/>
        </w:rPr>
      </w:pPr>
    </w:p>
    <w:p w:rsidR="00D02DF1" w:rsidRDefault="00D02DF1" w:rsidP="00D02DF1">
      <w:pPr>
        <w:pStyle w:val="a7"/>
        <w:spacing w:line="340" w:lineRule="exact"/>
        <w:ind w:left="0" w:firstLine="708"/>
        <w:jc w:val="both"/>
        <w:rPr>
          <w:noProof/>
          <w:lang w:val="be-BY"/>
        </w:rPr>
      </w:pPr>
    </w:p>
    <w:p w:rsidR="00D02DF1" w:rsidRDefault="00D02DF1" w:rsidP="00D02DF1">
      <w:pPr>
        <w:pStyle w:val="a7"/>
        <w:spacing w:line="340" w:lineRule="exact"/>
        <w:ind w:left="0" w:firstLine="708"/>
        <w:jc w:val="both"/>
        <w:rPr>
          <w:noProof/>
          <w:lang w:val="be-BY"/>
        </w:rPr>
      </w:pPr>
    </w:p>
    <w:p w:rsidR="00D02DF1" w:rsidRDefault="00D02DF1" w:rsidP="00D02DF1">
      <w:pPr>
        <w:pStyle w:val="a7"/>
        <w:spacing w:line="340" w:lineRule="exact"/>
        <w:ind w:left="0" w:firstLine="708"/>
        <w:jc w:val="both"/>
        <w:rPr>
          <w:noProof/>
          <w:lang w:val="be-BY"/>
        </w:rPr>
      </w:pPr>
    </w:p>
    <w:p w:rsidR="00D02DF1" w:rsidRDefault="00D02DF1" w:rsidP="00D02DF1">
      <w:pPr>
        <w:pStyle w:val="a7"/>
        <w:spacing w:line="340" w:lineRule="exact"/>
        <w:ind w:left="0" w:firstLine="708"/>
        <w:jc w:val="both"/>
        <w:rPr>
          <w:noProof/>
          <w:lang w:val="be-BY"/>
        </w:rPr>
      </w:pPr>
    </w:p>
    <w:p w:rsidR="00D02DF1" w:rsidRDefault="00D02DF1" w:rsidP="00D02DF1">
      <w:pPr>
        <w:spacing w:line="340" w:lineRule="exact"/>
        <w:ind w:firstLine="709"/>
        <w:jc w:val="both"/>
        <w:rPr>
          <w:sz w:val="28"/>
          <w:szCs w:val="28"/>
          <w:lang w:val="be-BY"/>
        </w:rPr>
      </w:pPr>
      <w:r>
        <w:rPr>
          <w:sz w:val="28"/>
          <w:szCs w:val="28"/>
          <w:lang w:val="be-BY"/>
        </w:rPr>
        <w:t>С</w:t>
      </w:r>
      <w:proofErr w:type="spellStart"/>
      <w:r>
        <w:rPr>
          <w:sz w:val="28"/>
          <w:szCs w:val="28"/>
        </w:rPr>
        <w:t>труктурата</w:t>
      </w:r>
      <w:proofErr w:type="spellEnd"/>
      <w:r>
        <w:rPr>
          <w:sz w:val="28"/>
          <w:szCs w:val="28"/>
        </w:rPr>
        <w:t xml:space="preserve"> на новообразувани</w:t>
      </w:r>
      <w:r>
        <w:rPr>
          <w:sz w:val="28"/>
          <w:szCs w:val="28"/>
          <w:lang w:val="be-BY"/>
        </w:rPr>
        <w:t>те</w:t>
      </w:r>
      <w:r>
        <w:rPr>
          <w:sz w:val="28"/>
          <w:szCs w:val="28"/>
        </w:rPr>
        <w:t xml:space="preserve"> досъдебни производства, наблюдавани от прокуратурите от системата на Окръжна прокуратура - Сливен за 2024 г. и пострадали лица по тях</w:t>
      </w:r>
      <w:r>
        <w:rPr>
          <w:sz w:val="28"/>
          <w:szCs w:val="28"/>
          <w:lang w:val="be-BY"/>
        </w:rPr>
        <w:t xml:space="preserve"> с</w:t>
      </w:r>
      <w:proofErr w:type="spellStart"/>
      <w:r>
        <w:rPr>
          <w:sz w:val="28"/>
          <w:szCs w:val="28"/>
        </w:rPr>
        <w:t>ъобразно</w:t>
      </w:r>
      <w:proofErr w:type="spellEnd"/>
      <w:r>
        <w:rPr>
          <w:sz w:val="28"/>
          <w:szCs w:val="28"/>
        </w:rPr>
        <w:t xml:space="preserve"> систематиката на НК</w:t>
      </w:r>
      <w:r>
        <w:rPr>
          <w:sz w:val="28"/>
          <w:szCs w:val="28"/>
          <w:lang w:val="be-BY"/>
        </w:rPr>
        <w:t xml:space="preserve"> в табличен вид е следната:</w:t>
      </w:r>
      <w:r>
        <w:rPr>
          <w:noProof/>
          <w:lang w:val="be-BY"/>
        </w:rPr>
        <w:t xml:space="preserve"> </w:t>
      </w:r>
    </w:p>
    <w:p w:rsidR="00D02DF1" w:rsidRDefault="00D02DF1" w:rsidP="00D02DF1">
      <w:pPr>
        <w:spacing w:line="340" w:lineRule="exact"/>
        <w:ind w:firstLine="709"/>
        <w:jc w:val="both"/>
        <w:rPr>
          <w:bCs/>
          <w:i/>
          <w:iCs/>
          <w:color w:val="FFFFFF"/>
          <w:sz w:val="24"/>
          <w:szCs w:val="24"/>
          <w:lang w:val="be-BY"/>
        </w:rPr>
      </w:pP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2"/>
        <w:gridCol w:w="991"/>
        <w:gridCol w:w="1700"/>
        <w:gridCol w:w="1842"/>
      </w:tblGrid>
      <w:tr w:rsidR="00D02DF1" w:rsidTr="00D02DF1">
        <w:trPr>
          <w:trHeight w:val="160"/>
          <w:jc w:val="center"/>
        </w:trPr>
        <w:tc>
          <w:tcPr>
            <w:tcW w:w="4635" w:type="dxa"/>
            <w:tcBorders>
              <w:top w:val="single" w:sz="4" w:space="0" w:color="auto"/>
              <w:left w:val="single" w:sz="4" w:space="0" w:color="auto"/>
              <w:bottom w:val="single" w:sz="4" w:space="0" w:color="auto"/>
              <w:right w:val="single" w:sz="4" w:space="0" w:color="auto"/>
            </w:tcBorders>
            <w:shd w:val="pct5" w:color="000000" w:fill="FFFFFF"/>
            <w:hideMark/>
          </w:tcPr>
          <w:p w:rsidR="00D02DF1" w:rsidRDefault="00D02DF1">
            <w:pPr>
              <w:spacing w:line="340" w:lineRule="atLeast"/>
              <w:ind w:left="142" w:hanging="142"/>
              <w:jc w:val="center"/>
              <w:rPr>
                <w:lang w:eastAsia="en-US"/>
              </w:rPr>
            </w:pPr>
            <w:r>
              <w:rPr>
                <w:lang w:eastAsia="en-US"/>
              </w:rPr>
              <w:t>Глава от НК</w:t>
            </w:r>
          </w:p>
        </w:tc>
        <w:tc>
          <w:tcPr>
            <w:tcW w:w="992" w:type="dxa"/>
            <w:tcBorders>
              <w:top w:val="single" w:sz="4" w:space="0" w:color="auto"/>
              <w:left w:val="single" w:sz="4" w:space="0" w:color="auto"/>
              <w:bottom w:val="single" w:sz="4" w:space="0" w:color="auto"/>
              <w:right w:val="single" w:sz="4" w:space="0" w:color="auto"/>
            </w:tcBorders>
            <w:shd w:val="pct5" w:color="000000" w:fill="FFFFFF"/>
            <w:hideMark/>
          </w:tcPr>
          <w:p w:rsidR="00D02DF1" w:rsidRDefault="00D02DF1">
            <w:pPr>
              <w:spacing w:line="340" w:lineRule="atLeast"/>
              <w:ind w:left="142" w:hanging="142"/>
              <w:jc w:val="center"/>
              <w:rPr>
                <w:lang w:eastAsia="en-US"/>
              </w:rPr>
            </w:pPr>
            <w:r>
              <w:rPr>
                <w:lang w:eastAsia="en-US"/>
              </w:rPr>
              <w:t>Брой ДП</w:t>
            </w:r>
          </w:p>
        </w:tc>
        <w:tc>
          <w:tcPr>
            <w:tcW w:w="1701" w:type="dxa"/>
            <w:tcBorders>
              <w:top w:val="single" w:sz="4" w:space="0" w:color="auto"/>
              <w:left w:val="single" w:sz="4" w:space="0" w:color="auto"/>
              <w:bottom w:val="single" w:sz="4" w:space="0" w:color="auto"/>
              <w:right w:val="single" w:sz="4" w:space="0" w:color="auto"/>
            </w:tcBorders>
            <w:shd w:val="pct5" w:color="000000" w:fill="FFFFFF"/>
            <w:hideMark/>
          </w:tcPr>
          <w:p w:rsidR="00D02DF1" w:rsidRDefault="00D02DF1">
            <w:pPr>
              <w:spacing w:line="340" w:lineRule="atLeast"/>
              <w:jc w:val="center"/>
              <w:rPr>
                <w:lang w:eastAsia="en-US"/>
              </w:rPr>
            </w:pPr>
            <w:r>
              <w:rPr>
                <w:lang w:eastAsia="en-US"/>
              </w:rPr>
              <w:t>Брой пострадали  физически лица</w:t>
            </w:r>
          </w:p>
        </w:tc>
        <w:tc>
          <w:tcPr>
            <w:tcW w:w="1843" w:type="dxa"/>
            <w:tcBorders>
              <w:top w:val="single" w:sz="4" w:space="0" w:color="auto"/>
              <w:left w:val="single" w:sz="4" w:space="0" w:color="auto"/>
              <w:bottom w:val="single" w:sz="4" w:space="0" w:color="auto"/>
              <w:right w:val="single" w:sz="4" w:space="0" w:color="auto"/>
            </w:tcBorders>
            <w:shd w:val="pct5" w:color="000000" w:fill="FFFFFF"/>
            <w:hideMark/>
          </w:tcPr>
          <w:p w:rsidR="00D02DF1" w:rsidRDefault="00D02DF1">
            <w:pPr>
              <w:spacing w:line="340" w:lineRule="atLeast"/>
              <w:jc w:val="center"/>
              <w:rPr>
                <w:lang w:eastAsia="en-US"/>
              </w:rPr>
            </w:pPr>
            <w:r>
              <w:rPr>
                <w:lang w:eastAsia="en-US"/>
              </w:rPr>
              <w:t>Брой пострадали юридически лица</w:t>
            </w:r>
          </w:p>
        </w:tc>
      </w:tr>
      <w:tr w:rsidR="00D02DF1" w:rsidTr="00D02DF1">
        <w:trPr>
          <w:trHeight w:val="88"/>
          <w:jc w:val="center"/>
        </w:trPr>
        <w:tc>
          <w:tcPr>
            <w:tcW w:w="4635" w:type="dxa"/>
            <w:tcBorders>
              <w:top w:val="single" w:sz="4" w:space="0" w:color="auto"/>
              <w:left w:val="single" w:sz="4" w:space="0" w:color="auto"/>
              <w:bottom w:val="single" w:sz="4" w:space="0" w:color="auto"/>
              <w:right w:val="single" w:sz="4" w:space="0" w:color="auto"/>
            </w:tcBorders>
            <w:shd w:val="pct20" w:color="000000" w:fill="FFFFFF"/>
            <w:hideMark/>
          </w:tcPr>
          <w:p w:rsidR="00D02DF1" w:rsidRDefault="00D02DF1">
            <w:pPr>
              <w:spacing w:after="120" w:line="340" w:lineRule="atLeast"/>
              <w:ind w:left="142" w:hanging="142"/>
              <w:rPr>
                <w:b/>
                <w:i/>
                <w:sz w:val="16"/>
                <w:szCs w:val="16"/>
                <w:lang w:val="en-US" w:eastAsia="en-US"/>
              </w:rPr>
            </w:pPr>
            <w:r>
              <w:rPr>
                <w:b/>
                <w:i/>
                <w:sz w:val="16"/>
                <w:szCs w:val="16"/>
                <w:lang w:val="en-US" w:eastAsia="en-US"/>
              </w:rPr>
              <w:t>II-</w:t>
            </w:r>
            <w:r>
              <w:rPr>
                <w:b/>
                <w:i/>
                <w:sz w:val="16"/>
                <w:szCs w:val="16"/>
                <w:lang w:val="be-BY" w:eastAsia="en-US"/>
              </w:rPr>
              <w:t xml:space="preserve">Престъпления против личността </w:t>
            </w:r>
          </w:p>
        </w:tc>
        <w:tc>
          <w:tcPr>
            <w:tcW w:w="992" w:type="dxa"/>
            <w:tcBorders>
              <w:top w:val="single" w:sz="4" w:space="0" w:color="auto"/>
              <w:left w:val="single" w:sz="4" w:space="0" w:color="auto"/>
              <w:bottom w:val="single" w:sz="4" w:space="0" w:color="auto"/>
              <w:right w:val="single" w:sz="4" w:space="0" w:color="auto"/>
            </w:tcBorders>
            <w:shd w:val="pct20" w:color="000000" w:fill="FFFFFF"/>
            <w:hideMark/>
          </w:tcPr>
          <w:p w:rsidR="00D02DF1" w:rsidRDefault="00D02DF1">
            <w:pPr>
              <w:spacing w:after="120" w:line="340" w:lineRule="atLeast"/>
              <w:ind w:left="142" w:hanging="142"/>
              <w:jc w:val="right"/>
              <w:rPr>
                <w:sz w:val="24"/>
                <w:szCs w:val="24"/>
                <w:lang w:eastAsia="en-US"/>
              </w:rPr>
            </w:pPr>
            <w:r>
              <w:rPr>
                <w:sz w:val="24"/>
                <w:szCs w:val="24"/>
                <w:lang w:eastAsia="en-US"/>
              </w:rPr>
              <w:t>350</w:t>
            </w:r>
          </w:p>
        </w:tc>
        <w:tc>
          <w:tcPr>
            <w:tcW w:w="1701" w:type="dxa"/>
            <w:tcBorders>
              <w:top w:val="single" w:sz="4" w:space="0" w:color="auto"/>
              <w:left w:val="single" w:sz="4" w:space="0" w:color="auto"/>
              <w:bottom w:val="single" w:sz="4" w:space="0" w:color="auto"/>
              <w:right w:val="single" w:sz="4" w:space="0" w:color="auto"/>
            </w:tcBorders>
            <w:shd w:val="pct20" w:color="000000" w:fill="FFFFFF"/>
            <w:hideMark/>
          </w:tcPr>
          <w:p w:rsidR="00D02DF1" w:rsidRDefault="00D02DF1">
            <w:pPr>
              <w:spacing w:line="340" w:lineRule="atLeast"/>
              <w:ind w:firstLine="40"/>
              <w:jc w:val="right"/>
              <w:rPr>
                <w:sz w:val="24"/>
                <w:szCs w:val="24"/>
                <w:lang w:eastAsia="en-US"/>
              </w:rPr>
            </w:pPr>
            <w:r>
              <w:rPr>
                <w:sz w:val="24"/>
                <w:szCs w:val="24"/>
                <w:lang w:eastAsia="en-US"/>
              </w:rPr>
              <w:t>368</w:t>
            </w:r>
          </w:p>
        </w:tc>
        <w:tc>
          <w:tcPr>
            <w:tcW w:w="1843" w:type="dxa"/>
            <w:tcBorders>
              <w:top w:val="single" w:sz="4" w:space="0" w:color="auto"/>
              <w:left w:val="single" w:sz="4" w:space="0" w:color="auto"/>
              <w:bottom w:val="single" w:sz="4" w:space="0" w:color="auto"/>
              <w:right w:val="single" w:sz="4" w:space="0" w:color="auto"/>
            </w:tcBorders>
            <w:shd w:val="pct20" w:color="000000" w:fill="FFFFFF"/>
            <w:hideMark/>
          </w:tcPr>
          <w:p w:rsidR="00D02DF1" w:rsidRDefault="00D02DF1">
            <w:pPr>
              <w:spacing w:line="340" w:lineRule="atLeast"/>
              <w:ind w:firstLine="40"/>
              <w:jc w:val="right"/>
              <w:rPr>
                <w:sz w:val="24"/>
                <w:szCs w:val="24"/>
                <w:lang w:eastAsia="en-US"/>
              </w:rPr>
            </w:pPr>
            <w:r>
              <w:rPr>
                <w:sz w:val="24"/>
                <w:szCs w:val="24"/>
                <w:lang w:eastAsia="en-US"/>
              </w:rPr>
              <w:t>-</w:t>
            </w:r>
          </w:p>
        </w:tc>
      </w:tr>
      <w:tr w:rsidR="00D02DF1" w:rsidTr="00D02DF1">
        <w:trPr>
          <w:trHeight w:val="88"/>
          <w:jc w:val="center"/>
        </w:trPr>
        <w:tc>
          <w:tcPr>
            <w:tcW w:w="4635" w:type="dxa"/>
            <w:tcBorders>
              <w:top w:val="single" w:sz="4" w:space="0" w:color="auto"/>
              <w:left w:val="single" w:sz="4" w:space="0" w:color="auto"/>
              <w:bottom w:val="single" w:sz="4" w:space="0" w:color="auto"/>
              <w:right w:val="single" w:sz="4" w:space="0" w:color="auto"/>
            </w:tcBorders>
            <w:shd w:val="pct5" w:color="000000" w:fill="FFFFFF"/>
            <w:hideMark/>
          </w:tcPr>
          <w:p w:rsidR="00D02DF1" w:rsidRDefault="00D02DF1">
            <w:pPr>
              <w:spacing w:after="120" w:line="340" w:lineRule="atLeast"/>
              <w:ind w:left="142" w:hanging="142"/>
              <w:rPr>
                <w:b/>
                <w:i/>
                <w:sz w:val="16"/>
                <w:szCs w:val="16"/>
                <w:lang w:eastAsia="en-US"/>
              </w:rPr>
            </w:pPr>
            <w:r>
              <w:rPr>
                <w:b/>
                <w:i/>
                <w:sz w:val="16"/>
                <w:szCs w:val="16"/>
                <w:lang w:val="en-US" w:eastAsia="en-US"/>
              </w:rPr>
              <w:t>III</w:t>
            </w:r>
            <w:r>
              <w:rPr>
                <w:b/>
                <w:i/>
                <w:sz w:val="16"/>
                <w:szCs w:val="16"/>
                <w:lang w:eastAsia="en-US"/>
              </w:rPr>
              <w:t>-Престъпления против правата на гражданите</w:t>
            </w:r>
          </w:p>
        </w:tc>
        <w:tc>
          <w:tcPr>
            <w:tcW w:w="992" w:type="dxa"/>
            <w:tcBorders>
              <w:top w:val="single" w:sz="4" w:space="0" w:color="auto"/>
              <w:left w:val="single" w:sz="4" w:space="0" w:color="auto"/>
              <w:bottom w:val="single" w:sz="4" w:space="0" w:color="auto"/>
              <w:right w:val="single" w:sz="4" w:space="0" w:color="auto"/>
            </w:tcBorders>
            <w:shd w:val="pct5" w:color="000000" w:fill="FFFFFF"/>
            <w:hideMark/>
          </w:tcPr>
          <w:p w:rsidR="00D02DF1" w:rsidRDefault="00D02DF1">
            <w:pPr>
              <w:spacing w:after="120" w:line="340" w:lineRule="atLeast"/>
              <w:ind w:left="142" w:hanging="142"/>
              <w:jc w:val="right"/>
              <w:rPr>
                <w:sz w:val="24"/>
                <w:szCs w:val="24"/>
                <w:lang w:eastAsia="en-US"/>
              </w:rPr>
            </w:pPr>
            <w:r>
              <w:rPr>
                <w:sz w:val="24"/>
                <w:szCs w:val="24"/>
                <w:lang w:eastAsia="en-US"/>
              </w:rPr>
              <w:t>37</w:t>
            </w:r>
          </w:p>
        </w:tc>
        <w:tc>
          <w:tcPr>
            <w:tcW w:w="1701" w:type="dxa"/>
            <w:tcBorders>
              <w:top w:val="single" w:sz="4" w:space="0" w:color="auto"/>
              <w:left w:val="single" w:sz="4" w:space="0" w:color="auto"/>
              <w:bottom w:val="single" w:sz="4" w:space="0" w:color="auto"/>
              <w:right w:val="single" w:sz="4" w:space="0" w:color="auto"/>
            </w:tcBorders>
            <w:shd w:val="pct5" w:color="000000" w:fill="FFFFFF"/>
            <w:hideMark/>
          </w:tcPr>
          <w:p w:rsidR="00D02DF1" w:rsidRDefault="00D02DF1">
            <w:pPr>
              <w:spacing w:line="340" w:lineRule="atLeast"/>
              <w:ind w:firstLine="40"/>
              <w:jc w:val="right"/>
              <w:rPr>
                <w:sz w:val="24"/>
                <w:szCs w:val="24"/>
                <w:lang w:eastAsia="en-US"/>
              </w:rPr>
            </w:pPr>
            <w:r>
              <w:rPr>
                <w:sz w:val="24"/>
                <w:szCs w:val="24"/>
                <w:lang w:eastAsia="en-US"/>
              </w:rPr>
              <w:t>3</w:t>
            </w:r>
          </w:p>
        </w:tc>
        <w:tc>
          <w:tcPr>
            <w:tcW w:w="1843" w:type="dxa"/>
            <w:tcBorders>
              <w:top w:val="single" w:sz="4" w:space="0" w:color="auto"/>
              <w:left w:val="single" w:sz="4" w:space="0" w:color="auto"/>
              <w:bottom w:val="single" w:sz="4" w:space="0" w:color="auto"/>
              <w:right w:val="single" w:sz="4" w:space="0" w:color="auto"/>
            </w:tcBorders>
            <w:shd w:val="pct5" w:color="000000" w:fill="FFFFFF"/>
            <w:hideMark/>
          </w:tcPr>
          <w:p w:rsidR="00D02DF1" w:rsidRDefault="00D02DF1">
            <w:pPr>
              <w:spacing w:line="340" w:lineRule="atLeast"/>
              <w:ind w:firstLine="40"/>
              <w:jc w:val="right"/>
              <w:rPr>
                <w:sz w:val="24"/>
                <w:szCs w:val="24"/>
                <w:lang w:eastAsia="en-US"/>
              </w:rPr>
            </w:pPr>
            <w:r>
              <w:rPr>
                <w:sz w:val="24"/>
                <w:szCs w:val="24"/>
                <w:lang w:eastAsia="en-US"/>
              </w:rPr>
              <w:t>30</w:t>
            </w:r>
          </w:p>
        </w:tc>
      </w:tr>
      <w:tr w:rsidR="00D02DF1" w:rsidTr="00D02DF1">
        <w:trPr>
          <w:trHeight w:val="88"/>
          <w:jc w:val="center"/>
        </w:trPr>
        <w:tc>
          <w:tcPr>
            <w:tcW w:w="4635" w:type="dxa"/>
            <w:tcBorders>
              <w:top w:val="single" w:sz="4" w:space="0" w:color="auto"/>
              <w:left w:val="single" w:sz="4" w:space="0" w:color="auto"/>
              <w:bottom w:val="single" w:sz="4" w:space="0" w:color="auto"/>
              <w:right w:val="single" w:sz="4" w:space="0" w:color="auto"/>
            </w:tcBorders>
            <w:shd w:val="pct20" w:color="000000" w:fill="FFFFFF"/>
            <w:hideMark/>
          </w:tcPr>
          <w:p w:rsidR="00D02DF1" w:rsidRDefault="00D02DF1">
            <w:pPr>
              <w:spacing w:after="120" w:line="340" w:lineRule="atLeast"/>
              <w:ind w:left="142" w:hanging="142"/>
              <w:rPr>
                <w:b/>
                <w:i/>
                <w:sz w:val="16"/>
                <w:szCs w:val="16"/>
                <w:lang w:eastAsia="en-US"/>
              </w:rPr>
            </w:pPr>
            <w:r>
              <w:rPr>
                <w:b/>
                <w:i/>
                <w:sz w:val="16"/>
                <w:szCs w:val="16"/>
                <w:lang w:val="en-US" w:eastAsia="en-US"/>
              </w:rPr>
              <w:t>IV</w:t>
            </w:r>
            <w:r>
              <w:rPr>
                <w:b/>
                <w:i/>
                <w:sz w:val="16"/>
                <w:szCs w:val="16"/>
                <w:lang w:eastAsia="en-US"/>
              </w:rPr>
              <w:t>-Престъпления против брака и семейството</w:t>
            </w:r>
          </w:p>
        </w:tc>
        <w:tc>
          <w:tcPr>
            <w:tcW w:w="992" w:type="dxa"/>
            <w:tcBorders>
              <w:top w:val="single" w:sz="4" w:space="0" w:color="auto"/>
              <w:left w:val="single" w:sz="4" w:space="0" w:color="auto"/>
              <w:bottom w:val="single" w:sz="4" w:space="0" w:color="auto"/>
              <w:right w:val="single" w:sz="4" w:space="0" w:color="auto"/>
            </w:tcBorders>
            <w:shd w:val="pct20" w:color="000000" w:fill="FFFFFF"/>
            <w:hideMark/>
          </w:tcPr>
          <w:p w:rsidR="00D02DF1" w:rsidRDefault="00D02DF1">
            <w:pPr>
              <w:spacing w:after="120" w:line="340" w:lineRule="atLeast"/>
              <w:ind w:left="142" w:hanging="142"/>
              <w:jc w:val="right"/>
              <w:rPr>
                <w:sz w:val="24"/>
                <w:szCs w:val="24"/>
                <w:lang w:eastAsia="en-US"/>
              </w:rPr>
            </w:pPr>
            <w:r>
              <w:rPr>
                <w:sz w:val="24"/>
                <w:szCs w:val="24"/>
                <w:lang w:val="be-BY" w:eastAsia="en-US"/>
              </w:rPr>
              <w:t>158</w:t>
            </w:r>
          </w:p>
        </w:tc>
        <w:tc>
          <w:tcPr>
            <w:tcW w:w="1701" w:type="dxa"/>
            <w:tcBorders>
              <w:top w:val="single" w:sz="4" w:space="0" w:color="auto"/>
              <w:left w:val="single" w:sz="4" w:space="0" w:color="auto"/>
              <w:bottom w:val="single" w:sz="4" w:space="0" w:color="auto"/>
              <w:right w:val="single" w:sz="4" w:space="0" w:color="auto"/>
            </w:tcBorders>
            <w:shd w:val="pct20" w:color="000000" w:fill="FFFFFF"/>
            <w:hideMark/>
          </w:tcPr>
          <w:p w:rsidR="00D02DF1" w:rsidRDefault="00D02DF1">
            <w:pPr>
              <w:spacing w:line="340" w:lineRule="atLeast"/>
              <w:ind w:firstLine="40"/>
              <w:jc w:val="right"/>
              <w:rPr>
                <w:sz w:val="24"/>
                <w:szCs w:val="24"/>
                <w:lang w:eastAsia="en-US"/>
              </w:rPr>
            </w:pPr>
            <w:r>
              <w:rPr>
                <w:sz w:val="24"/>
                <w:szCs w:val="24"/>
                <w:lang w:eastAsia="en-US"/>
              </w:rPr>
              <w:t>117</w:t>
            </w:r>
          </w:p>
        </w:tc>
        <w:tc>
          <w:tcPr>
            <w:tcW w:w="1843" w:type="dxa"/>
            <w:tcBorders>
              <w:top w:val="single" w:sz="4" w:space="0" w:color="auto"/>
              <w:left w:val="single" w:sz="4" w:space="0" w:color="auto"/>
              <w:bottom w:val="single" w:sz="4" w:space="0" w:color="auto"/>
              <w:right w:val="single" w:sz="4" w:space="0" w:color="auto"/>
            </w:tcBorders>
            <w:shd w:val="pct20" w:color="000000" w:fill="FFFFFF"/>
            <w:hideMark/>
          </w:tcPr>
          <w:p w:rsidR="00D02DF1" w:rsidRDefault="00D02DF1">
            <w:pPr>
              <w:spacing w:line="340" w:lineRule="atLeast"/>
              <w:ind w:firstLine="40"/>
              <w:jc w:val="right"/>
              <w:rPr>
                <w:sz w:val="24"/>
                <w:szCs w:val="24"/>
                <w:lang w:val="be-BY" w:eastAsia="en-US"/>
              </w:rPr>
            </w:pPr>
            <w:r>
              <w:rPr>
                <w:sz w:val="24"/>
                <w:szCs w:val="24"/>
                <w:lang w:val="be-BY" w:eastAsia="en-US"/>
              </w:rPr>
              <w:t>0</w:t>
            </w:r>
          </w:p>
        </w:tc>
      </w:tr>
      <w:tr w:rsidR="00D02DF1" w:rsidTr="00D02DF1">
        <w:trPr>
          <w:trHeight w:val="91"/>
          <w:jc w:val="center"/>
        </w:trPr>
        <w:tc>
          <w:tcPr>
            <w:tcW w:w="4635" w:type="dxa"/>
            <w:tcBorders>
              <w:top w:val="single" w:sz="4" w:space="0" w:color="auto"/>
              <w:left w:val="single" w:sz="4" w:space="0" w:color="auto"/>
              <w:bottom w:val="single" w:sz="4" w:space="0" w:color="auto"/>
              <w:right w:val="single" w:sz="4" w:space="0" w:color="auto"/>
            </w:tcBorders>
            <w:shd w:val="pct5" w:color="000000" w:fill="FFFFFF"/>
            <w:hideMark/>
          </w:tcPr>
          <w:p w:rsidR="00D02DF1" w:rsidRDefault="00D02DF1">
            <w:pPr>
              <w:spacing w:after="120" w:line="340" w:lineRule="atLeast"/>
              <w:ind w:left="142" w:hanging="142"/>
              <w:rPr>
                <w:b/>
                <w:i/>
                <w:sz w:val="16"/>
                <w:szCs w:val="16"/>
                <w:lang w:eastAsia="en-US"/>
              </w:rPr>
            </w:pPr>
            <w:r>
              <w:rPr>
                <w:b/>
                <w:i/>
                <w:sz w:val="16"/>
                <w:szCs w:val="16"/>
                <w:lang w:val="en-US" w:eastAsia="en-US"/>
              </w:rPr>
              <w:t>V-</w:t>
            </w:r>
            <w:r>
              <w:rPr>
                <w:b/>
                <w:i/>
                <w:sz w:val="16"/>
                <w:szCs w:val="16"/>
                <w:lang w:eastAsia="en-US"/>
              </w:rPr>
              <w:t>Престъпления против собствеността</w:t>
            </w:r>
          </w:p>
        </w:tc>
        <w:tc>
          <w:tcPr>
            <w:tcW w:w="992" w:type="dxa"/>
            <w:tcBorders>
              <w:top w:val="single" w:sz="4" w:space="0" w:color="auto"/>
              <w:left w:val="single" w:sz="4" w:space="0" w:color="auto"/>
              <w:bottom w:val="single" w:sz="4" w:space="0" w:color="auto"/>
              <w:right w:val="single" w:sz="4" w:space="0" w:color="auto"/>
            </w:tcBorders>
            <w:shd w:val="pct5" w:color="000000" w:fill="FFFFFF"/>
            <w:hideMark/>
          </w:tcPr>
          <w:p w:rsidR="00D02DF1" w:rsidRDefault="00D02DF1">
            <w:pPr>
              <w:spacing w:after="120" w:line="340" w:lineRule="atLeast"/>
              <w:ind w:left="142" w:hanging="142"/>
              <w:jc w:val="right"/>
              <w:rPr>
                <w:sz w:val="24"/>
                <w:szCs w:val="24"/>
                <w:lang w:eastAsia="en-US"/>
              </w:rPr>
            </w:pPr>
            <w:r>
              <w:rPr>
                <w:sz w:val="24"/>
                <w:szCs w:val="24"/>
                <w:lang w:eastAsia="en-US"/>
              </w:rPr>
              <w:t>839</w:t>
            </w:r>
          </w:p>
        </w:tc>
        <w:tc>
          <w:tcPr>
            <w:tcW w:w="1701" w:type="dxa"/>
            <w:tcBorders>
              <w:top w:val="single" w:sz="4" w:space="0" w:color="auto"/>
              <w:left w:val="single" w:sz="4" w:space="0" w:color="auto"/>
              <w:bottom w:val="single" w:sz="4" w:space="0" w:color="auto"/>
              <w:right w:val="single" w:sz="4" w:space="0" w:color="auto"/>
            </w:tcBorders>
            <w:shd w:val="pct5" w:color="000000" w:fill="FFFFFF"/>
            <w:hideMark/>
          </w:tcPr>
          <w:p w:rsidR="00D02DF1" w:rsidRDefault="00D02DF1">
            <w:pPr>
              <w:spacing w:line="340" w:lineRule="atLeast"/>
              <w:ind w:firstLine="40"/>
              <w:jc w:val="right"/>
              <w:rPr>
                <w:sz w:val="24"/>
                <w:szCs w:val="24"/>
                <w:lang w:eastAsia="en-US"/>
              </w:rPr>
            </w:pPr>
            <w:r>
              <w:rPr>
                <w:sz w:val="24"/>
                <w:szCs w:val="24"/>
                <w:lang w:eastAsia="en-US"/>
              </w:rPr>
              <w:t>721</w:t>
            </w:r>
          </w:p>
        </w:tc>
        <w:tc>
          <w:tcPr>
            <w:tcW w:w="1843" w:type="dxa"/>
            <w:tcBorders>
              <w:top w:val="single" w:sz="4" w:space="0" w:color="auto"/>
              <w:left w:val="single" w:sz="4" w:space="0" w:color="auto"/>
              <w:bottom w:val="single" w:sz="4" w:space="0" w:color="auto"/>
              <w:right w:val="single" w:sz="4" w:space="0" w:color="auto"/>
            </w:tcBorders>
            <w:shd w:val="pct5" w:color="000000" w:fill="FFFFFF"/>
            <w:hideMark/>
          </w:tcPr>
          <w:p w:rsidR="00D02DF1" w:rsidRDefault="00D02DF1">
            <w:pPr>
              <w:spacing w:line="340" w:lineRule="atLeast"/>
              <w:ind w:firstLine="40"/>
              <w:jc w:val="right"/>
              <w:rPr>
                <w:sz w:val="24"/>
                <w:szCs w:val="24"/>
                <w:lang w:eastAsia="en-US"/>
              </w:rPr>
            </w:pPr>
            <w:r>
              <w:rPr>
                <w:sz w:val="24"/>
                <w:szCs w:val="24"/>
                <w:lang w:eastAsia="en-US"/>
              </w:rPr>
              <w:t>132</w:t>
            </w:r>
          </w:p>
        </w:tc>
      </w:tr>
      <w:tr w:rsidR="00D02DF1" w:rsidTr="00D02DF1">
        <w:trPr>
          <w:trHeight w:val="88"/>
          <w:jc w:val="center"/>
        </w:trPr>
        <w:tc>
          <w:tcPr>
            <w:tcW w:w="4635" w:type="dxa"/>
            <w:tcBorders>
              <w:top w:val="single" w:sz="4" w:space="0" w:color="auto"/>
              <w:left w:val="single" w:sz="4" w:space="0" w:color="auto"/>
              <w:bottom w:val="single" w:sz="4" w:space="0" w:color="auto"/>
              <w:right w:val="single" w:sz="4" w:space="0" w:color="auto"/>
            </w:tcBorders>
            <w:shd w:val="pct20" w:color="000000" w:fill="FFFFFF"/>
            <w:hideMark/>
          </w:tcPr>
          <w:p w:rsidR="00D02DF1" w:rsidRDefault="00D02DF1">
            <w:pPr>
              <w:spacing w:after="120" w:line="340" w:lineRule="atLeast"/>
              <w:ind w:left="142" w:hanging="142"/>
              <w:rPr>
                <w:b/>
                <w:i/>
                <w:sz w:val="16"/>
                <w:szCs w:val="16"/>
                <w:lang w:eastAsia="en-US"/>
              </w:rPr>
            </w:pPr>
            <w:r>
              <w:rPr>
                <w:b/>
                <w:i/>
                <w:sz w:val="16"/>
                <w:szCs w:val="16"/>
                <w:lang w:val="en-US" w:eastAsia="en-US"/>
              </w:rPr>
              <w:t>VI-</w:t>
            </w:r>
            <w:r>
              <w:rPr>
                <w:b/>
                <w:i/>
                <w:sz w:val="16"/>
                <w:szCs w:val="16"/>
                <w:lang w:eastAsia="en-US"/>
              </w:rPr>
              <w:t>Престъпления против стопанството</w:t>
            </w:r>
          </w:p>
        </w:tc>
        <w:tc>
          <w:tcPr>
            <w:tcW w:w="992" w:type="dxa"/>
            <w:tcBorders>
              <w:top w:val="single" w:sz="4" w:space="0" w:color="auto"/>
              <w:left w:val="single" w:sz="4" w:space="0" w:color="auto"/>
              <w:bottom w:val="single" w:sz="4" w:space="0" w:color="auto"/>
              <w:right w:val="single" w:sz="4" w:space="0" w:color="auto"/>
            </w:tcBorders>
            <w:shd w:val="pct20" w:color="000000" w:fill="FFFFFF"/>
            <w:hideMark/>
          </w:tcPr>
          <w:p w:rsidR="00D02DF1" w:rsidRDefault="00D02DF1">
            <w:pPr>
              <w:spacing w:after="120" w:line="340" w:lineRule="atLeast"/>
              <w:ind w:left="142" w:hanging="142"/>
              <w:jc w:val="right"/>
              <w:rPr>
                <w:sz w:val="24"/>
                <w:szCs w:val="24"/>
                <w:lang w:eastAsia="en-US"/>
              </w:rPr>
            </w:pPr>
            <w:r>
              <w:rPr>
                <w:sz w:val="24"/>
                <w:szCs w:val="24"/>
                <w:lang w:val="be-BY" w:eastAsia="en-US"/>
              </w:rPr>
              <w:t>94</w:t>
            </w:r>
          </w:p>
        </w:tc>
        <w:tc>
          <w:tcPr>
            <w:tcW w:w="1701" w:type="dxa"/>
            <w:tcBorders>
              <w:top w:val="single" w:sz="4" w:space="0" w:color="auto"/>
              <w:left w:val="single" w:sz="4" w:space="0" w:color="auto"/>
              <w:bottom w:val="single" w:sz="4" w:space="0" w:color="auto"/>
              <w:right w:val="single" w:sz="4" w:space="0" w:color="auto"/>
            </w:tcBorders>
            <w:shd w:val="pct20" w:color="000000" w:fill="FFFFFF"/>
            <w:hideMark/>
          </w:tcPr>
          <w:p w:rsidR="00D02DF1" w:rsidRDefault="00D02DF1">
            <w:pPr>
              <w:spacing w:line="340" w:lineRule="atLeast"/>
              <w:ind w:firstLine="40"/>
              <w:jc w:val="right"/>
              <w:rPr>
                <w:sz w:val="24"/>
                <w:szCs w:val="24"/>
                <w:lang w:eastAsia="en-US"/>
              </w:rPr>
            </w:pPr>
            <w:r>
              <w:rPr>
                <w:sz w:val="24"/>
                <w:szCs w:val="24"/>
                <w:lang w:eastAsia="en-US"/>
              </w:rPr>
              <w:t>34</w:t>
            </w:r>
          </w:p>
        </w:tc>
        <w:tc>
          <w:tcPr>
            <w:tcW w:w="1843" w:type="dxa"/>
            <w:tcBorders>
              <w:top w:val="single" w:sz="4" w:space="0" w:color="auto"/>
              <w:left w:val="single" w:sz="4" w:space="0" w:color="auto"/>
              <w:bottom w:val="single" w:sz="4" w:space="0" w:color="auto"/>
              <w:right w:val="single" w:sz="4" w:space="0" w:color="auto"/>
            </w:tcBorders>
            <w:shd w:val="pct20" w:color="000000" w:fill="FFFFFF"/>
            <w:hideMark/>
          </w:tcPr>
          <w:p w:rsidR="00D02DF1" w:rsidRDefault="00D02DF1">
            <w:pPr>
              <w:spacing w:line="340" w:lineRule="atLeast"/>
              <w:ind w:firstLine="40"/>
              <w:jc w:val="right"/>
              <w:rPr>
                <w:sz w:val="24"/>
                <w:szCs w:val="24"/>
                <w:lang w:eastAsia="en-US"/>
              </w:rPr>
            </w:pPr>
            <w:r>
              <w:rPr>
                <w:sz w:val="24"/>
                <w:szCs w:val="24"/>
                <w:lang w:eastAsia="en-US"/>
              </w:rPr>
              <w:t>2</w:t>
            </w:r>
          </w:p>
        </w:tc>
      </w:tr>
      <w:tr w:rsidR="00D02DF1" w:rsidTr="00D02DF1">
        <w:trPr>
          <w:trHeight w:val="108"/>
          <w:jc w:val="center"/>
        </w:trPr>
        <w:tc>
          <w:tcPr>
            <w:tcW w:w="4635" w:type="dxa"/>
            <w:tcBorders>
              <w:top w:val="single" w:sz="4" w:space="0" w:color="auto"/>
              <w:left w:val="single" w:sz="4" w:space="0" w:color="auto"/>
              <w:bottom w:val="single" w:sz="4" w:space="0" w:color="auto"/>
              <w:right w:val="single" w:sz="4" w:space="0" w:color="auto"/>
            </w:tcBorders>
            <w:shd w:val="pct5" w:color="000000" w:fill="FFFFFF"/>
            <w:hideMark/>
          </w:tcPr>
          <w:p w:rsidR="00D02DF1" w:rsidRDefault="00D02DF1">
            <w:pPr>
              <w:spacing w:after="120" w:line="340" w:lineRule="atLeast"/>
              <w:ind w:left="142" w:hanging="142"/>
              <w:rPr>
                <w:b/>
                <w:i/>
                <w:sz w:val="16"/>
                <w:szCs w:val="16"/>
                <w:lang w:eastAsia="en-US"/>
              </w:rPr>
            </w:pPr>
            <w:r>
              <w:rPr>
                <w:b/>
                <w:i/>
                <w:sz w:val="16"/>
                <w:szCs w:val="16"/>
                <w:lang w:val="en-US" w:eastAsia="en-US"/>
              </w:rPr>
              <w:t>VII</w:t>
            </w:r>
            <w:r>
              <w:rPr>
                <w:b/>
                <w:i/>
                <w:sz w:val="16"/>
                <w:szCs w:val="16"/>
                <w:lang w:eastAsia="en-US"/>
              </w:rPr>
              <w:t>-Престъпления против финансовата, данъчната и осигурителната системи</w:t>
            </w:r>
          </w:p>
        </w:tc>
        <w:tc>
          <w:tcPr>
            <w:tcW w:w="992" w:type="dxa"/>
            <w:tcBorders>
              <w:top w:val="single" w:sz="4" w:space="0" w:color="auto"/>
              <w:left w:val="single" w:sz="4" w:space="0" w:color="auto"/>
              <w:bottom w:val="single" w:sz="4" w:space="0" w:color="auto"/>
              <w:right w:val="single" w:sz="4" w:space="0" w:color="auto"/>
            </w:tcBorders>
            <w:shd w:val="pct5" w:color="000000" w:fill="FFFFFF"/>
            <w:hideMark/>
          </w:tcPr>
          <w:p w:rsidR="00D02DF1" w:rsidRDefault="00D02DF1">
            <w:pPr>
              <w:spacing w:after="120" w:line="340" w:lineRule="atLeast"/>
              <w:ind w:left="142" w:hanging="142"/>
              <w:jc w:val="right"/>
              <w:rPr>
                <w:sz w:val="24"/>
                <w:szCs w:val="24"/>
                <w:lang w:val="be-BY" w:eastAsia="en-US"/>
              </w:rPr>
            </w:pPr>
            <w:r>
              <w:rPr>
                <w:sz w:val="24"/>
                <w:szCs w:val="24"/>
                <w:lang w:val="be-BY" w:eastAsia="en-US"/>
              </w:rPr>
              <w:t>7</w:t>
            </w:r>
          </w:p>
        </w:tc>
        <w:tc>
          <w:tcPr>
            <w:tcW w:w="1701" w:type="dxa"/>
            <w:tcBorders>
              <w:top w:val="single" w:sz="4" w:space="0" w:color="auto"/>
              <w:left w:val="single" w:sz="4" w:space="0" w:color="auto"/>
              <w:bottom w:val="single" w:sz="4" w:space="0" w:color="auto"/>
              <w:right w:val="single" w:sz="4" w:space="0" w:color="auto"/>
            </w:tcBorders>
            <w:shd w:val="pct5" w:color="000000" w:fill="FFFFFF"/>
            <w:hideMark/>
          </w:tcPr>
          <w:p w:rsidR="00D02DF1" w:rsidRDefault="00D02DF1">
            <w:pPr>
              <w:spacing w:line="340" w:lineRule="atLeast"/>
              <w:ind w:firstLine="40"/>
              <w:jc w:val="right"/>
              <w:rPr>
                <w:sz w:val="24"/>
                <w:szCs w:val="24"/>
                <w:lang w:eastAsia="en-US"/>
              </w:rPr>
            </w:pPr>
            <w:r>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shd w:val="pct5" w:color="000000" w:fill="FFFFFF"/>
            <w:hideMark/>
          </w:tcPr>
          <w:p w:rsidR="00D02DF1" w:rsidRDefault="00D02DF1">
            <w:pPr>
              <w:spacing w:line="340" w:lineRule="atLeast"/>
              <w:ind w:firstLine="40"/>
              <w:jc w:val="right"/>
              <w:rPr>
                <w:sz w:val="24"/>
                <w:szCs w:val="24"/>
                <w:lang w:eastAsia="en-US"/>
              </w:rPr>
            </w:pPr>
            <w:r>
              <w:rPr>
                <w:sz w:val="24"/>
                <w:szCs w:val="24"/>
                <w:lang w:eastAsia="en-US"/>
              </w:rPr>
              <w:t>-</w:t>
            </w:r>
          </w:p>
        </w:tc>
      </w:tr>
      <w:tr w:rsidR="00D02DF1" w:rsidTr="00D02DF1">
        <w:trPr>
          <w:trHeight w:val="119"/>
          <w:jc w:val="center"/>
        </w:trPr>
        <w:tc>
          <w:tcPr>
            <w:tcW w:w="4635" w:type="dxa"/>
            <w:tcBorders>
              <w:top w:val="single" w:sz="4" w:space="0" w:color="auto"/>
              <w:left w:val="single" w:sz="4" w:space="0" w:color="auto"/>
              <w:bottom w:val="single" w:sz="4" w:space="0" w:color="auto"/>
              <w:right w:val="single" w:sz="4" w:space="0" w:color="auto"/>
            </w:tcBorders>
            <w:shd w:val="pct20" w:color="000000" w:fill="FFFFFF"/>
            <w:hideMark/>
          </w:tcPr>
          <w:p w:rsidR="00D02DF1" w:rsidRDefault="00D02DF1">
            <w:pPr>
              <w:spacing w:after="120" w:line="340" w:lineRule="atLeast"/>
              <w:ind w:left="142" w:hanging="142"/>
              <w:rPr>
                <w:b/>
                <w:i/>
                <w:sz w:val="16"/>
                <w:szCs w:val="16"/>
                <w:lang w:eastAsia="en-US"/>
              </w:rPr>
            </w:pPr>
            <w:r>
              <w:rPr>
                <w:b/>
                <w:i/>
                <w:sz w:val="16"/>
                <w:szCs w:val="16"/>
                <w:lang w:val="en-US" w:eastAsia="en-US"/>
              </w:rPr>
              <w:t>VI</w:t>
            </w:r>
            <w:r>
              <w:rPr>
                <w:b/>
                <w:i/>
                <w:sz w:val="16"/>
                <w:szCs w:val="16"/>
                <w:lang w:eastAsia="en-US"/>
              </w:rPr>
              <w:t>П-</w:t>
            </w:r>
            <w:r>
              <w:rPr>
                <w:b/>
                <w:i/>
                <w:sz w:val="16"/>
                <w:szCs w:val="16"/>
                <w:lang w:val="be-BY" w:eastAsia="en-US"/>
              </w:rPr>
              <w:t>п</w:t>
            </w:r>
            <w:proofErr w:type="spellStart"/>
            <w:r>
              <w:rPr>
                <w:b/>
                <w:i/>
                <w:sz w:val="16"/>
                <w:szCs w:val="16"/>
                <w:lang w:eastAsia="en-US"/>
              </w:rPr>
              <w:t>рестъпления</w:t>
            </w:r>
            <w:proofErr w:type="spellEnd"/>
            <w:r>
              <w:rPr>
                <w:b/>
                <w:i/>
                <w:sz w:val="16"/>
                <w:szCs w:val="16"/>
                <w:lang w:eastAsia="en-US"/>
              </w:rPr>
              <w:t xml:space="preserve"> против дейността на държавни органи, общ. организации и лица, изпълняващи публични функции</w:t>
            </w:r>
          </w:p>
        </w:tc>
        <w:tc>
          <w:tcPr>
            <w:tcW w:w="992" w:type="dxa"/>
            <w:tcBorders>
              <w:top w:val="single" w:sz="4" w:space="0" w:color="auto"/>
              <w:left w:val="single" w:sz="4" w:space="0" w:color="auto"/>
              <w:bottom w:val="single" w:sz="4" w:space="0" w:color="auto"/>
              <w:right w:val="single" w:sz="4" w:space="0" w:color="auto"/>
            </w:tcBorders>
            <w:shd w:val="pct20" w:color="000000" w:fill="FFFFFF"/>
            <w:hideMark/>
          </w:tcPr>
          <w:p w:rsidR="00D02DF1" w:rsidRDefault="00D02DF1">
            <w:pPr>
              <w:spacing w:after="120" w:line="340" w:lineRule="atLeast"/>
              <w:ind w:left="142" w:hanging="142"/>
              <w:jc w:val="right"/>
              <w:rPr>
                <w:sz w:val="24"/>
                <w:szCs w:val="24"/>
                <w:lang w:eastAsia="en-US"/>
              </w:rPr>
            </w:pPr>
            <w:r>
              <w:rPr>
                <w:sz w:val="24"/>
                <w:szCs w:val="24"/>
                <w:lang w:val="be-BY" w:eastAsia="en-US"/>
              </w:rPr>
              <w:t>45</w:t>
            </w:r>
          </w:p>
        </w:tc>
        <w:tc>
          <w:tcPr>
            <w:tcW w:w="1701" w:type="dxa"/>
            <w:tcBorders>
              <w:top w:val="single" w:sz="4" w:space="0" w:color="auto"/>
              <w:left w:val="single" w:sz="4" w:space="0" w:color="auto"/>
              <w:bottom w:val="single" w:sz="4" w:space="0" w:color="auto"/>
              <w:right w:val="single" w:sz="4" w:space="0" w:color="auto"/>
            </w:tcBorders>
            <w:shd w:val="pct20" w:color="000000" w:fill="FFFFFF"/>
            <w:hideMark/>
          </w:tcPr>
          <w:p w:rsidR="00D02DF1" w:rsidRDefault="00D02DF1">
            <w:pPr>
              <w:spacing w:line="340" w:lineRule="atLeast"/>
              <w:ind w:firstLine="40"/>
              <w:jc w:val="right"/>
              <w:rPr>
                <w:sz w:val="24"/>
                <w:szCs w:val="24"/>
                <w:lang w:eastAsia="en-US"/>
              </w:rPr>
            </w:pPr>
            <w:r>
              <w:rPr>
                <w:sz w:val="24"/>
                <w:szCs w:val="24"/>
                <w:lang w:eastAsia="en-US"/>
              </w:rPr>
              <w:t>19</w:t>
            </w:r>
          </w:p>
        </w:tc>
        <w:tc>
          <w:tcPr>
            <w:tcW w:w="1843" w:type="dxa"/>
            <w:tcBorders>
              <w:top w:val="single" w:sz="4" w:space="0" w:color="auto"/>
              <w:left w:val="single" w:sz="4" w:space="0" w:color="auto"/>
              <w:bottom w:val="single" w:sz="4" w:space="0" w:color="auto"/>
              <w:right w:val="single" w:sz="4" w:space="0" w:color="auto"/>
            </w:tcBorders>
            <w:shd w:val="pct20" w:color="000000" w:fill="FFFFFF"/>
            <w:hideMark/>
          </w:tcPr>
          <w:p w:rsidR="00D02DF1" w:rsidRDefault="00D02DF1">
            <w:pPr>
              <w:spacing w:line="340" w:lineRule="atLeast"/>
              <w:ind w:firstLine="40"/>
              <w:jc w:val="right"/>
              <w:rPr>
                <w:sz w:val="24"/>
                <w:szCs w:val="24"/>
                <w:lang w:eastAsia="en-US"/>
              </w:rPr>
            </w:pPr>
            <w:r>
              <w:rPr>
                <w:sz w:val="24"/>
                <w:szCs w:val="24"/>
                <w:lang w:eastAsia="en-US"/>
              </w:rPr>
              <w:t>-</w:t>
            </w:r>
          </w:p>
        </w:tc>
      </w:tr>
      <w:tr w:rsidR="00D02DF1" w:rsidTr="00D02DF1">
        <w:trPr>
          <w:trHeight w:val="341"/>
          <w:jc w:val="center"/>
        </w:trPr>
        <w:tc>
          <w:tcPr>
            <w:tcW w:w="4635" w:type="dxa"/>
            <w:tcBorders>
              <w:top w:val="single" w:sz="4" w:space="0" w:color="auto"/>
              <w:left w:val="single" w:sz="4" w:space="0" w:color="auto"/>
              <w:bottom w:val="single" w:sz="4" w:space="0" w:color="auto"/>
              <w:right w:val="single" w:sz="4" w:space="0" w:color="auto"/>
            </w:tcBorders>
            <w:shd w:val="pct5" w:color="000000" w:fill="FFFFFF"/>
            <w:hideMark/>
          </w:tcPr>
          <w:p w:rsidR="00D02DF1" w:rsidRDefault="00D02DF1">
            <w:pPr>
              <w:spacing w:after="120" w:line="340" w:lineRule="atLeast"/>
              <w:ind w:left="142" w:hanging="142"/>
              <w:rPr>
                <w:b/>
                <w:i/>
                <w:sz w:val="16"/>
                <w:szCs w:val="16"/>
                <w:lang w:eastAsia="en-US"/>
              </w:rPr>
            </w:pPr>
            <w:r>
              <w:rPr>
                <w:b/>
                <w:i/>
                <w:sz w:val="16"/>
                <w:szCs w:val="16"/>
                <w:lang w:val="en-US" w:eastAsia="en-US"/>
              </w:rPr>
              <w:t>IX-</w:t>
            </w:r>
            <w:r>
              <w:rPr>
                <w:b/>
                <w:i/>
                <w:sz w:val="16"/>
                <w:szCs w:val="16"/>
                <w:lang w:eastAsia="en-US"/>
              </w:rPr>
              <w:t>Документни престъпления</w:t>
            </w:r>
          </w:p>
        </w:tc>
        <w:tc>
          <w:tcPr>
            <w:tcW w:w="992" w:type="dxa"/>
            <w:tcBorders>
              <w:top w:val="single" w:sz="4" w:space="0" w:color="auto"/>
              <w:left w:val="single" w:sz="4" w:space="0" w:color="auto"/>
              <w:bottom w:val="single" w:sz="4" w:space="0" w:color="auto"/>
              <w:right w:val="single" w:sz="4" w:space="0" w:color="auto"/>
            </w:tcBorders>
            <w:shd w:val="pct5" w:color="000000" w:fill="FFFFFF"/>
            <w:hideMark/>
          </w:tcPr>
          <w:p w:rsidR="00D02DF1" w:rsidRDefault="00D02DF1">
            <w:pPr>
              <w:spacing w:after="120" w:line="340" w:lineRule="atLeast"/>
              <w:ind w:left="142" w:hanging="142"/>
              <w:jc w:val="right"/>
              <w:rPr>
                <w:sz w:val="24"/>
                <w:szCs w:val="24"/>
                <w:lang w:eastAsia="en-US"/>
              </w:rPr>
            </w:pPr>
            <w:r>
              <w:rPr>
                <w:sz w:val="24"/>
                <w:szCs w:val="24"/>
                <w:lang w:eastAsia="en-US"/>
              </w:rPr>
              <w:t>50</w:t>
            </w:r>
          </w:p>
        </w:tc>
        <w:tc>
          <w:tcPr>
            <w:tcW w:w="1701" w:type="dxa"/>
            <w:tcBorders>
              <w:top w:val="single" w:sz="4" w:space="0" w:color="auto"/>
              <w:left w:val="single" w:sz="4" w:space="0" w:color="auto"/>
              <w:bottom w:val="single" w:sz="4" w:space="0" w:color="auto"/>
              <w:right w:val="single" w:sz="4" w:space="0" w:color="auto"/>
            </w:tcBorders>
            <w:shd w:val="pct5" w:color="000000" w:fill="FFFFFF"/>
            <w:hideMark/>
          </w:tcPr>
          <w:p w:rsidR="00D02DF1" w:rsidRDefault="00D02DF1">
            <w:pPr>
              <w:spacing w:line="340" w:lineRule="atLeast"/>
              <w:ind w:firstLine="40"/>
              <w:jc w:val="right"/>
              <w:rPr>
                <w:sz w:val="24"/>
                <w:szCs w:val="24"/>
                <w:lang w:eastAsia="en-US"/>
              </w:rPr>
            </w:pPr>
            <w:r>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shd w:val="pct5" w:color="000000" w:fill="FFFFFF"/>
            <w:hideMark/>
          </w:tcPr>
          <w:p w:rsidR="00D02DF1" w:rsidRDefault="00D02DF1">
            <w:pPr>
              <w:spacing w:line="340" w:lineRule="atLeast"/>
              <w:ind w:firstLine="40"/>
              <w:jc w:val="right"/>
              <w:rPr>
                <w:sz w:val="24"/>
                <w:szCs w:val="24"/>
                <w:lang w:eastAsia="en-US"/>
              </w:rPr>
            </w:pPr>
            <w:r>
              <w:rPr>
                <w:sz w:val="24"/>
                <w:szCs w:val="24"/>
                <w:lang w:eastAsia="en-US"/>
              </w:rPr>
              <w:t>-</w:t>
            </w:r>
          </w:p>
        </w:tc>
      </w:tr>
      <w:tr w:rsidR="00D02DF1" w:rsidTr="00D02DF1">
        <w:trPr>
          <w:trHeight w:val="341"/>
          <w:jc w:val="center"/>
        </w:trPr>
        <w:tc>
          <w:tcPr>
            <w:tcW w:w="4635" w:type="dxa"/>
            <w:tcBorders>
              <w:top w:val="single" w:sz="4" w:space="0" w:color="auto"/>
              <w:left w:val="single" w:sz="4" w:space="0" w:color="auto"/>
              <w:bottom w:val="single" w:sz="4" w:space="0" w:color="auto"/>
              <w:right w:val="single" w:sz="4" w:space="0" w:color="auto"/>
            </w:tcBorders>
            <w:shd w:val="pct5" w:color="000000" w:fill="FFFFFF"/>
            <w:hideMark/>
          </w:tcPr>
          <w:p w:rsidR="00D02DF1" w:rsidRDefault="00D02DF1">
            <w:pPr>
              <w:spacing w:after="120" w:line="340" w:lineRule="atLeast"/>
              <w:ind w:left="142" w:hanging="142"/>
              <w:rPr>
                <w:b/>
                <w:i/>
                <w:sz w:val="16"/>
                <w:szCs w:val="16"/>
                <w:lang w:eastAsia="en-US"/>
              </w:rPr>
            </w:pPr>
            <w:r>
              <w:rPr>
                <w:b/>
                <w:i/>
                <w:sz w:val="16"/>
                <w:szCs w:val="16"/>
                <w:lang w:val="en-US" w:eastAsia="en-US"/>
              </w:rPr>
              <w:t>IX</w:t>
            </w:r>
            <w:r>
              <w:rPr>
                <w:b/>
                <w:i/>
                <w:sz w:val="16"/>
                <w:szCs w:val="16"/>
                <w:lang w:eastAsia="en-US"/>
              </w:rPr>
              <w:t xml:space="preserve"> “а“</w:t>
            </w:r>
            <w:r>
              <w:rPr>
                <w:b/>
                <w:i/>
                <w:sz w:val="16"/>
                <w:szCs w:val="16"/>
                <w:lang w:val="en-US" w:eastAsia="en-US"/>
              </w:rPr>
              <w:t>-</w:t>
            </w:r>
            <w:r>
              <w:rPr>
                <w:b/>
                <w:i/>
                <w:sz w:val="16"/>
                <w:szCs w:val="16"/>
                <w:lang w:eastAsia="en-US"/>
              </w:rPr>
              <w:t>Компютърни престъпления</w:t>
            </w:r>
          </w:p>
        </w:tc>
        <w:tc>
          <w:tcPr>
            <w:tcW w:w="992" w:type="dxa"/>
            <w:tcBorders>
              <w:top w:val="single" w:sz="4" w:space="0" w:color="auto"/>
              <w:left w:val="single" w:sz="4" w:space="0" w:color="auto"/>
              <w:bottom w:val="single" w:sz="4" w:space="0" w:color="auto"/>
              <w:right w:val="single" w:sz="4" w:space="0" w:color="auto"/>
            </w:tcBorders>
            <w:shd w:val="pct5" w:color="000000" w:fill="FFFFFF"/>
            <w:hideMark/>
          </w:tcPr>
          <w:p w:rsidR="00D02DF1" w:rsidRDefault="00D02DF1">
            <w:pPr>
              <w:spacing w:after="120" w:line="340" w:lineRule="atLeast"/>
              <w:ind w:left="142" w:hanging="142"/>
              <w:jc w:val="right"/>
              <w:rPr>
                <w:sz w:val="24"/>
                <w:szCs w:val="24"/>
                <w:lang w:eastAsia="en-US"/>
              </w:rPr>
            </w:pPr>
            <w:r>
              <w:rPr>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shd w:val="pct5" w:color="000000" w:fill="FFFFFF"/>
            <w:hideMark/>
          </w:tcPr>
          <w:p w:rsidR="00D02DF1" w:rsidRDefault="00D02DF1">
            <w:pPr>
              <w:spacing w:line="340" w:lineRule="atLeast"/>
              <w:ind w:firstLine="40"/>
              <w:jc w:val="right"/>
              <w:rPr>
                <w:sz w:val="24"/>
                <w:szCs w:val="24"/>
                <w:lang w:eastAsia="en-US"/>
              </w:rPr>
            </w:pPr>
            <w:r>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shd w:val="pct5" w:color="000000" w:fill="FFFFFF"/>
            <w:hideMark/>
          </w:tcPr>
          <w:p w:rsidR="00D02DF1" w:rsidRDefault="00D02DF1">
            <w:pPr>
              <w:spacing w:line="340" w:lineRule="atLeast"/>
              <w:ind w:firstLine="40"/>
              <w:jc w:val="right"/>
              <w:rPr>
                <w:sz w:val="24"/>
                <w:szCs w:val="24"/>
                <w:lang w:eastAsia="en-US"/>
              </w:rPr>
            </w:pPr>
            <w:r>
              <w:rPr>
                <w:sz w:val="24"/>
                <w:szCs w:val="24"/>
                <w:lang w:eastAsia="en-US"/>
              </w:rPr>
              <w:t>1</w:t>
            </w:r>
          </w:p>
        </w:tc>
      </w:tr>
      <w:tr w:rsidR="00D02DF1" w:rsidTr="00D02DF1">
        <w:trPr>
          <w:trHeight w:val="65"/>
          <w:jc w:val="center"/>
        </w:trPr>
        <w:tc>
          <w:tcPr>
            <w:tcW w:w="4635" w:type="dxa"/>
            <w:tcBorders>
              <w:top w:val="single" w:sz="4" w:space="0" w:color="auto"/>
              <w:left w:val="single" w:sz="4" w:space="0" w:color="auto"/>
              <w:bottom w:val="single" w:sz="4" w:space="0" w:color="auto"/>
              <w:right w:val="single" w:sz="4" w:space="0" w:color="auto"/>
            </w:tcBorders>
            <w:shd w:val="pct5" w:color="000000" w:fill="FFFFFF"/>
            <w:hideMark/>
          </w:tcPr>
          <w:p w:rsidR="00D02DF1" w:rsidRDefault="00D02DF1">
            <w:pPr>
              <w:spacing w:after="120" w:line="340" w:lineRule="atLeast"/>
              <w:ind w:left="142" w:hanging="142"/>
              <w:rPr>
                <w:b/>
                <w:i/>
                <w:sz w:val="16"/>
                <w:szCs w:val="16"/>
                <w:lang w:val="be-BY" w:eastAsia="en-US"/>
              </w:rPr>
            </w:pPr>
            <w:r>
              <w:rPr>
                <w:b/>
                <w:i/>
                <w:sz w:val="16"/>
                <w:szCs w:val="16"/>
                <w:lang w:val="be-BY" w:eastAsia="en-US"/>
              </w:rPr>
              <w:t>X-Престъпления против реда и общественото спокойствие</w:t>
            </w:r>
          </w:p>
        </w:tc>
        <w:tc>
          <w:tcPr>
            <w:tcW w:w="992" w:type="dxa"/>
            <w:tcBorders>
              <w:top w:val="single" w:sz="4" w:space="0" w:color="auto"/>
              <w:left w:val="single" w:sz="4" w:space="0" w:color="auto"/>
              <w:bottom w:val="single" w:sz="4" w:space="0" w:color="auto"/>
              <w:right w:val="single" w:sz="4" w:space="0" w:color="auto"/>
            </w:tcBorders>
            <w:shd w:val="pct5" w:color="000000" w:fill="FFFFFF"/>
            <w:hideMark/>
          </w:tcPr>
          <w:p w:rsidR="00D02DF1" w:rsidRDefault="00D02DF1">
            <w:pPr>
              <w:spacing w:after="120" w:line="340" w:lineRule="atLeast"/>
              <w:ind w:left="142" w:hanging="142"/>
              <w:jc w:val="right"/>
              <w:rPr>
                <w:sz w:val="24"/>
                <w:szCs w:val="24"/>
                <w:lang w:eastAsia="en-US"/>
              </w:rPr>
            </w:pPr>
            <w:r>
              <w:rPr>
                <w:sz w:val="24"/>
                <w:szCs w:val="24"/>
                <w:lang w:eastAsia="en-US"/>
              </w:rPr>
              <w:t>30</w:t>
            </w:r>
          </w:p>
        </w:tc>
        <w:tc>
          <w:tcPr>
            <w:tcW w:w="1701" w:type="dxa"/>
            <w:tcBorders>
              <w:top w:val="single" w:sz="4" w:space="0" w:color="auto"/>
              <w:left w:val="single" w:sz="4" w:space="0" w:color="auto"/>
              <w:bottom w:val="single" w:sz="4" w:space="0" w:color="auto"/>
              <w:right w:val="single" w:sz="4" w:space="0" w:color="auto"/>
            </w:tcBorders>
            <w:shd w:val="pct5" w:color="000000" w:fill="FFFFFF"/>
            <w:hideMark/>
          </w:tcPr>
          <w:p w:rsidR="00D02DF1" w:rsidRDefault="00D02DF1">
            <w:pPr>
              <w:spacing w:after="120" w:line="340" w:lineRule="atLeast"/>
              <w:ind w:left="142" w:hanging="142"/>
              <w:jc w:val="right"/>
              <w:rPr>
                <w:sz w:val="24"/>
                <w:szCs w:val="24"/>
                <w:lang w:eastAsia="en-US"/>
              </w:rPr>
            </w:pPr>
            <w:r>
              <w:rPr>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shd w:val="pct5" w:color="000000" w:fill="FFFFFF"/>
            <w:hideMark/>
          </w:tcPr>
          <w:p w:rsidR="00D02DF1" w:rsidRDefault="00D02DF1">
            <w:pPr>
              <w:spacing w:after="120" w:line="340" w:lineRule="atLeast"/>
              <w:ind w:left="142" w:hanging="142"/>
              <w:jc w:val="right"/>
              <w:rPr>
                <w:sz w:val="24"/>
                <w:szCs w:val="24"/>
                <w:lang w:eastAsia="en-US"/>
              </w:rPr>
            </w:pPr>
            <w:r>
              <w:rPr>
                <w:sz w:val="24"/>
                <w:szCs w:val="24"/>
                <w:lang w:eastAsia="en-US"/>
              </w:rPr>
              <w:t>-</w:t>
            </w:r>
          </w:p>
        </w:tc>
      </w:tr>
      <w:tr w:rsidR="00D02DF1" w:rsidTr="00D02DF1">
        <w:trPr>
          <w:trHeight w:val="91"/>
          <w:jc w:val="center"/>
        </w:trPr>
        <w:tc>
          <w:tcPr>
            <w:tcW w:w="4635" w:type="dxa"/>
            <w:tcBorders>
              <w:top w:val="single" w:sz="4" w:space="0" w:color="auto"/>
              <w:left w:val="single" w:sz="4" w:space="0" w:color="auto"/>
              <w:bottom w:val="single" w:sz="4" w:space="0" w:color="auto"/>
              <w:right w:val="single" w:sz="4" w:space="0" w:color="auto"/>
            </w:tcBorders>
            <w:shd w:val="pct20" w:color="000000" w:fill="FFFFFF"/>
            <w:hideMark/>
          </w:tcPr>
          <w:p w:rsidR="00D02DF1" w:rsidRDefault="00D02DF1">
            <w:pPr>
              <w:spacing w:after="120" w:line="340" w:lineRule="atLeast"/>
              <w:ind w:left="142" w:hanging="142"/>
              <w:rPr>
                <w:b/>
                <w:i/>
                <w:sz w:val="16"/>
                <w:szCs w:val="16"/>
                <w:lang w:eastAsia="en-US"/>
              </w:rPr>
            </w:pPr>
            <w:r>
              <w:rPr>
                <w:b/>
                <w:i/>
                <w:sz w:val="16"/>
                <w:szCs w:val="16"/>
                <w:lang w:val="en-US" w:eastAsia="en-US"/>
              </w:rPr>
              <w:t>XI-</w:t>
            </w:r>
            <w:proofErr w:type="spellStart"/>
            <w:r>
              <w:rPr>
                <w:b/>
                <w:i/>
                <w:sz w:val="16"/>
                <w:szCs w:val="16"/>
                <w:lang w:eastAsia="en-US"/>
              </w:rPr>
              <w:t>Общоопасни</w:t>
            </w:r>
            <w:proofErr w:type="spellEnd"/>
            <w:r>
              <w:rPr>
                <w:b/>
                <w:i/>
                <w:sz w:val="16"/>
                <w:szCs w:val="16"/>
                <w:lang w:eastAsia="en-US"/>
              </w:rPr>
              <w:t xml:space="preserve"> престъпления</w:t>
            </w:r>
          </w:p>
        </w:tc>
        <w:tc>
          <w:tcPr>
            <w:tcW w:w="992" w:type="dxa"/>
            <w:tcBorders>
              <w:top w:val="single" w:sz="4" w:space="0" w:color="auto"/>
              <w:left w:val="single" w:sz="4" w:space="0" w:color="auto"/>
              <w:bottom w:val="single" w:sz="4" w:space="0" w:color="auto"/>
              <w:right w:val="single" w:sz="4" w:space="0" w:color="auto"/>
            </w:tcBorders>
            <w:shd w:val="pct20" w:color="000000" w:fill="FFFFFF"/>
            <w:hideMark/>
          </w:tcPr>
          <w:p w:rsidR="00D02DF1" w:rsidRDefault="00D02DF1">
            <w:pPr>
              <w:spacing w:after="120" w:line="340" w:lineRule="atLeast"/>
              <w:ind w:left="142" w:hanging="142"/>
              <w:jc w:val="right"/>
              <w:rPr>
                <w:sz w:val="24"/>
                <w:szCs w:val="24"/>
                <w:lang w:eastAsia="en-US"/>
              </w:rPr>
            </w:pPr>
            <w:r>
              <w:rPr>
                <w:sz w:val="24"/>
                <w:szCs w:val="24"/>
                <w:lang w:eastAsia="en-US"/>
              </w:rPr>
              <w:t>559</w:t>
            </w:r>
          </w:p>
        </w:tc>
        <w:tc>
          <w:tcPr>
            <w:tcW w:w="1701" w:type="dxa"/>
            <w:tcBorders>
              <w:top w:val="single" w:sz="4" w:space="0" w:color="auto"/>
              <w:left w:val="single" w:sz="4" w:space="0" w:color="auto"/>
              <w:bottom w:val="single" w:sz="4" w:space="0" w:color="auto"/>
              <w:right w:val="single" w:sz="4" w:space="0" w:color="auto"/>
            </w:tcBorders>
            <w:shd w:val="pct20" w:color="000000" w:fill="FFFFFF"/>
            <w:hideMark/>
          </w:tcPr>
          <w:p w:rsidR="00D02DF1" w:rsidRDefault="00D02DF1">
            <w:pPr>
              <w:spacing w:line="340" w:lineRule="atLeast"/>
              <w:ind w:firstLine="40"/>
              <w:jc w:val="right"/>
              <w:rPr>
                <w:sz w:val="24"/>
                <w:szCs w:val="24"/>
                <w:lang w:eastAsia="en-US"/>
              </w:rPr>
            </w:pPr>
            <w:r>
              <w:rPr>
                <w:sz w:val="24"/>
                <w:szCs w:val="24"/>
                <w:lang w:eastAsia="en-US"/>
              </w:rPr>
              <w:t>108</w:t>
            </w:r>
          </w:p>
        </w:tc>
        <w:tc>
          <w:tcPr>
            <w:tcW w:w="1843" w:type="dxa"/>
            <w:tcBorders>
              <w:top w:val="single" w:sz="4" w:space="0" w:color="auto"/>
              <w:left w:val="single" w:sz="4" w:space="0" w:color="auto"/>
              <w:bottom w:val="single" w:sz="4" w:space="0" w:color="auto"/>
              <w:right w:val="single" w:sz="4" w:space="0" w:color="auto"/>
            </w:tcBorders>
            <w:shd w:val="pct20" w:color="000000" w:fill="FFFFFF"/>
            <w:hideMark/>
          </w:tcPr>
          <w:p w:rsidR="00D02DF1" w:rsidRDefault="00D02DF1">
            <w:pPr>
              <w:spacing w:line="340" w:lineRule="atLeast"/>
              <w:ind w:firstLine="40"/>
              <w:jc w:val="right"/>
              <w:rPr>
                <w:sz w:val="24"/>
                <w:szCs w:val="24"/>
                <w:lang w:eastAsia="en-US"/>
              </w:rPr>
            </w:pPr>
            <w:r>
              <w:rPr>
                <w:sz w:val="24"/>
                <w:szCs w:val="24"/>
                <w:lang w:eastAsia="en-US"/>
              </w:rPr>
              <w:t>8</w:t>
            </w:r>
          </w:p>
        </w:tc>
      </w:tr>
    </w:tbl>
    <w:p w:rsidR="00D02DF1" w:rsidRDefault="00D02DF1" w:rsidP="00D02DF1">
      <w:pPr>
        <w:spacing w:line="340" w:lineRule="exact"/>
        <w:ind w:firstLine="708"/>
        <w:jc w:val="both"/>
        <w:rPr>
          <w:sz w:val="28"/>
          <w:szCs w:val="28"/>
          <w:lang w:val="be-BY"/>
        </w:rPr>
      </w:pPr>
    </w:p>
    <w:p w:rsidR="00D02DF1" w:rsidRDefault="00D02DF1" w:rsidP="00D02DF1">
      <w:pPr>
        <w:spacing w:line="340" w:lineRule="exact"/>
        <w:ind w:firstLine="708"/>
        <w:jc w:val="both"/>
        <w:rPr>
          <w:sz w:val="28"/>
          <w:szCs w:val="28"/>
          <w:lang w:val="be-BY"/>
        </w:rPr>
      </w:pPr>
      <w:r>
        <w:rPr>
          <w:sz w:val="28"/>
          <w:szCs w:val="28"/>
          <w:lang w:val="be-BY"/>
        </w:rPr>
        <w:t xml:space="preserve">Досъдебните производства разследвани по общия ред от разследващ полицай са 3098 производства, а тези разследвани от следовател - </w:t>
      </w:r>
      <w:r>
        <w:rPr>
          <w:sz w:val="28"/>
          <w:szCs w:val="28"/>
        </w:rPr>
        <w:t>114</w:t>
      </w:r>
      <w:r>
        <w:rPr>
          <w:sz w:val="28"/>
          <w:szCs w:val="28"/>
          <w:lang w:val="en-US"/>
        </w:rPr>
        <w:t xml:space="preserve"> </w:t>
      </w:r>
      <w:r>
        <w:rPr>
          <w:sz w:val="28"/>
          <w:szCs w:val="28"/>
          <w:lang w:val="be-BY"/>
        </w:rPr>
        <w:t>броя. За отчетния период няма досъдебни производства, разследването по които да е провеждано от прокурор.</w:t>
      </w:r>
    </w:p>
    <w:p w:rsidR="00D02DF1" w:rsidRDefault="00D02DF1" w:rsidP="00D02DF1">
      <w:pPr>
        <w:spacing w:line="340" w:lineRule="exact"/>
        <w:ind w:firstLine="720"/>
        <w:jc w:val="both"/>
        <w:rPr>
          <w:sz w:val="28"/>
          <w:szCs w:val="28"/>
        </w:rPr>
      </w:pPr>
      <w:r>
        <w:rPr>
          <w:sz w:val="28"/>
          <w:szCs w:val="28"/>
        </w:rPr>
        <w:lastRenderedPageBreak/>
        <w:t>През отчетната 2024 година разследването по 114 досъдебни производства се е провеждало от следовател, което е с 6 досъдебни производства повече от 2023 година и 5 досъдебни производства по-малко от 2022г., когато разследването по</w:t>
      </w:r>
      <w:r>
        <w:rPr>
          <w:sz w:val="28"/>
          <w:szCs w:val="28"/>
          <w:lang w:val="be-BY"/>
        </w:rPr>
        <w:t xml:space="preserve"> </w:t>
      </w:r>
      <w:r>
        <w:rPr>
          <w:sz w:val="28"/>
          <w:szCs w:val="28"/>
        </w:rPr>
        <w:t>119</w:t>
      </w:r>
      <w:r>
        <w:rPr>
          <w:sz w:val="28"/>
          <w:szCs w:val="28"/>
          <w:lang w:val="en-US"/>
        </w:rPr>
        <w:t xml:space="preserve"> </w:t>
      </w:r>
      <w:r>
        <w:rPr>
          <w:sz w:val="28"/>
          <w:szCs w:val="28"/>
        </w:rPr>
        <w:t xml:space="preserve">досъдебни производства се е провеждало от следовател. </w:t>
      </w:r>
    </w:p>
    <w:p w:rsidR="00D02DF1" w:rsidRDefault="00D02DF1" w:rsidP="00D02DF1">
      <w:pPr>
        <w:spacing w:line="340" w:lineRule="exact"/>
        <w:ind w:firstLine="720"/>
        <w:jc w:val="both"/>
        <w:rPr>
          <w:sz w:val="28"/>
          <w:szCs w:val="28"/>
        </w:rPr>
      </w:pPr>
      <w:r>
        <w:rPr>
          <w:sz w:val="28"/>
          <w:szCs w:val="28"/>
        </w:rPr>
        <w:t>Относителният дял на досъдебните производства, разследвани от следовател през 2024 г., спрямо общия брой разследв</w:t>
      </w:r>
      <w:r w:rsidR="00260717">
        <w:rPr>
          <w:sz w:val="28"/>
          <w:szCs w:val="28"/>
        </w:rPr>
        <w:t>ани производства</w:t>
      </w:r>
      <w:r w:rsidR="007F46C6">
        <w:rPr>
          <w:sz w:val="28"/>
          <w:szCs w:val="28"/>
        </w:rPr>
        <w:t>,</w:t>
      </w:r>
      <w:r w:rsidR="00260717">
        <w:rPr>
          <w:sz w:val="28"/>
          <w:szCs w:val="28"/>
        </w:rPr>
        <w:t xml:space="preserve"> възлиза на  3,</w:t>
      </w:r>
      <w:r>
        <w:rPr>
          <w:sz w:val="28"/>
          <w:szCs w:val="28"/>
        </w:rPr>
        <w:t>55%. Това съотношение за 2023 година е 3,34%, а за 2022 год. е 3,87%.</w:t>
      </w:r>
    </w:p>
    <w:p w:rsidR="00D02DF1" w:rsidRDefault="00D02DF1" w:rsidP="00D02DF1">
      <w:pPr>
        <w:spacing w:line="340" w:lineRule="exact"/>
        <w:ind w:firstLine="708"/>
        <w:jc w:val="both"/>
        <w:rPr>
          <w:sz w:val="28"/>
          <w:szCs w:val="28"/>
          <w:lang w:val="be-BY"/>
        </w:rPr>
      </w:pPr>
      <w:r>
        <w:rPr>
          <w:sz w:val="28"/>
          <w:szCs w:val="28"/>
          <w:lang w:val="be-BY"/>
        </w:rPr>
        <w:t>Реално работили през 2024 год. в ОСО при ОП – Сливен са средно  6 следователи, като средната натовареност на следовател през отчетния период е 49,0, при 81,8 за 2023 год. и при 65 за 2022 г.</w:t>
      </w:r>
    </w:p>
    <w:p w:rsidR="00D02DF1" w:rsidRDefault="00D02DF1" w:rsidP="00D02DF1">
      <w:pPr>
        <w:spacing w:line="340" w:lineRule="exact"/>
        <w:ind w:firstLine="708"/>
        <w:jc w:val="both"/>
        <w:rPr>
          <w:sz w:val="28"/>
          <w:szCs w:val="28"/>
          <w:lang w:val="be-BY"/>
        </w:rPr>
      </w:pPr>
      <w:r>
        <w:rPr>
          <w:sz w:val="28"/>
          <w:szCs w:val="28"/>
          <w:lang w:val="be-BY"/>
        </w:rPr>
        <w:t xml:space="preserve"> Новообразуваните през 2024 г. досъдебни производства, по които разследването е било провеждано от следовател са 41</w:t>
      </w:r>
      <w:r w:rsidR="00260717">
        <w:rPr>
          <w:sz w:val="28"/>
          <w:szCs w:val="28"/>
          <w:lang w:val="en-US"/>
        </w:rPr>
        <w:t>,</w:t>
      </w:r>
      <w:r>
        <w:rPr>
          <w:sz w:val="28"/>
          <w:szCs w:val="28"/>
          <w:lang w:val="be-BY"/>
        </w:rPr>
        <w:t xml:space="preserve"> при 41 </w:t>
      </w:r>
      <w:r>
        <w:rPr>
          <w:sz w:val="28"/>
          <w:szCs w:val="28"/>
        </w:rPr>
        <w:t>ДП</w:t>
      </w:r>
      <w:r>
        <w:rPr>
          <w:sz w:val="28"/>
          <w:szCs w:val="28"/>
          <w:lang w:val="be-BY"/>
        </w:rPr>
        <w:t xml:space="preserve"> през 2023 година и 48 през 2022 г. </w:t>
      </w:r>
    </w:p>
    <w:p w:rsidR="00D02DF1" w:rsidRDefault="00D02DF1" w:rsidP="00D02DF1">
      <w:pPr>
        <w:spacing w:line="340" w:lineRule="exact"/>
        <w:ind w:firstLine="720"/>
        <w:jc w:val="both"/>
        <w:rPr>
          <w:sz w:val="28"/>
          <w:szCs w:val="28"/>
          <w:lang w:val="be-BY"/>
        </w:rPr>
      </w:pPr>
      <w:r>
        <w:rPr>
          <w:sz w:val="28"/>
          <w:szCs w:val="28"/>
          <w:lang w:val="be-BY"/>
        </w:rPr>
        <w:t xml:space="preserve">Отчетените данни сочат устойчивост  през последните три години на броя на новообразуваните и възложени за разследване на следовател досъдебни производства. </w:t>
      </w:r>
    </w:p>
    <w:p w:rsidR="00D02DF1" w:rsidRDefault="00D02DF1" w:rsidP="00D02DF1">
      <w:pPr>
        <w:spacing w:line="340" w:lineRule="exact"/>
        <w:ind w:firstLine="720"/>
        <w:jc w:val="both"/>
        <w:rPr>
          <w:sz w:val="28"/>
          <w:szCs w:val="28"/>
          <w:lang w:val="be-BY"/>
        </w:rPr>
      </w:pPr>
    </w:p>
    <w:p w:rsidR="00D02DF1" w:rsidRDefault="00D02DF1" w:rsidP="00D02DF1">
      <w:pPr>
        <w:spacing w:line="340" w:lineRule="exact"/>
        <w:ind w:firstLine="720"/>
        <w:jc w:val="both"/>
        <w:rPr>
          <w:b/>
          <w:sz w:val="28"/>
          <w:szCs w:val="28"/>
          <w:u w:val="single"/>
          <w:lang w:val="be-BY"/>
        </w:rPr>
      </w:pPr>
      <w:r>
        <w:rPr>
          <w:b/>
          <w:sz w:val="28"/>
          <w:szCs w:val="28"/>
          <w:u w:val="single"/>
          <w:lang w:val="be-BY"/>
        </w:rPr>
        <w:t>Мерки за неотклонение.</w:t>
      </w:r>
    </w:p>
    <w:p w:rsidR="00D02DF1" w:rsidRDefault="00D02DF1" w:rsidP="00D02DF1">
      <w:pPr>
        <w:spacing w:line="340" w:lineRule="exact"/>
        <w:ind w:firstLine="720"/>
        <w:jc w:val="both"/>
        <w:rPr>
          <w:sz w:val="28"/>
          <w:szCs w:val="28"/>
          <w:lang w:val="be-BY"/>
        </w:rPr>
      </w:pPr>
      <w:r>
        <w:rPr>
          <w:sz w:val="28"/>
          <w:szCs w:val="28"/>
          <w:lang w:val="be-BY"/>
        </w:rPr>
        <w:t xml:space="preserve">По досъдебни производства на Окръжна прокуратура – Сливен </w:t>
      </w:r>
      <w:r w:rsidR="00260717">
        <w:rPr>
          <w:sz w:val="28"/>
          <w:szCs w:val="28"/>
        </w:rPr>
        <w:t xml:space="preserve">и Районна прокуратура - Сливен </w:t>
      </w:r>
      <w:r>
        <w:rPr>
          <w:sz w:val="28"/>
          <w:szCs w:val="28"/>
          <w:lang w:val="be-BY"/>
        </w:rPr>
        <w:t>са били внесени в съдилищата общо 103 искания с правно основание чл.64 от НПК за определяне на мярка за нео</w:t>
      </w:r>
      <w:r w:rsidR="00260717">
        <w:rPr>
          <w:sz w:val="28"/>
          <w:szCs w:val="28"/>
          <w:lang w:val="be-BY"/>
        </w:rPr>
        <w:t>тклонение задържане под стража</w:t>
      </w:r>
      <w:r w:rsidR="00260717">
        <w:rPr>
          <w:sz w:val="28"/>
          <w:szCs w:val="28"/>
          <w:lang w:val="en-US"/>
        </w:rPr>
        <w:t xml:space="preserve">, </w:t>
      </w:r>
      <w:r>
        <w:rPr>
          <w:sz w:val="28"/>
          <w:szCs w:val="28"/>
          <w:lang w:val="be-BY"/>
        </w:rPr>
        <w:t xml:space="preserve">при 152 </w:t>
      </w:r>
      <w:r w:rsidR="00260717">
        <w:rPr>
          <w:sz w:val="28"/>
          <w:szCs w:val="28"/>
          <w:lang w:val="be-BY"/>
        </w:rPr>
        <w:t>за 2023 год. и 124 за 2022 год.</w:t>
      </w:r>
    </w:p>
    <w:p w:rsidR="00D02DF1" w:rsidRDefault="00D02DF1" w:rsidP="00D02DF1">
      <w:pPr>
        <w:spacing w:line="340" w:lineRule="exact"/>
        <w:ind w:firstLine="720"/>
        <w:jc w:val="both"/>
        <w:rPr>
          <w:sz w:val="28"/>
          <w:szCs w:val="28"/>
          <w:lang w:val="be-BY"/>
        </w:rPr>
      </w:pPr>
      <w:r>
        <w:rPr>
          <w:sz w:val="28"/>
          <w:szCs w:val="28"/>
          <w:lang w:val="be-BY"/>
        </w:rPr>
        <w:t>От внесените общо 103 искания с правно основание чл. 64 от НПК, са уважени 91, което представлява 88,35 %.</w:t>
      </w:r>
    </w:p>
    <w:p w:rsidR="00D02DF1" w:rsidRDefault="00D02DF1" w:rsidP="002D57B4">
      <w:pPr>
        <w:spacing w:line="340" w:lineRule="exact"/>
        <w:ind w:firstLine="720"/>
        <w:jc w:val="both"/>
        <w:rPr>
          <w:sz w:val="28"/>
          <w:szCs w:val="28"/>
          <w:lang w:val="be-BY"/>
        </w:rPr>
      </w:pPr>
      <w:r>
        <w:rPr>
          <w:sz w:val="28"/>
          <w:szCs w:val="28"/>
          <w:lang w:val="be-BY"/>
        </w:rPr>
        <w:t xml:space="preserve">За сравнение, от внесените през 2023 год. общо 152 искания са уважени </w:t>
      </w:r>
      <w:r w:rsidR="002D57B4">
        <w:rPr>
          <w:sz w:val="28"/>
          <w:szCs w:val="28"/>
          <w:lang w:val="be-BY"/>
        </w:rPr>
        <w:t xml:space="preserve">138, което представлява  90,79%, а през 2022 г. от внесените </w:t>
      </w:r>
      <w:r>
        <w:rPr>
          <w:sz w:val="28"/>
          <w:szCs w:val="28"/>
          <w:lang w:val="be-BY"/>
        </w:rPr>
        <w:t xml:space="preserve">124 искания са били уважени 106, което представлява 85,48%. </w:t>
      </w:r>
    </w:p>
    <w:p w:rsidR="00D02DF1" w:rsidRDefault="00D02DF1" w:rsidP="00D02DF1">
      <w:pPr>
        <w:spacing w:line="340" w:lineRule="exact"/>
        <w:ind w:firstLine="720"/>
        <w:jc w:val="both"/>
        <w:rPr>
          <w:sz w:val="28"/>
          <w:szCs w:val="28"/>
          <w:lang w:val="be-BY"/>
        </w:rPr>
      </w:pPr>
      <w:r>
        <w:rPr>
          <w:sz w:val="28"/>
          <w:szCs w:val="28"/>
          <w:lang w:val="be-BY"/>
        </w:rPr>
        <w:t>Броят на обвиняемите лица, по отношение на които през отчетния период е била взета мярка за неотклонение задържане под стража е 93.</w:t>
      </w:r>
    </w:p>
    <w:p w:rsidR="00D02DF1" w:rsidRDefault="00D02DF1" w:rsidP="00D02DF1">
      <w:pPr>
        <w:spacing w:line="340" w:lineRule="exact"/>
        <w:ind w:firstLine="720"/>
        <w:jc w:val="both"/>
        <w:rPr>
          <w:sz w:val="28"/>
          <w:szCs w:val="28"/>
          <w:lang w:val="be-BY"/>
        </w:rPr>
      </w:pPr>
      <w:r>
        <w:rPr>
          <w:sz w:val="28"/>
          <w:szCs w:val="28"/>
          <w:lang w:val="be-BY"/>
        </w:rPr>
        <w:t>Съпоставено с предходни периоди данните са следните: 138 задържани лица през 2023 год и 105 задържани лица през 2022 год.</w:t>
      </w:r>
    </w:p>
    <w:p w:rsidR="00D02DF1" w:rsidRDefault="00D02DF1" w:rsidP="00D02DF1">
      <w:pPr>
        <w:spacing w:line="340" w:lineRule="exact"/>
        <w:ind w:firstLine="720"/>
        <w:jc w:val="both"/>
        <w:rPr>
          <w:sz w:val="28"/>
          <w:szCs w:val="28"/>
        </w:rPr>
      </w:pPr>
      <w:r>
        <w:rPr>
          <w:sz w:val="28"/>
          <w:szCs w:val="28"/>
          <w:lang w:val="be-BY"/>
        </w:rPr>
        <w:t>През 2024 г. има подадени общо</w:t>
      </w:r>
      <w:r>
        <w:rPr>
          <w:sz w:val="28"/>
          <w:szCs w:val="28"/>
          <w:lang w:val="en-US"/>
        </w:rPr>
        <w:t xml:space="preserve"> </w:t>
      </w:r>
      <w:r>
        <w:rPr>
          <w:sz w:val="28"/>
          <w:szCs w:val="28"/>
        </w:rPr>
        <w:t>4</w:t>
      </w:r>
      <w:r>
        <w:rPr>
          <w:sz w:val="28"/>
          <w:szCs w:val="28"/>
          <w:lang w:val="be-BY"/>
        </w:rPr>
        <w:t xml:space="preserve"> протеста по реда на чл.64 ал.6 от НПК срещу неуважени от съда искания за определяне на мярка за неотклонение задържане под стража</w:t>
      </w:r>
      <w:r>
        <w:rPr>
          <w:sz w:val="28"/>
          <w:szCs w:val="28"/>
          <w:lang w:val="en-US"/>
        </w:rPr>
        <w:t>,</w:t>
      </w:r>
      <w:r>
        <w:rPr>
          <w:sz w:val="28"/>
          <w:szCs w:val="28"/>
        </w:rPr>
        <w:t xml:space="preserve"> от</w:t>
      </w:r>
      <w:r>
        <w:rPr>
          <w:sz w:val="28"/>
          <w:szCs w:val="28"/>
          <w:lang w:val="en-US"/>
        </w:rPr>
        <w:t xml:space="preserve"> </w:t>
      </w:r>
      <w:r>
        <w:rPr>
          <w:sz w:val="28"/>
          <w:szCs w:val="28"/>
        </w:rPr>
        <w:t>които 2 са уважени и 2</w:t>
      </w:r>
      <w:r w:rsidR="006C6063">
        <w:rPr>
          <w:sz w:val="28"/>
          <w:szCs w:val="28"/>
        </w:rPr>
        <w:t xml:space="preserve"> не</w:t>
      </w:r>
      <w:r>
        <w:rPr>
          <w:sz w:val="28"/>
          <w:szCs w:val="28"/>
        </w:rPr>
        <w:t xml:space="preserve"> са уважени. </w:t>
      </w:r>
    </w:p>
    <w:p w:rsidR="00D02DF1" w:rsidRDefault="00D02DF1" w:rsidP="00D02DF1">
      <w:pPr>
        <w:spacing w:line="340" w:lineRule="exact"/>
        <w:ind w:firstLine="720"/>
        <w:jc w:val="both"/>
        <w:rPr>
          <w:color w:val="000000" w:themeColor="text1"/>
          <w:sz w:val="28"/>
          <w:szCs w:val="28"/>
          <w:lang w:val="be-BY"/>
        </w:rPr>
      </w:pPr>
      <w:r>
        <w:rPr>
          <w:color w:val="000000" w:themeColor="text1"/>
          <w:sz w:val="28"/>
          <w:szCs w:val="28"/>
          <w:lang w:val="be-BY"/>
        </w:rPr>
        <w:t>От страна на прокурорите от съдебния район е осъществяван системен контрол по отношение на разследванията по досъдебни производства със задържани лица, с оглед приоритетното им приключване.</w:t>
      </w:r>
    </w:p>
    <w:p w:rsidR="00D02DF1" w:rsidRDefault="00D02DF1" w:rsidP="00D02DF1">
      <w:pPr>
        <w:spacing w:line="340" w:lineRule="exact"/>
        <w:ind w:firstLine="720"/>
        <w:jc w:val="both"/>
        <w:rPr>
          <w:sz w:val="28"/>
          <w:szCs w:val="28"/>
          <w:lang w:val="be-BY"/>
        </w:rPr>
      </w:pPr>
      <w:r>
        <w:rPr>
          <w:sz w:val="28"/>
          <w:szCs w:val="28"/>
          <w:lang w:val="be-BY"/>
        </w:rPr>
        <w:lastRenderedPageBreak/>
        <w:t xml:space="preserve">През 2024 г. спрямо 18 лица е взета мярка за неотклонение “Домашен арест”. </w:t>
      </w:r>
    </w:p>
    <w:p w:rsidR="00D02DF1" w:rsidRDefault="00D02DF1" w:rsidP="00D02DF1">
      <w:pPr>
        <w:spacing w:line="340" w:lineRule="exact"/>
        <w:ind w:firstLine="720"/>
        <w:jc w:val="both"/>
        <w:rPr>
          <w:sz w:val="28"/>
          <w:szCs w:val="28"/>
          <w:lang w:val="be-BY"/>
        </w:rPr>
      </w:pPr>
      <w:r>
        <w:rPr>
          <w:sz w:val="28"/>
          <w:szCs w:val="28"/>
          <w:lang w:val="be-BY"/>
        </w:rPr>
        <w:t>В 8 случая мярката за неотклонение “Задържане под стража” е изменена от прокурор, поради отпадане опасността обвиняемия да се укрие или да извърши друго престъпление (чл.63 ал.6 от НПК), като спрямо едно лице мярката за неотклонение е изменена на основание чл.63 ал.5 от НК.</w:t>
      </w:r>
    </w:p>
    <w:p w:rsidR="00D02DF1" w:rsidRDefault="00D02DF1" w:rsidP="00D02DF1">
      <w:pPr>
        <w:spacing w:before="120" w:line="340" w:lineRule="exact"/>
        <w:ind w:firstLine="720"/>
        <w:jc w:val="both"/>
        <w:rPr>
          <w:b/>
          <w:sz w:val="28"/>
          <w:szCs w:val="28"/>
          <w:lang w:val="be-BY"/>
        </w:rPr>
      </w:pPr>
      <w:r>
        <w:rPr>
          <w:b/>
          <w:sz w:val="28"/>
          <w:szCs w:val="28"/>
          <w:lang w:val="be-BY"/>
        </w:rPr>
        <w:t>2.2 Срочност на разследването.</w:t>
      </w:r>
    </w:p>
    <w:p w:rsidR="00D02DF1" w:rsidRDefault="00D02DF1" w:rsidP="00D02DF1">
      <w:pPr>
        <w:spacing w:line="340" w:lineRule="exact"/>
        <w:ind w:firstLine="720"/>
        <w:jc w:val="both"/>
        <w:rPr>
          <w:sz w:val="28"/>
          <w:szCs w:val="28"/>
          <w:lang w:val="be-BY"/>
        </w:rPr>
      </w:pPr>
      <w:r>
        <w:rPr>
          <w:sz w:val="28"/>
          <w:szCs w:val="28"/>
          <w:lang w:val="be-BY"/>
        </w:rPr>
        <w:t xml:space="preserve">В прокуратурите от Сливенския съдебен район през 2024 г. са приключени общо 2295 досъдебни производства, всички в законовия срок. Разследването по неприключените 916 досъдебни производства се провежда в законоустановените срокове. </w:t>
      </w:r>
    </w:p>
    <w:p w:rsidR="00D02DF1" w:rsidRDefault="00D02DF1" w:rsidP="00D02DF1">
      <w:pPr>
        <w:spacing w:line="340" w:lineRule="exact"/>
        <w:ind w:firstLine="720"/>
        <w:jc w:val="both"/>
        <w:rPr>
          <w:sz w:val="28"/>
          <w:szCs w:val="28"/>
          <w:lang w:val="be-BY"/>
        </w:rPr>
      </w:pPr>
      <w:r>
        <w:rPr>
          <w:sz w:val="28"/>
          <w:szCs w:val="28"/>
          <w:lang w:val="be-BY"/>
        </w:rPr>
        <w:t>Общият брой на решените досъдебни производства с постановления за прекратяване или с прокурорски актове за внасяне в съда през 2024 г. възлиза на 1779 броя. От тях, с приключено разследване до 8 месеца са 1332 досъдебни производства, до 1 година – 214 досъдебни производства, над 1 година – 179 досъдебни производства и над 2 години – 54 досъдебни производства.</w:t>
      </w:r>
    </w:p>
    <w:p w:rsidR="00265F77" w:rsidRDefault="00265F77" w:rsidP="00D02DF1">
      <w:pPr>
        <w:spacing w:line="340" w:lineRule="exact"/>
        <w:ind w:firstLine="720"/>
        <w:jc w:val="both"/>
        <w:rPr>
          <w:sz w:val="28"/>
          <w:szCs w:val="28"/>
          <w:lang w:val="be-BY"/>
        </w:rPr>
      </w:pPr>
    </w:p>
    <w:p w:rsidR="00D02DF1" w:rsidRDefault="00D02DF1" w:rsidP="00D02DF1">
      <w:pPr>
        <w:spacing w:line="340" w:lineRule="exact"/>
        <w:ind w:firstLine="720"/>
        <w:jc w:val="both"/>
        <w:rPr>
          <w:b/>
          <w:i/>
          <w:noProof/>
          <w:sz w:val="28"/>
          <w:szCs w:val="28"/>
          <w:u w:val="single"/>
          <w:lang w:val="be-BY"/>
        </w:rPr>
      </w:pPr>
      <w:r>
        <w:rPr>
          <w:b/>
          <w:i/>
          <w:sz w:val="28"/>
          <w:szCs w:val="28"/>
          <w:u w:val="single"/>
          <w:lang w:val="be-BY"/>
        </w:rPr>
        <w:t>Продължителността на досъдебната фаза по прокуратури и общо за съдебния район, считано от образуване на досъдебно производство, до решаването му от прокурор с прекратяване или внасяне в съда, представена в графичен вид по брой досъдебни производства през 2024 г. е следната:</w:t>
      </w:r>
      <w:r>
        <w:rPr>
          <w:b/>
          <w:i/>
          <w:noProof/>
          <w:sz w:val="28"/>
          <w:szCs w:val="28"/>
          <w:u w:val="single"/>
          <w:lang w:val="be-BY"/>
        </w:rPr>
        <w:t xml:space="preserve"> </w:t>
      </w:r>
    </w:p>
    <w:p w:rsidR="00D02DF1" w:rsidRDefault="00D02DF1" w:rsidP="00D02DF1">
      <w:pPr>
        <w:spacing w:line="340" w:lineRule="exact"/>
        <w:ind w:firstLine="720"/>
        <w:jc w:val="both"/>
        <w:rPr>
          <w:b/>
          <w:i/>
          <w:sz w:val="28"/>
          <w:szCs w:val="28"/>
          <w:u w:val="single"/>
          <w:lang w:val="be-BY"/>
        </w:rPr>
      </w:pPr>
    </w:p>
    <w:p w:rsidR="00D02DF1" w:rsidRDefault="00D02DF1" w:rsidP="00D02DF1">
      <w:pPr>
        <w:spacing w:line="340" w:lineRule="exact"/>
        <w:ind w:firstLine="720"/>
        <w:jc w:val="both"/>
        <w:rPr>
          <w:b/>
          <w:i/>
          <w:sz w:val="28"/>
          <w:szCs w:val="28"/>
          <w:u w:val="single"/>
          <w:lang w:val="be-BY"/>
        </w:rPr>
      </w:pPr>
      <w:r>
        <w:rPr>
          <w:noProof/>
        </w:rPr>
        <w:drawing>
          <wp:anchor distT="0" distB="0" distL="114300" distR="114300" simplePos="0" relativeHeight="251687936" behindDoc="1" locked="0" layoutInCell="1" allowOverlap="1" wp14:anchorId="52245D0A" wp14:editId="58123354">
            <wp:simplePos x="0" y="0"/>
            <wp:positionH relativeFrom="column">
              <wp:posOffset>464820</wp:posOffset>
            </wp:positionH>
            <wp:positionV relativeFrom="paragraph">
              <wp:posOffset>635</wp:posOffset>
            </wp:positionV>
            <wp:extent cx="4761865" cy="3016250"/>
            <wp:effectExtent l="0" t="0" r="0" b="0"/>
            <wp:wrapTight wrapText="bothSides">
              <wp:wrapPolygon edited="0">
                <wp:start x="2679" y="955"/>
                <wp:lineTo x="432" y="1501"/>
                <wp:lineTo x="432" y="2183"/>
                <wp:lineTo x="1987" y="3411"/>
                <wp:lineTo x="432" y="3956"/>
                <wp:lineTo x="432" y="4502"/>
                <wp:lineTo x="1987" y="5593"/>
                <wp:lineTo x="432" y="6275"/>
                <wp:lineTo x="432" y="6821"/>
                <wp:lineTo x="1987" y="7776"/>
                <wp:lineTo x="691" y="8458"/>
                <wp:lineTo x="691" y="9004"/>
                <wp:lineTo x="1987" y="9959"/>
                <wp:lineTo x="691" y="10777"/>
                <wp:lineTo x="691" y="11323"/>
                <wp:lineTo x="1987" y="12141"/>
                <wp:lineTo x="605" y="13233"/>
                <wp:lineTo x="605" y="13642"/>
                <wp:lineTo x="1987" y="14324"/>
                <wp:lineTo x="691" y="15279"/>
                <wp:lineTo x="691" y="16098"/>
                <wp:lineTo x="1987" y="16507"/>
                <wp:lineTo x="1210" y="17735"/>
                <wp:lineTo x="1383" y="18417"/>
                <wp:lineTo x="2679" y="18690"/>
                <wp:lineTo x="2679" y="19508"/>
                <wp:lineTo x="12098" y="20736"/>
                <wp:lineTo x="14776" y="20736"/>
                <wp:lineTo x="15036" y="18963"/>
                <wp:lineTo x="16245" y="18280"/>
                <wp:lineTo x="16677" y="17053"/>
                <wp:lineTo x="14863" y="16507"/>
                <wp:lineTo x="16418" y="16507"/>
                <wp:lineTo x="16591" y="15006"/>
                <wp:lineTo x="15468" y="14324"/>
                <wp:lineTo x="20739" y="13642"/>
                <wp:lineTo x="20652" y="12824"/>
                <wp:lineTo x="13221" y="12141"/>
                <wp:lineTo x="20566" y="12005"/>
                <wp:lineTo x="20998" y="11596"/>
                <wp:lineTo x="20393" y="9959"/>
                <wp:lineTo x="21430" y="8322"/>
                <wp:lineTo x="21084" y="7776"/>
                <wp:lineTo x="13221" y="7776"/>
                <wp:lineTo x="16591" y="6003"/>
                <wp:lineTo x="16591" y="5593"/>
                <wp:lineTo x="13221" y="5593"/>
                <wp:lineTo x="16591" y="3547"/>
                <wp:lineTo x="16591" y="3411"/>
                <wp:lineTo x="14171" y="3411"/>
                <wp:lineTo x="16764" y="1773"/>
                <wp:lineTo x="16677" y="955"/>
                <wp:lineTo x="2679" y="955"/>
              </wp:wrapPolygon>
            </wp:wrapTight>
            <wp:docPr id="11" name="Ди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D02DF1" w:rsidRDefault="00D02DF1" w:rsidP="00D02DF1">
      <w:pPr>
        <w:spacing w:line="340" w:lineRule="exact"/>
        <w:ind w:firstLine="720"/>
        <w:jc w:val="both"/>
        <w:rPr>
          <w:b/>
          <w:i/>
          <w:sz w:val="28"/>
          <w:szCs w:val="28"/>
          <w:u w:val="single"/>
          <w:lang w:val="be-BY"/>
        </w:rPr>
      </w:pPr>
    </w:p>
    <w:p w:rsidR="00D02DF1" w:rsidRDefault="00D02DF1" w:rsidP="00D02DF1">
      <w:pPr>
        <w:spacing w:line="340" w:lineRule="exact"/>
        <w:ind w:firstLine="720"/>
        <w:jc w:val="both"/>
        <w:rPr>
          <w:b/>
          <w:i/>
          <w:sz w:val="28"/>
          <w:szCs w:val="28"/>
          <w:u w:val="single"/>
          <w:lang w:val="be-BY"/>
        </w:rPr>
      </w:pPr>
    </w:p>
    <w:p w:rsidR="00D02DF1" w:rsidRDefault="00D02DF1" w:rsidP="00D02DF1">
      <w:pPr>
        <w:spacing w:line="340" w:lineRule="exact"/>
        <w:ind w:firstLine="720"/>
        <w:jc w:val="both"/>
        <w:rPr>
          <w:b/>
          <w:i/>
          <w:sz w:val="28"/>
          <w:szCs w:val="28"/>
          <w:u w:val="single"/>
          <w:lang w:val="be-BY"/>
        </w:rPr>
      </w:pPr>
    </w:p>
    <w:p w:rsidR="00D02DF1" w:rsidRDefault="00D02DF1" w:rsidP="00D02DF1">
      <w:pPr>
        <w:spacing w:line="340" w:lineRule="exact"/>
        <w:ind w:firstLine="720"/>
        <w:jc w:val="both"/>
        <w:rPr>
          <w:b/>
          <w:i/>
          <w:sz w:val="28"/>
          <w:szCs w:val="28"/>
          <w:u w:val="single"/>
          <w:lang w:val="be-BY"/>
        </w:rPr>
      </w:pPr>
    </w:p>
    <w:p w:rsidR="00D02DF1" w:rsidRDefault="00D02DF1" w:rsidP="00D02DF1">
      <w:pPr>
        <w:spacing w:line="340" w:lineRule="exact"/>
        <w:ind w:firstLine="720"/>
        <w:jc w:val="both"/>
        <w:rPr>
          <w:b/>
          <w:i/>
          <w:sz w:val="28"/>
          <w:szCs w:val="28"/>
          <w:u w:val="single"/>
          <w:lang w:val="be-BY"/>
        </w:rPr>
      </w:pPr>
    </w:p>
    <w:p w:rsidR="00D02DF1" w:rsidRDefault="00D02DF1" w:rsidP="00D02DF1">
      <w:pPr>
        <w:spacing w:line="340" w:lineRule="exact"/>
        <w:ind w:firstLine="720"/>
        <w:jc w:val="both"/>
        <w:rPr>
          <w:b/>
          <w:i/>
          <w:sz w:val="28"/>
          <w:szCs w:val="28"/>
          <w:u w:val="single"/>
          <w:lang w:val="be-BY"/>
        </w:rPr>
      </w:pPr>
    </w:p>
    <w:p w:rsidR="00D02DF1" w:rsidRDefault="00D02DF1" w:rsidP="00D02DF1">
      <w:pPr>
        <w:spacing w:line="340" w:lineRule="exact"/>
        <w:jc w:val="both"/>
        <w:rPr>
          <w:b/>
          <w:i/>
          <w:sz w:val="28"/>
          <w:szCs w:val="28"/>
          <w:u w:val="single"/>
          <w:lang w:val="be-BY"/>
        </w:rPr>
      </w:pPr>
    </w:p>
    <w:p w:rsidR="00D02DF1" w:rsidRDefault="00D02DF1" w:rsidP="00D02DF1">
      <w:pPr>
        <w:spacing w:line="340" w:lineRule="exact"/>
        <w:jc w:val="both"/>
        <w:rPr>
          <w:b/>
          <w:i/>
          <w:sz w:val="28"/>
          <w:szCs w:val="28"/>
          <w:u w:val="single"/>
          <w:lang w:val="be-BY"/>
        </w:rPr>
      </w:pPr>
    </w:p>
    <w:p w:rsidR="00D02DF1" w:rsidRDefault="00D02DF1" w:rsidP="00D02DF1">
      <w:pPr>
        <w:spacing w:line="340" w:lineRule="exact"/>
        <w:jc w:val="both"/>
        <w:rPr>
          <w:b/>
          <w:i/>
          <w:sz w:val="28"/>
          <w:szCs w:val="28"/>
          <w:u w:val="single"/>
          <w:lang w:val="be-BY"/>
        </w:rPr>
      </w:pPr>
    </w:p>
    <w:p w:rsidR="00D02DF1" w:rsidRDefault="00D02DF1" w:rsidP="00D02DF1">
      <w:pPr>
        <w:spacing w:line="340" w:lineRule="exact"/>
        <w:jc w:val="both"/>
        <w:rPr>
          <w:b/>
          <w:i/>
          <w:sz w:val="28"/>
          <w:szCs w:val="28"/>
          <w:u w:val="single"/>
          <w:lang w:val="be-BY"/>
        </w:rPr>
      </w:pPr>
    </w:p>
    <w:p w:rsidR="00D02DF1" w:rsidRDefault="00D02DF1" w:rsidP="00D02DF1">
      <w:pPr>
        <w:spacing w:line="340" w:lineRule="exact"/>
        <w:jc w:val="both"/>
        <w:rPr>
          <w:b/>
          <w:i/>
          <w:sz w:val="28"/>
          <w:szCs w:val="28"/>
          <w:u w:val="single"/>
          <w:lang w:val="be-BY"/>
        </w:rPr>
      </w:pPr>
    </w:p>
    <w:p w:rsidR="00265F77" w:rsidRDefault="00265F77" w:rsidP="00D02DF1">
      <w:pPr>
        <w:spacing w:line="340" w:lineRule="exact"/>
        <w:jc w:val="both"/>
        <w:rPr>
          <w:b/>
          <w:i/>
          <w:sz w:val="28"/>
          <w:szCs w:val="28"/>
          <w:u w:val="single"/>
          <w:lang w:val="be-BY"/>
        </w:rPr>
      </w:pPr>
    </w:p>
    <w:p w:rsidR="00265F77" w:rsidRDefault="00265F77" w:rsidP="00D02DF1">
      <w:pPr>
        <w:spacing w:line="340" w:lineRule="exact"/>
        <w:jc w:val="both"/>
        <w:rPr>
          <w:b/>
          <w:i/>
          <w:sz w:val="28"/>
          <w:szCs w:val="28"/>
          <w:u w:val="single"/>
          <w:lang w:val="en-US"/>
        </w:rPr>
      </w:pPr>
    </w:p>
    <w:p w:rsidR="00F97AFD" w:rsidRPr="00F97AFD" w:rsidRDefault="00F97AFD" w:rsidP="00D02DF1">
      <w:pPr>
        <w:spacing w:line="340" w:lineRule="exact"/>
        <w:jc w:val="both"/>
        <w:rPr>
          <w:b/>
          <w:i/>
          <w:sz w:val="28"/>
          <w:szCs w:val="28"/>
          <w:u w:val="single"/>
          <w:lang w:val="en-US"/>
        </w:rPr>
      </w:pPr>
    </w:p>
    <w:p w:rsidR="00D02DF1" w:rsidRDefault="00D02DF1" w:rsidP="00D02DF1">
      <w:pPr>
        <w:spacing w:line="340" w:lineRule="exact"/>
        <w:jc w:val="both"/>
        <w:rPr>
          <w:b/>
          <w:i/>
          <w:sz w:val="28"/>
          <w:szCs w:val="28"/>
          <w:u w:val="single"/>
          <w:lang w:val="be-BY"/>
        </w:rPr>
      </w:pPr>
      <w:r>
        <w:rPr>
          <w:b/>
          <w:i/>
          <w:sz w:val="28"/>
          <w:szCs w:val="28"/>
          <w:u w:val="single"/>
          <w:lang w:val="be-BY"/>
        </w:rPr>
        <w:lastRenderedPageBreak/>
        <w:t>Процентното съотношение на продължителността на досъдебната фаза – от образуването на досъдебно производство до решаването му от прокурор по същество, с прекратяване или внасяне в съда през 2023г. за съдебния район, в графичен вид е следното:</w:t>
      </w:r>
    </w:p>
    <w:p w:rsidR="00D02DF1" w:rsidRDefault="00D02DF1" w:rsidP="00D02DF1">
      <w:pPr>
        <w:spacing w:line="340" w:lineRule="atLeast"/>
        <w:ind w:firstLine="720"/>
        <w:jc w:val="center"/>
        <w:rPr>
          <w:b/>
          <w:sz w:val="28"/>
          <w:szCs w:val="28"/>
          <w:lang w:val="en-US"/>
        </w:rPr>
      </w:pPr>
      <w:r>
        <w:rPr>
          <w:noProof/>
        </w:rPr>
        <w:drawing>
          <wp:inline distT="0" distB="0" distL="0" distR="0" wp14:anchorId="4D481088" wp14:editId="60AF0446">
            <wp:extent cx="2859206" cy="1439839"/>
            <wp:effectExtent l="0" t="0" r="0" b="8255"/>
            <wp:docPr id="9" name="Ди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02DF1" w:rsidRDefault="00D02DF1" w:rsidP="00D02DF1">
      <w:pPr>
        <w:spacing w:line="340" w:lineRule="atLeast"/>
        <w:ind w:firstLine="709"/>
        <w:jc w:val="both"/>
        <w:rPr>
          <w:sz w:val="28"/>
          <w:szCs w:val="28"/>
        </w:rPr>
      </w:pPr>
      <w:r>
        <w:rPr>
          <w:sz w:val="28"/>
          <w:szCs w:val="28"/>
        </w:rPr>
        <w:t>Като положителна тенденция следва да се отчете фактът, че най- голям е процентът на приключените досъдебни производства до 8 месеца – 1332 бр. от общо приключ</w:t>
      </w:r>
      <w:r w:rsidR="00876BC5">
        <w:rPr>
          <w:sz w:val="28"/>
          <w:szCs w:val="28"/>
        </w:rPr>
        <w:t>ените 1779 досъдебни производства, който з</w:t>
      </w:r>
      <w:r>
        <w:rPr>
          <w:sz w:val="28"/>
          <w:szCs w:val="28"/>
        </w:rPr>
        <w:t>а отч</w:t>
      </w:r>
      <w:r w:rsidR="00260717">
        <w:rPr>
          <w:sz w:val="28"/>
          <w:szCs w:val="28"/>
        </w:rPr>
        <w:t>етния период представлява 74,87</w:t>
      </w:r>
      <w:r>
        <w:rPr>
          <w:sz w:val="28"/>
          <w:szCs w:val="28"/>
        </w:rPr>
        <w:t xml:space="preserve">% от приключилите </w:t>
      </w:r>
      <w:r>
        <w:rPr>
          <w:color w:val="000000" w:themeColor="text1"/>
          <w:sz w:val="28"/>
          <w:szCs w:val="28"/>
          <w:lang w:val="be-BY"/>
        </w:rPr>
        <w:t>досъдебни производства</w:t>
      </w:r>
      <w:r>
        <w:rPr>
          <w:sz w:val="28"/>
          <w:szCs w:val="28"/>
        </w:rPr>
        <w:t>, решени с прекратяване или внасяне в съда</w:t>
      </w:r>
      <w:r w:rsidR="00F222B7">
        <w:rPr>
          <w:sz w:val="28"/>
          <w:szCs w:val="28"/>
        </w:rPr>
        <w:t>.</w:t>
      </w:r>
    </w:p>
    <w:p w:rsidR="00D02DF1" w:rsidRDefault="00D02DF1" w:rsidP="00D02DF1">
      <w:pPr>
        <w:spacing w:line="340" w:lineRule="atLeast"/>
        <w:ind w:firstLine="709"/>
        <w:jc w:val="both"/>
        <w:rPr>
          <w:sz w:val="28"/>
          <w:szCs w:val="28"/>
        </w:rPr>
      </w:pPr>
      <w:r>
        <w:rPr>
          <w:sz w:val="28"/>
          <w:szCs w:val="28"/>
        </w:rPr>
        <w:t>За сравнение, през 2023 година приключените досъдебни производства в</w:t>
      </w:r>
      <w:r w:rsidR="000A54C1">
        <w:rPr>
          <w:sz w:val="28"/>
          <w:szCs w:val="28"/>
        </w:rPr>
        <w:t xml:space="preserve"> срок до 8 месеца </w:t>
      </w:r>
      <w:r>
        <w:rPr>
          <w:sz w:val="28"/>
          <w:szCs w:val="28"/>
        </w:rPr>
        <w:t>са представлявали 77,85%</w:t>
      </w:r>
      <w:r w:rsidR="00F222B7">
        <w:rPr>
          <w:sz w:val="28"/>
          <w:szCs w:val="28"/>
        </w:rPr>
        <w:t xml:space="preserve"> от решените с прокурорски акт за прекратяване или внасяне в съда,</w:t>
      </w:r>
      <w:r>
        <w:rPr>
          <w:sz w:val="28"/>
          <w:szCs w:val="28"/>
        </w:rPr>
        <w:t xml:space="preserve"> а за 2022 год.</w:t>
      </w:r>
      <w:r w:rsidR="00F222B7">
        <w:rPr>
          <w:sz w:val="28"/>
          <w:szCs w:val="28"/>
        </w:rPr>
        <w:t xml:space="preserve"> </w:t>
      </w:r>
      <w:r w:rsidR="000A54C1">
        <w:rPr>
          <w:sz w:val="28"/>
          <w:szCs w:val="28"/>
        </w:rPr>
        <w:t>–</w:t>
      </w:r>
      <w:r w:rsidR="001408CB">
        <w:rPr>
          <w:sz w:val="28"/>
          <w:szCs w:val="28"/>
        </w:rPr>
        <w:t xml:space="preserve"> </w:t>
      </w:r>
      <w:r>
        <w:rPr>
          <w:sz w:val="28"/>
          <w:szCs w:val="28"/>
        </w:rPr>
        <w:t>78,6%</w:t>
      </w:r>
      <w:r w:rsidR="001408CB">
        <w:rPr>
          <w:sz w:val="28"/>
          <w:szCs w:val="28"/>
        </w:rPr>
        <w:t>.</w:t>
      </w:r>
      <w:r>
        <w:rPr>
          <w:sz w:val="28"/>
          <w:szCs w:val="28"/>
        </w:rPr>
        <w:t xml:space="preserve"> Отчетените данни сочат относителна устойчивост на процентното съотношение на приключените в посочения срок </w:t>
      </w:r>
      <w:r>
        <w:rPr>
          <w:sz w:val="28"/>
          <w:szCs w:val="28"/>
          <w:lang w:val="be-BY"/>
        </w:rPr>
        <w:t>досъдебни производства за последните три години.</w:t>
      </w:r>
    </w:p>
    <w:p w:rsidR="00D02DF1" w:rsidRDefault="00D02DF1" w:rsidP="00D02DF1">
      <w:pPr>
        <w:spacing w:line="340" w:lineRule="atLeast"/>
        <w:ind w:firstLine="709"/>
        <w:jc w:val="both"/>
        <w:rPr>
          <w:sz w:val="28"/>
          <w:szCs w:val="28"/>
          <w:lang w:val="be-BY"/>
        </w:rPr>
      </w:pPr>
      <w:r>
        <w:rPr>
          <w:sz w:val="28"/>
          <w:szCs w:val="28"/>
          <w:lang w:val="be-BY"/>
        </w:rPr>
        <w:t>Следва да се отбележи, че е налице сравнителна устойчивост и по отношение на броя и процентното съотношение на приключените досъдебните производства, разследването по които е продължило до 1 година, като същите съставляват 12,03% от всички досъдебни производства решени по същество за 2024 г.</w:t>
      </w:r>
    </w:p>
    <w:p w:rsidR="00D02DF1" w:rsidRDefault="00D02DF1" w:rsidP="00D02DF1">
      <w:pPr>
        <w:spacing w:line="340" w:lineRule="atLeast"/>
        <w:ind w:firstLine="709"/>
        <w:jc w:val="both"/>
        <w:rPr>
          <w:sz w:val="28"/>
          <w:szCs w:val="28"/>
          <w:lang w:val="be-BY"/>
        </w:rPr>
      </w:pPr>
      <w:r>
        <w:rPr>
          <w:sz w:val="28"/>
          <w:szCs w:val="28"/>
          <w:lang w:val="be-BY"/>
        </w:rPr>
        <w:t xml:space="preserve">Отчита се </w:t>
      </w:r>
      <w:r w:rsidR="00B01CC8">
        <w:rPr>
          <w:sz w:val="28"/>
          <w:szCs w:val="28"/>
          <w:lang w:val="be-BY"/>
        </w:rPr>
        <w:t xml:space="preserve">незначително увеличаване </w:t>
      </w:r>
      <w:r>
        <w:rPr>
          <w:sz w:val="28"/>
          <w:szCs w:val="28"/>
          <w:lang w:val="be-BY"/>
        </w:rPr>
        <w:t xml:space="preserve">на броя на разследваните досъдебни производства над 1 година, като за отчетната година техният дял възлиза на 10,06% спрямо всички досъдебни производства, решени по същество, при 8,57% - за 2023 година и при 7% за 2022 год. </w:t>
      </w:r>
    </w:p>
    <w:p w:rsidR="00D02DF1" w:rsidRDefault="00D02DF1" w:rsidP="00D02DF1">
      <w:pPr>
        <w:spacing w:line="340" w:lineRule="atLeast"/>
        <w:ind w:firstLine="709"/>
        <w:jc w:val="both"/>
        <w:rPr>
          <w:sz w:val="28"/>
          <w:szCs w:val="28"/>
          <w:lang w:val="be-BY"/>
        </w:rPr>
      </w:pPr>
      <w:r>
        <w:rPr>
          <w:sz w:val="28"/>
          <w:szCs w:val="28"/>
          <w:lang w:val="be-BY"/>
        </w:rPr>
        <w:t>Към края на отчетния период 54 досъдебни производства са разследвани над 2 години</w:t>
      </w:r>
      <w:r w:rsidR="00B01CC8">
        <w:rPr>
          <w:sz w:val="28"/>
          <w:szCs w:val="28"/>
          <w:lang w:val="be-BY"/>
        </w:rPr>
        <w:t xml:space="preserve">, при 75 досъдебни производства </w:t>
      </w:r>
      <w:r>
        <w:rPr>
          <w:sz w:val="28"/>
          <w:szCs w:val="28"/>
          <w:lang w:val="be-BY"/>
        </w:rPr>
        <w:t>за 2023 година и  94 досъ</w:t>
      </w:r>
      <w:r w:rsidR="00B01CC8">
        <w:rPr>
          <w:sz w:val="28"/>
          <w:szCs w:val="28"/>
          <w:lang w:val="be-BY"/>
        </w:rPr>
        <w:t>дебни производства за 2022 год.</w:t>
      </w:r>
      <w:r>
        <w:rPr>
          <w:sz w:val="28"/>
          <w:szCs w:val="28"/>
          <w:lang w:val="be-BY"/>
        </w:rPr>
        <w:t xml:space="preserve"> </w:t>
      </w:r>
    </w:p>
    <w:p w:rsidR="00D02DF1" w:rsidRDefault="00D02DF1" w:rsidP="00D02DF1">
      <w:pPr>
        <w:spacing w:line="340" w:lineRule="atLeast"/>
        <w:ind w:firstLine="709"/>
        <w:jc w:val="both"/>
        <w:rPr>
          <w:sz w:val="28"/>
          <w:szCs w:val="28"/>
          <w:lang w:val="be-BY"/>
        </w:rPr>
      </w:pPr>
      <w:r>
        <w:rPr>
          <w:sz w:val="28"/>
          <w:szCs w:val="28"/>
          <w:lang w:val="be-BY"/>
        </w:rPr>
        <w:t xml:space="preserve">Отчетеното през 2024 г. чувствивтелно намаление на броя на досъдебните производства, чието разследване продължава повече от две години, се дължи на предприетите от административните ръководители на ОП - Сливен и РП – Сливен, на основание чл.140 ал.4 от Закона за съдебната власт, организационни мерки за ускоряване на разследванията и приключването им в разумен срок. </w:t>
      </w:r>
    </w:p>
    <w:p w:rsidR="00D02DF1" w:rsidRDefault="00D02DF1" w:rsidP="00D02DF1">
      <w:pPr>
        <w:spacing w:line="380" w:lineRule="exact"/>
        <w:ind w:left="142" w:hanging="142"/>
        <w:jc w:val="center"/>
        <w:rPr>
          <w:b/>
          <w:sz w:val="28"/>
          <w:szCs w:val="28"/>
          <w:lang w:val="be-BY"/>
        </w:rPr>
      </w:pPr>
      <w:r>
        <w:rPr>
          <w:b/>
          <w:sz w:val="28"/>
          <w:szCs w:val="28"/>
        </w:rPr>
        <w:t>2.3. Решени досъдебни производства от прокурор. Видове решения</w:t>
      </w:r>
    </w:p>
    <w:p w:rsidR="00D02DF1" w:rsidRDefault="00D02DF1" w:rsidP="00D02DF1">
      <w:pPr>
        <w:spacing w:line="380" w:lineRule="exact"/>
        <w:ind w:firstLine="709"/>
        <w:jc w:val="both"/>
        <w:rPr>
          <w:sz w:val="28"/>
          <w:szCs w:val="28"/>
          <w:lang w:val="be-BY"/>
        </w:rPr>
      </w:pPr>
      <w:r>
        <w:rPr>
          <w:sz w:val="28"/>
          <w:szCs w:val="28"/>
        </w:rPr>
        <w:lastRenderedPageBreak/>
        <w:t xml:space="preserve">През 2024 г. прокурорите от системата на Окръжна прокуратура – Сливен са решили общо 2960 </w:t>
      </w:r>
      <w:r>
        <w:rPr>
          <w:sz w:val="28"/>
          <w:szCs w:val="28"/>
          <w:lang w:val="be-BY"/>
        </w:rPr>
        <w:t xml:space="preserve">досъдебни производства, от които </w:t>
      </w:r>
      <w:r>
        <w:rPr>
          <w:sz w:val="28"/>
          <w:szCs w:val="28"/>
        </w:rPr>
        <w:t xml:space="preserve">в срок до 1 месец – 2915 досъдебни производства, а в срок до 2 месеца (с удължен срок от административния ръководител) – 45 </w:t>
      </w:r>
      <w:r>
        <w:rPr>
          <w:sz w:val="28"/>
          <w:szCs w:val="28"/>
          <w:lang w:val="be-BY"/>
        </w:rPr>
        <w:t>досъдебни производства.</w:t>
      </w:r>
    </w:p>
    <w:p w:rsidR="00D02DF1" w:rsidRDefault="00D02DF1" w:rsidP="00D02DF1">
      <w:pPr>
        <w:spacing w:line="380" w:lineRule="exact"/>
        <w:ind w:firstLine="709"/>
        <w:jc w:val="both"/>
        <w:rPr>
          <w:sz w:val="28"/>
          <w:szCs w:val="28"/>
          <w:lang w:val="be-BY"/>
        </w:rPr>
      </w:pPr>
      <w:r>
        <w:rPr>
          <w:sz w:val="28"/>
          <w:szCs w:val="28"/>
          <w:lang w:val="be-BY"/>
        </w:rPr>
        <w:t>През 202</w:t>
      </w:r>
      <w:r>
        <w:rPr>
          <w:sz w:val="28"/>
          <w:szCs w:val="28"/>
          <w:lang w:val="en-US"/>
        </w:rPr>
        <w:t>4</w:t>
      </w:r>
      <w:r>
        <w:rPr>
          <w:sz w:val="28"/>
          <w:szCs w:val="28"/>
          <w:lang w:val="be-BY"/>
        </w:rPr>
        <w:t xml:space="preserve"> г. спрените досъдебни производства са 565, от които </w:t>
      </w:r>
      <w:r>
        <w:rPr>
          <w:sz w:val="28"/>
          <w:szCs w:val="28"/>
          <w:lang w:val="en-US"/>
        </w:rPr>
        <w:t>448</w:t>
      </w:r>
      <w:r>
        <w:rPr>
          <w:sz w:val="28"/>
          <w:szCs w:val="28"/>
          <w:lang w:val="be-BY"/>
        </w:rPr>
        <w:t xml:space="preserve"> досъдебни производства са спрени поради неразкриване извършителя на престъплението, представляващо 79,29% от тях.</w:t>
      </w:r>
    </w:p>
    <w:p w:rsidR="00D02DF1" w:rsidRDefault="00D02DF1" w:rsidP="00D02DF1">
      <w:pPr>
        <w:spacing w:line="380" w:lineRule="exact"/>
        <w:ind w:firstLine="709"/>
        <w:jc w:val="both"/>
        <w:rPr>
          <w:sz w:val="28"/>
          <w:szCs w:val="28"/>
          <w:lang w:val="en-US"/>
        </w:rPr>
      </w:pPr>
      <w:r>
        <w:rPr>
          <w:sz w:val="28"/>
          <w:szCs w:val="28"/>
          <w:lang w:val="be-BY"/>
        </w:rPr>
        <w:t xml:space="preserve">Броят на прекратените досъдебни производства е 1375, от които 543 бр. са прекратени поради изтекла давност. </w:t>
      </w:r>
    </w:p>
    <w:p w:rsidR="00D02DF1" w:rsidRDefault="00D02DF1" w:rsidP="00D02DF1">
      <w:pPr>
        <w:pStyle w:val="a5"/>
        <w:spacing w:after="0" w:line="380" w:lineRule="exact"/>
        <w:ind w:firstLine="709"/>
        <w:jc w:val="both"/>
        <w:rPr>
          <w:sz w:val="28"/>
          <w:szCs w:val="28"/>
        </w:rPr>
      </w:pPr>
      <w:r>
        <w:rPr>
          <w:sz w:val="28"/>
          <w:szCs w:val="28"/>
        </w:rPr>
        <w:t>През 2024 година в съда са внесени общо 947 прокурорски акта. Отчита се намаление на внесените в съда прокурорски актове, както спрямо 2023 г. /внесени в съда общо 1020 прокурорски акта/, така и спрямо 2022 год. /внесени 1001 прокурорски акта/.</w:t>
      </w:r>
    </w:p>
    <w:p w:rsidR="00D02DF1" w:rsidRDefault="00D02DF1" w:rsidP="00D02DF1">
      <w:pPr>
        <w:pStyle w:val="a5"/>
        <w:spacing w:after="0" w:line="380" w:lineRule="exact"/>
        <w:ind w:firstLine="709"/>
        <w:jc w:val="both"/>
        <w:rPr>
          <w:sz w:val="28"/>
          <w:szCs w:val="28"/>
        </w:rPr>
      </w:pPr>
      <w:r>
        <w:rPr>
          <w:sz w:val="28"/>
          <w:szCs w:val="28"/>
        </w:rPr>
        <w:t>Броят на обвинителните актове внесени през 2024 година е 550, като относителният им дял спрямо общо внесените в съда 947 акта е 58, 0</w:t>
      </w:r>
      <w:r w:rsidR="00BC6471">
        <w:rPr>
          <w:sz w:val="28"/>
          <w:szCs w:val="28"/>
        </w:rPr>
        <w:t>8</w:t>
      </w:r>
      <w:r>
        <w:rPr>
          <w:sz w:val="28"/>
          <w:szCs w:val="28"/>
        </w:rPr>
        <w:t xml:space="preserve"> %. </w:t>
      </w:r>
    </w:p>
    <w:p w:rsidR="00D02DF1" w:rsidRDefault="00D02DF1" w:rsidP="00D02DF1">
      <w:pPr>
        <w:pStyle w:val="a5"/>
        <w:spacing w:after="0" w:line="380" w:lineRule="exact"/>
        <w:ind w:firstLine="709"/>
        <w:jc w:val="both"/>
        <w:rPr>
          <w:sz w:val="28"/>
          <w:szCs w:val="28"/>
        </w:rPr>
      </w:pPr>
      <w:r>
        <w:rPr>
          <w:sz w:val="28"/>
          <w:szCs w:val="28"/>
        </w:rPr>
        <w:t>За сравнение – през 2023 година броят на внесените обвинителни актове е 549, като относителният им дял към общо внесените в съда 1020 акта е</w:t>
      </w:r>
      <w:r w:rsidR="00432710">
        <w:rPr>
          <w:sz w:val="28"/>
          <w:szCs w:val="28"/>
        </w:rPr>
        <w:t xml:space="preserve"> бил</w:t>
      </w:r>
      <w:r>
        <w:rPr>
          <w:sz w:val="28"/>
          <w:szCs w:val="28"/>
        </w:rPr>
        <w:t xml:space="preserve"> 53,82%, а през 2022 г. този показател е 556, като относителният им дял към общо внесените в съда 1001 актове е бил 55,54%.</w:t>
      </w:r>
    </w:p>
    <w:p w:rsidR="00D02DF1" w:rsidRDefault="00D02DF1" w:rsidP="00D02DF1">
      <w:pPr>
        <w:spacing w:line="380" w:lineRule="exact"/>
        <w:ind w:firstLine="709"/>
        <w:jc w:val="both"/>
        <w:rPr>
          <w:sz w:val="28"/>
          <w:szCs w:val="28"/>
          <w:lang w:val="be-BY"/>
        </w:rPr>
      </w:pPr>
      <w:r>
        <w:rPr>
          <w:sz w:val="28"/>
          <w:szCs w:val="28"/>
          <w:lang w:val="be-BY"/>
        </w:rPr>
        <w:t>Отчита се устойчивост в броя на внесените обвинителни актове в сравнение с предходните две години.</w:t>
      </w:r>
    </w:p>
    <w:p w:rsidR="00D02DF1" w:rsidRDefault="00D02DF1" w:rsidP="00D02DF1">
      <w:pPr>
        <w:spacing w:line="380" w:lineRule="exact"/>
        <w:ind w:firstLine="709"/>
        <w:jc w:val="both"/>
        <w:rPr>
          <w:sz w:val="28"/>
          <w:szCs w:val="28"/>
          <w:lang w:val="be-BY"/>
        </w:rPr>
      </w:pPr>
      <w:r>
        <w:rPr>
          <w:sz w:val="28"/>
          <w:szCs w:val="28"/>
          <w:lang w:val="be-BY"/>
        </w:rPr>
        <w:t xml:space="preserve">Внесените в съда </w:t>
      </w:r>
      <w:r>
        <w:rPr>
          <w:sz w:val="28"/>
          <w:szCs w:val="28"/>
        </w:rPr>
        <w:t>споразумения</w:t>
      </w:r>
      <w:r>
        <w:rPr>
          <w:sz w:val="28"/>
          <w:szCs w:val="28"/>
          <w:lang w:val="be-BY"/>
        </w:rPr>
        <w:t xml:space="preserve"> за отчетния период са 302 бр., при 330 бр. за 2023 година и при 292 бр. за 2022 год. </w:t>
      </w:r>
    </w:p>
    <w:p w:rsidR="00D02DF1" w:rsidRDefault="00D02DF1" w:rsidP="00D02DF1">
      <w:pPr>
        <w:spacing w:line="380" w:lineRule="exact"/>
        <w:ind w:firstLine="709"/>
        <w:jc w:val="both"/>
        <w:rPr>
          <w:sz w:val="28"/>
          <w:szCs w:val="28"/>
        </w:rPr>
      </w:pPr>
      <w:r>
        <w:rPr>
          <w:sz w:val="28"/>
          <w:szCs w:val="28"/>
        </w:rPr>
        <w:t xml:space="preserve">Внесените предложения за освобождаване от наказателна отговорност по чл.78а от НК за отчетния период са 95 бр., като се отчита значително намаление спрямо предходните две години, когато те са били съответно 141 бр. през 2023 година и 153 бр. за 2022 г. </w:t>
      </w:r>
    </w:p>
    <w:p w:rsidR="00D02DF1" w:rsidRDefault="00D02DF1" w:rsidP="00D02DF1">
      <w:pPr>
        <w:spacing w:line="380" w:lineRule="exact"/>
        <w:ind w:firstLine="708"/>
        <w:jc w:val="both"/>
        <w:rPr>
          <w:sz w:val="28"/>
          <w:szCs w:val="28"/>
          <w:lang w:val="en-US"/>
        </w:rPr>
      </w:pPr>
      <w:r>
        <w:rPr>
          <w:sz w:val="28"/>
          <w:szCs w:val="28"/>
          <w:lang w:val="be-BY"/>
        </w:rPr>
        <w:t xml:space="preserve">В табличен и графичен вид относителният дял на различните видове внесени в съда прокурорски актове през 2024 г., спрямо общо внесените прокурорски актове има следните измерения: </w:t>
      </w:r>
    </w:p>
    <w:p w:rsidR="00610A0D" w:rsidRPr="00610A0D" w:rsidRDefault="00610A0D" w:rsidP="00D02DF1">
      <w:pPr>
        <w:spacing w:line="380" w:lineRule="exact"/>
        <w:ind w:firstLine="708"/>
        <w:jc w:val="both"/>
        <w:rPr>
          <w:sz w:val="28"/>
          <w:szCs w:val="28"/>
          <w:lang w:val="en-US"/>
        </w:rPr>
      </w:pPr>
    </w:p>
    <w:p w:rsidR="00D02DF1" w:rsidRDefault="00D02DF1" w:rsidP="00D02DF1">
      <w:pPr>
        <w:ind w:firstLine="709"/>
        <w:jc w:val="both"/>
        <w:rPr>
          <w:sz w:val="16"/>
          <w:szCs w:val="16"/>
          <w:lang w:val="be-BY"/>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418"/>
        <w:gridCol w:w="1418"/>
        <w:gridCol w:w="1418"/>
      </w:tblGrid>
      <w:tr w:rsidR="00D02DF1" w:rsidTr="00D02DF1">
        <w:tc>
          <w:tcPr>
            <w:tcW w:w="5211" w:type="dxa"/>
            <w:tcBorders>
              <w:top w:val="single" w:sz="4" w:space="0" w:color="auto"/>
              <w:left w:val="single" w:sz="4" w:space="0" w:color="auto"/>
              <w:bottom w:val="single" w:sz="12" w:space="0" w:color="000000"/>
              <w:right w:val="single" w:sz="4" w:space="0" w:color="auto"/>
            </w:tcBorders>
            <w:shd w:val="solid" w:color="800000" w:fill="FFFFFF"/>
          </w:tcPr>
          <w:p w:rsidR="00D02DF1" w:rsidRDefault="00D02DF1">
            <w:pPr>
              <w:spacing w:line="340" w:lineRule="atLeast"/>
              <w:ind w:firstLine="1134"/>
              <w:jc w:val="center"/>
              <w:rPr>
                <w:b/>
                <w:bCs/>
                <w:i/>
                <w:iCs/>
                <w:color w:val="FFFFFF"/>
                <w:sz w:val="24"/>
                <w:szCs w:val="24"/>
                <w:lang w:eastAsia="en-US"/>
              </w:rPr>
            </w:pPr>
            <w:bookmarkStart w:id="3" w:name="OLE_LINK1"/>
          </w:p>
        </w:tc>
        <w:tc>
          <w:tcPr>
            <w:tcW w:w="1418" w:type="dxa"/>
            <w:tcBorders>
              <w:top w:val="single" w:sz="4" w:space="0" w:color="auto"/>
              <w:left w:val="single" w:sz="4" w:space="0" w:color="auto"/>
              <w:bottom w:val="single" w:sz="12" w:space="0" w:color="000000"/>
              <w:right w:val="single" w:sz="4" w:space="0" w:color="auto"/>
            </w:tcBorders>
            <w:shd w:val="solid" w:color="800000" w:fill="FFFFFF"/>
            <w:hideMark/>
          </w:tcPr>
          <w:p w:rsidR="00D02DF1" w:rsidRDefault="00D02DF1">
            <w:pPr>
              <w:spacing w:line="340" w:lineRule="atLeast"/>
              <w:ind w:firstLine="34"/>
              <w:jc w:val="center"/>
              <w:rPr>
                <w:b/>
                <w:bCs/>
                <w:i/>
                <w:iCs/>
                <w:color w:val="FFFFFF"/>
                <w:sz w:val="24"/>
                <w:szCs w:val="24"/>
                <w:lang w:val="be-BY" w:eastAsia="en-US"/>
              </w:rPr>
            </w:pPr>
            <w:r>
              <w:rPr>
                <w:b/>
                <w:bCs/>
                <w:i/>
                <w:iCs/>
                <w:color w:val="FFFFFF"/>
                <w:sz w:val="24"/>
                <w:szCs w:val="24"/>
                <w:lang w:eastAsia="en-US"/>
              </w:rPr>
              <w:t>2022</w:t>
            </w:r>
          </w:p>
        </w:tc>
        <w:tc>
          <w:tcPr>
            <w:tcW w:w="1418" w:type="dxa"/>
            <w:tcBorders>
              <w:top w:val="single" w:sz="4" w:space="0" w:color="auto"/>
              <w:left w:val="single" w:sz="4" w:space="0" w:color="auto"/>
              <w:bottom w:val="single" w:sz="12" w:space="0" w:color="000000"/>
              <w:right w:val="single" w:sz="4" w:space="0" w:color="auto"/>
            </w:tcBorders>
            <w:shd w:val="solid" w:color="800000" w:fill="FFFFFF"/>
            <w:hideMark/>
          </w:tcPr>
          <w:p w:rsidR="00D02DF1" w:rsidRDefault="00D02DF1">
            <w:pPr>
              <w:spacing w:line="340" w:lineRule="atLeast"/>
              <w:ind w:firstLine="34"/>
              <w:jc w:val="center"/>
              <w:rPr>
                <w:b/>
                <w:bCs/>
                <w:i/>
                <w:iCs/>
                <w:color w:val="FFFFFF"/>
                <w:sz w:val="24"/>
                <w:szCs w:val="24"/>
                <w:lang w:val="be-BY" w:eastAsia="en-US"/>
              </w:rPr>
            </w:pPr>
            <w:r>
              <w:rPr>
                <w:b/>
                <w:bCs/>
                <w:i/>
                <w:iCs/>
                <w:color w:val="FFFFFF"/>
                <w:sz w:val="24"/>
                <w:szCs w:val="24"/>
                <w:lang w:eastAsia="en-US"/>
              </w:rPr>
              <w:t>2023</w:t>
            </w:r>
          </w:p>
        </w:tc>
        <w:tc>
          <w:tcPr>
            <w:tcW w:w="1418" w:type="dxa"/>
            <w:tcBorders>
              <w:top w:val="single" w:sz="4" w:space="0" w:color="auto"/>
              <w:left w:val="single" w:sz="4" w:space="0" w:color="auto"/>
              <w:bottom w:val="single" w:sz="12" w:space="0" w:color="000000"/>
              <w:right w:val="single" w:sz="4" w:space="0" w:color="auto"/>
            </w:tcBorders>
            <w:shd w:val="solid" w:color="800000" w:fill="FFFFFF"/>
            <w:hideMark/>
          </w:tcPr>
          <w:p w:rsidR="00D02DF1" w:rsidRDefault="00D02DF1">
            <w:pPr>
              <w:spacing w:line="340" w:lineRule="atLeast"/>
              <w:ind w:firstLine="34"/>
              <w:jc w:val="center"/>
              <w:rPr>
                <w:b/>
                <w:bCs/>
                <w:i/>
                <w:iCs/>
                <w:color w:val="FFFFFF"/>
                <w:sz w:val="24"/>
                <w:szCs w:val="24"/>
                <w:lang w:val="be-BY" w:eastAsia="en-US"/>
              </w:rPr>
            </w:pPr>
            <w:r>
              <w:rPr>
                <w:b/>
                <w:bCs/>
                <w:i/>
                <w:iCs/>
                <w:color w:val="FFFFFF"/>
                <w:sz w:val="24"/>
                <w:szCs w:val="24"/>
                <w:lang w:eastAsia="en-US"/>
              </w:rPr>
              <w:t>2024</w:t>
            </w:r>
          </w:p>
        </w:tc>
      </w:tr>
      <w:tr w:rsidR="00D02DF1" w:rsidTr="00D02DF1">
        <w:trPr>
          <w:trHeight w:val="340"/>
        </w:trPr>
        <w:tc>
          <w:tcPr>
            <w:tcW w:w="5211" w:type="dxa"/>
            <w:tcBorders>
              <w:top w:val="single" w:sz="4" w:space="0" w:color="auto"/>
              <w:left w:val="single" w:sz="4" w:space="0" w:color="auto"/>
              <w:bottom w:val="single" w:sz="4" w:space="0" w:color="auto"/>
              <w:right w:val="single" w:sz="4" w:space="0" w:color="auto"/>
            </w:tcBorders>
            <w:shd w:val="pct20" w:color="FFFF00" w:fill="FFFFFF"/>
            <w:hideMark/>
          </w:tcPr>
          <w:p w:rsidR="00D02DF1" w:rsidRDefault="00D02DF1">
            <w:pPr>
              <w:tabs>
                <w:tab w:val="left" w:pos="315"/>
              </w:tabs>
              <w:spacing w:line="340" w:lineRule="atLeast"/>
              <w:jc w:val="both"/>
              <w:rPr>
                <w:b/>
                <w:bCs/>
                <w:i/>
                <w:iCs/>
                <w:sz w:val="24"/>
                <w:szCs w:val="24"/>
                <w:lang w:eastAsia="en-US"/>
              </w:rPr>
            </w:pPr>
            <w:r>
              <w:rPr>
                <w:b/>
                <w:bCs/>
                <w:i/>
                <w:iCs/>
                <w:sz w:val="24"/>
                <w:szCs w:val="24"/>
                <w:lang w:eastAsia="en-US"/>
              </w:rPr>
              <w:t>Общо внесени прокурорски актове</w:t>
            </w:r>
          </w:p>
        </w:tc>
        <w:tc>
          <w:tcPr>
            <w:tcW w:w="1418" w:type="dxa"/>
            <w:tcBorders>
              <w:top w:val="single" w:sz="4" w:space="0" w:color="auto"/>
              <w:left w:val="single" w:sz="4" w:space="0" w:color="auto"/>
              <w:bottom w:val="single" w:sz="4" w:space="0" w:color="auto"/>
              <w:right w:val="single" w:sz="4" w:space="0" w:color="auto"/>
            </w:tcBorders>
            <w:shd w:val="pct20" w:color="FFFF00" w:fill="FFFFFF"/>
            <w:hideMark/>
          </w:tcPr>
          <w:p w:rsidR="00D02DF1" w:rsidRDefault="00D02DF1">
            <w:pPr>
              <w:spacing w:line="340" w:lineRule="atLeast"/>
              <w:ind w:firstLine="34"/>
              <w:jc w:val="center"/>
              <w:rPr>
                <w:b/>
                <w:i/>
                <w:sz w:val="24"/>
                <w:szCs w:val="24"/>
                <w:lang w:eastAsia="en-US"/>
              </w:rPr>
            </w:pPr>
            <w:r>
              <w:rPr>
                <w:b/>
                <w:i/>
                <w:sz w:val="24"/>
                <w:szCs w:val="24"/>
                <w:lang w:eastAsia="en-US"/>
              </w:rPr>
              <w:t>1001</w:t>
            </w:r>
          </w:p>
        </w:tc>
        <w:tc>
          <w:tcPr>
            <w:tcW w:w="1418" w:type="dxa"/>
            <w:tcBorders>
              <w:top w:val="single" w:sz="4" w:space="0" w:color="auto"/>
              <w:left w:val="single" w:sz="4" w:space="0" w:color="auto"/>
              <w:bottom w:val="single" w:sz="4" w:space="0" w:color="auto"/>
              <w:right w:val="single" w:sz="4" w:space="0" w:color="auto"/>
            </w:tcBorders>
            <w:shd w:val="pct20" w:color="FFFF00" w:fill="FFFFFF"/>
            <w:hideMark/>
          </w:tcPr>
          <w:p w:rsidR="00D02DF1" w:rsidRDefault="00D02DF1">
            <w:pPr>
              <w:spacing w:line="340" w:lineRule="atLeast"/>
              <w:ind w:firstLine="34"/>
              <w:jc w:val="center"/>
              <w:rPr>
                <w:b/>
                <w:i/>
                <w:sz w:val="24"/>
                <w:szCs w:val="24"/>
                <w:lang w:val="en-US" w:eastAsia="en-US"/>
              </w:rPr>
            </w:pPr>
            <w:r>
              <w:rPr>
                <w:b/>
                <w:i/>
                <w:sz w:val="24"/>
                <w:szCs w:val="24"/>
                <w:lang w:eastAsia="en-US"/>
              </w:rPr>
              <w:t>1020</w:t>
            </w:r>
          </w:p>
        </w:tc>
        <w:tc>
          <w:tcPr>
            <w:tcW w:w="1418" w:type="dxa"/>
            <w:tcBorders>
              <w:top w:val="single" w:sz="4" w:space="0" w:color="auto"/>
              <w:left w:val="single" w:sz="4" w:space="0" w:color="auto"/>
              <w:bottom w:val="single" w:sz="4" w:space="0" w:color="auto"/>
              <w:right w:val="single" w:sz="4" w:space="0" w:color="auto"/>
            </w:tcBorders>
            <w:shd w:val="pct20" w:color="FFFF00" w:fill="FFFFFF"/>
            <w:hideMark/>
          </w:tcPr>
          <w:p w:rsidR="00D02DF1" w:rsidRDefault="00D02DF1">
            <w:pPr>
              <w:spacing w:line="340" w:lineRule="atLeast"/>
              <w:ind w:firstLine="34"/>
              <w:jc w:val="center"/>
              <w:rPr>
                <w:b/>
                <w:i/>
                <w:sz w:val="24"/>
                <w:szCs w:val="24"/>
                <w:lang w:eastAsia="en-US"/>
              </w:rPr>
            </w:pPr>
            <w:r>
              <w:rPr>
                <w:b/>
                <w:i/>
                <w:sz w:val="24"/>
                <w:szCs w:val="24"/>
                <w:lang w:eastAsia="en-US"/>
              </w:rPr>
              <w:t>947</w:t>
            </w:r>
          </w:p>
        </w:tc>
      </w:tr>
      <w:tr w:rsidR="00D02DF1" w:rsidTr="00D02DF1">
        <w:trPr>
          <w:trHeight w:val="340"/>
        </w:trPr>
        <w:tc>
          <w:tcPr>
            <w:tcW w:w="5211" w:type="dxa"/>
            <w:tcBorders>
              <w:top w:val="single" w:sz="4" w:space="0" w:color="auto"/>
              <w:left w:val="single" w:sz="4" w:space="0" w:color="auto"/>
              <w:bottom w:val="single" w:sz="4" w:space="0" w:color="auto"/>
              <w:right w:val="single" w:sz="4" w:space="0" w:color="auto"/>
            </w:tcBorders>
            <w:shd w:val="pct20" w:color="FFFF00" w:fill="FFFFFF"/>
            <w:hideMark/>
          </w:tcPr>
          <w:p w:rsidR="00D02DF1" w:rsidRDefault="00D02DF1">
            <w:pPr>
              <w:tabs>
                <w:tab w:val="left" w:pos="315"/>
              </w:tabs>
              <w:spacing w:line="340" w:lineRule="atLeast"/>
              <w:jc w:val="both"/>
              <w:rPr>
                <w:b/>
                <w:bCs/>
                <w:i/>
                <w:iCs/>
                <w:sz w:val="24"/>
                <w:szCs w:val="24"/>
                <w:lang w:eastAsia="en-US"/>
              </w:rPr>
            </w:pPr>
            <w:proofErr w:type="spellStart"/>
            <w:r>
              <w:rPr>
                <w:b/>
                <w:bCs/>
                <w:i/>
                <w:iCs/>
                <w:sz w:val="24"/>
                <w:szCs w:val="24"/>
                <w:lang w:eastAsia="en-US"/>
              </w:rPr>
              <w:t>Обв</w:t>
            </w:r>
            <w:proofErr w:type="spellEnd"/>
            <w:r>
              <w:rPr>
                <w:b/>
                <w:bCs/>
                <w:i/>
                <w:iCs/>
                <w:sz w:val="24"/>
                <w:szCs w:val="24"/>
                <w:lang w:eastAsia="en-US"/>
              </w:rPr>
              <w:t>.акт</w:t>
            </w:r>
          </w:p>
        </w:tc>
        <w:tc>
          <w:tcPr>
            <w:tcW w:w="1418" w:type="dxa"/>
            <w:tcBorders>
              <w:top w:val="single" w:sz="4" w:space="0" w:color="auto"/>
              <w:left w:val="single" w:sz="4" w:space="0" w:color="auto"/>
              <w:bottom w:val="single" w:sz="4" w:space="0" w:color="auto"/>
              <w:right w:val="single" w:sz="4" w:space="0" w:color="auto"/>
            </w:tcBorders>
            <w:shd w:val="pct20" w:color="FFFF00" w:fill="FFFFFF"/>
            <w:hideMark/>
          </w:tcPr>
          <w:p w:rsidR="00D02DF1" w:rsidRDefault="00D02DF1">
            <w:pPr>
              <w:spacing w:line="340" w:lineRule="atLeast"/>
              <w:ind w:firstLine="34"/>
              <w:jc w:val="center"/>
              <w:rPr>
                <w:i/>
                <w:sz w:val="24"/>
                <w:szCs w:val="24"/>
                <w:lang w:eastAsia="en-US"/>
              </w:rPr>
            </w:pPr>
            <w:r>
              <w:rPr>
                <w:i/>
                <w:sz w:val="24"/>
                <w:szCs w:val="24"/>
                <w:lang w:eastAsia="en-US"/>
              </w:rPr>
              <w:t>556</w:t>
            </w:r>
          </w:p>
        </w:tc>
        <w:tc>
          <w:tcPr>
            <w:tcW w:w="1418" w:type="dxa"/>
            <w:tcBorders>
              <w:top w:val="single" w:sz="4" w:space="0" w:color="auto"/>
              <w:left w:val="single" w:sz="4" w:space="0" w:color="auto"/>
              <w:bottom w:val="single" w:sz="4" w:space="0" w:color="auto"/>
              <w:right w:val="single" w:sz="4" w:space="0" w:color="auto"/>
            </w:tcBorders>
            <w:shd w:val="pct20" w:color="FFFF00" w:fill="FFFFFF"/>
            <w:hideMark/>
          </w:tcPr>
          <w:p w:rsidR="00D02DF1" w:rsidRDefault="00D02DF1">
            <w:pPr>
              <w:spacing w:line="340" w:lineRule="atLeast"/>
              <w:ind w:firstLine="34"/>
              <w:jc w:val="center"/>
              <w:rPr>
                <w:i/>
                <w:sz w:val="24"/>
                <w:szCs w:val="24"/>
                <w:lang w:eastAsia="en-US"/>
              </w:rPr>
            </w:pPr>
            <w:r>
              <w:rPr>
                <w:i/>
                <w:sz w:val="24"/>
                <w:szCs w:val="24"/>
                <w:lang w:eastAsia="en-US"/>
              </w:rPr>
              <w:t>549</w:t>
            </w:r>
          </w:p>
        </w:tc>
        <w:tc>
          <w:tcPr>
            <w:tcW w:w="1418" w:type="dxa"/>
            <w:tcBorders>
              <w:top w:val="single" w:sz="4" w:space="0" w:color="auto"/>
              <w:left w:val="single" w:sz="4" w:space="0" w:color="auto"/>
              <w:bottom w:val="single" w:sz="4" w:space="0" w:color="auto"/>
              <w:right w:val="single" w:sz="4" w:space="0" w:color="auto"/>
            </w:tcBorders>
            <w:shd w:val="pct20" w:color="FFFF00" w:fill="FFFFFF"/>
            <w:hideMark/>
          </w:tcPr>
          <w:p w:rsidR="00D02DF1" w:rsidRDefault="00D02DF1">
            <w:pPr>
              <w:spacing w:line="340" w:lineRule="atLeast"/>
              <w:ind w:firstLine="34"/>
              <w:jc w:val="center"/>
              <w:rPr>
                <w:i/>
                <w:sz w:val="24"/>
                <w:szCs w:val="24"/>
                <w:lang w:eastAsia="en-US"/>
              </w:rPr>
            </w:pPr>
            <w:r>
              <w:rPr>
                <w:i/>
                <w:sz w:val="24"/>
                <w:szCs w:val="24"/>
                <w:lang w:eastAsia="en-US"/>
              </w:rPr>
              <w:t>550</w:t>
            </w:r>
          </w:p>
        </w:tc>
      </w:tr>
      <w:tr w:rsidR="00D02DF1" w:rsidTr="00D02DF1">
        <w:trPr>
          <w:trHeight w:val="404"/>
        </w:trPr>
        <w:tc>
          <w:tcPr>
            <w:tcW w:w="5211" w:type="dxa"/>
            <w:tcBorders>
              <w:top w:val="single" w:sz="4" w:space="0" w:color="auto"/>
              <w:left w:val="single" w:sz="4" w:space="0" w:color="auto"/>
              <w:bottom w:val="single" w:sz="4" w:space="0" w:color="auto"/>
              <w:right w:val="single" w:sz="4" w:space="0" w:color="auto"/>
            </w:tcBorders>
            <w:shd w:val="pct20" w:color="FFFF00" w:fill="FFFFFF"/>
            <w:hideMark/>
          </w:tcPr>
          <w:p w:rsidR="00D02DF1" w:rsidRDefault="00D02DF1">
            <w:pPr>
              <w:tabs>
                <w:tab w:val="left" w:pos="315"/>
              </w:tabs>
              <w:spacing w:line="340" w:lineRule="atLeast"/>
              <w:jc w:val="both"/>
              <w:rPr>
                <w:b/>
                <w:bCs/>
                <w:i/>
                <w:iCs/>
                <w:sz w:val="24"/>
                <w:szCs w:val="24"/>
                <w:lang w:eastAsia="en-US"/>
              </w:rPr>
            </w:pPr>
            <w:r>
              <w:rPr>
                <w:b/>
                <w:bCs/>
                <w:i/>
                <w:iCs/>
                <w:sz w:val="24"/>
                <w:szCs w:val="24"/>
                <w:lang w:eastAsia="en-US"/>
              </w:rPr>
              <w:t>Относителен дял към общо внесените</w:t>
            </w:r>
          </w:p>
        </w:tc>
        <w:tc>
          <w:tcPr>
            <w:tcW w:w="1418" w:type="dxa"/>
            <w:tcBorders>
              <w:top w:val="single" w:sz="4" w:space="0" w:color="auto"/>
              <w:left w:val="single" w:sz="4" w:space="0" w:color="auto"/>
              <w:bottom w:val="single" w:sz="4" w:space="0" w:color="auto"/>
              <w:right w:val="single" w:sz="4" w:space="0" w:color="auto"/>
            </w:tcBorders>
            <w:shd w:val="pct20" w:color="FFFF00" w:fill="FFFFFF"/>
            <w:hideMark/>
          </w:tcPr>
          <w:p w:rsidR="00D02DF1" w:rsidRDefault="00D02DF1">
            <w:pPr>
              <w:spacing w:line="340" w:lineRule="atLeast"/>
              <w:ind w:firstLine="34"/>
              <w:jc w:val="center"/>
              <w:rPr>
                <w:i/>
                <w:sz w:val="24"/>
                <w:szCs w:val="24"/>
                <w:lang w:val="en-US" w:eastAsia="en-US"/>
              </w:rPr>
            </w:pPr>
            <w:r>
              <w:rPr>
                <w:i/>
                <w:sz w:val="24"/>
                <w:szCs w:val="24"/>
                <w:lang w:val="en-US" w:eastAsia="en-US"/>
              </w:rPr>
              <w:t>5</w:t>
            </w:r>
            <w:r>
              <w:rPr>
                <w:i/>
                <w:sz w:val="24"/>
                <w:szCs w:val="24"/>
                <w:lang w:eastAsia="en-US"/>
              </w:rPr>
              <w:t>5</w:t>
            </w:r>
            <w:r>
              <w:rPr>
                <w:i/>
                <w:sz w:val="24"/>
                <w:szCs w:val="24"/>
                <w:lang w:val="en-US" w:eastAsia="en-US"/>
              </w:rPr>
              <w:t>.</w:t>
            </w:r>
            <w:r>
              <w:rPr>
                <w:i/>
                <w:sz w:val="24"/>
                <w:szCs w:val="24"/>
                <w:lang w:eastAsia="en-US"/>
              </w:rPr>
              <w:t xml:space="preserve">54 </w:t>
            </w:r>
            <w:r>
              <w:rPr>
                <w:i/>
                <w:sz w:val="24"/>
                <w:szCs w:val="24"/>
                <w:lang w:val="en-US" w:eastAsia="en-US"/>
              </w:rPr>
              <w:t>%</w:t>
            </w:r>
          </w:p>
        </w:tc>
        <w:tc>
          <w:tcPr>
            <w:tcW w:w="1418" w:type="dxa"/>
            <w:tcBorders>
              <w:top w:val="single" w:sz="4" w:space="0" w:color="auto"/>
              <w:left w:val="single" w:sz="4" w:space="0" w:color="auto"/>
              <w:bottom w:val="single" w:sz="4" w:space="0" w:color="auto"/>
              <w:right w:val="single" w:sz="4" w:space="0" w:color="auto"/>
            </w:tcBorders>
            <w:shd w:val="pct20" w:color="FFFF00" w:fill="FFFFFF"/>
            <w:hideMark/>
          </w:tcPr>
          <w:p w:rsidR="00D02DF1" w:rsidRDefault="00D02DF1">
            <w:pPr>
              <w:spacing w:line="340" w:lineRule="atLeast"/>
              <w:ind w:firstLine="34"/>
              <w:jc w:val="center"/>
              <w:rPr>
                <w:i/>
                <w:sz w:val="24"/>
                <w:szCs w:val="24"/>
                <w:lang w:val="en-US" w:eastAsia="en-US"/>
              </w:rPr>
            </w:pPr>
            <w:r>
              <w:rPr>
                <w:i/>
                <w:sz w:val="24"/>
                <w:szCs w:val="24"/>
                <w:lang w:val="en-US" w:eastAsia="en-US"/>
              </w:rPr>
              <w:t>5</w:t>
            </w:r>
            <w:r>
              <w:rPr>
                <w:i/>
                <w:sz w:val="24"/>
                <w:szCs w:val="24"/>
                <w:lang w:eastAsia="en-US"/>
              </w:rPr>
              <w:t>3</w:t>
            </w:r>
            <w:r>
              <w:rPr>
                <w:i/>
                <w:sz w:val="24"/>
                <w:szCs w:val="24"/>
                <w:lang w:val="en-US" w:eastAsia="en-US"/>
              </w:rPr>
              <w:t>.</w:t>
            </w:r>
            <w:r>
              <w:rPr>
                <w:i/>
                <w:sz w:val="24"/>
                <w:szCs w:val="24"/>
                <w:lang w:eastAsia="en-US"/>
              </w:rPr>
              <w:t xml:space="preserve">82 </w:t>
            </w:r>
            <w:r>
              <w:rPr>
                <w:i/>
                <w:sz w:val="24"/>
                <w:szCs w:val="24"/>
                <w:lang w:val="en-US" w:eastAsia="en-US"/>
              </w:rPr>
              <w:t>%</w:t>
            </w:r>
          </w:p>
        </w:tc>
        <w:tc>
          <w:tcPr>
            <w:tcW w:w="1418" w:type="dxa"/>
            <w:tcBorders>
              <w:top w:val="single" w:sz="4" w:space="0" w:color="auto"/>
              <w:left w:val="single" w:sz="4" w:space="0" w:color="auto"/>
              <w:bottom w:val="single" w:sz="4" w:space="0" w:color="auto"/>
              <w:right w:val="single" w:sz="4" w:space="0" w:color="auto"/>
            </w:tcBorders>
            <w:shd w:val="pct20" w:color="FFFF00" w:fill="FFFFFF"/>
            <w:hideMark/>
          </w:tcPr>
          <w:p w:rsidR="00D02DF1" w:rsidRDefault="00D02DF1" w:rsidP="00432710">
            <w:pPr>
              <w:spacing w:line="340" w:lineRule="atLeast"/>
              <w:ind w:firstLine="34"/>
              <w:jc w:val="center"/>
              <w:rPr>
                <w:i/>
                <w:sz w:val="24"/>
                <w:szCs w:val="24"/>
                <w:lang w:eastAsia="en-US"/>
              </w:rPr>
            </w:pPr>
            <w:r>
              <w:rPr>
                <w:i/>
                <w:sz w:val="24"/>
                <w:szCs w:val="24"/>
                <w:lang w:eastAsia="en-US"/>
              </w:rPr>
              <w:t>58,0</w:t>
            </w:r>
            <w:r w:rsidR="00432710">
              <w:rPr>
                <w:i/>
                <w:sz w:val="24"/>
                <w:szCs w:val="24"/>
                <w:lang w:eastAsia="en-US"/>
              </w:rPr>
              <w:t>8</w:t>
            </w:r>
            <w:r>
              <w:rPr>
                <w:i/>
                <w:sz w:val="24"/>
                <w:szCs w:val="24"/>
                <w:lang w:eastAsia="en-US"/>
              </w:rPr>
              <w:t xml:space="preserve"> %</w:t>
            </w:r>
          </w:p>
        </w:tc>
      </w:tr>
      <w:tr w:rsidR="00D02DF1" w:rsidTr="00D02DF1">
        <w:trPr>
          <w:trHeight w:val="404"/>
        </w:trPr>
        <w:tc>
          <w:tcPr>
            <w:tcW w:w="5211" w:type="dxa"/>
            <w:tcBorders>
              <w:top w:val="single" w:sz="4" w:space="0" w:color="auto"/>
              <w:left w:val="single" w:sz="4" w:space="0" w:color="auto"/>
              <w:bottom w:val="single" w:sz="4" w:space="0" w:color="auto"/>
              <w:right w:val="single" w:sz="4" w:space="0" w:color="auto"/>
            </w:tcBorders>
            <w:shd w:val="pct20" w:color="FFFF00" w:fill="FFFFFF"/>
            <w:hideMark/>
          </w:tcPr>
          <w:p w:rsidR="00D02DF1" w:rsidRDefault="00D02DF1">
            <w:pPr>
              <w:tabs>
                <w:tab w:val="left" w:pos="315"/>
              </w:tabs>
              <w:spacing w:line="340" w:lineRule="atLeast"/>
              <w:jc w:val="both"/>
              <w:rPr>
                <w:b/>
                <w:bCs/>
                <w:i/>
                <w:iCs/>
                <w:sz w:val="24"/>
                <w:szCs w:val="24"/>
                <w:lang w:eastAsia="en-US"/>
              </w:rPr>
            </w:pPr>
            <w:r>
              <w:rPr>
                <w:b/>
                <w:bCs/>
                <w:i/>
                <w:iCs/>
                <w:sz w:val="24"/>
                <w:szCs w:val="24"/>
                <w:lang w:eastAsia="en-US"/>
              </w:rPr>
              <w:t>Споразумения</w:t>
            </w:r>
          </w:p>
        </w:tc>
        <w:tc>
          <w:tcPr>
            <w:tcW w:w="1418" w:type="dxa"/>
            <w:tcBorders>
              <w:top w:val="single" w:sz="4" w:space="0" w:color="auto"/>
              <w:left w:val="single" w:sz="4" w:space="0" w:color="auto"/>
              <w:bottom w:val="single" w:sz="4" w:space="0" w:color="auto"/>
              <w:right w:val="single" w:sz="4" w:space="0" w:color="auto"/>
            </w:tcBorders>
            <w:shd w:val="pct20" w:color="FFFF00" w:fill="FFFFFF"/>
            <w:hideMark/>
          </w:tcPr>
          <w:p w:rsidR="00D02DF1" w:rsidRDefault="00D02DF1">
            <w:pPr>
              <w:spacing w:line="340" w:lineRule="atLeast"/>
              <w:ind w:firstLine="34"/>
              <w:jc w:val="center"/>
              <w:rPr>
                <w:b/>
                <w:i/>
                <w:sz w:val="24"/>
                <w:szCs w:val="24"/>
                <w:lang w:eastAsia="en-US"/>
              </w:rPr>
            </w:pPr>
            <w:r>
              <w:rPr>
                <w:b/>
                <w:i/>
                <w:sz w:val="24"/>
                <w:szCs w:val="24"/>
                <w:lang w:eastAsia="en-US"/>
              </w:rPr>
              <w:t>292</w:t>
            </w:r>
          </w:p>
        </w:tc>
        <w:tc>
          <w:tcPr>
            <w:tcW w:w="1418" w:type="dxa"/>
            <w:tcBorders>
              <w:top w:val="single" w:sz="4" w:space="0" w:color="auto"/>
              <w:left w:val="single" w:sz="4" w:space="0" w:color="auto"/>
              <w:bottom w:val="single" w:sz="4" w:space="0" w:color="auto"/>
              <w:right w:val="single" w:sz="4" w:space="0" w:color="auto"/>
            </w:tcBorders>
            <w:shd w:val="pct20" w:color="FFFF00" w:fill="FFFFFF"/>
            <w:hideMark/>
          </w:tcPr>
          <w:p w:rsidR="00D02DF1" w:rsidRDefault="00D02DF1">
            <w:pPr>
              <w:spacing w:line="340" w:lineRule="atLeast"/>
              <w:ind w:firstLine="34"/>
              <w:jc w:val="center"/>
              <w:rPr>
                <w:b/>
                <w:i/>
                <w:sz w:val="24"/>
                <w:szCs w:val="24"/>
                <w:lang w:eastAsia="en-US"/>
              </w:rPr>
            </w:pPr>
            <w:r>
              <w:rPr>
                <w:b/>
                <w:i/>
                <w:sz w:val="24"/>
                <w:szCs w:val="24"/>
                <w:lang w:eastAsia="en-US"/>
              </w:rPr>
              <w:t>330</w:t>
            </w:r>
          </w:p>
        </w:tc>
        <w:tc>
          <w:tcPr>
            <w:tcW w:w="1418" w:type="dxa"/>
            <w:tcBorders>
              <w:top w:val="single" w:sz="4" w:space="0" w:color="auto"/>
              <w:left w:val="single" w:sz="4" w:space="0" w:color="auto"/>
              <w:bottom w:val="single" w:sz="4" w:space="0" w:color="auto"/>
              <w:right w:val="single" w:sz="4" w:space="0" w:color="auto"/>
            </w:tcBorders>
            <w:shd w:val="pct20" w:color="FFFF00" w:fill="FFFFFF"/>
            <w:hideMark/>
          </w:tcPr>
          <w:p w:rsidR="00D02DF1" w:rsidRDefault="00D02DF1">
            <w:pPr>
              <w:spacing w:line="340" w:lineRule="atLeast"/>
              <w:ind w:firstLine="34"/>
              <w:jc w:val="center"/>
              <w:rPr>
                <w:b/>
                <w:i/>
                <w:sz w:val="24"/>
                <w:szCs w:val="24"/>
                <w:lang w:eastAsia="en-US"/>
              </w:rPr>
            </w:pPr>
            <w:r>
              <w:rPr>
                <w:b/>
                <w:i/>
                <w:sz w:val="24"/>
                <w:szCs w:val="24"/>
                <w:lang w:eastAsia="en-US"/>
              </w:rPr>
              <w:t>302</w:t>
            </w:r>
          </w:p>
        </w:tc>
      </w:tr>
      <w:tr w:rsidR="00D02DF1" w:rsidTr="00D02DF1">
        <w:trPr>
          <w:trHeight w:val="427"/>
        </w:trPr>
        <w:tc>
          <w:tcPr>
            <w:tcW w:w="5211" w:type="dxa"/>
            <w:tcBorders>
              <w:top w:val="single" w:sz="4" w:space="0" w:color="auto"/>
              <w:left w:val="single" w:sz="4" w:space="0" w:color="auto"/>
              <w:bottom w:val="single" w:sz="4" w:space="0" w:color="auto"/>
              <w:right w:val="single" w:sz="4" w:space="0" w:color="auto"/>
            </w:tcBorders>
            <w:shd w:val="pct20" w:color="FFFF00" w:fill="FFFFFF"/>
            <w:hideMark/>
          </w:tcPr>
          <w:p w:rsidR="00D02DF1" w:rsidRDefault="00D02DF1">
            <w:pPr>
              <w:tabs>
                <w:tab w:val="left" w:pos="315"/>
              </w:tabs>
              <w:spacing w:line="340" w:lineRule="atLeast"/>
              <w:jc w:val="both"/>
              <w:rPr>
                <w:b/>
                <w:bCs/>
                <w:i/>
                <w:iCs/>
                <w:sz w:val="24"/>
                <w:szCs w:val="24"/>
                <w:lang w:eastAsia="en-US"/>
              </w:rPr>
            </w:pPr>
            <w:r>
              <w:rPr>
                <w:rFonts w:eastAsia="Calibri"/>
                <w:b/>
                <w:bCs/>
                <w:i/>
                <w:iCs/>
                <w:sz w:val="24"/>
                <w:szCs w:val="24"/>
                <w:lang w:eastAsia="en-US"/>
              </w:rPr>
              <w:lastRenderedPageBreak/>
              <w:t>Относителен дял към общо внесените</w:t>
            </w:r>
          </w:p>
        </w:tc>
        <w:tc>
          <w:tcPr>
            <w:tcW w:w="1418" w:type="dxa"/>
            <w:tcBorders>
              <w:top w:val="single" w:sz="4" w:space="0" w:color="auto"/>
              <w:left w:val="single" w:sz="4" w:space="0" w:color="auto"/>
              <w:bottom w:val="single" w:sz="4" w:space="0" w:color="auto"/>
              <w:right w:val="single" w:sz="4" w:space="0" w:color="auto"/>
            </w:tcBorders>
            <w:shd w:val="pct20" w:color="FFFF00" w:fill="FFFFFF"/>
            <w:hideMark/>
          </w:tcPr>
          <w:p w:rsidR="00D02DF1" w:rsidRDefault="00D02DF1">
            <w:pPr>
              <w:spacing w:line="340" w:lineRule="atLeast"/>
              <w:ind w:firstLine="34"/>
              <w:jc w:val="center"/>
              <w:rPr>
                <w:i/>
                <w:sz w:val="24"/>
                <w:szCs w:val="24"/>
                <w:lang w:eastAsia="en-US"/>
              </w:rPr>
            </w:pPr>
            <w:r>
              <w:rPr>
                <w:i/>
                <w:sz w:val="24"/>
                <w:szCs w:val="24"/>
                <w:lang w:eastAsia="en-US"/>
              </w:rPr>
              <w:t>29,17 %</w:t>
            </w:r>
          </w:p>
        </w:tc>
        <w:tc>
          <w:tcPr>
            <w:tcW w:w="1418" w:type="dxa"/>
            <w:tcBorders>
              <w:top w:val="single" w:sz="4" w:space="0" w:color="auto"/>
              <w:left w:val="single" w:sz="4" w:space="0" w:color="auto"/>
              <w:bottom w:val="single" w:sz="4" w:space="0" w:color="auto"/>
              <w:right w:val="single" w:sz="4" w:space="0" w:color="auto"/>
            </w:tcBorders>
            <w:shd w:val="pct20" w:color="FFFF00" w:fill="FFFFFF"/>
            <w:hideMark/>
          </w:tcPr>
          <w:p w:rsidR="00D02DF1" w:rsidRDefault="00D02DF1">
            <w:pPr>
              <w:spacing w:line="340" w:lineRule="atLeast"/>
              <w:ind w:firstLine="34"/>
              <w:jc w:val="center"/>
              <w:rPr>
                <w:i/>
                <w:sz w:val="24"/>
                <w:szCs w:val="24"/>
                <w:lang w:eastAsia="en-US"/>
              </w:rPr>
            </w:pPr>
            <w:r>
              <w:rPr>
                <w:i/>
                <w:sz w:val="24"/>
                <w:szCs w:val="24"/>
                <w:lang w:eastAsia="en-US"/>
              </w:rPr>
              <w:t>32,35 %</w:t>
            </w:r>
          </w:p>
        </w:tc>
        <w:tc>
          <w:tcPr>
            <w:tcW w:w="1418" w:type="dxa"/>
            <w:tcBorders>
              <w:top w:val="single" w:sz="4" w:space="0" w:color="auto"/>
              <w:left w:val="single" w:sz="4" w:space="0" w:color="auto"/>
              <w:bottom w:val="single" w:sz="4" w:space="0" w:color="auto"/>
              <w:right w:val="single" w:sz="4" w:space="0" w:color="auto"/>
            </w:tcBorders>
            <w:shd w:val="pct20" w:color="FFFF00" w:fill="FFFFFF"/>
            <w:hideMark/>
          </w:tcPr>
          <w:p w:rsidR="00D02DF1" w:rsidRDefault="00D02DF1">
            <w:pPr>
              <w:spacing w:line="340" w:lineRule="atLeast"/>
              <w:ind w:firstLine="34"/>
              <w:jc w:val="center"/>
              <w:rPr>
                <w:i/>
                <w:sz w:val="24"/>
                <w:szCs w:val="24"/>
                <w:lang w:eastAsia="en-US"/>
              </w:rPr>
            </w:pPr>
            <w:r>
              <w:rPr>
                <w:i/>
                <w:sz w:val="24"/>
                <w:szCs w:val="24"/>
                <w:lang w:eastAsia="en-US"/>
              </w:rPr>
              <w:t>31,89 %</w:t>
            </w:r>
          </w:p>
        </w:tc>
      </w:tr>
      <w:tr w:rsidR="00D02DF1" w:rsidTr="00D02DF1">
        <w:trPr>
          <w:trHeight w:val="674"/>
        </w:trPr>
        <w:tc>
          <w:tcPr>
            <w:tcW w:w="5211" w:type="dxa"/>
            <w:tcBorders>
              <w:top w:val="single" w:sz="4" w:space="0" w:color="auto"/>
              <w:left w:val="single" w:sz="4" w:space="0" w:color="auto"/>
              <w:bottom w:val="single" w:sz="4" w:space="0" w:color="auto"/>
              <w:right w:val="single" w:sz="4" w:space="0" w:color="auto"/>
            </w:tcBorders>
            <w:shd w:val="pct20" w:color="FFFF00" w:fill="FFFFFF"/>
            <w:hideMark/>
          </w:tcPr>
          <w:p w:rsidR="00D02DF1" w:rsidRDefault="00D02DF1">
            <w:pPr>
              <w:tabs>
                <w:tab w:val="left" w:pos="315"/>
              </w:tabs>
              <w:spacing w:line="340" w:lineRule="atLeast"/>
              <w:jc w:val="both"/>
              <w:rPr>
                <w:b/>
                <w:bCs/>
                <w:i/>
                <w:iCs/>
                <w:sz w:val="24"/>
                <w:szCs w:val="24"/>
                <w:lang w:eastAsia="en-US"/>
              </w:rPr>
            </w:pPr>
            <w:r>
              <w:rPr>
                <w:b/>
                <w:bCs/>
                <w:i/>
                <w:iCs/>
                <w:sz w:val="24"/>
                <w:szCs w:val="24"/>
                <w:lang w:eastAsia="en-US"/>
              </w:rPr>
              <w:t>Предложение за освобождаване от наказателна отговорност по чл.78а от НК</w:t>
            </w:r>
          </w:p>
        </w:tc>
        <w:tc>
          <w:tcPr>
            <w:tcW w:w="1418" w:type="dxa"/>
            <w:tcBorders>
              <w:top w:val="single" w:sz="4" w:space="0" w:color="auto"/>
              <w:left w:val="single" w:sz="4" w:space="0" w:color="auto"/>
              <w:bottom w:val="single" w:sz="4" w:space="0" w:color="auto"/>
              <w:right w:val="single" w:sz="4" w:space="0" w:color="auto"/>
            </w:tcBorders>
            <w:shd w:val="pct20" w:color="FFFF00" w:fill="FFFFFF"/>
            <w:hideMark/>
          </w:tcPr>
          <w:p w:rsidR="00D02DF1" w:rsidRDefault="00D02DF1">
            <w:pPr>
              <w:spacing w:line="340" w:lineRule="atLeast"/>
              <w:ind w:firstLine="34"/>
              <w:jc w:val="center"/>
              <w:rPr>
                <w:b/>
                <w:i/>
                <w:sz w:val="24"/>
                <w:szCs w:val="24"/>
                <w:lang w:eastAsia="en-US"/>
              </w:rPr>
            </w:pPr>
            <w:r>
              <w:rPr>
                <w:b/>
                <w:i/>
                <w:sz w:val="24"/>
                <w:szCs w:val="24"/>
                <w:lang w:eastAsia="en-US"/>
              </w:rPr>
              <w:t>153</w:t>
            </w:r>
          </w:p>
        </w:tc>
        <w:tc>
          <w:tcPr>
            <w:tcW w:w="1418" w:type="dxa"/>
            <w:tcBorders>
              <w:top w:val="single" w:sz="4" w:space="0" w:color="auto"/>
              <w:left w:val="single" w:sz="4" w:space="0" w:color="auto"/>
              <w:bottom w:val="single" w:sz="4" w:space="0" w:color="auto"/>
              <w:right w:val="single" w:sz="4" w:space="0" w:color="auto"/>
            </w:tcBorders>
            <w:shd w:val="pct20" w:color="FFFF00" w:fill="FFFFFF"/>
            <w:hideMark/>
          </w:tcPr>
          <w:p w:rsidR="00D02DF1" w:rsidRDefault="00D02DF1">
            <w:pPr>
              <w:spacing w:line="340" w:lineRule="atLeast"/>
              <w:ind w:firstLine="34"/>
              <w:jc w:val="center"/>
              <w:rPr>
                <w:b/>
                <w:i/>
                <w:sz w:val="24"/>
                <w:szCs w:val="24"/>
                <w:lang w:eastAsia="en-US"/>
              </w:rPr>
            </w:pPr>
            <w:r>
              <w:rPr>
                <w:b/>
                <w:i/>
                <w:sz w:val="24"/>
                <w:szCs w:val="24"/>
                <w:lang w:eastAsia="en-US"/>
              </w:rPr>
              <w:t>141</w:t>
            </w:r>
          </w:p>
        </w:tc>
        <w:tc>
          <w:tcPr>
            <w:tcW w:w="1418" w:type="dxa"/>
            <w:tcBorders>
              <w:top w:val="single" w:sz="4" w:space="0" w:color="auto"/>
              <w:left w:val="single" w:sz="4" w:space="0" w:color="auto"/>
              <w:bottom w:val="single" w:sz="4" w:space="0" w:color="auto"/>
              <w:right w:val="single" w:sz="4" w:space="0" w:color="auto"/>
            </w:tcBorders>
            <w:shd w:val="pct20" w:color="FFFF00" w:fill="FFFFFF"/>
            <w:hideMark/>
          </w:tcPr>
          <w:p w:rsidR="00D02DF1" w:rsidRDefault="00D02DF1">
            <w:pPr>
              <w:spacing w:line="340" w:lineRule="atLeast"/>
              <w:ind w:firstLine="34"/>
              <w:jc w:val="center"/>
              <w:rPr>
                <w:b/>
                <w:i/>
                <w:sz w:val="24"/>
                <w:szCs w:val="24"/>
                <w:lang w:eastAsia="en-US"/>
              </w:rPr>
            </w:pPr>
            <w:r>
              <w:rPr>
                <w:b/>
                <w:i/>
                <w:sz w:val="24"/>
                <w:szCs w:val="24"/>
                <w:lang w:eastAsia="en-US"/>
              </w:rPr>
              <w:t>95</w:t>
            </w:r>
          </w:p>
        </w:tc>
      </w:tr>
      <w:tr w:rsidR="00D02DF1" w:rsidTr="00D02DF1">
        <w:trPr>
          <w:trHeight w:val="476"/>
        </w:trPr>
        <w:tc>
          <w:tcPr>
            <w:tcW w:w="5211" w:type="dxa"/>
            <w:tcBorders>
              <w:top w:val="single" w:sz="4" w:space="0" w:color="auto"/>
              <w:left w:val="single" w:sz="4" w:space="0" w:color="auto"/>
              <w:bottom w:val="single" w:sz="4" w:space="0" w:color="auto"/>
              <w:right w:val="single" w:sz="4" w:space="0" w:color="auto"/>
            </w:tcBorders>
            <w:shd w:val="pct20" w:color="FFFF00" w:fill="FFFFFF"/>
            <w:hideMark/>
          </w:tcPr>
          <w:p w:rsidR="00D02DF1" w:rsidRDefault="00D02DF1">
            <w:pPr>
              <w:tabs>
                <w:tab w:val="left" w:pos="315"/>
              </w:tabs>
              <w:spacing w:line="340" w:lineRule="atLeast"/>
              <w:jc w:val="both"/>
              <w:rPr>
                <w:b/>
                <w:bCs/>
                <w:i/>
                <w:sz w:val="24"/>
                <w:szCs w:val="24"/>
                <w:lang w:eastAsia="en-US"/>
              </w:rPr>
            </w:pPr>
            <w:r>
              <w:rPr>
                <w:rFonts w:eastAsia="Calibri"/>
                <w:b/>
                <w:bCs/>
                <w:i/>
                <w:sz w:val="24"/>
                <w:szCs w:val="24"/>
                <w:lang w:eastAsia="en-US"/>
              </w:rPr>
              <w:t>Относителен дял към общо внесените</w:t>
            </w:r>
          </w:p>
        </w:tc>
        <w:tc>
          <w:tcPr>
            <w:tcW w:w="1418" w:type="dxa"/>
            <w:tcBorders>
              <w:top w:val="single" w:sz="4" w:space="0" w:color="auto"/>
              <w:left w:val="single" w:sz="4" w:space="0" w:color="auto"/>
              <w:bottom w:val="single" w:sz="4" w:space="0" w:color="auto"/>
              <w:right w:val="single" w:sz="4" w:space="0" w:color="auto"/>
            </w:tcBorders>
            <w:shd w:val="pct20" w:color="FFFF00" w:fill="FFFFFF"/>
            <w:hideMark/>
          </w:tcPr>
          <w:p w:rsidR="00D02DF1" w:rsidRDefault="00D02DF1">
            <w:pPr>
              <w:spacing w:line="340" w:lineRule="atLeast"/>
              <w:ind w:firstLine="34"/>
              <w:jc w:val="center"/>
              <w:rPr>
                <w:i/>
                <w:sz w:val="24"/>
                <w:szCs w:val="24"/>
                <w:lang w:val="en-US" w:eastAsia="en-US"/>
              </w:rPr>
            </w:pPr>
            <w:r>
              <w:rPr>
                <w:i/>
                <w:sz w:val="24"/>
                <w:szCs w:val="24"/>
                <w:lang w:val="en-US" w:eastAsia="en-US"/>
              </w:rPr>
              <w:t>1</w:t>
            </w:r>
            <w:r>
              <w:rPr>
                <w:i/>
                <w:sz w:val="24"/>
                <w:szCs w:val="24"/>
                <w:lang w:eastAsia="en-US"/>
              </w:rPr>
              <w:t>5</w:t>
            </w:r>
            <w:r>
              <w:rPr>
                <w:i/>
                <w:sz w:val="24"/>
                <w:szCs w:val="24"/>
                <w:lang w:val="en-US" w:eastAsia="en-US"/>
              </w:rPr>
              <w:t>.</w:t>
            </w:r>
            <w:r>
              <w:rPr>
                <w:i/>
                <w:sz w:val="24"/>
                <w:szCs w:val="24"/>
                <w:lang w:eastAsia="en-US"/>
              </w:rPr>
              <w:t xml:space="preserve">28 </w:t>
            </w:r>
            <w:r>
              <w:rPr>
                <w:i/>
                <w:sz w:val="24"/>
                <w:szCs w:val="24"/>
                <w:lang w:val="en-US" w:eastAsia="en-US"/>
              </w:rPr>
              <w:t>%</w:t>
            </w:r>
          </w:p>
        </w:tc>
        <w:tc>
          <w:tcPr>
            <w:tcW w:w="1418" w:type="dxa"/>
            <w:tcBorders>
              <w:top w:val="single" w:sz="4" w:space="0" w:color="auto"/>
              <w:left w:val="single" w:sz="4" w:space="0" w:color="auto"/>
              <w:bottom w:val="single" w:sz="4" w:space="0" w:color="auto"/>
              <w:right w:val="single" w:sz="4" w:space="0" w:color="auto"/>
            </w:tcBorders>
            <w:shd w:val="pct20" w:color="FFFF00" w:fill="FFFFFF"/>
            <w:hideMark/>
          </w:tcPr>
          <w:p w:rsidR="00D02DF1" w:rsidRDefault="00D02DF1">
            <w:pPr>
              <w:spacing w:line="340" w:lineRule="atLeast"/>
              <w:ind w:firstLine="34"/>
              <w:jc w:val="center"/>
              <w:rPr>
                <w:i/>
                <w:sz w:val="24"/>
                <w:szCs w:val="24"/>
                <w:lang w:val="en-US" w:eastAsia="en-US"/>
              </w:rPr>
            </w:pPr>
            <w:r>
              <w:rPr>
                <w:i/>
                <w:sz w:val="24"/>
                <w:szCs w:val="24"/>
                <w:lang w:val="en-US" w:eastAsia="en-US"/>
              </w:rPr>
              <w:t>1</w:t>
            </w:r>
            <w:r>
              <w:rPr>
                <w:i/>
                <w:sz w:val="24"/>
                <w:szCs w:val="24"/>
                <w:lang w:eastAsia="en-US"/>
              </w:rPr>
              <w:t>3</w:t>
            </w:r>
            <w:r>
              <w:rPr>
                <w:i/>
                <w:sz w:val="24"/>
                <w:szCs w:val="24"/>
                <w:lang w:val="en-US" w:eastAsia="en-US"/>
              </w:rPr>
              <w:t>.</w:t>
            </w:r>
            <w:r>
              <w:rPr>
                <w:i/>
                <w:sz w:val="24"/>
                <w:szCs w:val="24"/>
                <w:lang w:eastAsia="en-US"/>
              </w:rPr>
              <w:t xml:space="preserve">82 </w:t>
            </w:r>
            <w:r>
              <w:rPr>
                <w:i/>
                <w:sz w:val="24"/>
                <w:szCs w:val="24"/>
                <w:lang w:val="en-US" w:eastAsia="en-US"/>
              </w:rPr>
              <w:t>%</w:t>
            </w:r>
          </w:p>
        </w:tc>
        <w:tc>
          <w:tcPr>
            <w:tcW w:w="1418" w:type="dxa"/>
            <w:tcBorders>
              <w:top w:val="single" w:sz="4" w:space="0" w:color="auto"/>
              <w:left w:val="single" w:sz="4" w:space="0" w:color="auto"/>
              <w:bottom w:val="single" w:sz="4" w:space="0" w:color="auto"/>
              <w:right w:val="single" w:sz="4" w:space="0" w:color="auto"/>
            </w:tcBorders>
            <w:shd w:val="pct20" w:color="FFFF00" w:fill="FFFFFF"/>
            <w:hideMark/>
          </w:tcPr>
          <w:p w:rsidR="00D02DF1" w:rsidRDefault="00D02DF1">
            <w:pPr>
              <w:spacing w:line="340" w:lineRule="atLeast"/>
              <w:ind w:firstLine="34"/>
              <w:jc w:val="center"/>
              <w:rPr>
                <w:i/>
                <w:sz w:val="24"/>
                <w:szCs w:val="24"/>
                <w:lang w:val="en-US" w:eastAsia="en-US"/>
              </w:rPr>
            </w:pPr>
            <w:r>
              <w:rPr>
                <w:i/>
                <w:sz w:val="24"/>
                <w:szCs w:val="24"/>
                <w:lang w:val="en-US" w:eastAsia="en-US"/>
              </w:rPr>
              <w:t>1</w:t>
            </w:r>
            <w:r>
              <w:rPr>
                <w:i/>
                <w:sz w:val="24"/>
                <w:szCs w:val="24"/>
                <w:lang w:eastAsia="en-US"/>
              </w:rPr>
              <w:t>0</w:t>
            </w:r>
            <w:r>
              <w:rPr>
                <w:i/>
                <w:sz w:val="24"/>
                <w:szCs w:val="24"/>
                <w:lang w:val="en-US" w:eastAsia="en-US"/>
              </w:rPr>
              <w:t>.</w:t>
            </w:r>
            <w:r>
              <w:rPr>
                <w:i/>
                <w:sz w:val="24"/>
                <w:szCs w:val="24"/>
                <w:lang w:eastAsia="en-US"/>
              </w:rPr>
              <w:t>03</w:t>
            </w:r>
            <w:r>
              <w:rPr>
                <w:i/>
                <w:sz w:val="24"/>
                <w:szCs w:val="24"/>
                <w:lang w:val="en-US" w:eastAsia="en-US"/>
              </w:rPr>
              <w:t xml:space="preserve"> %</w:t>
            </w:r>
          </w:p>
        </w:tc>
      </w:tr>
      <w:bookmarkEnd w:id="3"/>
    </w:tbl>
    <w:p w:rsidR="00D02DF1" w:rsidRDefault="00D02DF1" w:rsidP="00D02DF1">
      <w:pPr>
        <w:spacing w:line="340" w:lineRule="atLeast"/>
        <w:ind w:firstLine="709"/>
        <w:jc w:val="both"/>
        <w:rPr>
          <w:sz w:val="28"/>
          <w:szCs w:val="28"/>
        </w:rPr>
      </w:pPr>
    </w:p>
    <w:p w:rsidR="00265F77" w:rsidRDefault="00265F77" w:rsidP="00D02DF1">
      <w:pPr>
        <w:spacing w:line="340" w:lineRule="atLeast"/>
        <w:ind w:firstLine="709"/>
        <w:jc w:val="both"/>
        <w:rPr>
          <w:sz w:val="28"/>
          <w:szCs w:val="28"/>
        </w:rPr>
      </w:pPr>
    </w:p>
    <w:p w:rsidR="00265F77" w:rsidRDefault="00265F77" w:rsidP="00D02DF1">
      <w:pPr>
        <w:spacing w:line="340" w:lineRule="atLeast"/>
        <w:ind w:firstLine="709"/>
        <w:jc w:val="both"/>
        <w:rPr>
          <w:sz w:val="28"/>
          <w:szCs w:val="28"/>
        </w:rPr>
      </w:pPr>
      <w:r>
        <w:rPr>
          <w:noProof/>
        </w:rPr>
        <w:drawing>
          <wp:inline distT="0" distB="0" distL="0" distR="0" wp14:anchorId="31A86FF1" wp14:editId="25DB41A0">
            <wp:extent cx="5213268" cy="2683823"/>
            <wp:effectExtent l="0" t="0" r="6985" b="2540"/>
            <wp:docPr id="4" name="Ди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65F77" w:rsidRDefault="00265F77" w:rsidP="00D02DF1">
      <w:pPr>
        <w:spacing w:line="340" w:lineRule="atLeast"/>
        <w:ind w:firstLine="709"/>
        <w:jc w:val="both"/>
        <w:rPr>
          <w:sz w:val="28"/>
          <w:szCs w:val="28"/>
          <w:lang w:val="en-US"/>
        </w:rPr>
      </w:pPr>
    </w:p>
    <w:p w:rsidR="00F97AFD" w:rsidRPr="00F97AFD" w:rsidRDefault="00F97AFD" w:rsidP="00D02DF1">
      <w:pPr>
        <w:spacing w:line="340" w:lineRule="atLeast"/>
        <w:ind w:firstLine="709"/>
        <w:jc w:val="both"/>
        <w:rPr>
          <w:sz w:val="28"/>
          <w:szCs w:val="28"/>
          <w:lang w:val="en-US"/>
        </w:rPr>
      </w:pPr>
    </w:p>
    <w:p w:rsidR="00265F77" w:rsidRDefault="00265F77" w:rsidP="00D02DF1">
      <w:pPr>
        <w:spacing w:line="340" w:lineRule="atLeast"/>
        <w:ind w:firstLine="709"/>
        <w:jc w:val="both"/>
        <w:rPr>
          <w:sz w:val="28"/>
          <w:szCs w:val="28"/>
        </w:rPr>
      </w:pPr>
    </w:p>
    <w:p w:rsidR="00265F77" w:rsidRDefault="00265F77" w:rsidP="00D02DF1">
      <w:pPr>
        <w:spacing w:line="340" w:lineRule="atLeast"/>
        <w:ind w:firstLine="709"/>
        <w:jc w:val="both"/>
        <w:rPr>
          <w:sz w:val="28"/>
          <w:szCs w:val="28"/>
        </w:rPr>
      </w:pPr>
    </w:p>
    <w:p w:rsidR="00265F77" w:rsidRDefault="00265F77" w:rsidP="00D02DF1">
      <w:pPr>
        <w:spacing w:line="340" w:lineRule="atLeast"/>
        <w:ind w:firstLine="709"/>
        <w:jc w:val="both"/>
        <w:rPr>
          <w:sz w:val="28"/>
          <w:szCs w:val="28"/>
        </w:rPr>
      </w:pPr>
    </w:p>
    <w:p w:rsidR="00D02DF1" w:rsidRDefault="00D02DF1" w:rsidP="00D02DF1">
      <w:pPr>
        <w:spacing w:line="340" w:lineRule="atLeast"/>
        <w:ind w:firstLine="709"/>
        <w:jc w:val="both"/>
        <w:rPr>
          <w:sz w:val="28"/>
          <w:szCs w:val="28"/>
        </w:rPr>
      </w:pPr>
      <w:r>
        <w:rPr>
          <w:sz w:val="28"/>
          <w:szCs w:val="28"/>
        </w:rPr>
        <w:t xml:space="preserve">Общо предадени на съд през 2024 год. са 1128 лица , при 1208 лица за  2023 г. и при 1144 лица за 2022 г. </w:t>
      </w:r>
    </w:p>
    <w:p w:rsidR="00D02DF1" w:rsidRDefault="00D02DF1" w:rsidP="00D02DF1">
      <w:pPr>
        <w:spacing w:line="340" w:lineRule="atLeast"/>
        <w:ind w:firstLine="709"/>
        <w:jc w:val="center"/>
        <w:rPr>
          <w:sz w:val="28"/>
          <w:szCs w:val="28"/>
          <w:lang w:val="en-US"/>
        </w:rPr>
      </w:pPr>
    </w:p>
    <w:p w:rsidR="00F97AFD" w:rsidRPr="00F97AFD" w:rsidRDefault="00F97AFD" w:rsidP="00D02DF1">
      <w:pPr>
        <w:spacing w:line="340" w:lineRule="atLeast"/>
        <w:ind w:firstLine="709"/>
        <w:jc w:val="center"/>
        <w:rPr>
          <w:sz w:val="28"/>
          <w:szCs w:val="28"/>
          <w:lang w:val="en-US"/>
        </w:rPr>
      </w:pPr>
    </w:p>
    <w:p w:rsidR="00D02DF1" w:rsidRDefault="00D02DF1" w:rsidP="00D02DF1">
      <w:pPr>
        <w:spacing w:line="340" w:lineRule="atLeast"/>
        <w:ind w:firstLine="709"/>
        <w:jc w:val="center"/>
        <w:rPr>
          <w:sz w:val="26"/>
          <w:szCs w:val="26"/>
          <w:u w:val="single"/>
          <w:lang w:val="be-BY"/>
        </w:rPr>
      </w:pPr>
      <w:r>
        <w:rPr>
          <w:noProof/>
        </w:rPr>
        <w:drawing>
          <wp:inline distT="0" distB="0" distL="0" distR="0" wp14:anchorId="009588FA" wp14:editId="03B498D2">
            <wp:extent cx="5172502" cy="2647666"/>
            <wp:effectExtent l="0" t="0" r="0" b="0"/>
            <wp:docPr id="6" name="Ди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02DF1" w:rsidRDefault="00D02DF1" w:rsidP="00D02DF1">
      <w:pPr>
        <w:spacing w:line="340" w:lineRule="atLeast"/>
        <w:ind w:firstLine="709"/>
        <w:jc w:val="both"/>
        <w:rPr>
          <w:b/>
          <w:i/>
          <w:sz w:val="28"/>
          <w:szCs w:val="28"/>
          <w:u w:val="single"/>
          <w:lang w:val="be-BY"/>
        </w:rPr>
      </w:pPr>
      <w:r>
        <w:rPr>
          <w:b/>
          <w:i/>
          <w:sz w:val="28"/>
          <w:szCs w:val="28"/>
          <w:u w:val="single"/>
          <w:lang w:val="be-BY"/>
        </w:rPr>
        <w:lastRenderedPageBreak/>
        <w:t>Съотношение в графичен вид на н</w:t>
      </w:r>
      <w:proofErr w:type="spellStart"/>
      <w:r>
        <w:rPr>
          <w:b/>
          <w:i/>
          <w:sz w:val="28"/>
          <w:szCs w:val="28"/>
          <w:u w:val="single"/>
        </w:rPr>
        <w:t>аблюдаваните</w:t>
      </w:r>
      <w:proofErr w:type="spellEnd"/>
      <w:r>
        <w:rPr>
          <w:b/>
          <w:i/>
          <w:sz w:val="28"/>
          <w:szCs w:val="28"/>
          <w:u w:val="single"/>
          <w:lang w:val="be-BY"/>
        </w:rPr>
        <w:t>,</w:t>
      </w:r>
      <w:r>
        <w:rPr>
          <w:b/>
          <w:i/>
          <w:sz w:val="28"/>
          <w:szCs w:val="28"/>
          <w:u w:val="single"/>
        </w:rPr>
        <w:t xml:space="preserve"> решените </w:t>
      </w:r>
      <w:r>
        <w:rPr>
          <w:b/>
          <w:i/>
          <w:sz w:val="28"/>
          <w:szCs w:val="28"/>
          <w:u w:val="single"/>
          <w:lang w:val="be-BY"/>
        </w:rPr>
        <w:t>и</w:t>
      </w:r>
      <w:r>
        <w:rPr>
          <w:b/>
          <w:i/>
          <w:sz w:val="28"/>
          <w:szCs w:val="28"/>
          <w:u w:val="single"/>
        </w:rPr>
        <w:t xml:space="preserve"> внесените в съда </w:t>
      </w:r>
      <w:r>
        <w:rPr>
          <w:b/>
          <w:i/>
          <w:sz w:val="28"/>
          <w:szCs w:val="28"/>
          <w:u w:val="single"/>
          <w:lang w:val="be-BY"/>
        </w:rPr>
        <w:t>досъдебни производства през отчетния период и предходните две години:</w:t>
      </w:r>
    </w:p>
    <w:p w:rsidR="00D02DF1" w:rsidRDefault="00D02DF1" w:rsidP="00D02DF1">
      <w:pPr>
        <w:spacing w:line="340" w:lineRule="atLeast"/>
        <w:ind w:firstLine="709"/>
        <w:jc w:val="both"/>
        <w:rPr>
          <w:b/>
          <w:i/>
          <w:sz w:val="28"/>
          <w:szCs w:val="28"/>
          <w:lang w:val="be-BY"/>
        </w:rPr>
      </w:pPr>
    </w:p>
    <w:p w:rsidR="00D02DF1" w:rsidRDefault="00D02DF1" w:rsidP="00D02DF1">
      <w:pPr>
        <w:spacing w:line="340" w:lineRule="atLeast"/>
        <w:ind w:firstLine="709"/>
        <w:jc w:val="center"/>
        <w:rPr>
          <w:b/>
          <w:i/>
          <w:sz w:val="28"/>
          <w:szCs w:val="28"/>
          <w:lang w:val="be-BY"/>
        </w:rPr>
      </w:pPr>
      <w:r>
        <w:rPr>
          <w:noProof/>
        </w:rPr>
        <w:drawing>
          <wp:inline distT="0" distB="0" distL="0" distR="0" wp14:anchorId="42575408" wp14:editId="2B3F8E88">
            <wp:extent cx="3794077" cy="2286000"/>
            <wp:effectExtent l="0" t="0" r="0" b="0"/>
            <wp:docPr id="3" name="Ди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02DF1" w:rsidRDefault="00D02DF1" w:rsidP="00D02DF1">
      <w:pPr>
        <w:spacing w:line="340" w:lineRule="atLeast"/>
        <w:ind w:firstLine="709"/>
        <w:jc w:val="center"/>
        <w:rPr>
          <w:b/>
          <w:i/>
          <w:sz w:val="28"/>
          <w:szCs w:val="28"/>
          <w:lang w:val="be-BY"/>
        </w:rPr>
      </w:pPr>
    </w:p>
    <w:p w:rsidR="00D02DF1" w:rsidRDefault="00D02DF1" w:rsidP="00D02DF1">
      <w:pPr>
        <w:spacing w:line="340" w:lineRule="atLeast"/>
        <w:ind w:firstLine="709"/>
        <w:jc w:val="both"/>
        <w:rPr>
          <w:b/>
          <w:i/>
          <w:sz w:val="28"/>
          <w:szCs w:val="28"/>
          <w:u w:val="single"/>
          <w:lang w:val="be-BY"/>
        </w:rPr>
      </w:pPr>
      <w:r>
        <w:rPr>
          <w:b/>
          <w:i/>
          <w:sz w:val="28"/>
          <w:szCs w:val="28"/>
          <w:u w:val="single"/>
        </w:rPr>
        <w:t>Относителният дял на решените спрямо наблюдаваните досъдебни производства</w:t>
      </w:r>
      <w:r>
        <w:rPr>
          <w:b/>
          <w:i/>
          <w:sz w:val="28"/>
          <w:szCs w:val="28"/>
          <w:u w:val="single"/>
          <w:lang w:val="be-BY"/>
        </w:rPr>
        <w:t xml:space="preserve"> през 2024г., съпоставен с предходните две години продължава да е устойчив, видно от приложената по-долу диаграма.</w:t>
      </w:r>
    </w:p>
    <w:p w:rsidR="00D02DF1" w:rsidRDefault="00D02DF1" w:rsidP="00D02DF1">
      <w:pPr>
        <w:spacing w:line="340" w:lineRule="atLeast"/>
        <w:ind w:firstLine="709"/>
        <w:jc w:val="center"/>
        <w:rPr>
          <w:sz w:val="28"/>
          <w:szCs w:val="28"/>
          <w:lang w:val="be-BY"/>
        </w:rPr>
      </w:pPr>
      <w:r>
        <w:rPr>
          <w:noProof/>
        </w:rPr>
        <w:drawing>
          <wp:inline distT="0" distB="0" distL="0" distR="0" wp14:anchorId="404BC6E8" wp14:editId="361A8168">
            <wp:extent cx="3896436" cy="2354239"/>
            <wp:effectExtent l="0" t="0" r="8890" b="8255"/>
            <wp:docPr id="8" name="Ди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bookmarkEnd w:id="1"/>
    <w:bookmarkEnd w:id="2"/>
    <w:p w:rsidR="00F127D2" w:rsidRPr="00C4641E" w:rsidRDefault="00F127D2" w:rsidP="00057335">
      <w:pPr>
        <w:spacing w:line="340" w:lineRule="atLeast"/>
        <w:ind w:firstLine="709"/>
        <w:jc w:val="both"/>
        <w:rPr>
          <w:noProof/>
          <w:sz w:val="28"/>
          <w:szCs w:val="28"/>
          <w:lang w:val="be-BY"/>
        </w:rPr>
      </w:pPr>
    </w:p>
    <w:p w:rsidR="00AA7979" w:rsidRPr="007E38A0" w:rsidRDefault="00AA7979" w:rsidP="00AA7979">
      <w:pPr>
        <w:tabs>
          <w:tab w:val="left" w:pos="8647"/>
        </w:tabs>
        <w:spacing w:after="120" w:line="340" w:lineRule="atLeast"/>
        <w:ind w:left="720"/>
        <w:jc w:val="center"/>
        <w:rPr>
          <w:b/>
          <w:sz w:val="28"/>
          <w:szCs w:val="28"/>
          <w:lang w:val="be-BY"/>
        </w:rPr>
      </w:pPr>
      <w:r w:rsidRPr="00FC74C4">
        <w:rPr>
          <w:b/>
          <w:sz w:val="28"/>
          <w:szCs w:val="28"/>
          <w:lang w:val="be-BY"/>
        </w:rPr>
        <w:t>ІІ. СЪДЕБНА ФАЗА</w:t>
      </w:r>
      <w:r>
        <w:rPr>
          <w:b/>
          <w:sz w:val="28"/>
          <w:szCs w:val="28"/>
          <w:lang w:val="be-BY"/>
        </w:rPr>
        <w:t xml:space="preserve"> </w:t>
      </w:r>
    </w:p>
    <w:p w:rsidR="00AA7979" w:rsidRDefault="00AA7979" w:rsidP="00AA7979">
      <w:pPr>
        <w:shd w:val="clear" w:color="auto" w:fill="FFFFFF"/>
        <w:spacing w:line="340" w:lineRule="atLeast"/>
        <w:ind w:firstLine="720"/>
        <w:jc w:val="both"/>
        <w:rPr>
          <w:b/>
          <w:sz w:val="28"/>
          <w:szCs w:val="28"/>
        </w:rPr>
      </w:pPr>
    </w:p>
    <w:p w:rsidR="00AA7979" w:rsidRPr="007E38A0" w:rsidRDefault="00AA7979" w:rsidP="00AA7979">
      <w:pPr>
        <w:shd w:val="clear" w:color="auto" w:fill="FFFFFF"/>
        <w:spacing w:line="340" w:lineRule="atLeast"/>
        <w:ind w:firstLine="720"/>
        <w:jc w:val="both"/>
        <w:rPr>
          <w:b/>
          <w:sz w:val="28"/>
          <w:szCs w:val="28"/>
        </w:rPr>
      </w:pPr>
      <w:r w:rsidRPr="007E38A0">
        <w:rPr>
          <w:b/>
          <w:sz w:val="28"/>
          <w:szCs w:val="28"/>
        </w:rPr>
        <w:t xml:space="preserve">1. Наказателно-съдебен надзор </w:t>
      </w:r>
    </w:p>
    <w:p w:rsidR="00AA7979" w:rsidRPr="00546C7B" w:rsidRDefault="00AA7979" w:rsidP="00AA7979">
      <w:pPr>
        <w:spacing w:line="340" w:lineRule="atLeast"/>
        <w:ind w:firstLine="720"/>
        <w:jc w:val="both"/>
        <w:rPr>
          <w:sz w:val="28"/>
          <w:szCs w:val="28"/>
        </w:rPr>
      </w:pPr>
      <w:r>
        <w:rPr>
          <w:sz w:val="28"/>
          <w:szCs w:val="28"/>
        </w:rPr>
        <w:t>През 202</w:t>
      </w:r>
      <w:r w:rsidR="00FC74C4">
        <w:rPr>
          <w:sz w:val="28"/>
          <w:szCs w:val="28"/>
        </w:rPr>
        <w:t>4</w:t>
      </w:r>
      <w:r w:rsidRPr="00546C7B">
        <w:rPr>
          <w:sz w:val="28"/>
          <w:szCs w:val="28"/>
        </w:rPr>
        <w:t xml:space="preserve">г. от съдилищата в Сливенски съдебен регион са образувани общо </w:t>
      </w:r>
      <w:r>
        <w:rPr>
          <w:sz w:val="28"/>
          <w:szCs w:val="28"/>
        </w:rPr>
        <w:t xml:space="preserve"> </w:t>
      </w:r>
      <w:r w:rsidR="00FC74C4">
        <w:rPr>
          <w:sz w:val="28"/>
          <w:szCs w:val="28"/>
        </w:rPr>
        <w:t>948</w:t>
      </w:r>
      <w:r w:rsidRPr="00D41727">
        <w:rPr>
          <w:color w:val="FF0000"/>
          <w:sz w:val="28"/>
          <w:szCs w:val="28"/>
        </w:rPr>
        <w:t xml:space="preserve"> </w:t>
      </w:r>
      <w:r w:rsidRPr="00546C7B">
        <w:rPr>
          <w:sz w:val="28"/>
          <w:szCs w:val="28"/>
        </w:rPr>
        <w:t>дела</w:t>
      </w:r>
      <w:r>
        <w:rPr>
          <w:sz w:val="28"/>
          <w:szCs w:val="28"/>
        </w:rPr>
        <w:t xml:space="preserve"> по внесените от Окръжна прокуратура – Сливен и от Районна прокуратура – Сливен </w:t>
      </w:r>
      <w:r w:rsidR="00FC74C4">
        <w:rPr>
          <w:sz w:val="28"/>
          <w:szCs w:val="28"/>
        </w:rPr>
        <w:t>947</w:t>
      </w:r>
      <w:r>
        <w:rPr>
          <w:sz w:val="28"/>
          <w:szCs w:val="28"/>
        </w:rPr>
        <w:t xml:space="preserve"> прокурорски акта, от които </w:t>
      </w:r>
      <w:r w:rsidR="00FC74C4">
        <w:rPr>
          <w:sz w:val="28"/>
          <w:szCs w:val="28"/>
        </w:rPr>
        <w:t>550</w:t>
      </w:r>
      <w:r>
        <w:rPr>
          <w:sz w:val="28"/>
          <w:szCs w:val="28"/>
        </w:rPr>
        <w:t xml:space="preserve"> обвинителни акта, </w:t>
      </w:r>
      <w:r w:rsidR="00821EF9">
        <w:rPr>
          <w:sz w:val="28"/>
          <w:szCs w:val="28"/>
        </w:rPr>
        <w:t>3</w:t>
      </w:r>
      <w:r w:rsidR="00FC74C4">
        <w:rPr>
          <w:sz w:val="28"/>
          <w:szCs w:val="28"/>
        </w:rPr>
        <w:t>02</w:t>
      </w:r>
      <w:r>
        <w:rPr>
          <w:sz w:val="28"/>
          <w:szCs w:val="28"/>
        </w:rPr>
        <w:t xml:space="preserve"> споразумения и </w:t>
      </w:r>
      <w:r w:rsidR="00FC74C4">
        <w:rPr>
          <w:sz w:val="28"/>
          <w:szCs w:val="28"/>
        </w:rPr>
        <w:t>95</w:t>
      </w:r>
      <w:r>
        <w:rPr>
          <w:sz w:val="28"/>
          <w:szCs w:val="28"/>
        </w:rPr>
        <w:t xml:space="preserve"> постановления за освобождаване от наказателна отговорност с налагане на административно наказание</w:t>
      </w:r>
      <w:r w:rsidRPr="00546C7B">
        <w:rPr>
          <w:sz w:val="28"/>
          <w:szCs w:val="28"/>
        </w:rPr>
        <w:t xml:space="preserve">. </w:t>
      </w:r>
    </w:p>
    <w:p w:rsidR="00AA7979" w:rsidRPr="00546C7B" w:rsidRDefault="00AA7979" w:rsidP="00AA7979">
      <w:pPr>
        <w:spacing w:line="340" w:lineRule="atLeast"/>
        <w:ind w:firstLine="720"/>
        <w:jc w:val="both"/>
        <w:rPr>
          <w:sz w:val="28"/>
          <w:szCs w:val="28"/>
        </w:rPr>
      </w:pPr>
      <w:r w:rsidRPr="00546C7B">
        <w:rPr>
          <w:sz w:val="28"/>
          <w:szCs w:val="28"/>
        </w:rPr>
        <w:lastRenderedPageBreak/>
        <w:t xml:space="preserve">През отчетния период по разгледаните от съдилищата от Сливенски съдебен регион дела са били постановени общо </w:t>
      </w:r>
      <w:r w:rsidRPr="00AB028C">
        <w:rPr>
          <w:sz w:val="28"/>
          <w:szCs w:val="28"/>
        </w:rPr>
        <w:t>1</w:t>
      </w:r>
      <w:r w:rsidR="00821EF9">
        <w:rPr>
          <w:sz w:val="28"/>
          <w:szCs w:val="28"/>
        </w:rPr>
        <w:t>0</w:t>
      </w:r>
      <w:r w:rsidR="00FC74C4">
        <w:rPr>
          <w:sz w:val="28"/>
          <w:szCs w:val="28"/>
        </w:rPr>
        <w:t>53</w:t>
      </w:r>
      <w:r w:rsidRPr="00AB028C">
        <w:rPr>
          <w:sz w:val="28"/>
          <w:szCs w:val="28"/>
        </w:rPr>
        <w:t xml:space="preserve"> решения</w:t>
      </w:r>
      <w:r w:rsidRPr="00546C7B">
        <w:rPr>
          <w:sz w:val="28"/>
          <w:szCs w:val="28"/>
        </w:rPr>
        <w:t xml:space="preserve">, от които по обвинителни актове – </w:t>
      </w:r>
      <w:r w:rsidR="009F2522">
        <w:rPr>
          <w:sz w:val="28"/>
          <w:szCs w:val="28"/>
        </w:rPr>
        <w:t>650</w:t>
      </w:r>
      <w:r w:rsidRPr="00546C7B">
        <w:rPr>
          <w:sz w:val="28"/>
          <w:szCs w:val="28"/>
        </w:rPr>
        <w:t xml:space="preserve"> решения, по споразумения – </w:t>
      </w:r>
      <w:r w:rsidR="009F2522">
        <w:rPr>
          <w:sz w:val="28"/>
          <w:szCs w:val="28"/>
        </w:rPr>
        <w:t>305</w:t>
      </w:r>
      <w:r w:rsidRPr="00546C7B">
        <w:rPr>
          <w:sz w:val="28"/>
          <w:szCs w:val="28"/>
        </w:rPr>
        <w:t xml:space="preserve"> решения и по внесени постановления за освобождаване от наказателна отговорност с налагане на административно наказание – </w:t>
      </w:r>
      <w:r w:rsidR="009F2522">
        <w:rPr>
          <w:sz w:val="28"/>
          <w:szCs w:val="28"/>
        </w:rPr>
        <w:t>9</w:t>
      </w:r>
      <w:r w:rsidR="00821EF9">
        <w:rPr>
          <w:sz w:val="28"/>
          <w:szCs w:val="28"/>
        </w:rPr>
        <w:t>8</w:t>
      </w:r>
      <w:r w:rsidRPr="00546C7B">
        <w:rPr>
          <w:sz w:val="28"/>
          <w:szCs w:val="28"/>
        </w:rPr>
        <w:t xml:space="preserve"> решения. </w:t>
      </w:r>
    </w:p>
    <w:p w:rsidR="00AA7979" w:rsidRDefault="00AA7979" w:rsidP="00AA7979">
      <w:pPr>
        <w:spacing w:line="340" w:lineRule="atLeast"/>
        <w:ind w:firstLine="720"/>
        <w:jc w:val="both"/>
        <w:rPr>
          <w:sz w:val="28"/>
          <w:szCs w:val="28"/>
        </w:rPr>
      </w:pPr>
      <w:r>
        <w:rPr>
          <w:sz w:val="28"/>
          <w:szCs w:val="28"/>
        </w:rPr>
        <w:t>През 202</w:t>
      </w:r>
      <w:r w:rsidR="009F2522">
        <w:rPr>
          <w:sz w:val="28"/>
          <w:szCs w:val="28"/>
        </w:rPr>
        <w:t>4</w:t>
      </w:r>
      <w:r>
        <w:rPr>
          <w:sz w:val="28"/>
          <w:szCs w:val="28"/>
        </w:rPr>
        <w:t xml:space="preserve"> год. са постановени общо</w:t>
      </w:r>
      <w:r w:rsidR="00821EF9">
        <w:rPr>
          <w:sz w:val="28"/>
          <w:szCs w:val="28"/>
        </w:rPr>
        <w:t xml:space="preserve"> 10</w:t>
      </w:r>
      <w:r w:rsidR="009F2522">
        <w:rPr>
          <w:sz w:val="28"/>
          <w:szCs w:val="28"/>
        </w:rPr>
        <w:t xml:space="preserve">18 </w:t>
      </w:r>
      <w:r>
        <w:rPr>
          <w:sz w:val="28"/>
          <w:szCs w:val="28"/>
        </w:rPr>
        <w:t>осъдителни и санкционни решения.</w:t>
      </w:r>
      <w:r w:rsidR="000B7200">
        <w:rPr>
          <w:sz w:val="28"/>
          <w:szCs w:val="28"/>
        </w:rPr>
        <w:t xml:space="preserve"> Относителният им дял спрямо всички постановени от съда решения по внесените прокурорски актове е</w:t>
      </w:r>
      <w:r w:rsidR="0001267F">
        <w:rPr>
          <w:sz w:val="28"/>
          <w:szCs w:val="28"/>
        </w:rPr>
        <w:t xml:space="preserve"> </w:t>
      </w:r>
      <w:r w:rsidR="009F2522">
        <w:rPr>
          <w:sz w:val="28"/>
          <w:szCs w:val="28"/>
        </w:rPr>
        <w:t xml:space="preserve">96,68% </w:t>
      </w:r>
      <w:r w:rsidR="00B15441">
        <w:rPr>
          <w:sz w:val="28"/>
          <w:szCs w:val="28"/>
        </w:rPr>
        <w:t>при</w:t>
      </w:r>
      <w:r w:rsidR="000B7200">
        <w:rPr>
          <w:sz w:val="28"/>
          <w:szCs w:val="28"/>
        </w:rPr>
        <w:t xml:space="preserve"> </w:t>
      </w:r>
      <w:r w:rsidR="009F2522">
        <w:rPr>
          <w:sz w:val="28"/>
          <w:szCs w:val="28"/>
        </w:rPr>
        <w:t xml:space="preserve">97,2% </w:t>
      </w:r>
      <w:r w:rsidR="00B15441">
        <w:rPr>
          <w:sz w:val="28"/>
          <w:szCs w:val="28"/>
        </w:rPr>
        <w:t>за 202</w:t>
      </w:r>
      <w:r w:rsidR="009F2522">
        <w:rPr>
          <w:sz w:val="28"/>
          <w:szCs w:val="28"/>
        </w:rPr>
        <w:t>3</w:t>
      </w:r>
      <w:r w:rsidR="00B15441">
        <w:rPr>
          <w:sz w:val="28"/>
          <w:szCs w:val="28"/>
        </w:rPr>
        <w:t>г. и</w:t>
      </w:r>
      <w:r w:rsidR="000B7200">
        <w:rPr>
          <w:sz w:val="28"/>
          <w:szCs w:val="28"/>
        </w:rPr>
        <w:t xml:space="preserve"> </w:t>
      </w:r>
      <w:r w:rsidR="009F2522">
        <w:rPr>
          <w:sz w:val="28"/>
          <w:szCs w:val="28"/>
        </w:rPr>
        <w:t xml:space="preserve">96,49% </w:t>
      </w:r>
      <w:r w:rsidR="000B7200">
        <w:rPr>
          <w:sz w:val="28"/>
          <w:szCs w:val="28"/>
        </w:rPr>
        <w:t>за 202</w:t>
      </w:r>
      <w:r w:rsidR="009F2522">
        <w:rPr>
          <w:sz w:val="28"/>
          <w:szCs w:val="28"/>
        </w:rPr>
        <w:t>2</w:t>
      </w:r>
      <w:r w:rsidR="008F34AF">
        <w:rPr>
          <w:sz w:val="28"/>
          <w:szCs w:val="28"/>
        </w:rPr>
        <w:t>г.</w:t>
      </w:r>
    </w:p>
    <w:p w:rsidR="00AA7979" w:rsidRDefault="00AA7979" w:rsidP="00AA7979">
      <w:pPr>
        <w:spacing w:line="340" w:lineRule="atLeast"/>
        <w:ind w:firstLine="720"/>
        <w:jc w:val="both"/>
        <w:rPr>
          <w:sz w:val="28"/>
          <w:szCs w:val="28"/>
        </w:rPr>
      </w:pPr>
      <w:r>
        <w:rPr>
          <w:sz w:val="28"/>
          <w:szCs w:val="28"/>
        </w:rPr>
        <w:t xml:space="preserve">За сравнение </w:t>
      </w:r>
      <w:bookmarkStart w:id="4" w:name="OLE_LINK2"/>
      <w:r>
        <w:rPr>
          <w:sz w:val="28"/>
          <w:szCs w:val="28"/>
        </w:rPr>
        <w:t>п</w:t>
      </w:r>
      <w:r w:rsidRPr="00546C7B">
        <w:rPr>
          <w:sz w:val="28"/>
          <w:szCs w:val="28"/>
        </w:rPr>
        <w:t xml:space="preserve">рез </w:t>
      </w:r>
      <w:r>
        <w:rPr>
          <w:sz w:val="28"/>
          <w:szCs w:val="28"/>
        </w:rPr>
        <w:t>202</w:t>
      </w:r>
      <w:r w:rsidR="009F2522">
        <w:rPr>
          <w:sz w:val="28"/>
          <w:szCs w:val="28"/>
        </w:rPr>
        <w:t>3</w:t>
      </w:r>
      <w:r>
        <w:rPr>
          <w:sz w:val="28"/>
          <w:szCs w:val="28"/>
        </w:rPr>
        <w:t xml:space="preserve">г. са постановени общо </w:t>
      </w:r>
      <w:bookmarkStart w:id="5" w:name="OLE_LINK15"/>
      <w:r>
        <w:rPr>
          <w:sz w:val="28"/>
          <w:szCs w:val="28"/>
        </w:rPr>
        <w:t>10</w:t>
      </w:r>
      <w:bookmarkEnd w:id="5"/>
      <w:r w:rsidR="009F2522">
        <w:rPr>
          <w:sz w:val="28"/>
          <w:szCs w:val="28"/>
        </w:rPr>
        <w:t>42</w:t>
      </w:r>
      <w:r w:rsidRPr="00546C7B">
        <w:rPr>
          <w:sz w:val="28"/>
          <w:szCs w:val="28"/>
        </w:rPr>
        <w:t xml:space="preserve"> осъди</w:t>
      </w:r>
      <w:r>
        <w:rPr>
          <w:sz w:val="28"/>
          <w:szCs w:val="28"/>
        </w:rPr>
        <w:t>телни и санкционни решения</w:t>
      </w:r>
      <w:bookmarkEnd w:id="4"/>
      <w:r>
        <w:rPr>
          <w:sz w:val="28"/>
          <w:szCs w:val="28"/>
        </w:rPr>
        <w:t>, а</w:t>
      </w:r>
      <w:r w:rsidRPr="00546C7B">
        <w:rPr>
          <w:sz w:val="28"/>
          <w:szCs w:val="28"/>
        </w:rPr>
        <w:t xml:space="preserve"> </w:t>
      </w:r>
      <w:r w:rsidR="00B15441">
        <w:rPr>
          <w:sz w:val="28"/>
          <w:szCs w:val="28"/>
        </w:rPr>
        <w:t>през 202</w:t>
      </w:r>
      <w:r w:rsidR="009F2522">
        <w:rPr>
          <w:sz w:val="28"/>
          <w:szCs w:val="28"/>
        </w:rPr>
        <w:t>3</w:t>
      </w:r>
      <w:r w:rsidR="00B15441">
        <w:rPr>
          <w:sz w:val="28"/>
          <w:szCs w:val="28"/>
        </w:rPr>
        <w:t xml:space="preserve">г. техният брой е бил </w:t>
      </w:r>
      <w:r w:rsidR="009F2522">
        <w:rPr>
          <w:sz w:val="28"/>
          <w:szCs w:val="28"/>
        </w:rPr>
        <w:t>1075</w:t>
      </w:r>
      <w:r w:rsidR="00B15441">
        <w:rPr>
          <w:sz w:val="28"/>
          <w:szCs w:val="28"/>
        </w:rPr>
        <w:t xml:space="preserve"> решения</w:t>
      </w:r>
      <w:r w:rsidRPr="00546C7B">
        <w:rPr>
          <w:sz w:val="28"/>
          <w:szCs w:val="28"/>
        </w:rPr>
        <w:t xml:space="preserve">. </w:t>
      </w:r>
    </w:p>
    <w:p w:rsidR="00B15441" w:rsidRDefault="00B15441" w:rsidP="00B15441">
      <w:pPr>
        <w:spacing w:line="340" w:lineRule="atLeast"/>
        <w:ind w:firstLine="720"/>
        <w:jc w:val="both"/>
        <w:rPr>
          <w:sz w:val="28"/>
          <w:szCs w:val="28"/>
        </w:rPr>
      </w:pPr>
      <w:bookmarkStart w:id="6" w:name="OLE_LINK3"/>
      <w:r>
        <w:rPr>
          <w:sz w:val="28"/>
          <w:szCs w:val="28"/>
        </w:rPr>
        <w:t>През 202</w:t>
      </w:r>
      <w:r w:rsidR="009F2522">
        <w:rPr>
          <w:sz w:val="28"/>
          <w:szCs w:val="28"/>
        </w:rPr>
        <w:t>4</w:t>
      </w:r>
      <w:r>
        <w:rPr>
          <w:sz w:val="28"/>
          <w:szCs w:val="28"/>
        </w:rPr>
        <w:t>год. са били осъдени и санкционирани общо</w:t>
      </w:r>
      <w:r w:rsidR="009F2522">
        <w:rPr>
          <w:sz w:val="28"/>
          <w:szCs w:val="28"/>
        </w:rPr>
        <w:t xml:space="preserve"> 1138</w:t>
      </w:r>
      <w:r>
        <w:rPr>
          <w:sz w:val="28"/>
          <w:szCs w:val="28"/>
        </w:rPr>
        <w:t xml:space="preserve"> лица, а с влязъл в сила съдебен акт са били осъдени общо </w:t>
      </w:r>
      <w:r w:rsidR="00810265">
        <w:rPr>
          <w:sz w:val="28"/>
          <w:szCs w:val="28"/>
        </w:rPr>
        <w:t xml:space="preserve">1122 </w:t>
      </w:r>
      <w:r>
        <w:rPr>
          <w:sz w:val="28"/>
          <w:szCs w:val="28"/>
        </w:rPr>
        <w:t>лица.</w:t>
      </w:r>
    </w:p>
    <w:p w:rsidR="00810265" w:rsidRDefault="00810265" w:rsidP="00810265">
      <w:pPr>
        <w:spacing w:line="340" w:lineRule="atLeast"/>
        <w:ind w:firstLine="720"/>
        <w:jc w:val="both"/>
        <w:rPr>
          <w:sz w:val="28"/>
          <w:szCs w:val="28"/>
        </w:rPr>
      </w:pPr>
      <w:r>
        <w:rPr>
          <w:sz w:val="28"/>
          <w:szCs w:val="28"/>
        </w:rPr>
        <w:t>През 2023 год. са били осъдени и санкционирани общо 1216 лица, а с влязъл в сила съдебен акт са били осъдени общо 1184 лица.</w:t>
      </w:r>
    </w:p>
    <w:p w:rsidR="00AA7979" w:rsidRDefault="00AA7979" w:rsidP="00AA7979">
      <w:pPr>
        <w:spacing w:line="340" w:lineRule="atLeast"/>
        <w:ind w:firstLine="720"/>
        <w:jc w:val="both"/>
        <w:rPr>
          <w:sz w:val="28"/>
          <w:szCs w:val="28"/>
        </w:rPr>
      </w:pPr>
      <w:r>
        <w:rPr>
          <w:sz w:val="28"/>
          <w:szCs w:val="28"/>
        </w:rPr>
        <w:t>През 2022 год. са били осъдени и санкционирани общо 1136 лица, а с влязъл в сила съдебен акт са били осъдени общо 1</w:t>
      </w:r>
      <w:r>
        <w:rPr>
          <w:sz w:val="28"/>
          <w:szCs w:val="28"/>
          <w:lang w:val="en-US"/>
        </w:rPr>
        <w:t>098</w:t>
      </w:r>
      <w:r>
        <w:rPr>
          <w:sz w:val="28"/>
          <w:szCs w:val="28"/>
        </w:rPr>
        <w:t xml:space="preserve"> лица.</w:t>
      </w:r>
    </w:p>
    <w:bookmarkEnd w:id="6"/>
    <w:p w:rsidR="00AA7979" w:rsidRPr="00546C7B" w:rsidRDefault="00AA7979" w:rsidP="00AA7979">
      <w:pPr>
        <w:spacing w:line="340" w:lineRule="atLeast"/>
        <w:ind w:firstLine="720"/>
        <w:jc w:val="both"/>
        <w:rPr>
          <w:sz w:val="28"/>
          <w:szCs w:val="28"/>
        </w:rPr>
      </w:pPr>
      <w:r w:rsidRPr="00546C7B">
        <w:rPr>
          <w:sz w:val="28"/>
          <w:szCs w:val="28"/>
        </w:rPr>
        <w:t>От общия брой осъдени и санкционирани лица (</w:t>
      </w:r>
      <w:r w:rsidR="00810265">
        <w:rPr>
          <w:sz w:val="28"/>
          <w:szCs w:val="28"/>
        </w:rPr>
        <w:t>1138</w:t>
      </w:r>
      <w:r w:rsidRPr="00546C7B">
        <w:rPr>
          <w:sz w:val="28"/>
          <w:szCs w:val="28"/>
        </w:rPr>
        <w:t xml:space="preserve">) по внесени обвинителни актове са били осъдени </w:t>
      </w:r>
      <w:r w:rsidR="00810265">
        <w:rPr>
          <w:sz w:val="28"/>
          <w:szCs w:val="28"/>
        </w:rPr>
        <w:t>690</w:t>
      </w:r>
      <w:r w:rsidRPr="00546C7B">
        <w:rPr>
          <w:sz w:val="28"/>
          <w:szCs w:val="28"/>
        </w:rPr>
        <w:t xml:space="preserve"> лица, по внесени споразумения – </w:t>
      </w:r>
      <w:r w:rsidR="00B15441">
        <w:rPr>
          <w:sz w:val="28"/>
          <w:szCs w:val="28"/>
        </w:rPr>
        <w:t>33</w:t>
      </w:r>
      <w:r w:rsidR="00810265">
        <w:rPr>
          <w:sz w:val="28"/>
          <w:szCs w:val="28"/>
        </w:rPr>
        <w:t>3</w:t>
      </w:r>
      <w:r w:rsidRPr="00546C7B">
        <w:rPr>
          <w:sz w:val="28"/>
          <w:szCs w:val="28"/>
        </w:rPr>
        <w:t xml:space="preserve"> лица, а по внесени предложения по чл.78а от НК – </w:t>
      </w:r>
      <w:r w:rsidR="00B15441">
        <w:rPr>
          <w:sz w:val="28"/>
          <w:szCs w:val="28"/>
        </w:rPr>
        <w:t>11</w:t>
      </w:r>
      <w:r w:rsidR="00810265">
        <w:rPr>
          <w:sz w:val="28"/>
          <w:szCs w:val="28"/>
        </w:rPr>
        <w:t>5</w:t>
      </w:r>
      <w:r w:rsidRPr="00546C7B">
        <w:rPr>
          <w:sz w:val="28"/>
          <w:szCs w:val="28"/>
        </w:rPr>
        <w:t xml:space="preserve"> лица. </w:t>
      </w:r>
    </w:p>
    <w:p w:rsidR="00AA7979" w:rsidRPr="00FA3CAF" w:rsidRDefault="00AA7979" w:rsidP="004A36D6">
      <w:pPr>
        <w:spacing w:line="340" w:lineRule="atLeast"/>
        <w:ind w:firstLine="720"/>
        <w:jc w:val="both"/>
        <w:rPr>
          <w:sz w:val="28"/>
          <w:szCs w:val="28"/>
        </w:rPr>
      </w:pPr>
      <w:r w:rsidRPr="004F78EF">
        <w:rPr>
          <w:sz w:val="28"/>
          <w:szCs w:val="28"/>
        </w:rPr>
        <w:t>При сравняване на данните по така</w:t>
      </w:r>
      <w:r w:rsidR="004A36D6">
        <w:rPr>
          <w:sz w:val="28"/>
          <w:szCs w:val="28"/>
        </w:rPr>
        <w:t xml:space="preserve"> отчетения показател спрямо</w:t>
      </w:r>
      <w:r w:rsidR="00E228D4">
        <w:rPr>
          <w:sz w:val="28"/>
          <w:szCs w:val="28"/>
        </w:rPr>
        <w:t xml:space="preserve"> тези за</w:t>
      </w:r>
      <w:r w:rsidR="004A36D6">
        <w:rPr>
          <w:sz w:val="28"/>
          <w:szCs w:val="28"/>
        </w:rPr>
        <w:t xml:space="preserve"> </w:t>
      </w:r>
      <w:r>
        <w:rPr>
          <w:sz w:val="28"/>
          <w:szCs w:val="28"/>
        </w:rPr>
        <w:t>202</w:t>
      </w:r>
      <w:r w:rsidR="00810265">
        <w:rPr>
          <w:sz w:val="28"/>
          <w:szCs w:val="28"/>
        </w:rPr>
        <w:t>3</w:t>
      </w:r>
      <w:r>
        <w:rPr>
          <w:sz w:val="28"/>
          <w:szCs w:val="28"/>
        </w:rPr>
        <w:t xml:space="preserve"> год. /осъдени и санкционирани общо </w:t>
      </w:r>
      <w:r w:rsidR="00810265">
        <w:rPr>
          <w:sz w:val="28"/>
          <w:szCs w:val="28"/>
        </w:rPr>
        <w:t>1216</w:t>
      </w:r>
      <w:r>
        <w:rPr>
          <w:sz w:val="28"/>
          <w:szCs w:val="28"/>
        </w:rPr>
        <w:t xml:space="preserve"> лица/ и </w:t>
      </w:r>
      <w:r w:rsidR="004A36D6">
        <w:rPr>
          <w:sz w:val="28"/>
          <w:szCs w:val="28"/>
        </w:rPr>
        <w:t xml:space="preserve">за </w:t>
      </w:r>
      <w:r>
        <w:rPr>
          <w:sz w:val="28"/>
          <w:szCs w:val="28"/>
        </w:rPr>
        <w:t>202</w:t>
      </w:r>
      <w:r w:rsidR="00810265">
        <w:rPr>
          <w:sz w:val="28"/>
          <w:szCs w:val="28"/>
        </w:rPr>
        <w:t xml:space="preserve">2 </w:t>
      </w:r>
      <w:r>
        <w:rPr>
          <w:sz w:val="28"/>
          <w:szCs w:val="28"/>
        </w:rPr>
        <w:t xml:space="preserve">год. /осъдени и санкционирани общо </w:t>
      </w:r>
      <w:r w:rsidR="00810265">
        <w:rPr>
          <w:sz w:val="28"/>
          <w:szCs w:val="28"/>
        </w:rPr>
        <w:t>1136</w:t>
      </w:r>
      <w:r>
        <w:rPr>
          <w:sz w:val="28"/>
          <w:szCs w:val="28"/>
        </w:rPr>
        <w:t xml:space="preserve"> лица/</w:t>
      </w:r>
      <w:r w:rsidRPr="004F78EF">
        <w:rPr>
          <w:sz w:val="28"/>
          <w:szCs w:val="28"/>
        </w:rPr>
        <w:t xml:space="preserve"> се налага извод</w:t>
      </w:r>
      <w:r w:rsidR="00E31585">
        <w:rPr>
          <w:sz w:val="28"/>
          <w:szCs w:val="28"/>
        </w:rPr>
        <w:t>ът</w:t>
      </w:r>
      <w:r w:rsidRPr="004F78EF">
        <w:rPr>
          <w:sz w:val="28"/>
          <w:szCs w:val="28"/>
        </w:rPr>
        <w:t xml:space="preserve">, че през отчетната година е налице </w:t>
      </w:r>
      <w:r w:rsidR="00810265">
        <w:rPr>
          <w:sz w:val="28"/>
          <w:szCs w:val="28"/>
        </w:rPr>
        <w:t>намаление</w:t>
      </w:r>
      <w:r w:rsidR="00E31585">
        <w:rPr>
          <w:sz w:val="28"/>
          <w:szCs w:val="28"/>
        </w:rPr>
        <w:t xml:space="preserve"> на</w:t>
      </w:r>
      <w:r>
        <w:rPr>
          <w:sz w:val="28"/>
          <w:szCs w:val="28"/>
        </w:rPr>
        <w:t xml:space="preserve"> броя на </w:t>
      </w:r>
      <w:r w:rsidRPr="004F78EF">
        <w:rPr>
          <w:sz w:val="28"/>
          <w:szCs w:val="28"/>
        </w:rPr>
        <w:t xml:space="preserve">осъдените лица </w:t>
      </w:r>
      <w:r w:rsidR="004A36D6">
        <w:rPr>
          <w:sz w:val="28"/>
          <w:szCs w:val="28"/>
        </w:rPr>
        <w:t>спрямо</w:t>
      </w:r>
      <w:r>
        <w:rPr>
          <w:sz w:val="28"/>
          <w:szCs w:val="28"/>
        </w:rPr>
        <w:t xml:space="preserve"> 202</w:t>
      </w:r>
      <w:r w:rsidR="00810265">
        <w:rPr>
          <w:sz w:val="28"/>
          <w:szCs w:val="28"/>
        </w:rPr>
        <w:t>3</w:t>
      </w:r>
      <w:r w:rsidR="004A36D6">
        <w:rPr>
          <w:sz w:val="28"/>
          <w:szCs w:val="28"/>
        </w:rPr>
        <w:t xml:space="preserve"> г.</w:t>
      </w:r>
      <w:r w:rsidR="002F4EB7">
        <w:rPr>
          <w:sz w:val="28"/>
          <w:szCs w:val="28"/>
        </w:rPr>
        <w:t xml:space="preserve"> </w:t>
      </w:r>
      <w:r w:rsidR="00810265">
        <w:rPr>
          <w:sz w:val="28"/>
          <w:szCs w:val="28"/>
        </w:rPr>
        <w:t>със 7</w:t>
      </w:r>
      <w:r w:rsidR="00B15441">
        <w:rPr>
          <w:sz w:val="28"/>
          <w:szCs w:val="28"/>
        </w:rPr>
        <w:t>8</w:t>
      </w:r>
      <w:r w:rsidRPr="004F78EF">
        <w:rPr>
          <w:sz w:val="28"/>
          <w:szCs w:val="28"/>
        </w:rPr>
        <w:t xml:space="preserve"> </w:t>
      </w:r>
      <w:bookmarkStart w:id="7" w:name="OLE_LINK4"/>
      <w:bookmarkStart w:id="8" w:name="OLE_LINK5"/>
      <w:r>
        <w:rPr>
          <w:sz w:val="28"/>
          <w:szCs w:val="28"/>
        </w:rPr>
        <w:t>осъдени лица</w:t>
      </w:r>
      <w:bookmarkEnd w:id="7"/>
      <w:bookmarkEnd w:id="8"/>
      <w:r w:rsidR="004A36D6">
        <w:rPr>
          <w:sz w:val="28"/>
          <w:szCs w:val="28"/>
        </w:rPr>
        <w:t>, а спрямо</w:t>
      </w:r>
      <w:r>
        <w:rPr>
          <w:sz w:val="28"/>
          <w:szCs w:val="28"/>
        </w:rPr>
        <w:t xml:space="preserve"> 202</w:t>
      </w:r>
      <w:r w:rsidR="00810265">
        <w:rPr>
          <w:sz w:val="28"/>
          <w:szCs w:val="28"/>
        </w:rPr>
        <w:t>2</w:t>
      </w:r>
      <w:r>
        <w:rPr>
          <w:sz w:val="28"/>
          <w:szCs w:val="28"/>
        </w:rPr>
        <w:t xml:space="preserve"> г</w:t>
      </w:r>
      <w:r w:rsidR="00810265">
        <w:rPr>
          <w:sz w:val="28"/>
          <w:szCs w:val="28"/>
        </w:rPr>
        <w:t>. е на лице устойчивост на данните по този показател</w:t>
      </w:r>
      <w:r>
        <w:rPr>
          <w:sz w:val="28"/>
          <w:szCs w:val="28"/>
        </w:rPr>
        <w:t>.</w:t>
      </w:r>
    </w:p>
    <w:p w:rsidR="00AA7979" w:rsidRPr="007E38A0" w:rsidRDefault="00AA7979" w:rsidP="00AA7979">
      <w:pPr>
        <w:spacing w:before="120" w:line="340" w:lineRule="atLeast"/>
        <w:ind w:firstLine="720"/>
        <w:jc w:val="both"/>
        <w:rPr>
          <w:b/>
          <w:sz w:val="28"/>
          <w:szCs w:val="28"/>
        </w:rPr>
      </w:pPr>
      <w:r w:rsidRPr="007E38A0">
        <w:rPr>
          <w:b/>
          <w:sz w:val="28"/>
          <w:szCs w:val="28"/>
        </w:rPr>
        <w:t>2. Постановени оправдателни присъди и върнати от съда дела</w:t>
      </w:r>
    </w:p>
    <w:p w:rsidR="00AA7979" w:rsidRDefault="00AA7979" w:rsidP="00AA7979">
      <w:pPr>
        <w:spacing w:line="340" w:lineRule="atLeast"/>
        <w:ind w:firstLine="720"/>
        <w:jc w:val="both"/>
        <w:rPr>
          <w:sz w:val="28"/>
          <w:szCs w:val="28"/>
        </w:rPr>
      </w:pPr>
      <w:r>
        <w:rPr>
          <w:sz w:val="28"/>
          <w:szCs w:val="28"/>
        </w:rPr>
        <w:t>През 202</w:t>
      </w:r>
      <w:r w:rsidR="00D42663">
        <w:rPr>
          <w:sz w:val="28"/>
          <w:szCs w:val="28"/>
        </w:rPr>
        <w:t>4</w:t>
      </w:r>
      <w:r>
        <w:rPr>
          <w:sz w:val="28"/>
          <w:szCs w:val="28"/>
        </w:rPr>
        <w:t xml:space="preserve"> год. от съдилищата в Сливенски съдебен регион са били постановени общо </w:t>
      </w:r>
      <w:r w:rsidR="00D42663">
        <w:rPr>
          <w:sz w:val="28"/>
          <w:szCs w:val="28"/>
        </w:rPr>
        <w:t>8</w:t>
      </w:r>
      <w:r>
        <w:rPr>
          <w:sz w:val="28"/>
          <w:szCs w:val="28"/>
        </w:rPr>
        <w:t xml:space="preserve"> оправдателни присъди и </w:t>
      </w:r>
      <w:r w:rsidR="00BC5B28">
        <w:rPr>
          <w:sz w:val="28"/>
          <w:szCs w:val="28"/>
        </w:rPr>
        <w:t xml:space="preserve">едно оправдателно решение </w:t>
      </w:r>
      <w:r w:rsidRPr="00817A26">
        <w:rPr>
          <w:sz w:val="28"/>
          <w:szCs w:val="28"/>
        </w:rPr>
        <w:t xml:space="preserve">при постановени общо </w:t>
      </w:r>
      <w:r w:rsidR="00D42663">
        <w:rPr>
          <w:sz w:val="28"/>
          <w:szCs w:val="28"/>
        </w:rPr>
        <w:t>11</w:t>
      </w:r>
      <w:r w:rsidRPr="00817A26">
        <w:rPr>
          <w:sz w:val="28"/>
          <w:szCs w:val="28"/>
        </w:rPr>
        <w:t xml:space="preserve"> оправдателни присъди и  </w:t>
      </w:r>
      <w:bookmarkStart w:id="9" w:name="OLE_LINK6"/>
      <w:r w:rsidR="00D42663">
        <w:rPr>
          <w:sz w:val="28"/>
          <w:szCs w:val="28"/>
        </w:rPr>
        <w:t>едно</w:t>
      </w:r>
      <w:r>
        <w:rPr>
          <w:sz w:val="28"/>
          <w:szCs w:val="28"/>
        </w:rPr>
        <w:t xml:space="preserve"> оправдателн</w:t>
      </w:r>
      <w:r w:rsidR="00D42663">
        <w:rPr>
          <w:sz w:val="28"/>
          <w:szCs w:val="28"/>
        </w:rPr>
        <w:t>о</w:t>
      </w:r>
      <w:r>
        <w:rPr>
          <w:sz w:val="28"/>
          <w:szCs w:val="28"/>
        </w:rPr>
        <w:t xml:space="preserve"> решени</w:t>
      </w:r>
      <w:r w:rsidR="00D42663">
        <w:rPr>
          <w:sz w:val="28"/>
          <w:szCs w:val="28"/>
        </w:rPr>
        <w:t>е</w:t>
      </w:r>
      <w:r>
        <w:rPr>
          <w:sz w:val="28"/>
          <w:szCs w:val="28"/>
        </w:rPr>
        <w:t xml:space="preserve"> </w:t>
      </w:r>
      <w:bookmarkEnd w:id="9"/>
      <w:r>
        <w:rPr>
          <w:sz w:val="28"/>
          <w:szCs w:val="28"/>
        </w:rPr>
        <w:t>за 202</w:t>
      </w:r>
      <w:r w:rsidR="00D42663">
        <w:rPr>
          <w:sz w:val="28"/>
          <w:szCs w:val="28"/>
        </w:rPr>
        <w:t>3</w:t>
      </w:r>
      <w:r>
        <w:rPr>
          <w:sz w:val="28"/>
          <w:szCs w:val="28"/>
        </w:rPr>
        <w:t xml:space="preserve"> год. </w:t>
      </w:r>
      <w:r w:rsidRPr="0024290C">
        <w:rPr>
          <w:sz w:val="28"/>
          <w:szCs w:val="28"/>
        </w:rPr>
        <w:t>и постановени</w:t>
      </w:r>
      <w:r>
        <w:rPr>
          <w:sz w:val="28"/>
          <w:szCs w:val="28"/>
        </w:rPr>
        <w:t xml:space="preserve"> общо </w:t>
      </w:r>
      <w:r w:rsidR="00D42663">
        <w:rPr>
          <w:sz w:val="28"/>
          <w:szCs w:val="28"/>
        </w:rPr>
        <w:t>14</w:t>
      </w:r>
      <w:r>
        <w:rPr>
          <w:sz w:val="28"/>
          <w:szCs w:val="28"/>
        </w:rPr>
        <w:t xml:space="preserve"> оправдателни присъди и </w:t>
      </w:r>
      <w:r w:rsidR="00D42663">
        <w:rPr>
          <w:sz w:val="28"/>
          <w:szCs w:val="28"/>
        </w:rPr>
        <w:t>5</w:t>
      </w:r>
      <w:r>
        <w:rPr>
          <w:sz w:val="28"/>
          <w:szCs w:val="28"/>
        </w:rPr>
        <w:t xml:space="preserve"> оправдателн</w:t>
      </w:r>
      <w:r w:rsidR="002F4EB7">
        <w:rPr>
          <w:sz w:val="28"/>
          <w:szCs w:val="28"/>
        </w:rPr>
        <w:t>и</w:t>
      </w:r>
      <w:r>
        <w:rPr>
          <w:sz w:val="28"/>
          <w:szCs w:val="28"/>
        </w:rPr>
        <w:t xml:space="preserve"> решени</w:t>
      </w:r>
      <w:r w:rsidR="002F4EB7">
        <w:rPr>
          <w:sz w:val="28"/>
          <w:szCs w:val="28"/>
        </w:rPr>
        <w:t>я</w:t>
      </w:r>
      <w:r>
        <w:rPr>
          <w:sz w:val="28"/>
          <w:szCs w:val="28"/>
        </w:rPr>
        <w:t xml:space="preserve"> </w:t>
      </w:r>
      <w:r w:rsidR="008844D5">
        <w:rPr>
          <w:sz w:val="28"/>
          <w:szCs w:val="28"/>
        </w:rPr>
        <w:t>за</w:t>
      </w:r>
      <w:r>
        <w:rPr>
          <w:sz w:val="28"/>
          <w:szCs w:val="28"/>
        </w:rPr>
        <w:t xml:space="preserve"> 202</w:t>
      </w:r>
      <w:r w:rsidR="00D42663">
        <w:rPr>
          <w:sz w:val="28"/>
          <w:szCs w:val="28"/>
        </w:rPr>
        <w:t>2</w:t>
      </w:r>
      <w:r>
        <w:rPr>
          <w:sz w:val="28"/>
          <w:szCs w:val="28"/>
        </w:rPr>
        <w:t xml:space="preserve"> год.</w:t>
      </w:r>
      <w:r w:rsidRPr="007E38A0">
        <w:rPr>
          <w:sz w:val="28"/>
          <w:szCs w:val="28"/>
        </w:rPr>
        <w:t xml:space="preserve"> </w:t>
      </w:r>
    </w:p>
    <w:p w:rsidR="00BC333A" w:rsidRDefault="00AA7979" w:rsidP="00BC333A">
      <w:pPr>
        <w:widowControl/>
        <w:autoSpaceDE/>
        <w:autoSpaceDN/>
        <w:adjustRightInd/>
        <w:ind w:firstLine="708"/>
        <w:jc w:val="both"/>
        <w:rPr>
          <w:sz w:val="28"/>
          <w:szCs w:val="28"/>
        </w:rPr>
      </w:pPr>
      <w:r w:rsidRPr="00741DC5">
        <w:rPr>
          <w:sz w:val="28"/>
          <w:szCs w:val="28"/>
        </w:rPr>
        <w:t xml:space="preserve">Съотношението </w:t>
      </w:r>
      <w:r>
        <w:rPr>
          <w:sz w:val="28"/>
          <w:szCs w:val="28"/>
        </w:rPr>
        <w:t>на</w:t>
      </w:r>
      <w:r w:rsidRPr="00741DC5">
        <w:rPr>
          <w:sz w:val="28"/>
          <w:szCs w:val="28"/>
        </w:rPr>
        <w:t xml:space="preserve"> оправдателни</w:t>
      </w:r>
      <w:r>
        <w:rPr>
          <w:sz w:val="28"/>
          <w:szCs w:val="28"/>
        </w:rPr>
        <w:t>те</w:t>
      </w:r>
      <w:r w:rsidRPr="00741DC5">
        <w:rPr>
          <w:sz w:val="28"/>
          <w:szCs w:val="28"/>
        </w:rPr>
        <w:t xml:space="preserve"> присъди и решения през отчетния период</w:t>
      </w:r>
      <w:r>
        <w:rPr>
          <w:sz w:val="28"/>
          <w:szCs w:val="28"/>
        </w:rPr>
        <w:t xml:space="preserve"> </w:t>
      </w:r>
      <w:r w:rsidR="008F34AF">
        <w:rPr>
          <w:sz w:val="28"/>
          <w:szCs w:val="28"/>
        </w:rPr>
        <w:t>–</w:t>
      </w:r>
      <w:r w:rsidR="0060447A">
        <w:rPr>
          <w:sz w:val="28"/>
          <w:szCs w:val="28"/>
        </w:rPr>
        <w:t xml:space="preserve"> </w:t>
      </w:r>
      <w:r w:rsidR="00BC333A">
        <w:rPr>
          <w:sz w:val="28"/>
          <w:szCs w:val="28"/>
        </w:rPr>
        <w:t>9</w:t>
      </w:r>
      <w:r w:rsidR="00EC3C82">
        <w:rPr>
          <w:sz w:val="28"/>
          <w:szCs w:val="28"/>
        </w:rPr>
        <w:t xml:space="preserve"> бр.</w:t>
      </w:r>
      <w:r w:rsidR="008F34AF">
        <w:rPr>
          <w:sz w:val="28"/>
          <w:szCs w:val="28"/>
        </w:rPr>
        <w:t xml:space="preserve">, спрямо общо постановените от съда </w:t>
      </w:r>
      <w:r w:rsidR="0060447A">
        <w:rPr>
          <w:sz w:val="28"/>
          <w:szCs w:val="28"/>
        </w:rPr>
        <w:t>10</w:t>
      </w:r>
      <w:r w:rsidR="00BC333A">
        <w:rPr>
          <w:sz w:val="28"/>
          <w:szCs w:val="28"/>
        </w:rPr>
        <w:t>53</w:t>
      </w:r>
      <w:r w:rsidR="008F34AF">
        <w:rPr>
          <w:sz w:val="28"/>
          <w:szCs w:val="28"/>
        </w:rPr>
        <w:t xml:space="preserve"> съдебни решения</w:t>
      </w:r>
      <w:r>
        <w:rPr>
          <w:sz w:val="28"/>
          <w:szCs w:val="28"/>
        </w:rPr>
        <w:t xml:space="preserve"> </w:t>
      </w:r>
      <w:r w:rsidRPr="00741DC5">
        <w:rPr>
          <w:sz w:val="28"/>
          <w:szCs w:val="28"/>
        </w:rPr>
        <w:t xml:space="preserve"> </w:t>
      </w:r>
      <w:r w:rsidR="008F34AF">
        <w:rPr>
          <w:sz w:val="28"/>
          <w:szCs w:val="28"/>
        </w:rPr>
        <w:t xml:space="preserve">представлява </w:t>
      </w:r>
      <w:bookmarkStart w:id="10" w:name="OLE_LINK17"/>
      <w:r w:rsidR="00BC333A">
        <w:rPr>
          <w:sz w:val="28"/>
          <w:szCs w:val="28"/>
        </w:rPr>
        <w:t>0,85</w:t>
      </w:r>
      <w:r w:rsidR="008F34AF">
        <w:rPr>
          <w:sz w:val="28"/>
          <w:szCs w:val="28"/>
        </w:rPr>
        <w:t xml:space="preserve">%, </w:t>
      </w:r>
      <w:bookmarkEnd w:id="10"/>
      <w:r w:rsidR="008F34AF">
        <w:rPr>
          <w:sz w:val="28"/>
          <w:szCs w:val="28"/>
        </w:rPr>
        <w:t>като за 202</w:t>
      </w:r>
      <w:r w:rsidR="00BC333A">
        <w:rPr>
          <w:sz w:val="28"/>
          <w:szCs w:val="28"/>
        </w:rPr>
        <w:t>3</w:t>
      </w:r>
      <w:r w:rsidR="008F34AF">
        <w:rPr>
          <w:sz w:val="28"/>
          <w:szCs w:val="28"/>
        </w:rPr>
        <w:t xml:space="preserve">г. това съотношение е </w:t>
      </w:r>
      <w:bookmarkStart w:id="11" w:name="OLE_LINK16"/>
      <w:r w:rsidR="00BC333A">
        <w:rPr>
          <w:sz w:val="28"/>
          <w:szCs w:val="28"/>
        </w:rPr>
        <w:t>1,12%,</w:t>
      </w:r>
      <w:r w:rsidR="008F34AF">
        <w:rPr>
          <w:sz w:val="28"/>
          <w:szCs w:val="28"/>
        </w:rPr>
        <w:t xml:space="preserve"> </w:t>
      </w:r>
      <w:bookmarkEnd w:id="11"/>
      <w:r w:rsidR="008F34AF">
        <w:rPr>
          <w:sz w:val="28"/>
          <w:szCs w:val="28"/>
        </w:rPr>
        <w:t>а за 202</w:t>
      </w:r>
      <w:r w:rsidR="00BC333A">
        <w:rPr>
          <w:sz w:val="28"/>
          <w:szCs w:val="28"/>
        </w:rPr>
        <w:t>2</w:t>
      </w:r>
      <w:r w:rsidR="008F34AF">
        <w:rPr>
          <w:sz w:val="28"/>
          <w:szCs w:val="28"/>
        </w:rPr>
        <w:t>г.</w:t>
      </w:r>
      <w:r w:rsidR="00EC3C82">
        <w:rPr>
          <w:sz w:val="28"/>
          <w:szCs w:val="28"/>
        </w:rPr>
        <w:t xml:space="preserve"> - </w:t>
      </w:r>
      <w:r w:rsidR="00BC333A">
        <w:rPr>
          <w:sz w:val="28"/>
          <w:szCs w:val="28"/>
        </w:rPr>
        <w:t>1,71%.</w:t>
      </w:r>
    </w:p>
    <w:p w:rsidR="00AA7979" w:rsidRDefault="00AA7979" w:rsidP="00BC333A">
      <w:pPr>
        <w:widowControl/>
        <w:autoSpaceDE/>
        <w:autoSpaceDN/>
        <w:adjustRightInd/>
        <w:ind w:firstLine="708"/>
        <w:jc w:val="both"/>
        <w:rPr>
          <w:sz w:val="28"/>
          <w:szCs w:val="28"/>
        </w:rPr>
      </w:pPr>
      <w:r w:rsidRPr="007E38A0">
        <w:rPr>
          <w:sz w:val="28"/>
          <w:szCs w:val="28"/>
        </w:rPr>
        <w:t xml:space="preserve">С оглед на отчетените </w:t>
      </w:r>
      <w:r w:rsidRPr="005C3D12">
        <w:rPr>
          <w:sz w:val="28"/>
          <w:szCs w:val="28"/>
        </w:rPr>
        <w:t>през 202</w:t>
      </w:r>
      <w:r w:rsidR="00E7046C">
        <w:rPr>
          <w:sz w:val="28"/>
          <w:szCs w:val="28"/>
        </w:rPr>
        <w:t>4</w:t>
      </w:r>
      <w:r w:rsidRPr="005C3D12">
        <w:rPr>
          <w:sz w:val="28"/>
          <w:szCs w:val="28"/>
        </w:rPr>
        <w:t xml:space="preserve"> г. </w:t>
      </w:r>
      <w:r w:rsidRPr="007E38A0">
        <w:rPr>
          <w:sz w:val="28"/>
          <w:szCs w:val="28"/>
        </w:rPr>
        <w:t>данни</w:t>
      </w:r>
      <w:r w:rsidR="00EC3C82">
        <w:rPr>
          <w:sz w:val="28"/>
          <w:szCs w:val="28"/>
        </w:rPr>
        <w:t xml:space="preserve"> се констатира </w:t>
      </w:r>
      <w:r w:rsidR="0024290C">
        <w:rPr>
          <w:sz w:val="28"/>
          <w:szCs w:val="28"/>
        </w:rPr>
        <w:t xml:space="preserve">намаляване </w:t>
      </w:r>
      <w:r w:rsidRPr="007E38A0">
        <w:rPr>
          <w:sz w:val="28"/>
          <w:szCs w:val="28"/>
        </w:rPr>
        <w:t xml:space="preserve"> на броя на постановените оправдателни съдебни актове в сравн</w:t>
      </w:r>
      <w:r>
        <w:rPr>
          <w:sz w:val="28"/>
          <w:szCs w:val="28"/>
        </w:rPr>
        <w:t>ение с данните отчетени през 202</w:t>
      </w:r>
      <w:r w:rsidR="00E7046C">
        <w:rPr>
          <w:sz w:val="28"/>
          <w:szCs w:val="28"/>
        </w:rPr>
        <w:t>3</w:t>
      </w:r>
      <w:r w:rsidRPr="007E38A0">
        <w:rPr>
          <w:sz w:val="28"/>
          <w:szCs w:val="28"/>
        </w:rPr>
        <w:t xml:space="preserve"> г. </w:t>
      </w:r>
      <w:r>
        <w:rPr>
          <w:sz w:val="28"/>
          <w:szCs w:val="28"/>
        </w:rPr>
        <w:t>и през 202</w:t>
      </w:r>
      <w:r w:rsidR="00E7046C">
        <w:rPr>
          <w:sz w:val="28"/>
          <w:szCs w:val="28"/>
        </w:rPr>
        <w:t>2</w:t>
      </w:r>
      <w:r w:rsidRPr="007E38A0">
        <w:rPr>
          <w:sz w:val="28"/>
          <w:szCs w:val="28"/>
        </w:rPr>
        <w:t xml:space="preserve"> г. </w:t>
      </w:r>
    </w:p>
    <w:p w:rsidR="00E7046C" w:rsidRPr="007E38A0" w:rsidRDefault="00E7046C" w:rsidP="00BC333A">
      <w:pPr>
        <w:widowControl/>
        <w:autoSpaceDE/>
        <w:autoSpaceDN/>
        <w:adjustRightInd/>
        <w:ind w:firstLine="708"/>
        <w:jc w:val="both"/>
        <w:rPr>
          <w:sz w:val="28"/>
          <w:szCs w:val="28"/>
        </w:rPr>
      </w:pPr>
      <w:r>
        <w:rPr>
          <w:sz w:val="28"/>
          <w:szCs w:val="28"/>
        </w:rPr>
        <w:lastRenderedPageBreak/>
        <w:t>Показателно за отчетената положителна тенденция е обстоятелството, че през отчетният период няма постановени оправдателни присъди и решения по внесени от ОП-Сливен дела.</w:t>
      </w:r>
    </w:p>
    <w:p w:rsidR="00AA7979" w:rsidRPr="003F7115" w:rsidRDefault="00AA7979" w:rsidP="00AA7979">
      <w:pPr>
        <w:spacing w:line="340" w:lineRule="atLeast"/>
        <w:ind w:firstLine="720"/>
        <w:jc w:val="both"/>
        <w:rPr>
          <w:b/>
          <w:sz w:val="28"/>
          <w:szCs w:val="28"/>
        </w:rPr>
      </w:pPr>
      <w:r w:rsidRPr="003F7115">
        <w:rPr>
          <w:b/>
          <w:sz w:val="28"/>
          <w:szCs w:val="28"/>
        </w:rPr>
        <w:t>Оправдани лица и относителен дял спрямо осъдените и санкционирани лица:</w:t>
      </w:r>
    </w:p>
    <w:p w:rsidR="00AA7979" w:rsidRPr="009C0220" w:rsidRDefault="00AA7979" w:rsidP="00AA7979">
      <w:pPr>
        <w:spacing w:line="340" w:lineRule="atLeast"/>
        <w:ind w:firstLine="720"/>
        <w:jc w:val="both"/>
        <w:rPr>
          <w:sz w:val="28"/>
          <w:szCs w:val="28"/>
        </w:rPr>
      </w:pPr>
      <w:r w:rsidRPr="009C0220">
        <w:rPr>
          <w:sz w:val="28"/>
          <w:szCs w:val="28"/>
        </w:rPr>
        <w:t>През 202</w:t>
      </w:r>
      <w:r w:rsidR="001E2217">
        <w:rPr>
          <w:sz w:val="28"/>
          <w:szCs w:val="28"/>
        </w:rPr>
        <w:t>4</w:t>
      </w:r>
      <w:r w:rsidRPr="009C0220">
        <w:rPr>
          <w:sz w:val="28"/>
          <w:szCs w:val="28"/>
        </w:rPr>
        <w:t xml:space="preserve"> год. с постановени от съдилищата в Сливенски съдебен район оправдателни съдебни актове са оправдани общо </w:t>
      </w:r>
      <w:r w:rsidR="001E2217">
        <w:rPr>
          <w:sz w:val="28"/>
          <w:szCs w:val="28"/>
        </w:rPr>
        <w:t>9</w:t>
      </w:r>
      <w:r w:rsidRPr="009C0220">
        <w:rPr>
          <w:sz w:val="28"/>
          <w:szCs w:val="28"/>
        </w:rPr>
        <w:t xml:space="preserve"> лица.</w:t>
      </w:r>
    </w:p>
    <w:p w:rsidR="00AA7979" w:rsidRPr="009C0220" w:rsidRDefault="00AA7979" w:rsidP="00AA7979">
      <w:pPr>
        <w:spacing w:line="340" w:lineRule="atLeast"/>
        <w:ind w:firstLine="720"/>
        <w:jc w:val="both"/>
        <w:rPr>
          <w:sz w:val="28"/>
          <w:szCs w:val="28"/>
        </w:rPr>
      </w:pPr>
      <w:r w:rsidRPr="009C0220">
        <w:rPr>
          <w:sz w:val="28"/>
          <w:szCs w:val="28"/>
        </w:rPr>
        <w:t>За сравнение, през 202</w:t>
      </w:r>
      <w:r w:rsidR="001E2217">
        <w:rPr>
          <w:sz w:val="28"/>
          <w:szCs w:val="28"/>
        </w:rPr>
        <w:t>3</w:t>
      </w:r>
      <w:r w:rsidRPr="009C0220">
        <w:rPr>
          <w:sz w:val="28"/>
          <w:szCs w:val="28"/>
        </w:rPr>
        <w:t xml:space="preserve"> год. с постановени от съдилищата в Сливенски съдебен район оправдателни съдебни актове са били оправдани общо 1</w:t>
      </w:r>
      <w:r w:rsidR="001E2217">
        <w:rPr>
          <w:sz w:val="28"/>
          <w:szCs w:val="28"/>
        </w:rPr>
        <w:t>5</w:t>
      </w:r>
      <w:r w:rsidRPr="009C0220">
        <w:rPr>
          <w:sz w:val="28"/>
          <w:szCs w:val="28"/>
        </w:rPr>
        <w:t xml:space="preserve"> лица, а през 202</w:t>
      </w:r>
      <w:r w:rsidR="001E2217">
        <w:rPr>
          <w:sz w:val="28"/>
          <w:szCs w:val="28"/>
        </w:rPr>
        <w:t>2</w:t>
      </w:r>
      <w:r w:rsidRPr="009C0220">
        <w:rPr>
          <w:sz w:val="28"/>
          <w:szCs w:val="28"/>
        </w:rPr>
        <w:t xml:space="preserve"> год. броят на оправданите с постановени оправдателни съдебни актове лица </w:t>
      </w:r>
      <w:r w:rsidR="004144B7" w:rsidRPr="009C0220">
        <w:rPr>
          <w:sz w:val="28"/>
          <w:szCs w:val="28"/>
        </w:rPr>
        <w:t xml:space="preserve">също </w:t>
      </w:r>
      <w:r w:rsidRPr="009C0220">
        <w:rPr>
          <w:sz w:val="28"/>
          <w:szCs w:val="28"/>
        </w:rPr>
        <w:t>е бил 1</w:t>
      </w:r>
      <w:r w:rsidR="001E2217">
        <w:rPr>
          <w:sz w:val="28"/>
          <w:szCs w:val="28"/>
        </w:rPr>
        <w:t>9</w:t>
      </w:r>
      <w:r w:rsidRPr="009C0220">
        <w:rPr>
          <w:sz w:val="28"/>
          <w:szCs w:val="28"/>
        </w:rPr>
        <w:t xml:space="preserve"> лица. </w:t>
      </w:r>
    </w:p>
    <w:p w:rsidR="00AA7979" w:rsidRPr="009C0220" w:rsidRDefault="00AA7979" w:rsidP="00AA7979">
      <w:pPr>
        <w:spacing w:line="340" w:lineRule="atLeast"/>
        <w:ind w:firstLine="708"/>
        <w:jc w:val="both"/>
        <w:rPr>
          <w:sz w:val="28"/>
          <w:szCs w:val="28"/>
          <w:lang w:val="be-BY"/>
        </w:rPr>
      </w:pPr>
      <w:r w:rsidRPr="009C0220">
        <w:rPr>
          <w:sz w:val="28"/>
          <w:szCs w:val="28"/>
        </w:rPr>
        <w:t xml:space="preserve">Отчетените данни сочат </w:t>
      </w:r>
      <w:r w:rsidR="001E2217">
        <w:rPr>
          <w:sz w:val="28"/>
          <w:szCs w:val="28"/>
        </w:rPr>
        <w:t>значително</w:t>
      </w:r>
      <w:r w:rsidRPr="009C0220">
        <w:rPr>
          <w:sz w:val="28"/>
          <w:szCs w:val="28"/>
        </w:rPr>
        <w:t xml:space="preserve"> </w:t>
      </w:r>
      <w:r w:rsidR="00DA4083" w:rsidRPr="009C0220">
        <w:rPr>
          <w:sz w:val="28"/>
          <w:szCs w:val="28"/>
        </w:rPr>
        <w:t>намал</w:t>
      </w:r>
      <w:r w:rsidR="001E2217">
        <w:rPr>
          <w:sz w:val="28"/>
          <w:szCs w:val="28"/>
        </w:rPr>
        <w:t>ение</w:t>
      </w:r>
      <w:r w:rsidRPr="009C0220">
        <w:rPr>
          <w:sz w:val="28"/>
          <w:szCs w:val="28"/>
        </w:rPr>
        <w:t xml:space="preserve"> на оправданите лица с постановени от съдилищата на Сливенски съдебен регион оправдателни съдебни актове, като оправданите през отчетния период лица са с </w:t>
      </w:r>
      <w:r w:rsidR="001E2217">
        <w:rPr>
          <w:sz w:val="28"/>
          <w:szCs w:val="28"/>
        </w:rPr>
        <w:t>6</w:t>
      </w:r>
      <w:r w:rsidRPr="009C0220">
        <w:rPr>
          <w:sz w:val="28"/>
          <w:szCs w:val="28"/>
        </w:rPr>
        <w:t xml:space="preserve"> </w:t>
      </w:r>
      <w:r w:rsidR="00DA4083" w:rsidRPr="009C0220">
        <w:rPr>
          <w:sz w:val="28"/>
          <w:szCs w:val="28"/>
        </w:rPr>
        <w:t>по-малко</w:t>
      </w:r>
      <w:r w:rsidRPr="009C0220">
        <w:rPr>
          <w:sz w:val="28"/>
          <w:szCs w:val="28"/>
        </w:rPr>
        <w:t xml:space="preserve"> в сравнение с броя на оправданите лица през 202</w:t>
      </w:r>
      <w:r w:rsidR="001E2217">
        <w:rPr>
          <w:sz w:val="28"/>
          <w:szCs w:val="28"/>
        </w:rPr>
        <w:t>3</w:t>
      </w:r>
      <w:r w:rsidRPr="009C0220">
        <w:rPr>
          <w:sz w:val="28"/>
          <w:szCs w:val="28"/>
        </w:rPr>
        <w:t xml:space="preserve"> г.</w:t>
      </w:r>
      <w:r w:rsidRPr="009C0220">
        <w:rPr>
          <w:sz w:val="28"/>
          <w:szCs w:val="28"/>
          <w:lang w:val="be-BY"/>
        </w:rPr>
        <w:t xml:space="preserve"> </w:t>
      </w:r>
      <w:r w:rsidR="001E2217">
        <w:rPr>
          <w:sz w:val="28"/>
          <w:szCs w:val="28"/>
          <w:lang w:val="be-BY"/>
        </w:rPr>
        <w:t>и с 10 лица по-малко спрямо 2022г.</w:t>
      </w:r>
    </w:p>
    <w:p w:rsidR="00AA7979" w:rsidRPr="009C0220" w:rsidRDefault="00AA7979" w:rsidP="00AA7979">
      <w:pPr>
        <w:spacing w:line="340" w:lineRule="atLeast"/>
        <w:ind w:firstLine="720"/>
        <w:jc w:val="both"/>
        <w:rPr>
          <w:sz w:val="28"/>
          <w:szCs w:val="28"/>
        </w:rPr>
      </w:pPr>
      <w:r w:rsidRPr="009C0220">
        <w:rPr>
          <w:sz w:val="28"/>
          <w:szCs w:val="28"/>
        </w:rPr>
        <w:t>Относителният дял на оправданите през отчетния период лица с постановени оправдателни присъди/решения (</w:t>
      </w:r>
      <w:r w:rsidR="001E2217">
        <w:rPr>
          <w:sz w:val="28"/>
          <w:szCs w:val="28"/>
        </w:rPr>
        <w:t>9</w:t>
      </w:r>
      <w:r w:rsidRPr="009C0220">
        <w:rPr>
          <w:sz w:val="28"/>
          <w:szCs w:val="28"/>
        </w:rPr>
        <w:t>) спрямо броя на осъдените и санкционирани лица (1</w:t>
      </w:r>
      <w:r w:rsidR="001E2217">
        <w:rPr>
          <w:sz w:val="28"/>
          <w:szCs w:val="28"/>
        </w:rPr>
        <w:t>138</w:t>
      </w:r>
      <w:r w:rsidRPr="009C0220">
        <w:rPr>
          <w:sz w:val="28"/>
          <w:szCs w:val="28"/>
        </w:rPr>
        <w:t xml:space="preserve">) е </w:t>
      </w:r>
      <w:r w:rsidR="001E2217">
        <w:rPr>
          <w:sz w:val="28"/>
          <w:szCs w:val="28"/>
        </w:rPr>
        <w:t>0,79</w:t>
      </w:r>
      <w:r w:rsidRPr="009C0220">
        <w:rPr>
          <w:sz w:val="28"/>
          <w:szCs w:val="28"/>
        </w:rPr>
        <w:t xml:space="preserve"> %. </w:t>
      </w:r>
    </w:p>
    <w:p w:rsidR="00AA7979" w:rsidRDefault="00AA7979" w:rsidP="00AA7979">
      <w:pPr>
        <w:spacing w:line="340" w:lineRule="atLeast"/>
        <w:ind w:firstLine="720"/>
        <w:jc w:val="both"/>
        <w:rPr>
          <w:sz w:val="28"/>
          <w:szCs w:val="28"/>
        </w:rPr>
      </w:pPr>
      <w:r w:rsidRPr="009C0220">
        <w:rPr>
          <w:sz w:val="28"/>
          <w:szCs w:val="28"/>
        </w:rPr>
        <w:t xml:space="preserve">През отчетният период с влезли в сила оправдателни </w:t>
      </w:r>
      <w:r w:rsidRPr="009E01EE">
        <w:rPr>
          <w:sz w:val="28"/>
          <w:szCs w:val="28"/>
        </w:rPr>
        <w:t xml:space="preserve">съдебни актове са оправдани общо </w:t>
      </w:r>
      <w:r w:rsidR="001E2217">
        <w:rPr>
          <w:sz w:val="28"/>
          <w:szCs w:val="28"/>
        </w:rPr>
        <w:t>4</w:t>
      </w:r>
      <w:r w:rsidRPr="009E01EE">
        <w:rPr>
          <w:sz w:val="28"/>
          <w:szCs w:val="28"/>
        </w:rPr>
        <w:t xml:space="preserve"> лица, които спрямо общия брой на осъдените и санкционирани лица с влязла в сила присъда </w:t>
      </w:r>
      <w:r>
        <w:rPr>
          <w:sz w:val="28"/>
          <w:szCs w:val="28"/>
        </w:rPr>
        <w:t>/</w:t>
      </w:r>
      <w:r w:rsidRPr="009E01EE">
        <w:rPr>
          <w:sz w:val="28"/>
          <w:szCs w:val="28"/>
        </w:rPr>
        <w:t>1</w:t>
      </w:r>
      <w:r w:rsidR="00DA4083">
        <w:rPr>
          <w:sz w:val="28"/>
          <w:szCs w:val="28"/>
        </w:rPr>
        <w:t>1</w:t>
      </w:r>
      <w:r w:rsidR="001E2217">
        <w:rPr>
          <w:sz w:val="28"/>
          <w:szCs w:val="28"/>
        </w:rPr>
        <w:t>22</w:t>
      </w:r>
      <w:r>
        <w:rPr>
          <w:sz w:val="28"/>
          <w:szCs w:val="28"/>
        </w:rPr>
        <w:t>/</w:t>
      </w:r>
      <w:r w:rsidRPr="009E01EE">
        <w:rPr>
          <w:sz w:val="28"/>
          <w:szCs w:val="28"/>
        </w:rPr>
        <w:t xml:space="preserve"> представлява </w:t>
      </w:r>
      <w:r w:rsidR="001E2217">
        <w:rPr>
          <w:sz w:val="28"/>
          <w:szCs w:val="28"/>
        </w:rPr>
        <w:t>0,36</w:t>
      </w:r>
      <w:r w:rsidRPr="009E01EE">
        <w:rPr>
          <w:sz w:val="28"/>
          <w:szCs w:val="28"/>
        </w:rPr>
        <w:t xml:space="preserve"> %, а спрямо общия  брой осъдени</w:t>
      </w:r>
      <w:r>
        <w:rPr>
          <w:sz w:val="28"/>
          <w:szCs w:val="28"/>
        </w:rPr>
        <w:t>те</w:t>
      </w:r>
      <w:r w:rsidRPr="009E01EE">
        <w:rPr>
          <w:sz w:val="28"/>
          <w:szCs w:val="28"/>
        </w:rPr>
        <w:t xml:space="preserve"> и санкционирани лица </w:t>
      </w:r>
      <w:r>
        <w:rPr>
          <w:sz w:val="28"/>
          <w:szCs w:val="28"/>
        </w:rPr>
        <w:t>/</w:t>
      </w:r>
      <w:r w:rsidRPr="009E01EE">
        <w:rPr>
          <w:sz w:val="28"/>
          <w:szCs w:val="28"/>
        </w:rPr>
        <w:t>1</w:t>
      </w:r>
      <w:r w:rsidR="001E2217">
        <w:rPr>
          <w:sz w:val="28"/>
          <w:szCs w:val="28"/>
        </w:rPr>
        <w:t>138</w:t>
      </w:r>
      <w:r>
        <w:rPr>
          <w:sz w:val="28"/>
          <w:szCs w:val="28"/>
        </w:rPr>
        <w:t>/</w:t>
      </w:r>
      <w:r w:rsidRPr="009E01EE">
        <w:rPr>
          <w:sz w:val="28"/>
          <w:szCs w:val="28"/>
        </w:rPr>
        <w:t xml:space="preserve"> – </w:t>
      </w:r>
      <w:r w:rsidR="001E2217">
        <w:rPr>
          <w:sz w:val="28"/>
          <w:szCs w:val="28"/>
        </w:rPr>
        <w:t>0,35</w:t>
      </w:r>
      <w:r w:rsidRPr="009E01EE">
        <w:rPr>
          <w:sz w:val="28"/>
          <w:szCs w:val="28"/>
        </w:rPr>
        <w:t xml:space="preserve"> %.</w:t>
      </w:r>
    </w:p>
    <w:p w:rsidR="00586E5F" w:rsidRDefault="00586E5F" w:rsidP="00AA7979">
      <w:pPr>
        <w:spacing w:line="340" w:lineRule="atLeast"/>
        <w:ind w:firstLine="720"/>
        <w:jc w:val="both"/>
        <w:rPr>
          <w:sz w:val="28"/>
          <w:szCs w:val="28"/>
        </w:rPr>
      </w:pPr>
    </w:p>
    <w:p w:rsidR="00586E5F" w:rsidRPr="00586E5F" w:rsidRDefault="00586E5F" w:rsidP="00586E5F">
      <w:pPr>
        <w:spacing w:line="340" w:lineRule="atLeast"/>
        <w:ind w:firstLine="720"/>
        <w:jc w:val="both"/>
        <w:rPr>
          <w:b/>
          <w:i/>
          <w:sz w:val="28"/>
          <w:szCs w:val="28"/>
          <w:u w:val="single"/>
        </w:rPr>
      </w:pPr>
      <w:r w:rsidRPr="00586E5F">
        <w:rPr>
          <w:b/>
          <w:i/>
          <w:sz w:val="28"/>
          <w:szCs w:val="28"/>
          <w:u w:val="single"/>
        </w:rPr>
        <w:t>Оправдани лица с влязла в сила присъда и относителен дял към осъдените и санкционирани лица с влязла в сила присъда:</w:t>
      </w:r>
    </w:p>
    <w:p w:rsidR="002E40A0" w:rsidRDefault="002E40A0" w:rsidP="00AA7979">
      <w:pPr>
        <w:spacing w:line="340" w:lineRule="atLeast"/>
        <w:ind w:firstLine="720"/>
        <w:jc w:val="both"/>
        <w:rPr>
          <w:sz w:val="28"/>
          <w:szCs w:val="28"/>
        </w:rPr>
      </w:pPr>
    </w:p>
    <w:p w:rsidR="00DA4083" w:rsidRDefault="00007AA6" w:rsidP="00AA7979">
      <w:pPr>
        <w:spacing w:line="340" w:lineRule="atLeast"/>
        <w:ind w:firstLine="720"/>
        <w:jc w:val="both"/>
        <w:rPr>
          <w:sz w:val="28"/>
          <w:szCs w:val="28"/>
        </w:rPr>
      </w:pPr>
      <w:r>
        <w:rPr>
          <w:noProof/>
        </w:rPr>
        <w:drawing>
          <wp:inline distT="0" distB="0" distL="0" distR="0" wp14:anchorId="6845825F" wp14:editId="2CA49A9A">
            <wp:extent cx="3964675" cy="1712794"/>
            <wp:effectExtent l="0" t="0" r="0" b="0"/>
            <wp:docPr id="14" name="Диагра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14024" w:rsidRDefault="00314024" w:rsidP="00314024">
      <w:pPr>
        <w:spacing w:line="340" w:lineRule="atLeast"/>
        <w:ind w:firstLine="720"/>
        <w:jc w:val="both"/>
        <w:rPr>
          <w:sz w:val="28"/>
          <w:szCs w:val="28"/>
        </w:rPr>
      </w:pPr>
      <w:r>
        <w:rPr>
          <w:sz w:val="28"/>
          <w:szCs w:val="28"/>
        </w:rPr>
        <w:t>За сравнение с данните за 2023 год., съотношението на броя на  оправданите  лица с влязла сила присъда/12/ спрямо осъдените с влязъл в сила съдебен акт през периода - 1184 лица  е 1,01 %, а спрямо общия брой осъдени и санкционирани лица /1336/ – 0,9 %.</w:t>
      </w:r>
    </w:p>
    <w:p w:rsidR="00723F88" w:rsidRDefault="00723F88" w:rsidP="00723F88">
      <w:pPr>
        <w:spacing w:line="340" w:lineRule="atLeast"/>
        <w:ind w:firstLine="720"/>
        <w:jc w:val="both"/>
        <w:rPr>
          <w:sz w:val="28"/>
          <w:szCs w:val="28"/>
        </w:rPr>
      </w:pPr>
      <w:r w:rsidRPr="00314024">
        <w:rPr>
          <w:sz w:val="28"/>
          <w:szCs w:val="28"/>
        </w:rPr>
        <w:t>За сравнение с отчетените през 2022 год. данни по този показател</w:t>
      </w:r>
      <w:r w:rsidRPr="004144B7">
        <w:rPr>
          <w:sz w:val="28"/>
          <w:szCs w:val="28"/>
        </w:rPr>
        <w:t xml:space="preserve"> </w:t>
      </w:r>
      <w:r w:rsidRPr="003F5A09">
        <w:rPr>
          <w:sz w:val="28"/>
          <w:szCs w:val="28"/>
        </w:rPr>
        <w:t xml:space="preserve"> </w:t>
      </w:r>
      <w:r w:rsidRPr="000D4A7C">
        <w:rPr>
          <w:sz w:val="28"/>
          <w:szCs w:val="28"/>
        </w:rPr>
        <w:t xml:space="preserve">съотношението на броя на  оправданите </w:t>
      </w:r>
      <w:r>
        <w:rPr>
          <w:sz w:val="28"/>
          <w:szCs w:val="28"/>
        </w:rPr>
        <w:t>с влязъл в сила съдебен акт</w:t>
      </w:r>
      <w:r w:rsidRPr="000D4A7C">
        <w:rPr>
          <w:sz w:val="28"/>
          <w:szCs w:val="28"/>
        </w:rPr>
        <w:t xml:space="preserve"> лица </w:t>
      </w:r>
      <w:r w:rsidRPr="000D4A7C">
        <w:rPr>
          <w:sz w:val="28"/>
          <w:szCs w:val="28"/>
        </w:rPr>
        <w:lastRenderedPageBreak/>
        <w:t>/1</w:t>
      </w:r>
      <w:r>
        <w:rPr>
          <w:sz w:val="28"/>
          <w:szCs w:val="28"/>
        </w:rPr>
        <w:t>9</w:t>
      </w:r>
      <w:r w:rsidRPr="000D4A7C">
        <w:rPr>
          <w:sz w:val="28"/>
          <w:szCs w:val="28"/>
        </w:rPr>
        <w:t xml:space="preserve">/ </w:t>
      </w:r>
      <w:r w:rsidRPr="00546C7B">
        <w:rPr>
          <w:sz w:val="28"/>
          <w:szCs w:val="28"/>
        </w:rPr>
        <w:t>спрямо общия брой на осъдените и санкционирани лица с влязла в сила присъда (</w:t>
      </w:r>
      <w:r>
        <w:rPr>
          <w:sz w:val="28"/>
          <w:szCs w:val="28"/>
        </w:rPr>
        <w:t>1098), представляват 1,73</w:t>
      </w:r>
      <w:r w:rsidRPr="00546C7B">
        <w:rPr>
          <w:sz w:val="28"/>
          <w:szCs w:val="28"/>
        </w:rPr>
        <w:t xml:space="preserve"> %, а спрямо общия брой осъдени и санкционирани лица (</w:t>
      </w:r>
      <w:r>
        <w:rPr>
          <w:sz w:val="28"/>
          <w:szCs w:val="28"/>
        </w:rPr>
        <w:t>1136</w:t>
      </w:r>
      <w:r w:rsidRPr="00546C7B">
        <w:rPr>
          <w:sz w:val="28"/>
          <w:szCs w:val="28"/>
        </w:rPr>
        <w:t>) – 1,</w:t>
      </w:r>
      <w:r>
        <w:rPr>
          <w:sz w:val="28"/>
          <w:szCs w:val="28"/>
        </w:rPr>
        <w:t>67%.</w:t>
      </w:r>
    </w:p>
    <w:p w:rsidR="00AA7979" w:rsidRDefault="00AA7979" w:rsidP="00AA7979">
      <w:pPr>
        <w:spacing w:line="340" w:lineRule="atLeast"/>
        <w:ind w:firstLine="720"/>
        <w:jc w:val="both"/>
        <w:rPr>
          <w:sz w:val="28"/>
          <w:szCs w:val="28"/>
        </w:rPr>
      </w:pPr>
      <w:r w:rsidRPr="007E1582">
        <w:rPr>
          <w:sz w:val="28"/>
          <w:szCs w:val="28"/>
        </w:rPr>
        <w:t>При съпоставянето на така отчетените данни се налага извода, че през 202</w:t>
      </w:r>
      <w:r w:rsidR="00314024" w:rsidRPr="007E1582">
        <w:rPr>
          <w:sz w:val="28"/>
          <w:szCs w:val="28"/>
        </w:rPr>
        <w:t>4</w:t>
      </w:r>
      <w:r w:rsidRPr="007E1582">
        <w:rPr>
          <w:sz w:val="28"/>
          <w:szCs w:val="28"/>
        </w:rPr>
        <w:t xml:space="preserve"> год. е налице </w:t>
      </w:r>
      <w:r w:rsidR="00314024" w:rsidRPr="007E1582">
        <w:rPr>
          <w:sz w:val="28"/>
          <w:szCs w:val="28"/>
        </w:rPr>
        <w:t>тенденция за значително намалени</w:t>
      </w:r>
      <w:r w:rsidR="00723F88" w:rsidRPr="007E1582">
        <w:rPr>
          <w:sz w:val="28"/>
          <w:szCs w:val="28"/>
        </w:rPr>
        <w:t>е</w:t>
      </w:r>
      <w:r w:rsidRPr="007E1582">
        <w:rPr>
          <w:sz w:val="28"/>
          <w:szCs w:val="28"/>
        </w:rPr>
        <w:t xml:space="preserve"> на оправданите </w:t>
      </w:r>
      <w:r w:rsidR="00314024" w:rsidRPr="007E1582">
        <w:rPr>
          <w:sz w:val="28"/>
          <w:szCs w:val="28"/>
        </w:rPr>
        <w:t xml:space="preserve">лица </w:t>
      </w:r>
      <w:r w:rsidRPr="007E1582">
        <w:rPr>
          <w:sz w:val="28"/>
          <w:szCs w:val="28"/>
        </w:rPr>
        <w:t>с</w:t>
      </w:r>
      <w:r w:rsidR="00314024" w:rsidRPr="007E1582">
        <w:rPr>
          <w:sz w:val="28"/>
          <w:szCs w:val="28"/>
        </w:rPr>
        <w:t xml:space="preserve"> влязъл в сила съдебен акт.</w:t>
      </w:r>
    </w:p>
    <w:p w:rsidR="00AA7979" w:rsidRPr="007E38A0" w:rsidRDefault="00AA7979" w:rsidP="00AA7979">
      <w:pPr>
        <w:spacing w:before="240" w:line="340" w:lineRule="atLeast"/>
        <w:ind w:firstLine="720"/>
        <w:jc w:val="both"/>
        <w:rPr>
          <w:b/>
          <w:sz w:val="28"/>
          <w:szCs w:val="28"/>
        </w:rPr>
      </w:pPr>
      <w:r w:rsidRPr="007E38A0">
        <w:rPr>
          <w:b/>
          <w:sz w:val="28"/>
          <w:szCs w:val="28"/>
        </w:rPr>
        <w:t xml:space="preserve">Анализ на причините за постановяване на оправдателни присъди. </w:t>
      </w:r>
    </w:p>
    <w:p w:rsidR="00AA7979" w:rsidRPr="00C45137" w:rsidRDefault="00AA7979" w:rsidP="00AA7979">
      <w:pPr>
        <w:spacing w:line="340" w:lineRule="atLeast"/>
        <w:ind w:firstLine="720"/>
        <w:jc w:val="both"/>
        <w:rPr>
          <w:sz w:val="28"/>
          <w:szCs w:val="28"/>
          <w:lang w:val="be-BY"/>
        </w:rPr>
      </w:pPr>
      <w:r w:rsidRPr="007E38A0">
        <w:rPr>
          <w:sz w:val="28"/>
          <w:szCs w:val="28"/>
        </w:rPr>
        <w:t xml:space="preserve">При обобщаване на причините, довели до постановяване на влезли в сила оправдателни присъди се налага извода, че при по-голяма част от делата, по които съдебното производство е приключило с оправдателен съдебен акт, </w:t>
      </w:r>
      <w:r>
        <w:rPr>
          <w:sz w:val="28"/>
          <w:szCs w:val="28"/>
        </w:rPr>
        <w:t xml:space="preserve">се констатира различно </w:t>
      </w:r>
      <w:r w:rsidRPr="00C45137">
        <w:rPr>
          <w:sz w:val="28"/>
          <w:szCs w:val="28"/>
        </w:rPr>
        <w:t>тълкуване и прилагане на закона от прокурора и съда</w:t>
      </w:r>
      <w:r>
        <w:rPr>
          <w:sz w:val="28"/>
          <w:szCs w:val="28"/>
        </w:rPr>
        <w:t xml:space="preserve">, свързано с различна оценка на </w:t>
      </w:r>
      <w:proofErr w:type="spellStart"/>
      <w:r>
        <w:rPr>
          <w:sz w:val="28"/>
          <w:szCs w:val="28"/>
        </w:rPr>
        <w:t>доказателствената</w:t>
      </w:r>
      <w:proofErr w:type="spellEnd"/>
      <w:r>
        <w:rPr>
          <w:sz w:val="28"/>
          <w:szCs w:val="28"/>
        </w:rPr>
        <w:t xml:space="preserve"> съвкупност относно </w:t>
      </w:r>
      <w:proofErr w:type="spellStart"/>
      <w:r>
        <w:rPr>
          <w:sz w:val="28"/>
          <w:szCs w:val="28"/>
        </w:rPr>
        <w:t>съставомерността</w:t>
      </w:r>
      <w:proofErr w:type="spellEnd"/>
      <w:r>
        <w:rPr>
          <w:sz w:val="28"/>
          <w:szCs w:val="28"/>
        </w:rPr>
        <w:t xml:space="preserve"> на деянието.</w:t>
      </w:r>
      <w:r w:rsidRPr="00C45137">
        <w:rPr>
          <w:sz w:val="28"/>
          <w:szCs w:val="28"/>
        </w:rPr>
        <w:t xml:space="preserve"> </w:t>
      </w:r>
    </w:p>
    <w:p w:rsidR="00AA7979" w:rsidRDefault="00AA7979" w:rsidP="00AA7979">
      <w:pPr>
        <w:spacing w:line="340" w:lineRule="atLeast"/>
        <w:ind w:firstLine="720"/>
        <w:jc w:val="both"/>
        <w:rPr>
          <w:sz w:val="28"/>
          <w:szCs w:val="28"/>
        </w:rPr>
      </w:pPr>
      <w:r w:rsidRPr="00C45137">
        <w:rPr>
          <w:sz w:val="28"/>
          <w:szCs w:val="28"/>
        </w:rPr>
        <w:t xml:space="preserve">При незначителна част от делата, приключили с оправдателни присъди, се констатират случаи на проведено непълно разследване за изясняване на всички </w:t>
      </w:r>
      <w:proofErr w:type="spellStart"/>
      <w:r w:rsidRPr="00C45137">
        <w:rPr>
          <w:sz w:val="28"/>
          <w:szCs w:val="28"/>
        </w:rPr>
        <w:t>относими</w:t>
      </w:r>
      <w:proofErr w:type="spellEnd"/>
      <w:r w:rsidRPr="00C45137">
        <w:rPr>
          <w:sz w:val="28"/>
          <w:szCs w:val="28"/>
        </w:rPr>
        <w:t xml:space="preserve"> за предмета на доказване фактически обстоятелства, както и на проявена непрецизност от страна на прокурора при анализа и оценката на </w:t>
      </w:r>
      <w:proofErr w:type="spellStart"/>
      <w:r w:rsidRPr="00C45137">
        <w:rPr>
          <w:sz w:val="28"/>
          <w:szCs w:val="28"/>
        </w:rPr>
        <w:t>доказателствения</w:t>
      </w:r>
      <w:proofErr w:type="spellEnd"/>
      <w:r w:rsidRPr="00C45137">
        <w:rPr>
          <w:sz w:val="28"/>
          <w:szCs w:val="28"/>
        </w:rPr>
        <w:t xml:space="preserve"> материал при решаване на делото по същество.</w:t>
      </w:r>
      <w:r>
        <w:rPr>
          <w:sz w:val="28"/>
          <w:szCs w:val="28"/>
        </w:rPr>
        <w:t xml:space="preserve"> В отделни случаи </w:t>
      </w:r>
      <w:r w:rsidRPr="007E38A0">
        <w:rPr>
          <w:sz w:val="28"/>
          <w:szCs w:val="28"/>
        </w:rPr>
        <w:t xml:space="preserve">в хода на проведеното съдебно следствие са били установявани обстоятелства, неизвестни при приключването на досъдебното производство. </w:t>
      </w:r>
    </w:p>
    <w:p w:rsidR="00265F77" w:rsidRPr="007E38A0" w:rsidRDefault="00265F77" w:rsidP="00AA7979">
      <w:pPr>
        <w:spacing w:line="340" w:lineRule="atLeast"/>
        <w:ind w:firstLine="720"/>
        <w:jc w:val="both"/>
        <w:rPr>
          <w:sz w:val="28"/>
          <w:szCs w:val="28"/>
        </w:rPr>
      </w:pPr>
    </w:p>
    <w:p w:rsidR="00AA7979" w:rsidRPr="007E38A0" w:rsidRDefault="00AA7979" w:rsidP="00AA7979">
      <w:pPr>
        <w:spacing w:line="340" w:lineRule="atLeast"/>
        <w:ind w:firstLine="720"/>
        <w:jc w:val="both"/>
        <w:rPr>
          <w:b/>
          <w:sz w:val="28"/>
          <w:szCs w:val="28"/>
        </w:rPr>
      </w:pPr>
      <w:r w:rsidRPr="007E38A0">
        <w:rPr>
          <w:b/>
          <w:sz w:val="28"/>
          <w:szCs w:val="28"/>
        </w:rPr>
        <w:t>Върнати от съда дела</w:t>
      </w:r>
    </w:p>
    <w:p w:rsidR="00AA7979" w:rsidRDefault="00AA7979" w:rsidP="00AA7979">
      <w:pPr>
        <w:spacing w:line="340" w:lineRule="atLeast"/>
        <w:ind w:firstLine="720"/>
        <w:jc w:val="both"/>
        <w:rPr>
          <w:sz w:val="28"/>
          <w:szCs w:val="28"/>
          <w:lang w:val="en-US"/>
        </w:rPr>
      </w:pPr>
      <w:r w:rsidRPr="001C4A0A">
        <w:rPr>
          <w:sz w:val="28"/>
          <w:szCs w:val="28"/>
        </w:rPr>
        <w:t>През 202</w:t>
      </w:r>
      <w:r w:rsidR="007E1582">
        <w:rPr>
          <w:sz w:val="28"/>
          <w:szCs w:val="28"/>
        </w:rPr>
        <w:t>4</w:t>
      </w:r>
      <w:r w:rsidRPr="001C4A0A">
        <w:rPr>
          <w:sz w:val="28"/>
          <w:szCs w:val="28"/>
        </w:rPr>
        <w:t xml:space="preserve"> г. от съдилищата в Сливенския съдебен район са върнати общо 1</w:t>
      </w:r>
      <w:r w:rsidR="007E1582">
        <w:rPr>
          <w:sz w:val="28"/>
          <w:szCs w:val="28"/>
        </w:rPr>
        <w:t>7</w:t>
      </w:r>
      <w:r w:rsidRPr="001C4A0A">
        <w:rPr>
          <w:sz w:val="28"/>
          <w:szCs w:val="28"/>
        </w:rPr>
        <w:t xml:space="preserve"> дела, от които 1</w:t>
      </w:r>
      <w:r w:rsidR="007E1582">
        <w:rPr>
          <w:sz w:val="28"/>
          <w:szCs w:val="28"/>
        </w:rPr>
        <w:t>3</w:t>
      </w:r>
      <w:r w:rsidRPr="001C4A0A">
        <w:rPr>
          <w:sz w:val="28"/>
          <w:szCs w:val="28"/>
        </w:rPr>
        <w:t xml:space="preserve"> дела </w:t>
      </w:r>
      <w:r w:rsidRPr="00FD4B1F">
        <w:rPr>
          <w:sz w:val="28"/>
          <w:szCs w:val="28"/>
        </w:rPr>
        <w:t>по внесени обвинителни актове</w:t>
      </w:r>
      <w:r>
        <w:rPr>
          <w:sz w:val="28"/>
          <w:szCs w:val="28"/>
        </w:rPr>
        <w:t>,</w:t>
      </w:r>
      <w:r w:rsidRPr="00FD4B1F">
        <w:rPr>
          <w:sz w:val="28"/>
          <w:szCs w:val="28"/>
        </w:rPr>
        <w:t xml:space="preserve"> с определение на съда на основание чл. 249 ал.2 от НПК</w:t>
      </w:r>
      <w:r w:rsidR="007E1582">
        <w:rPr>
          <w:sz w:val="28"/>
          <w:szCs w:val="28"/>
        </w:rPr>
        <w:t xml:space="preserve"> </w:t>
      </w:r>
      <w:r w:rsidRPr="001C4A0A">
        <w:rPr>
          <w:sz w:val="28"/>
          <w:szCs w:val="28"/>
        </w:rPr>
        <w:t xml:space="preserve">и </w:t>
      </w:r>
      <w:r w:rsidR="007E1582">
        <w:rPr>
          <w:sz w:val="28"/>
          <w:szCs w:val="28"/>
        </w:rPr>
        <w:t>4</w:t>
      </w:r>
      <w:r w:rsidR="006F4226">
        <w:rPr>
          <w:sz w:val="28"/>
          <w:szCs w:val="28"/>
        </w:rPr>
        <w:t xml:space="preserve"> </w:t>
      </w:r>
      <w:r w:rsidRPr="001C4A0A">
        <w:rPr>
          <w:sz w:val="28"/>
          <w:szCs w:val="28"/>
        </w:rPr>
        <w:t>внесен</w:t>
      </w:r>
      <w:r w:rsidR="007E1582">
        <w:rPr>
          <w:sz w:val="28"/>
          <w:szCs w:val="28"/>
        </w:rPr>
        <w:t>и</w:t>
      </w:r>
      <w:r w:rsidRPr="001C4A0A">
        <w:rPr>
          <w:sz w:val="28"/>
          <w:szCs w:val="28"/>
        </w:rPr>
        <w:t xml:space="preserve"> предложени</w:t>
      </w:r>
      <w:r w:rsidR="007E1582">
        <w:rPr>
          <w:sz w:val="28"/>
          <w:szCs w:val="28"/>
        </w:rPr>
        <w:t>я</w:t>
      </w:r>
      <w:r w:rsidRPr="001C4A0A">
        <w:rPr>
          <w:sz w:val="28"/>
          <w:szCs w:val="28"/>
        </w:rPr>
        <w:t xml:space="preserve"> по чл.78а от НК. Относителният дял на върнатите </w:t>
      </w:r>
      <w:proofErr w:type="spellStart"/>
      <w:r w:rsidRPr="001C4A0A">
        <w:rPr>
          <w:sz w:val="28"/>
          <w:szCs w:val="28"/>
        </w:rPr>
        <w:t>делa</w:t>
      </w:r>
      <w:proofErr w:type="spellEnd"/>
      <w:r w:rsidRPr="001C4A0A">
        <w:rPr>
          <w:sz w:val="28"/>
          <w:szCs w:val="28"/>
        </w:rPr>
        <w:t xml:space="preserve"> спрямо общо внесените през отчетната година </w:t>
      </w:r>
      <w:r w:rsidR="007E1582">
        <w:rPr>
          <w:sz w:val="28"/>
          <w:szCs w:val="28"/>
        </w:rPr>
        <w:t>947</w:t>
      </w:r>
      <w:r w:rsidRPr="001C4A0A">
        <w:rPr>
          <w:sz w:val="28"/>
          <w:szCs w:val="28"/>
        </w:rPr>
        <w:t xml:space="preserve"> прокурорски актове е 1,</w:t>
      </w:r>
      <w:r w:rsidR="006F4226">
        <w:rPr>
          <w:sz w:val="28"/>
          <w:szCs w:val="28"/>
        </w:rPr>
        <w:t>8</w:t>
      </w:r>
      <w:r w:rsidRPr="001C4A0A">
        <w:rPr>
          <w:sz w:val="28"/>
          <w:szCs w:val="28"/>
        </w:rPr>
        <w:t>%.</w:t>
      </w:r>
    </w:p>
    <w:p w:rsidR="00D23052" w:rsidRDefault="00D23052" w:rsidP="00D23052">
      <w:pPr>
        <w:spacing w:line="340" w:lineRule="atLeast"/>
        <w:ind w:firstLine="720"/>
        <w:jc w:val="both"/>
        <w:rPr>
          <w:b/>
          <w:i/>
          <w:sz w:val="28"/>
          <w:szCs w:val="28"/>
          <w:u w:val="single"/>
        </w:rPr>
      </w:pPr>
      <w:r w:rsidRPr="00D23052">
        <w:rPr>
          <w:b/>
          <w:i/>
          <w:sz w:val="28"/>
          <w:szCs w:val="28"/>
          <w:u w:val="single"/>
        </w:rPr>
        <w:t xml:space="preserve">Относителен дял на върнатите от съда дела спрямо внесените в съда </w:t>
      </w:r>
      <w:r w:rsidR="00F438CB">
        <w:rPr>
          <w:b/>
          <w:i/>
          <w:sz w:val="28"/>
          <w:szCs w:val="28"/>
          <w:u w:val="single"/>
        </w:rPr>
        <w:t>ДП:</w:t>
      </w:r>
    </w:p>
    <w:p w:rsidR="006F4226" w:rsidRPr="00D23052" w:rsidRDefault="00314024" w:rsidP="006F4226">
      <w:pPr>
        <w:spacing w:line="340" w:lineRule="atLeast"/>
        <w:ind w:firstLine="720"/>
        <w:jc w:val="center"/>
        <w:rPr>
          <w:b/>
          <w:i/>
          <w:sz w:val="28"/>
          <w:szCs w:val="28"/>
          <w:u w:val="single"/>
        </w:rPr>
      </w:pPr>
      <w:r>
        <w:rPr>
          <w:noProof/>
        </w:rPr>
        <w:drawing>
          <wp:inline distT="0" distB="0" distL="0" distR="0" wp14:anchorId="708C4E27" wp14:editId="519F1E1D">
            <wp:extent cx="3998794" cy="1617260"/>
            <wp:effectExtent l="0" t="0" r="0" b="0"/>
            <wp:docPr id="15" name="Диагра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14024" w:rsidRPr="00D7636D" w:rsidRDefault="00314024" w:rsidP="00314024">
      <w:pPr>
        <w:widowControl/>
        <w:autoSpaceDE/>
        <w:autoSpaceDN/>
        <w:adjustRightInd/>
        <w:ind w:firstLine="708"/>
        <w:jc w:val="both"/>
        <w:rPr>
          <w:sz w:val="28"/>
          <w:szCs w:val="28"/>
        </w:rPr>
      </w:pPr>
      <w:r>
        <w:rPr>
          <w:sz w:val="28"/>
          <w:szCs w:val="28"/>
        </w:rPr>
        <w:lastRenderedPageBreak/>
        <w:t xml:space="preserve">През </w:t>
      </w:r>
      <w:r w:rsidR="00927EEA">
        <w:rPr>
          <w:sz w:val="28"/>
          <w:szCs w:val="28"/>
        </w:rPr>
        <w:t xml:space="preserve">предходните две години </w:t>
      </w:r>
      <w:r w:rsidRPr="00D7636D">
        <w:rPr>
          <w:sz w:val="28"/>
          <w:szCs w:val="28"/>
        </w:rPr>
        <w:t>съдилищата</w:t>
      </w:r>
      <w:r w:rsidRPr="001C4A0A">
        <w:rPr>
          <w:sz w:val="28"/>
          <w:szCs w:val="28"/>
        </w:rPr>
        <w:t xml:space="preserve"> в Сливенския съдебен район</w:t>
      </w:r>
      <w:r w:rsidRPr="00D7636D">
        <w:rPr>
          <w:sz w:val="28"/>
          <w:szCs w:val="28"/>
        </w:rPr>
        <w:t xml:space="preserve"> са върна</w:t>
      </w:r>
      <w:r w:rsidR="00927EEA">
        <w:rPr>
          <w:sz w:val="28"/>
          <w:szCs w:val="28"/>
        </w:rPr>
        <w:t>л</w:t>
      </w:r>
      <w:r>
        <w:rPr>
          <w:sz w:val="28"/>
          <w:szCs w:val="28"/>
        </w:rPr>
        <w:t>и</w:t>
      </w:r>
      <w:r w:rsidRPr="00D7636D">
        <w:rPr>
          <w:sz w:val="28"/>
          <w:szCs w:val="28"/>
        </w:rPr>
        <w:t xml:space="preserve"> </w:t>
      </w:r>
      <w:r w:rsidR="00927EEA">
        <w:rPr>
          <w:sz w:val="28"/>
          <w:szCs w:val="28"/>
        </w:rPr>
        <w:t>по</w:t>
      </w:r>
      <w:r w:rsidRPr="00D7636D">
        <w:rPr>
          <w:sz w:val="28"/>
          <w:szCs w:val="28"/>
        </w:rPr>
        <w:t xml:space="preserve"> 1</w:t>
      </w:r>
      <w:r>
        <w:rPr>
          <w:sz w:val="28"/>
          <w:szCs w:val="28"/>
        </w:rPr>
        <w:t>2</w:t>
      </w:r>
      <w:r w:rsidRPr="00D7636D">
        <w:rPr>
          <w:sz w:val="28"/>
          <w:szCs w:val="28"/>
        </w:rPr>
        <w:t xml:space="preserve"> дела</w:t>
      </w:r>
      <w:r w:rsidR="00E35616">
        <w:rPr>
          <w:sz w:val="28"/>
          <w:szCs w:val="28"/>
        </w:rPr>
        <w:t>,</w:t>
      </w:r>
      <w:r>
        <w:rPr>
          <w:sz w:val="28"/>
          <w:szCs w:val="28"/>
        </w:rPr>
        <w:t xml:space="preserve"> </w:t>
      </w:r>
      <w:r w:rsidR="00E35616">
        <w:rPr>
          <w:sz w:val="28"/>
          <w:szCs w:val="28"/>
        </w:rPr>
        <w:t>о</w:t>
      </w:r>
      <w:r>
        <w:rPr>
          <w:sz w:val="28"/>
          <w:szCs w:val="28"/>
        </w:rPr>
        <w:t>тносителният дял на които спрямо</w:t>
      </w:r>
      <w:r w:rsidRPr="00D7636D">
        <w:rPr>
          <w:sz w:val="28"/>
          <w:szCs w:val="28"/>
        </w:rPr>
        <w:t xml:space="preserve"> </w:t>
      </w:r>
      <w:r>
        <w:rPr>
          <w:sz w:val="28"/>
          <w:szCs w:val="28"/>
        </w:rPr>
        <w:t>броя на внесените</w:t>
      </w:r>
      <w:r w:rsidRPr="00D7636D">
        <w:rPr>
          <w:sz w:val="28"/>
          <w:szCs w:val="28"/>
        </w:rPr>
        <w:t xml:space="preserve"> </w:t>
      </w:r>
      <w:r w:rsidRPr="001C4A0A">
        <w:rPr>
          <w:sz w:val="28"/>
          <w:szCs w:val="28"/>
        </w:rPr>
        <w:t xml:space="preserve">прокурорски </w:t>
      </w:r>
      <w:r w:rsidRPr="00D7636D">
        <w:rPr>
          <w:sz w:val="28"/>
          <w:szCs w:val="28"/>
        </w:rPr>
        <w:t>акта</w:t>
      </w:r>
      <w:r>
        <w:rPr>
          <w:sz w:val="28"/>
          <w:szCs w:val="28"/>
        </w:rPr>
        <w:t xml:space="preserve"> е 1,18</w:t>
      </w:r>
      <w:r w:rsidR="00927EEA">
        <w:rPr>
          <w:sz w:val="28"/>
          <w:szCs w:val="28"/>
        </w:rPr>
        <w:t>% за 2023</w:t>
      </w:r>
      <w:r w:rsidR="00E35616">
        <w:rPr>
          <w:sz w:val="28"/>
          <w:szCs w:val="28"/>
        </w:rPr>
        <w:t xml:space="preserve"> </w:t>
      </w:r>
      <w:r w:rsidR="00927EEA">
        <w:rPr>
          <w:sz w:val="28"/>
          <w:szCs w:val="28"/>
        </w:rPr>
        <w:t>г. и 1,2% за 2022</w:t>
      </w:r>
      <w:r w:rsidR="00E35616">
        <w:rPr>
          <w:sz w:val="28"/>
          <w:szCs w:val="28"/>
        </w:rPr>
        <w:t xml:space="preserve"> </w:t>
      </w:r>
      <w:r w:rsidR="00927EEA">
        <w:rPr>
          <w:sz w:val="28"/>
          <w:szCs w:val="28"/>
        </w:rPr>
        <w:t>г.</w:t>
      </w:r>
    </w:p>
    <w:p w:rsidR="00AA7979" w:rsidRPr="009F316D" w:rsidRDefault="00AA7979" w:rsidP="00AA7979">
      <w:pPr>
        <w:widowControl/>
        <w:autoSpaceDE/>
        <w:autoSpaceDN/>
        <w:adjustRightInd/>
        <w:ind w:right="54" w:firstLine="708"/>
        <w:jc w:val="both"/>
        <w:rPr>
          <w:sz w:val="28"/>
          <w:szCs w:val="28"/>
        </w:rPr>
      </w:pPr>
      <w:r w:rsidRPr="009F316D">
        <w:rPr>
          <w:sz w:val="28"/>
          <w:szCs w:val="28"/>
        </w:rPr>
        <w:t>Отчетените данни</w:t>
      </w:r>
      <w:r w:rsidR="006F4226">
        <w:rPr>
          <w:sz w:val="28"/>
          <w:szCs w:val="28"/>
        </w:rPr>
        <w:t xml:space="preserve"> през</w:t>
      </w:r>
      <w:r w:rsidRPr="009F316D">
        <w:rPr>
          <w:sz w:val="28"/>
          <w:szCs w:val="28"/>
        </w:rPr>
        <w:t xml:space="preserve"> </w:t>
      </w:r>
      <w:r w:rsidR="006F4226" w:rsidRPr="009F316D">
        <w:rPr>
          <w:sz w:val="28"/>
          <w:szCs w:val="28"/>
        </w:rPr>
        <w:t>202</w:t>
      </w:r>
      <w:r w:rsidR="007E1582">
        <w:rPr>
          <w:sz w:val="28"/>
          <w:szCs w:val="28"/>
        </w:rPr>
        <w:t>4</w:t>
      </w:r>
      <w:r w:rsidR="006F4226" w:rsidRPr="009F316D">
        <w:rPr>
          <w:sz w:val="28"/>
          <w:szCs w:val="28"/>
        </w:rPr>
        <w:t>г</w:t>
      </w:r>
      <w:r w:rsidR="006F4226">
        <w:rPr>
          <w:sz w:val="28"/>
          <w:szCs w:val="28"/>
        </w:rPr>
        <w:t>.</w:t>
      </w:r>
      <w:r w:rsidR="006F4226" w:rsidRPr="009F316D">
        <w:rPr>
          <w:sz w:val="28"/>
          <w:szCs w:val="28"/>
        </w:rPr>
        <w:t xml:space="preserve"> спрямо </w:t>
      </w:r>
      <w:r w:rsidR="006F4226">
        <w:rPr>
          <w:sz w:val="28"/>
          <w:szCs w:val="28"/>
        </w:rPr>
        <w:t xml:space="preserve">данните по този показател от </w:t>
      </w:r>
      <w:r w:rsidR="006F4226" w:rsidRPr="009F316D">
        <w:rPr>
          <w:sz w:val="28"/>
          <w:szCs w:val="28"/>
        </w:rPr>
        <w:t xml:space="preserve">предходните две години </w:t>
      </w:r>
      <w:r w:rsidRPr="009F316D">
        <w:rPr>
          <w:sz w:val="28"/>
          <w:szCs w:val="28"/>
        </w:rPr>
        <w:t xml:space="preserve">сочат </w:t>
      </w:r>
      <w:r w:rsidR="006F4226">
        <w:rPr>
          <w:sz w:val="28"/>
          <w:szCs w:val="28"/>
        </w:rPr>
        <w:t xml:space="preserve">за </w:t>
      </w:r>
      <w:r w:rsidR="007E1582">
        <w:rPr>
          <w:sz w:val="28"/>
          <w:szCs w:val="28"/>
        </w:rPr>
        <w:t>увеличение</w:t>
      </w:r>
      <w:r w:rsidRPr="009F316D">
        <w:rPr>
          <w:sz w:val="28"/>
          <w:szCs w:val="28"/>
        </w:rPr>
        <w:t xml:space="preserve"> </w:t>
      </w:r>
      <w:r w:rsidR="00927EEA">
        <w:rPr>
          <w:sz w:val="28"/>
          <w:szCs w:val="28"/>
        </w:rPr>
        <w:t>в</w:t>
      </w:r>
      <w:r w:rsidRPr="009F316D">
        <w:rPr>
          <w:sz w:val="28"/>
          <w:szCs w:val="28"/>
        </w:rPr>
        <w:t xml:space="preserve"> броя и процентното съотношение на върнатите от съда дела спрямо внесените прокурорски актове.</w:t>
      </w:r>
    </w:p>
    <w:p w:rsidR="00AA7979" w:rsidRDefault="006F4226" w:rsidP="00AA7979">
      <w:pPr>
        <w:widowControl/>
        <w:autoSpaceDE/>
        <w:autoSpaceDN/>
        <w:adjustRightInd/>
        <w:ind w:right="54" w:firstLine="708"/>
        <w:jc w:val="both"/>
        <w:rPr>
          <w:sz w:val="28"/>
          <w:szCs w:val="28"/>
        </w:rPr>
      </w:pPr>
      <w:r>
        <w:rPr>
          <w:sz w:val="28"/>
          <w:szCs w:val="28"/>
        </w:rPr>
        <w:t>През 202</w:t>
      </w:r>
      <w:r w:rsidR="007E1582">
        <w:rPr>
          <w:sz w:val="28"/>
          <w:szCs w:val="28"/>
        </w:rPr>
        <w:t>4</w:t>
      </w:r>
      <w:r w:rsidR="00AA7979" w:rsidRPr="001A76F9">
        <w:rPr>
          <w:sz w:val="28"/>
          <w:szCs w:val="28"/>
        </w:rPr>
        <w:t xml:space="preserve">г. са подадени общо </w:t>
      </w:r>
      <w:r w:rsidR="007E1582">
        <w:rPr>
          <w:sz w:val="28"/>
          <w:szCs w:val="28"/>
        </w:rPr>
        <w:t>5</w:t>
      </w:r>
      <w:r w:rsidR="00AA7979" w:rsidRPr="001A76F9">
        <w:rPr>
          <w:sz w:val="28"/>
          <w:szCs w:val="28"/>
        </w:rPr>
        <w:t xml:space="preserve"> протеста по върнати </w:t>
      </w:r>
      <w:r w:rsidR="007E1582">
        <w:rPr>
          <w:sz w:val="28"/>
          <w:szCs w:val="28"/>
        </w:rPr>
        <w:t>на прокуратурата от съда дела н</w:t>
      </w:r>
      <w:r w:rsidR="00AA7979" w:rsidRPr="001A76F9">
        <w:rPr>
          <w:sz w:val="28"/>
          <w:szCs w:val="28"/>
        </w:rPr>
        <w:t>а основание чл.249 ал.3 от НПК.</w:t>
      </w:r>
      <w:r w:rsidR="007E1582">
        <w:rPr>
          <w:sz w:val="28"/>
          <w:szCs w:val="28"/>
        </w:rPr>
        <w:t xml:space="preserve"> Съдът е разгледал всички протести и е уважил един от тях.</w:t>
      </w:r>
      <w:r w:rsidR="00AA7979">
        <w:rPr>
          <w:sz w:val="28"/>
          <w:szCs w:val="28"/>
        </w:rPr>
        <w:t xml:space="preserve"> </w:t>
      </w:r>
    </w:p>
    <w:p w:rsidR="00AA7979" w:rsidRPr="007E38A0" w:rsidRDefault="00AA7979" w:rsidP="00AA7979">
      <w:pPr>
        <w:spacing w:line="340" w:lineRule="exact"/>
        <w:ind w:firstLine="720"/>
        <w:jc w:val="both"/>
        <w:rPr>
          <w:sz w:val="28"/>
          <w:szCs w:val="28"/>
        </w:rPr>
      </w:pPr>
      <w:r w:rsidRPr="007E38A0">
        <w:rPr>
          <w:sz w:val="28"/>
          <w:szCs w:val="28"/>
        </w:rPr>
        <w:t xml:space="preserve">При анализиране на причините, довели до връщането на дела от съда, като най-често основание за упражняването на това правомощие се открояват констатираните от съда допуснати нарушения в хода на досъдебното производство, довели до накърняване правото на защита на обвиняемите лица, както и допуснати процесуални нарушения от страна на прокурора при изготвянето на обвинителния акт. </w:t>
      </w:r>
    </w:p>
    <w:p w:rsidR="00AA7979" w:rsidRDefault="00AA7979" w:rsidP="00AA7979">
      <w:pPr>
        <w:spacing w:line="340" w:lineRule="exact"/>
        <w:ind w:firstLine="720"/>
        <w:jc w:val="both"/>
        <w:rPr>
          <w:sz w:val="28"/>
          <w:szCs w:val="28"/>
          <w:lang w:val="be-BY"/>
        </w:rPr>
      </w:pPr>
      <w:r w:rsidRPr="007E38A0">
        <w:rPr>
          <w:sz w:val="28"/>
          <w:szCs w:val="28"/>
        </w:rPr>
        <w:t xml:space="preserve">Върнатите от съда дела се отчитат на провеждани съвещания на прокурорите от района на Окръжна прокуратура – Сливен. На съвещанията се обсъждат констатираните от съда нарушения на процесуалните правила, причините, които са довели до допускането на тези нарушения, набелязват се и мерки за подобряване качеството на работа на прокурорите. </w:t>
      </w:r>
    </w:p>
    <w:p w:rsidR="00AA7979" w:rsidRPr="007E38A0" w:rsidRDefault="00AA7979" w:rsidP="00AA7979">
      <w:pPr>
        <w:spacing w:line="340" w:lineRule="exact"/>
        <w:ind w:firstLine="720"/>
        <w:jc w:val="both"/>
        <w:rPr>
          <w:sz w:val="28"/>
          <w:szCs w:val="28"/>
          <w:lang w:val="be-BY"/>
        </w:rPr>
      </w:pPr>
    </w:p>
    <w:p w:rsidR="00AA7979" w:rsidRPr="007E38A0" w:rsidRDefault="00AA7979" w:rsidP="00AA7979">
      <w:pPr>
        <w:spacing w:line="340" w:lineRule="exact"/>
        <w:ind w:firstLine="720"/>
        <w:jc w:val="both"/>
        <w:rPr>
          <w:b/>
          <w:sz w:val="28"/>
          <w:szCs w:val="28"/>
        </w:rPr>
      </w:pPr>
      <w:r w:rsidRPr="007E38A0">
        <w:rPr>
          <w:b/>
          <w:sz w:val="28"/>
          <w:szCs w:val="28"/>
        </w:rPr>
        <w:t xml:space="preserve">Протести – </w:t>
      </w:r>
      <w:proofErr w:type="spellStart"/>
      <w:r w:rsidRPr="007E38A0">
        <w:rPr>
          <w:b/>
          <w:sz w:val="28"/>
          <w:szCs w:val="28"/>
        </w:rPr>
        <w:t>въззивни</w:t>
      </w:r>
      <w:proofErr w:type="spellEnd"/>
      <w:r w:rsidRPr="007E38A0">
        <w:rPr>
          <w:b/>
          <w:sz w:val="28"/>
          <w:szCs w:val="28"/>
        </w:rPr>
        <w:t xml:space="preserve">, касационни. Протести срещу оправдателни присъди. Относителен дял на уважените протести от разгледаните от съда. </w:t>
      </w:r>
    </w:p>
    <w:p w:rsidR="008935B8" w:rsidRDefault="008935B8" w:rsidP="008935B8">
      <w:pPr>
        <w:spacing w:line="340" w:lineRule="exact"/>
        <w:ind w:firstLine="720"/>
        <w:jc w:val="both"/>
        <w:rPr>
          <w:sz w:val="28"/>
          <w:szCs w:val="28"/>
        </w:rPr>
      </w:pPr>
      <w:bookmarkStart w:id="12" w:name="OLE_LINK8"/>
      <w:r>
        <w:rPr>
          <w:sz w:val="28"/>
          <w:szCs w:val="28"/>
        </w:rPr>
        <w:t xml:space="preserve">През 2024 год. прокурорите от района на Окръжна прокуратура – Сливен са подали общо 20 </w:t>
      </w:r>
      <w:proofErr w:type="spellStart"/>
      <w:r>
        <w:rPr>
          <w:sz w:val="28"/>
          <w:szCs w:val="28"/>
        </w:rPr>
        <w:t>въззивни</w:t>
      </w:r>
      <w:proofErr w:type="spellEnd"/>
      <w:r>
        <w:rPr>
          <w:sz w:val="28"/>
          <w:szCs w:val="28"/>
        </w:rPr>
        <w:t xml:space="preserve"> протеста. Относителният дял на протестите спрямо постановените от съда 1053 решения представлява       1, 9%.</w:t>
      </w:r>
    </w:p>
    <w:bookmarkEnd w:id="12"/>
    <w:p w:rsidR="00AA7979" w:rsidRDefault="00AA7979" w:rsidP="00AA7979">
      <w:pPr>
        <w:spacing w:line="340" w:lineRule="exact"/>
        <w:ind w:firstLine="720"/>
        <w:jc w:val="both"/>
        <w:rPr>
          <w:sz w:val="28"/>
          <w:szCs w:val="28"/>
        </w:rPr>
      </w:pPr>
      <w:r>
        <w:rPr>
          <w:sz w:val="28"/>
          <w:szCs w:val="28"/>
        </w:rPr>
        <w:t xml:space="preserve">За сравнение : </w:t>
      </w:r>
    </w:p>
    <w:p w:rsidR="008935B8" w:rsidRDefault="008935B8" w:rsidP="008935B8">
      <w:pPr>
        <w:spacing w:line="340" w:lineRule="exact"/>
        <w:ind w:firstLine="720"/>
        <w:jc w:val="both"/>
        <w:rPr>
          <w:sz w:val="28"/>
          <w:szCs w:val="28"/>
        </w:rPr>
      </w:pPr>
      <w:r>
        <w:rPr>
          <w:sz w:val="28"/>
          <w:szCs w:val="28"/>
        </w:rPr>
        <w:t>През 2023 год.</w:t>
      </w:r>
      <w:r w:rsidRPr="008856BD">
        <w:rPr>
          <w:sz w:val="28"/>
          <w:szCs w:val="28"/>
        </w:rPr>
        <w:t xml:space="preserve"> </w:t>
      </w:r>
      <w:r>
        <w:rPr>
          <w:sz w:val="28"/>
          <w:szCs w:val="28"/>
        </w:rPr>
        <w:t xml:space="preserve">прокурорите от района на Окръжна прокуратура – Сливен са подали общо 12 </w:t>
      </w:r>
      <w:proofErr w:type="spellStart"/>
      <w:r>
        <w:rPr>
          <w:sz w:val="28"/>
          <w:szCs w:val="28"/>
        </w:rPr>
        <w:t>въззивни</w:t>
      </w:r>
      <w:proofErr w:type="spellEnd"/>
      <w:r>
        <w:rPr>
          <w:sz w:val="28"/>
          <w:szCs w:val="28"/>
        </w:rPr>
        <w:t xml:space="preserve"> протеста. Относителният дял на протестите спрямо постановените от съда 1072 решения представлява 1, 12%.</w:t>
      </w:r>
    </w:p>
    <w:p w:rsidR="00EF440A" w:rsidRDefault="00EF440A" w:rsidP="00EF440A">
      <w:pPr>
        <w:spacing w:line="340" w:lineRule="exact"/>
        <w:ind w:firstLine="720"/>
        <w:jc w:val="both"/>
        <w:rPr>
          <w:sz w:val="28"/>
          <w:szCs w:val="28"/>
        </w:rPr>
      </w:pPr>
      <w:r>
        <w:rPr>
          <w:sz w:val="28"/>
          <w:szCs w:val="28"/>
        </w:rPr>
        <w:t xml:space="preserve">През 2022 год. прокурорите от района на Окръжна прокуратура – Сливен са подали общо 22 </w:t>
      </w:r>
      <w:proofErr w:type="spellStart"/>
      <w:r>
        <w:rPr>
          <w:sz w:val="28"/>
          <w:szCs w:val="28"/>
        </w:rPr>
        <w:t>въззивни</w:t>
      </w:r>
      <w:proofErr w:type="spellEnd"/>
      <w:r>
        <w:rPr>
          <w:sz w:val="28"/>
          <w:szCs w:val="28"/>
        </w:rPr>
        <w:t xml:space="preserve"> протеста. Относителният дял на протестите спрямо постановените от съда 1114 решения представлява 1, 97%.</w:t>
      </w:r>
    </w:p>
    <w:p w:rsidR="00AA7979" w:rsidRPr="0003050B" w:rsidRDefault="00AA7979" w:rsidP="00AA7979">
      <w:pPr>
        <w:spacing w:line="340" w:lineRule="exact"/>
        <w:ind w:firstLine="720"/>
        <w:jc w:val="both"/>
        <w:rPr>
          <w:sz w:val="28"/>
          <w:szCs w:val="28"/>
        </w:rPr>
      </w:pPr>
      <w:r w:rsidRPr="0003050B">
        <w:rPr>
          <w:sz w:val="28"/>
          <w:szCs w:val="28"/>
        </w:rPr>
        <w:t xml:space="preserve">Най-често основанията за протест са нарушаване на материалния закон при постановяване на съдебните актове във връзка със </w:t>
      </w:r>
      <w:proofErr w:type="spellStart"/>
      <w:r w:rsidRPr="0003050B">
        <w:rPr>
          <w:sz w:val="28"/>
          <w:szCs w:val="28"/>
        </w:rPr>
        <w:t>съставомерността</w:t>
      </w:r>
      <w:proofErr w:type="spellEnd"/>
      <w:r w:rsidRPr="0003050B">
        <w:rPr>
          <w:sz w:val="28"/>
          <w:szCs w:val="28"/>
        </w:rPr>
        <w:t xml:space="preserve"> на деянието, степента на неговата обществена опасност </w:t>
      </w:r>
      <w:r w:rsidRPr="0003050B">
        <w:rPr>
          <w:sz w:val="28"/>
          <w:szCs w:val="28"/>
        </w:rPr>
        <w:lastRenderedPageBreak/>
        <w:t xml:space="preserve">и законосъобразността на наложеното наказание. </w:t>
      </w:r>
    </w:p>
    <w:p w:rsidR="00AA7979" w:rsidRDefault="00AA7979" w:rsidP="00AA7979">
      <w:pPr>
        <w:spacing w:line="340" w:lineRule="exact"/>
        <w:ind w:firstLine="720"/>
        <w:jc w:val="both"/>
        <w:rPr>
          <w:sz w:val="28"/>
          <w:szCs w:val="28"/>
        </w:rPr>
      </w:pPr>
      <w:r w:rsidRPr="00373151">
        <w:rPr>
          <w:sz w:val="28"/>
          <w:szCs w:val="28"/>
        </w:rPr>
        <w:t xml:space="preserve">От подадените през отчетния период общо </w:t>
      </w:r>
      <w:r w:rsidR="008935B8">
        <w:rPr>
          <w:sz w:val="28"/>
          <w:szCs w:val="28"/>
        </w:rPr>
        <w:t>20</w:t>
      </w:r>
      <w:r w:rsidRPr="00373151">
        <w:rPr>
          <w:sz w:val="28"/>
          <w:szCs w:val="28"/>
        </w:rPr>
        <w:t xml:space="preserve"> протеста, </w:t>
      </w:r>
      <w:r w:rsidR="00EF440A">
        <w:rPr>
          <w:sz w:val="28"/>
          <w:szCs w:val="28"/>
        </w:rPr>
        <w:t>1</w:t>
      </w:r>
      <w:r w:rsidR="008935B8">
        <w:rPr>
          <w:sz w:val="28"/>
          <w:szCs w:val="28"/>
        </w:rPr>
        <w:t>6</w:t>
      </w:r>
      <w:r w:rsidRPr="00373151">
        <w:rPr>
          <w:sz w:val="28"/>
          <w:szCs w:val="28"/>
        </w:rPr>
        <w:t xml:space="preserve"> от тях </w:t>
      </w:r>
      <w:r>
        <w:rPr>
          <w:sz w:val="28"/>
          <w:szCs w:val="28"/>
        </w:rPr>
        <w:t>са били</w:t>
      </w:r>
      <w:r w:rsidRPr="00373151">
        <w:rPr>
          <w:sz w:val="28"/>
          <w:szCs w:val="28"/>
        </w:rPr>
        <w:t xml:space="preserve"> подадени срещу изцяло и частично оправдателни присъди и решения. </w:t>
      </w:r>
      <w:r w:rsidR="00EF440A">
        <w:rPr>
          <w:sz w:val="28"/>
          <w:szCs w:val="28"/>
        </w:rPr>
        <w:t>През отчетният период са</w:t>
      </w:r>
      <w:r w:rsidRPr="00373151">
        <w:rPr>
          <w:sz w:val="28"/>
          <w:szCs w:val="28"/>
        </w:rPr>
        <w:t xml:space="preserve"> </w:t>
      </w:r>
      <w:r w:rsidR="008935B8">
        <w:rPr>
          <w:sz w:val="28"/>
          <w:szCs w:val="28"/>
        </w:rPr>
        <w:t>разгледани 15</w:t>
      </w:r>
      <w:r w:rsidR="00EF440A">
        <w:rPr>
          <w:sz w:val="28"/>
          <w:szCs w:val="28"/>
        </w:rPr>
        <w:t xml:space="preserve"> протеста /включително внесени от предходен период/</w:t>
      </w:r>
      <w:r>
        <w:rPr>
          <w:sz w:val="28"/>
          <w:szCs w:val="28"/>
        </w:rPr>
        <w:t>, от които са уважени</w:t>
      </w:r>
      <w:r w:rsidRPr="00373151">
        <w:rPr>
          <w:sz w:val="28"/>
          <w:szCs w:val="28"/>
        </w:rPr>
        <w:t xml:space="preserve"> </w:t>
      </w:r>
      <w:r w:rsidR="008935B8">
        <w:rPr>
          <w:sz w:val="28"/>
          <w:szCs w:val="28"/>
        </w:rPr>
        <w:t>8</w:t>
      </w:r>
      <w:r>
        <w:rPr>
          <w:sz w:val="28"/>
          <w:szCs w:val="28"/>
        </w:rPr>
        <w:t>.</w:t>
      </w:r>
    </w:p>
    <w:p w:rsidR="00AA7979" w:rsidRDefault="00AA7979" w:rsidP="00AA7979">
      <w:pPr>
        <w:spacing w:line="340" w:lineRule="exact"/>
        <w:ind w:firstLine="720"/>
        <w:jc w:val="both"/>
        <w:rPr>
          <w:sz w:val="28"/>
          <w:szCs w:val="28"/>
        </w:rPr>
      </w:pPr>
      <w:r w:rsidRPr="00373151">
        <w:rPr>
          <w:sz w:val="28"/>
          <w:szCs w:val="28"/>
        </w:rPr>
        <w:t>Относителният дял на уважените протести срещу изцяло и частично оправдателни присъди и решения</w:t>
      </w:r>
      <w:r w:rsidR="00EF440A">
        <w:rPr>
          <w:sz w:val="28"/>
          <w:szCs w:val="28"/>
        </w:rPr>
        <w:t xml:space="preserve"> (</w:t>
      </w:r>
      <w:r w:rsidR="008935B8">
        <w:rPr>
          <w:sz w:val="28"/>
          <w:szCs w:val="28"/>
        </w:rPr>
        <w:t>7</w:t>
      </w:r>
      <w:r w:rsidR="00EF440A">
        <w:rPr>
          <w:sz w:val="28"/>
          <w:szCs w:val="28"/>
        </w:rPr>
        <w:t xml:space="preserve">) </w:t>
      </w:r>
      <w:r w:rsidRPr="00373151">
        <w:rPr>
          <w:sz w:val="28"/>
          <w:szCs w:val="28"/>
        </w:rPr>
        <w:t>, спрямо броя на разгледаните от съда (</w:t>
      </w:r>
      <w:r>
        <w:rPr>
          <w:sz w:val="28"/>
          <w:szCs w:val="28"/>
        </w:rPr>
        <w:t>1</w:t>
      </w:r>
      <w:r w:rsidR="008935B8">
        <w:rPr>
          <w:sz w:val="28"/>
          <w:szCs w:val="28"/>
        </w:rPr>
        <w:t>3</w:t>
      </w:r>
      <w:r w:rsidRPr="00373151">
        <w:rPr>
          <w:sz w:val="28"/>
          <w:szCs w:val="28"/>
        </w:rPr>
        <w:t xml:space="preserve">), е </w:t>
      </w:r>
      <w:r>
        <w:rPr>
          <w:sz w:val="28"/>
          <w:szCs w:val="28"/>
        </w:rPr>
        <w:t xml:space="preserve"> 5</w:t>
      </w:r>
      <w:r w:rsidR="008935B8">
        <w:rPr>
          <w:sz w:val="28"/>
          <w:szCs w:val="28"/>
        </w:rPr>
        <w:t>3,85</w:t>
      </w:r>
      <w:r w:rsidRPr="00373151">
        <w:rPr>
          <w:sz w:val="28"/>
          <w:szCs w:val="28"/>
        </w:rPr>
        <w:t xml:space="preserve">%. </w:t>
      </w:r>
    </w:p>
    <w:p w:rsidR="00984324" w:rsidRPr="00373151" w:rsidRDefault="00984324" w:rsidP="00AA7979">
      <w:pPr>
        <w:spacing w:line="340" w:lineRule="exact"/>
        <w:ind w:firstLine="720"/>
        <w:jc w:val="both"/>
        <w:rPr>
          <w:sz w:val="28"/>
          <w:szCs w:val="28"/>
        </w:rPr>
      </w:pPr>
      <w:r w:rsidRPr="000E2B30">
        <w:rPr>
          <w:sz w:val="28"/>
          <w:szCs w:val="28"/>
        </w:rPr>
        <w:t xml:space="preserve">През отчетният период </w:t>
      </w:r>
      <w:r w:rsidR="00EF440A" w:rsidRPr="000E2B30">
        <w:rPr>
          <w:sz w:val="28"/>
          <w:szCs w:val="28"/>
        </w:rPr>
        <w:t>няма подадени касацион</w:t>
      </w:r>
      <w:r w:rsidRPr="000E2B30">
        <w:rPr>
          <w:sz w:val="28"/>
          <w:szCs w:val="28"/>
        </w:rPr>
        <w:t>н</w:t>
      </w:r>
      <w:r w:rsidR="00EF440A" w:rsidRPr="000E2B30">
        <w:rPr>
          <w:sz w:val="28"/>
          <w:szCs w:val="28"/>
        </w:rPr>
        <w:t>и</w:t>
      </w:r>
      <w:r w:rsidRPr="000E2B30">
        <w:rPr>
          <w:sz w:val="28"/>
          <w:szCs w:val="28"/>
        </w:rPr>
        <w:t xml:space="preserve"> протест</w:t>
      </w:r>
      <w:r w:rsidR="00EF440A" w:rsidRPr="000E2B30">
        <w:rPr>
          <w:sz w:val="28"/>
          <w:szCs w:val="28"/>
        </w:rPr>
        <w:t>и.</w:t>
      </w:r>
    </w:p>
    <w:p w:rsidR="008E6B54" w:rsidRDefault="008E6B54" w:rsidP="00AA7979">
      <w:pPr>
        <w:spacing w:line="340" w:lineRule="exact"/>
        <w:ind w:left="60" w:firstLine="709"/>
        <w:jc w:val="both"/>
        <w:rPr>
          <w:b/>
          <w:bCs/>
          <w:sz w:val="28"/>
          <w:szCs w:val="28"/>
          <w:lang w:val="en-US"/>
        </w:rPr>
      </w:pPr>
    </w:p>
    <w:p w:rsidR="006C18C4" w:rsidRDefault="006C18C4" w:rsidP="006C18C4">
      <w:pPr>
        <w:spacing w:line="340" w:lineRule="exact"/>
        <w:ind w:left="60" w:firstLine="709"/>
        <w:jc w:val="both"/>
        <w:rPr>
          <w:b/>
          <w:bCs/>
          <w:sz w:val="28"/>
          <w:szCs w:val="28"/>
        </w:rPr>
      </w:pPr>
      <w:r w:rsidRPr="008935B8">
        <w:rPr>
          <w:b/>
          <w:bCs/>
          <w:sz w:val="28"/>
          <w:szCs w:val="28"/>
        </w:rPr>
        <w:t>Дейност на прокуратурата по приложението на чл.83а-83е от</w:t>
      </w:r>
      <w:r>
        <w:rPr>
          <w:b/>
          <w:bCs/>
          <w:sz w:val="28"/>
          <w:szCs w:val="28"/>
        </w:rPr>
        <w:t xml:space="preserve"> ЗАНН.</w:t>
      </w:r>
    </w:p>
    <w:p w:rsidR="006C18C4" w:rsidRDefault="006C18C4" w:rsidP="006C18C4">
      <w:pPr>
        <w:spacing w:line="380" w:lineRule="exact"/>
        <w:ind w:firstLine="709"/>
        <w:jc w:val="both"/>
        <w:rPr>
          <w:sz w:val="28"/>
          <w:szCs w:val="28"/>
        </w:rPr>
      </w:pPr>
      <w:r>
        <w:rPr>
          <w:sz w:val="28"/>
          <w:szCs w:val="28"/>
        </w:rPr>
        <w:t>През 2024 г. в Окръжен съд –</w:t>
      </w:r>
      <w:r w:rsidR="00FE5E99">
        <w:rPr>
          <w:sz w:val="28"/>
          <w:szCs w:val="28"/>
        </w:rPr>
        <w:t xml:space="preserve"> </w:t>
      </w:r>
      <w:r>
        <w:rPr>
          <w:sz w:val="28"/>
          <w:szCs w:val="28"/>
        </w:rPr>
        <w:t>Сливен</w:t>
      </w:r>
      <w:r w:rsidR="00FE5E99">
        <w:rPr>
          <w:sz w:val="28"/>
          <w:szCs w:val="28"/>
        </w:rPr>
        <w:t xml:space="preserve"> са</w:t>
      </w:r>
      <w:r>
        <w:rPr>
          <w:sz w:val="28"/>
          <w:szCs w:val="28"/>
        </w:rPr>
        <w:t xml:space="preserve"> разгледани общо 3 предложения по чл. 83б от ЗАНН по дела на Районна прокуратура – Сливен. През отчетния период по дела на Окръжна прокуратура – Сливен не са внасяни предложения по чл. 83б от ЗАНН. </w:t>
      </w:r>
    </w:p>
    <w:p w:rsidR="006C18C4" w:rsidRDefault="006C18C4" w:rsidP="006C18C4">
      <w:pPr>
        <w:spacing w:line="380" w:lineRule="exact"/>
        <w:ind w:firstLine="709"/>
        <w:jc w:val="both"/>
        <w:rPr>
          <w:sz w:val="28"/>
          <w:szCs w:val="28"/>
          <w:lang w:val="en-US"/>
        </w:rPr>
      </w:pPr>
      <w:r>
        <w:rPr>
          <w:sz w:val="28"/>
          <w:szCs w:val="28"/>
        </w:rPr>
        <w:t>Всички внесени от Районна прокуратура-Сливен предложения за налагане на имуществена санкция са по приключили наказателни производства, за осъществени престъпления по чл.172б от НК.</w:t>
      </w:r>
    </w:p>
    <w:p w:rsidR="006C18C4" w:rsidRDefault="006C18C4" w:rsidP="006C18C4">
      <w:pPr>
        <w:spacing w:line="380" w:lineRule="exact"/>
        <w:ind w:firstLine="709"/>
        <w:jc w:val="both"/>
        <w:rPr>
          <w:sz w:val="28"/>
          <w:szCs w:val="28"/>
        </w:rPr>
      </w:pPr>
      <w:r>
        <w:rPr>
          <w:sz w:val="28"/>
          <w:szCs w:val="28"/>
        </w:rPr>
        <w:t>Две от делата са били образувани по внесени предложения през 2024</w:t>
      </w:r>
      <w:r w:rsidR="00FE5E99">
        <w:rPr>
          <w:sz w:val="28"/>
          <w:szCs w:val="28"/>
        </w:rPr>
        <w:t xml:space="preserve"> </w:t>
      </w:r>
      <w:r>
        <w:rPr>
          <w:sz w:val="28"/>
          <w:szCs w:val="28"/>
        </w:rPr>
        <w:t>г</w:t>
      </w:r>
      <w:r w:rsidR="00FE5E99">
        <w:rPr>
          <w:sz w:val="28"/>
          <w:szCs w:val="28"/>
        </w:rPr>
        <w:t>.</w:t>
      </w:r>
      <w:r>
        <w:rPr>
          <w:sz w:val="28"/>
          <w:szCs w:val="28"/>
        </w:rPr>
        <w:t>, а едно по внесено предложение в предходен период, през 2023</w:t>
      </w:r>
      <w:r w:rsidR="00FE5E99">
        <w:rPr>
          <w:sz w:val="28"/>
          <w:szCs w:val="28"/>
        </w:rPr>
        <w:t xml:space="preserve"> </w:t>
      </w:r>
      <w:r>
        <w:rPr>
          <w:sz w:val="28"/>
          <w:szCs w:val="28"/>
        </w:rPr>
        <w:t>г. Към края на отчетния период всички три дела са били приключени с влезли в сила съдебни актове. Общия</w:t>
      </w:r>
      <w:r w:rsidR="00FE5E99">
        <w:rPr>
          <w:sz w:val="28"/>
          <w:szCs w:val="28"/>
        </w:rPr>
        <w:t>т</w:t>
      </w:r>
      <w:r>
        <w:rPr>
          <w:sz w:val="28"/>
          <w:szCs w:val="28"/>
        </w:rPr>
        <w:t xml:space="preserve"> размер на поисканите санкции е бил 45</w:t>
      </w:r>
      <w:r w:rsidR="00FE5E99">
        <w:rPr>
          <w:sz w:val="28"/>
          <w:szCs w:val="28"/>
        </w:rPr>
        <w:t xml:space="preserve"> </w:t>
      </w:r>
      <w:r>
        <w:rPr>
          <w:sz w:val="28"/>
          <w:szCs w:val="28"/>
        </w:rPr>
        <w:t>854</w:t>
      </w:r>
      <w:r w:rsidR="00FE5E99">
        <w:rPr>
          <w:sz w:val="28"/>
          <w:szCs w:val="28"/>
        </w:rPr>
        <w:t xml:space="preserve"> </w:t>
      </w:r>
      <w:r>
        <w:rPr>
          <w:sz w:val="28"/>
          <w:szCs w:val="28"/>
        </w:rPr>
        <w:t>лева, а размера на наложените с трите съдебни акта имуществени санкции е в размер на 17</w:t>
      </w:r>
      <w:r w:rsidR="00FE5E99">
        <w:rPr>
          <w:sz w:val="28"/>
          <w:szCs w:val="28"/>
        </w:rPr>
        <w:t xml:space="preserve"> </w:t>
      </w:r>
      <w:r>
        <w:rPr>
          <w:sz w:val="28"/>
          <w:szCs w:val="28"/>
        </w:rPr>
        <w:t>843</w:t>
      </w:r>
      <w:r w:rsidR="00FE5E99">
        <w:rPr>
          <w:sz w:val="28"/>
          <w:szCs w:val="28"/>
        </w:rPr>
        <w:t xml:space="preserve"> </w:t>
      </w:r>
      <w:r>
        <w:rPr>
          <w:sz w:val="28"/>
          <w:szCs w:val="28"/>
        </w:rPr>
        <w:t xml:space="preserve">лева. </w:t>
      </w:r>
    </w:p>
    <w:p w:rsidR="006C18C4" w:rsidRDefault="006C18C4" w:rsidP="006C18C4">
      <w:pPr>
        <w:spacing w:line="380" w:lineRule="exact"/>
        <w:ind w:firstLine="709"/>
        <w:jc w:val="both"/>
        <w:rPr>
          <w:sz w:val="28"/>
          <w:szCs w:val="28"/>
        </w:rPr>
      </w:pPr>
      <w:r>
        <w:rPr>
          <w:sz w:val="28"/>
          <w:szCs w:val="28"/>
        </w:rPr>
        <w:t>Причина за голямата разлика между размера на исканата и наложена санкция е различното разбиране, което влагат Районна прокуратура</w:t>
      </w:r>
      <w:r w:rsidR="00FE5E99">
        <w:rPr>
          <w:sz w:val="28"/>
          <w:szCs w:val="28"/>
        </w:rPr>
        <w:t xml:space="preserve"> </w:t>
      </w:r>
      <w:r>
        <w:rPr>
          <w:sz w:val="28"/>
          <w:szCs w:val="28"/>
        </w:rPr>
        <w:t>-Сливен и Окръжен съд</w:t>
      </w:r>
      <w:r w:rsidR="00FE5E99">
        <w:rPr>
          <w:sz w:val="28"/>
          <w:szCs w:val="28"/>
        </w:rPr>
        <w:t xml:space="preserve"> </w:t>
      </w:r>
      <w:r>
        <w:rPr>
          <w:sz w:val="28"/>
          <w:szCs w:val="28"/>
        </w:rPr>
        <w:t>-</w:t>
      </w:r>
      <w:r w:rsidR="00FE5E99">
        <w:rPr>
          <w:sz w:val="28"/>
          <w:szCs w:val="28"/>
        </w:rPr>
        <w:t xml:space="preserve"> </w:t>
      </w:r>
      <w:r>
        <w:rPr>
          <w:sz w:val="28"/>
          <w:szCs w:val="28"/>
        </w:rPr>
        <w:t>Сливен при определяне на санкциите. В предложенията си прокурорите от Районна прокуратура Сливен искат налагане на имуществена санкция в размер, съответстващ на стойността на стоките, предмет на престъпното деяние, оценени като оригинали. В съдебното производство Окръжен съд</w:t>
      </w:r>
      <w:r w:rsidR="00FE5E99">
        <w:rPr>
          <w:sz w:val="28"/>
          <w:szCs w:val="28"/>
        </w:rPr>
        <w:t xml:space="preserve"> </w:t>
      </w:r>
      <w:r>
        <w:rPr>
          <w:sz w:val="28"/>
          <w:szCs w:val="28"/>
        </w:rPr>
        <w:t>-</w:t>
      </w:r>
      <w:r w:rsidR="00FE5E99">
        <w:rPr>
          <w:sz w:val="28"/>
          <w:szCs w:val="28"/>
        </w:rPr>
        <w:t xml:space="preserve"> </w:t>
      </w:r>
      <w:r>
        <w:rPr>
          <w:sz w:val="28"/>
          <w:szCs w:val="28"/>
        </w:rPr>
        <w:t xml:space="preserve">Сливен следва изградената съдебна практика и налага имуществена санкция, съответстваща на стойността на стоките, като реплики. </w:t>
      </w:r>
    </w:p>
    <w:p w:rsidR="006C18C4" w:rsidRDefault="006C18C4" w:rsidP="006C18C4">
      <w:pPr>
        <w:spacing w:line="380" w:lineRule="exact"/>
        <w:ind w:firstLine="709"/>
        <w:jc w:val="both"/>
        <w:rPr>
          <w:sz w:val="28"/>
          <w:szCs w:val="28"/>
        </w:rPr>
      </w:pPr>
      <w:r>
        <w:rPr>
          <w:sz w:val="28"/>
          <w:szCs w:val="28"/>
        </w:rPr>
        <w:t xml:space="preserve">През отчетния период по дела водени за престъпления от обхвата на чл. 83а ал.1 от ЗАНН от страна на наблюдаващите прокурори са постановени общо 19 резолюции, с които е отказано да се изготви предложение по чл. 83б от ЗАНН, поради липса на изрично посочените </w:t>
      </w:r>
      <w:r>
        <w:rPr>
          <w:sz w:val="28"/>
          <w:szCs w:val="28"/>
        </w:rPr>
        <w:lastRenderedPageBreak/>
        <w:t xml:space="preserve">основания.  Петнадесет от тях са били изготвени от прокурори в ОП-Сливен, а останалите са постановени  от прокурори от Районна прокуратура гр.Сливен. При упражнен </w:t>
      </w:r>
      <w:proofErr w:type="spellStart"/>
      <w:r>
        <w:rPr>
          <w:sz w:val="28"/>
          <w:szCs w:val="28"/>
        </w:rPr>
        <w:t>инстанционен</w:t>
      </w:r>
      <w:proofErr w:type="spellEnd"/>
      <w:r>
        <w:rPr>
          <w:sz w:val="28"/>
          <w:szCs w:val="28"/>
        </w:rPr>
        <w:t xml:space="preserve"> контрол  са потвърдени три от произнесените четири резолюции на Районна прокуратура-Сливен. </w:t>
      </w:r>
    </w:p>
    <w:p w:rsidR="006C18C4" w:rsidRDefault="006C18C4" w:rsidP="006C18C4"/>
    <w:p w:rsidR="00BB1782" w:rsidRDefault="00BB1782" w:rsidP="00BB1782">
      <w:pPr>
        <w:spacing w:line="360" w:lineRule="exact"/>
        <w:ind w:firstLine="708"/>
        <w:jc w:val="both"/>
        <w:rPr>
          <w:bCs/>
          <w:sz w:val="28"/>
          <w:szCs w:val="28"/>
        </w:rPr>
      </w:pPr>
      <w:r w:rsidRPr="006C18C4">
        <w:rPr>
          <w:b/>
          <w:bCs/>
          <w:sz w:val="28"/>
          <w:szCs w:val="28"/>
        </w:rPr>
        <w:t>3. Гражданско-съдебен надзор</w:t>
      </w:r>
      <w:r>
        <w:rPr>
          <w:b/>
          <w:bCs/>
          <w:sz w:val="28"/>
          <w:szCs w:val="28"/>
        </w:rPr>
        <w:t xml:space="preserve"> </w:t>
      </w:r>
    </w:p>
    <w:p w:rsidR="00BB1782" w:rsidRDefault="00BB1782" w:rsidP="00BB1782">
      <w:pPr>
        <w:spacing w:line="360" w:lineRule="exact"/>
        <w:ind w:firstLine="708"/>
        <w:jc w:val="both"/>
        <w:rPr>
          <w:sz w:val="28"/>
          <w:szCs w:val="28"/>
        </w:rPr>
      </w:pPr>
      <w:r>
        <w:rPr>
          <w:sz w:val="28"/>
          <w:szCs w:val="28"/>
        </w:rPr>
        <w:t>През 2024</w:t>
      </w:r>
      <w:r w:rsidR="00FE5E99">
        <w:rPr>
          <w:sz w:val="28"/>
          <w:szCs w:val="28"/>
        </w:rPr>
        <w:t xml:space="preserve"> </w:t>
      </w:r>
      <w:r>
        <w:rPr>
          <w:sz w:val="28"/>
          <w:szCs w:val="28"/>
        </w:rPr>
        <w:t xml:space="preserve">г. прокурорите от Сливенския съдебен район са взели участие в 139 </w:t>
      </w:r>
      <w:proofErr w:type="spellStart"/>
      <w:r>
        <w:rPr>
          <w:sz w:val="28"/>
          <w:szCs w:val="28"/>
        </w:rPr>
        <w:t>първоинстанционни</w:t>
      </w:r>
      <w:proofErr w:type="spellEnd"/>
      <w:r>
        <w:rPr>
          <w:sz w:val="28"/>
          <w:szCs w:val="28"/>
        </w:rPr>
        <w:t xml:space="preserve"> граждански дела, протекли в 182  съдебни заседания. През 2023</w:t>
      </w:r>
      <w:r w:rsidR="00FE5E99">
        <w:rPr>
          <w:sz w:val="28"/>
          <w:szCs w:val="28"/>
        </w:rPr>
        <w:t xml:space="preserve"> </w:t>
      </w:r>
      <w:r>
        <w:rPr>
          <w:sz w:val="28"/>
          <w:szCs w:val="28"/>
        </w:rPr>
        <w:t xml:space="preserve">г. данните са съответно за 167  </w:t>
      </w:r>
      <w:proofErr w:type="spellStart"/>
      <w:r>
        <w:rPr>
          <w:sz w:val="28"/>
          <w:szCs w:val="28"/>
        </w:rPr>
        <w:t>първоинстанционни</w:t>
      </w:r>
      <w:proofErr w:type="spellEnd"/>
      <w:r>
        <w:rPr>
          <w:sz w:val="28"/>
          <w:szCs w:val="28"/>
        </w:rPr>
        <w:t xml:space="preserve"> граждански дела, протекли в  183 съдебни заседания, като през 2022</w:t>
      </w:r>
      <w:r w:rsidR="00FE5E99">
        <w:rPr>
          <w:sz w:val="28"/>
          <w:szCs w:val="28"/>
        </w:rPr>
        <w:t xml:space="preserve"> </w:t>
      </w:r>
      <w:r>
        <w:rPr>
          <w:sz w:val="28"/>
          <w:szCs w:val="28"/>
        </w:rPr>
        <w:t>г. участието в този вид граждански дела и броя на съдебните заседания по същите е било</w:t>
      </w:r>
      <w:r w:rsidR="00FE5E99">
        <w:rPr>
          <w:sz w:val="28"/>
          <w:szCs w:val="28"/>
        </w:rPr>
        <w:t xml:space="preserve"> </w:t>
      </w:r>
      <w:r>
        <w:rPr>
          <w:sz w:val="28"/>
          <w:szCs w:val="28"/>
        </w:rPr>
        <w:t xml:space="preserve">- 208/232. </w:t>
      </w:r>
      <w:r w:rsidR="00FE5E99">
        <w:rPr>
          <w:sz w:val="28"/>
          <w:szCs w:val="28"/>
        </w:rPr>
        <w:t>Отчита се</w:t>
      </w:r>
      <w:r>
        <w:rPr>
          <w:sz w:val="28"/>
          <w:szCs w:val="28"/>
        </w:rPr>
        <w:t xml:space="preserve"> намаляване на броя</w:t>
      </w:r>
      <w:r w:rsidR="00FE5E99">
        <w:rPr>
          <w:sz w:val="28"/>
          <w:szCs w:val="28"/>
        </w:rPr>
        <w:t xml:space="preserve"> на</w:t>
      </w:r>
      <w:r>
        <w:rPr>
          <w:sz w:val="28"/>
          <w:szCs w:val="28"/>
        </w:rPr>
        <w:t xml:space="preserve"> граждански</w:t>
      </w:r>
      <w:r w:rsidR="00FE5E99">
        <w:rPr>
          <w:sz w:val="28"/>
          <w:szCs w:val="28"/>
        </w:rPr>
        <w:t>те</w:t>
      </w:r>
      <w:r>
        <w:rPr>
          <w:sz w:val="28"/>
          <w:szCs w:val="28"/>
        </w:rPr>
        <w:t xml:space="preserve"> дела </w:t>
      </w:r>
      <w:r w:rsidR="00FE5E99">
        <w:rPr>
          <w:sz w:val="28"/>
          <w:szCs w:val="28"/>
        </w:rPr>
        <w:t>спрямо</w:t>
      </w:r>
      <w:r>
        <w:rPr>
          <w:sz w:val="28"/>
          <w:szCs w:val="28"/>
        </w:rPr>
        <w:t xml:space="preserve"> 2023</w:t>
      </w:r>
      <w:r w:rsidR="00FE5E99">
        <w:rPr>
          <w:sz w:val="28"/>
          <w:szCs w:val="28"/>
        </w:rPr>
        <w:t xml:space="preserve"> </w:t>
      </w:r>
      <w:r>
        <w:rPr>
          <w:sz w:val="28"/>
          <w:szCs w:val="28"/>
        </w:rPr>
        <w:t xml:space="preserve">г., като по отношение на участието в съдебни заседания по тях спрямо същата година </w:t>
      </w:r>
      <w:r w:rsidR="00FE5E99">
        <w:rPr>
          <w:sz w:val="28"/>
          <w:szCs w:val="28"/>
        </w:rPr>
        <w:t>се отчита</w:t>
      </w:r>
      <w:r>
        <w:rPr>
          <w:sz w:val="28"/>
          <w:szCs w:val="28"/>
        </w:rPr>
        <w:t xml:space="preserve"> устойчивост</w:t>
      </w:r>
      <w:r w:rsidR="00FE5E99">
        <w:rPr>
          <w:sz w:val="28"/>
          <w:szCs w:val="28"/>
        </w:rPr>
        <w:t xml:space="preserve"> по този показател</w:t>
      </w:r>
      <w:r>
        <w:rPr>
          <w:sz w:val="28"/>
          <w:szCs w:val="28"/>
        </w:rPr>
        <w:t xml:space="preserve">. В процентно отношение това намаление на </w:t>
      </w:r>
      <w:proofErr w:type="spellStart"/>
      <w:r>
        <w:rPr>
          <w:sz w:val="28"/>
          <w:szCs w:val="28"/>
        </w:rPr>
        <w:t>първоинстанционните</w:t>
      </w:r>
      <w:proofErr w:type="spellEnd"/>
      <w:r>
        <w:rPr>
          <w:sz w:val="28"/>
          <w:szCs w:val="28"/>
        </w:rPr>
        <w:t xml:space="preserve"> граждански дела е 16,77%, а на участието в съдебни заседания по тези дела е незначително</w:t>
      </w:r>
      <w:r w:rsidR="00FE5E99">
        <w:rPr>
          <w:sz w:val="28"/>
          <w:szCs w:val="28"/>
        </w:rPr>
        <w:t xml:space="preserve"> </w:t>
      </w:r>
      <w:r>
        <w:rPr>
          <w:sz w:val="28"/>
          <w:szCs w:val="28"/>
        </w:rPr>
        <w:t>– 0,55%. Спрямо 2022 г. намаление</w:t>
      </w:r>
      <w:r w:rsidR="00FE5E99">
        <w:rPr>
          <w:sz w:val="28"/>
          <w:szCs w:val="28"/>
        </w:rPr>
        <w:t>то</w:t>
      </w:r>
      <w:r>
        <w:rPr>
          <w:sz w:val="28"/>
          <w:szCs w:val="28"/>
        </w:rPr>
        <w:t xml:space="preserve"> </w:t>
      </w:r>
      <w:r w:rsidR="00FE5E99">
        <w:rPr>
          <w:sz w:val="28"/>
          <w:szCs w:val="28"/>
        </w:rPr>
        <w:t xml:space="preserve">е </w:t>
      </w:r>
      <w:r>
        <w:rPr>
          <w:sz w:val="28"/>
          <w:szCs w:val="28"/>
        </w:rPr>
        <w:t>с 33</w:t>
      </w:r>
      <w:r w:rsidR="0013070B">
        <w:rPr>
          <w:sz w:val="28"/>
          <w:szCs w:val="28"/>
        </w:rPr>
        <w:t>,</w:t>
      </w:r>
      <w:r>
        <w:rPr>
          <w:sz w:val="28"/>
          <w:szCs w:val="28"/>
        </w:rPr>
        <w:t xml:space="preserve">17% при </w:t>
      </w:r>
      <w:proofErr w:type="spellStart"/>
      <w:r>
        <w:rPr>
          <w:sz w:val="28"/>
          <w:szCs w:val="28"/>
        </w:rPr>
        <w:t>първоинстанционните</w:t>
      </w:r>
      <w:proofErr w:type="spellEnd"/>
      <w:r>
        <w:rPr>
          <w:sz w:val="28"/>
          <w:szCs w:val="28"/>
        </w:rPr>
        <w:t xml:space="preserve"> граждански дела и с 21,55% по отношение на проведените съдебни заседания.</w:t>
      </w:r>
      <w:r w:rsidR="007F6CAE">
        <w:rPr>
          <w:sz w:val="28"/>
          <w:szCs w:val="28"/>
        </w:rPr>
        <w:t xml:space="preserve"> </w:t>
      </w:r>
      <w:r>
        <w:rPr>
          <w:sz w:val="28"/>
          <w:szCs w:val="28"/>
        </w:rPr>
        <w:t xml:space="preserve">Основната причина е свързана с намаления брой дела в </w:t>
      </w:r>
      <w:r w:rsidR="00602638">
        <w:rPr>
          <w:sz w:val="28"/>
          <w:szCs w:val="28"/>
        </w:rPr>
        <w:t xml:space="preserve">районните </w:t>
      </w:r>
      <w:r>
        <w:rPr>
          <w:sz w:val="28"/>
          <w:szCs w:val="28"/>
        </w:rPr>
        <w:t>съдилища</w:t>
      </w:r>
      <w:r w:rsidR="00602638">
        <w:rPr>
          <w:sz w:val="28"/>
          <w:szCs w:val="28"/>
        </w:rPr>
        <w:t>,</w:t>
      </w:r>
      <w:r>
        <w:rPr>
          <w:sz w:val="28"/>
          <w:szCs w:val="28"/>
        </w:rPr>
        <w:t xml:space="preserve"> по които са участвали прокурори от РП-Сливен</w:t>
      </w:r>
      <w:r w:rsidR="00602638">
        <w:rPr>
          <w:sz w:val="28"/>
          <w:szCs w:val="28"/>
        </w:rPr>
        <w:t xml:space="preserve"> </w:t>
      </w:r>
      <w:r>
        <w:rPr>
          <w:sz w:val="28"/>
          <w:szCs w:val="28"/>
        </w:rPr>
        <w:t>- 33 дела</w:t>
      </w:r>
      <w:r>
        <w:rPr>
          <w:sz w:val="28"/>
          <w:szCs w:val="28"/>
          <w:lang w:val="en-US"/>
        </w:rPr>
        <w:t xml:space="preserve"> </w:t>
      </w:r>
      <w:r>
        <w:rPr>
          <w:sz w:val="28"/>
          <w:szCs w:val="28"/>
        </w:rPr>
        <w:t>и 40 заседания по тях, при 109</w:t>
      </w:r>
      <w:r w:rsidR="00602638">
        <w:rPr>
          <w:sz w:val="28"/>
          <w:szCs w:val="28"/>
        </w:rPr>
        <w:t xml:space="preserve"> </w:t>
      </w:r>
      <w:r>
        <w:rPr>
          <w:sz w:val="28"/>
          <w:szCs w:val="28"/>
        </w:rPr>
        <w:t>дела за 2023</w:t>
      </w:r>
      <w:r w:rsidR="00602638">
        <w:rPr>
          <w:sz w:val="28"/>
          <w:szCs w:val="28"/>
        </w:rPr>
        <w:t xml:space="preserve"> </w:t>
      </w:r>
      <w:r>
        <w:rPr>
          <w:sz w:val="28"/>
          <w:szCs w:val="28"/>
        </w:rPr>
        <w:t>г. и при 138</w:t>
      </w:r>
      <w:r w:rsidR="00602638">
        <w:rPr>
          <w:sz w:val="28"/>
          <w:szCs w:val="28"/>
        </w:rPr>
        <w:t xml:space="preserve"> </w:t>
      </w:r>
      <w:r>
        <w:rPr>
          <w:sz w:val="28"/>
          <w:szCs w:val="28"/>
        </w:rPr>
        <w:t>дела за 2022 г.</w:t>
      </w:r>
    </w:p>
    <w:p w:rsidR="00BB1782" w:rsidRDefault="00BB1782" w:rsidP="00BB1782">
      <w:pPr>
        <w:spacing w:line="360" w:lineRule="exact"/>
        <w:ind w:firstLine="708"/>
        <w:jc w:val="both"/>
        <w:rPr>
          <w:sz w:val="28"/>
          <w:szCs w:val="28"/>
        </w:rPr>
      </w:pPr>
      <w:r>
        <w:rPr>
          <w:sz w:val="28"/>
          <w:szCs w:val="28"/>
        </w:rPr>
        <w:t xml:space="preserve">През 2024 г. пред Окръжен съд - Сливен са образувани 106  </w:t>
      </w:r>
      <w:proofErr w:type="spellStart"/>
      <w:r>
        <w:rPr>
          <w:sz w:val="28"/>
          <w:szCs w:val="28"/>
        </w:rPr>
        <w:t>първоинстанционни</w:t>
      </w:r>
      <w:proofErr w:type="spellEnd"/>
      <w:r>
        <w:rPr>
          <w:sz w:val="28"/>
          <w:szCs w:val="28"/>
        </w:rPr>
        <w:t xml:space="preserve"> граждански дела, при провеждането на които участието на прокурор от Окръжна прокуратура - Сливен е задължително по закон, при 58 за 2023</w:t>
      </w:r>
      <w:r w:rsidR="00602638">
        <w:rPr>
          <w:sz w:val="28"/>
          <w:szCs w:val="28"/>
        </w:rPr>
        <w:t xml:space="preserve"> </w:t>
      </w:r>
      <w:r>
        <w:rPr>
          <w:sz w:val="28"/>
          <w:szCs w:val="28"/>
        </w:rPr>
        <w:t xml:space="preserve">г. и 70 бр. през 2022 г. Отчита се значително увеличаване на броя на делата със 82,76% спрямо 2023 г. и с 51,43% спрямо 2022 г. Увеличение се отчита и по отношение на броя на  съдебните заседания пред Окръжен съд - Сливен по </w:t>
      </w:r>
      <w:proofErr w:type="spellStart"/>
      <w:r>
        <w:rPr>
          <w:sz w:val="28"/>
          <w:szCs w:val="28"/>
        </w:rPr>
        <w:t>първоинстанционните</w:t>
      </w:r>
      <w:proofErr w:type="spellEnd"/>
      <w:r>
        <w:rPr>
          <w:sz w:val="28"/>
          <w:szCs w:val="28"/>
        </w:rPr>
        <w:t xml:space="preserve"> граждански дела с участието на прокурор от Окръжна прокуратура - Сливен – 142</w:t>
      </w:r>
      <w:r w:rsidR="00602638">
        <w:rPr>
          <w:sz w:val="28"/>
          <w:szCs w:val="28"/>
        </w:rPr>
        <w:t xml:space="preserve"> </w:t>
      </w:r>
      <w:r>
        <w:rPr>
          <w:sz w:val="28"/>
          <w:szCs w:val="28"/>
        </w:rPr>
        <w:t>бр.</w:t>
      </w:r>
      <w:r w:rsidR="00602638">
        <w:rPr>
          <w:sz w:val="28"/>
          <w:szCs w:val="28"/>
        </w:rPr>
        <w:t>,</w:t>
      </w:r>
      <w:r>
        <w:rPr>
          <w:sz w:val="28"/>
          <w:szCs w:val="28"/>
        </w:rPr>
        <w:t xml:space="preserve"> при 68 бр. за 2023</w:t>
      </w:r>
      <w:r w:rsidR="00602638">
        <w:rPr>
          <w:sz w:val="28"/>
          <w:szCs w:val="28"/>
        </w:rPr>
        <w:t xml:space="preserve"> </w:t>
      </w:r>
      <w:r>
        <w:rPr>
          <w:sz w:val="28"/>
          <w:szCs w:val="28"/>
        </w:rPr>
        <w:t>г. и 84 бр. за 2022</w:t>
      </w:r>
      <w:r w:rsidR="00602638">
        <w:rPr>
          <w:sz w:val="28"/>
          <w:szCs w:val="28"/>
        </w:rPr>
        <w:t xml:space="preserve"> </w:t>
      </w:r>
      <w:r>
        <w:rPr>
          <w:sz w:val="28"/>
          <w:szCs w:val="28"/>
        </w:rPr>
        <w:t>г.</w:t>
      </w:r>
      <w:r w:rsidR="00602638">
        <w:rPr>
          <w:sz w:val="28"/>
          <w:szCs w:val="28"/>
        </w:rPr>
        <w:t>,</w:t>
      </w:r>
      <w:r>
        <w:rPr>
          <w:sz w:val="28"/>
          <w:szCs w:val="28"/>
        </w:rPr>
        <w:t xml:space="preserve"> като увеличението спрямо 2023 г. е с</w:t>
      </w:r>
      <w:r w:rsidR="00602638">
        <w:rPr>
          <w:sz w:val="28"/>
          <w:szCs w:val="28"/>
        </w:rPr>
        <w:t>ъс</w:t>
      </w:r>
      <w:r>
        <w:rPr>
          <w:sz w:val="28"/>
          <w:szCs w:val="28"/>
        </w:rPr>
        <w:t xml:space="preserve"> 108,82</w:t>
      </w:r>
      <w:r w:rsidR="0013070B">
        <w:rPr>
          <w:sz w:val="28"/>
          <w:szCs w:val="28"/>
        </w:rPr>
        <w:t>%, а спрямо 2022 г. - с 69,05%.</w:t>
      </w:r>
      <w:r>
        <w:rPr>
          <w:sz w:val="28"/>
          <w:szCs w:val="28"/>
        </w:rPr>
        <w:t xml:space="preserve"> Отчетеното увеличение се дължи на по-големия брой новообразувани граждански дела през годината. </w:t>
      </w:r>
    </w:p>
    <w:p w:rsidR="00BB1782" w:rsidRDefault="00BB1782" w:rsidP="00BB1782">
      <w:pPr>
        <w:spacing w:line="360" w:lineRule="exact"/>
        <w:ind w:firstLine="708"/>
        <w:jc w:val="both"/>
        <w:rPr>
          <w:sz w:val="28"/>
          <w:szCs w:val="28"/>
        </w:rPr>
      </w:pPr>
      <w:r>
        <w:rPr>
          <w:sz w:val="28"/>
          <w:szCs w:val="28"/>
        </w:rPr>
        <w:t>През отчетния период в Сливенския съдебен район са били решени</w:t>
      </w:r>
      <w:r>
        <w:rPr>
          <w:b/>
          <w:sz w:val="28"/>
          <w:szCs w:val="28"/>
        </w:rPr>
        <w:t xml:space="preserve"> </w:t>
      </w:r>
      <w:r>
        <w:rPr>
          <w:sz w:val="28"/>
          <w:szCs w:val="28"/>
          <w:lang w:val="en-US"/>
        </w:rPr>
        <w:t>136</w:t>
      </w:r>
      <w:r>
        <w:rPr>
          <w:i/>
          <w:sz w:val="28"/>
          <w:szCs w:val="28"/>
          <w:lang w:val="en-US"/>
        </w:rPr>
        <w:t xml:space="preserve"> </w:t>
      </w:r>
      <w:r>
        <w:rPr>
          <w:sz w:val="28"/>
          <w:szCs w:val="28"/>
        </w:rPr>
        <w:t>от общо разглежданите</w:t>
      </w:r>
      <w:r>
        <w:rPr>
          <w:sz w:val="28"/>
          <w:szCs w:val="28"/>
          <w:lang w:val="en-US"/>
        </w:rPr>
        <w:t xml:space="preserve"> 139</w:t>
      </w:r>
      <w:r>
        <w:rPr>
          <w:sz w:val="28"/>
          <w:szCs w:val="28"/>
        </w:rPr>
        <w:t xml:space="preserve"> </w:t>
      </w:r>
      <w:proofErr w:type="spellStart"/>
      <w:r>
        <w:rPr>
          <w:sz w:val="28"/>
          <w:szCs w:val="28"/>
        </w:rPr>
        <w:t>първоинстанционни</w:t>
      </w:r>
      <w:proofErr w:type="spellEnd"/>
      <w:r>
        <w:rPr>
          <w:sz w:val="28"/>
          <w:szCs w:val="28"/>
        </w:rPr>
        <w:t xml:space="preserve"> граждански дела с участие на прокурор. През</w:t>
      </w:r>
      <w:r>
        <w:rPr>
          <w:sz w:val="28"/>
          <w:szCs w:val="28"/>
          <w:lang w:val="en-US"/>
        </w:rPr>
        <w:t xml:space="preserve"> 202</w:t>
      </w:r>
      <w:r>
        <w:rPr>
          <w:sz w:val="28"/>
          <w:szCs w:val="28"/>
        </w:rPr>
        <w:t>3</w:t>
      </w:r>
      <w:r w:rsidR="00602638">
        <w:rPr>
          <w:sz w:val="28"/>
          <w:szCs w:val="28"/>
        </w:rPr>
        <w:t xml:space="preserve"> </w:t>
      </w:r>
      <w:r>
        <w:rPr>
          <w:sz w:val="28"/>
          <w:szCs w:val="28"/>
        </w:rPr>
        <w:t xml:space="preserve">г. са били решени 130 от 167 разгледани </w:t>
      </w:r>
      <w:r>
        <w:rPr>
          <w:sz w:val="28"/>
          <w:szCs w:val="28"/>
        </w:rPr>
        <w:lastRenderedPageBreak/>
        <w:t>дела, а през 2022 г.</w:t>
      </w:r>
      <w:r w:rsidR="00602638">
        <w:rPr>
          <w:sz w:val="28"/>
          <w:szCs w:val="28"/>
        </w:rPr>
        <w:t xml:space="preserve"> </w:t>
      </w:r>
      <w:r>
        <w:rPr>
          <w:sz w:val="28"/>
          <w:szCs w:val="28"/>
        </w:rPr>
        <w:t xml:space="preserve">- 173 от общо разглеждани 208 </w:t>
      </w:r>
      <w:proofErr w:type="spellStart"/>
      <w:r>
        <w:rPr>
          <w:sz w:val="28"/>
          <w:szCs w:val="28"/>
        </w:rPr>
        <w:t>първоинстанционни</w:t>
      </w:r>
      <w:proofErr w:type="spellEnd"/>
      <w:r>
        <w:rPr>
          <w:sz w:val="28"/>
          <w:szCs w:val="28"/>
        </w:rPr>
        <w:t xml:space="preserve"> граждански дела. Съотношението на решените спр</w:t>
      </w:r>
      <w:r w:rsidR="00602638">
        <w:rPr>
          <w:sz w:val="28"/>
          <w:szCs w:val="28"/>
        </w:rPr>
        <w:t>ямо разглежданите дела е 97,84%,</w:t>
      </w:r>
      <w:r>
        <w:rPr>
          <w:sz w:val="28"/>
          <w:szCs w:val="28"/>
        </w:rPr>
        <w:t xml:space="preserve"> при 77,84% за 2023</w:t>
      </w:r>
      <w:r w:rsidR="00602638">
        <w:rPr>
          <w:sz w:val="28"/>
          <w:szCs w:val="28"/>
        </w:rPr>
        <w:t xml:space="preserve"> </w:t>
      </w:r>
      <w:r>
        <w:rPr>
          <w:sz w:val="28"/>
          <w:szCs w:val="28"/>
        </w:rPr>
        <w:t>г., и 83,17% за 2022 г.</w:t>
      </w:r>
      <w:r w:rsidR="007F6CAE">
        <w:rPr>
          <w:sz w:val="28"/>
          <w:szCs w:val="28"/>
        </w:rPr>
        <w:t xml:space="preserve"> </w:t>
      </w:r>
      <w:r>
        <w:rPr>
          <w:sz w:val="28"/>
          <w:szCs w:val="28"/>
        </w:rPr>
        <w:t xml:space="preserve">От </w:t>
      </w:r>
      <w:proofErr w:type="spellStart"/>
      <w:r>
        <w:rPr>
          <w:sz w:val="28"/>
          <w:szCs w:val="28"/>
        </w:rPr>
        <w:t>първоинстанционните</w:t>
      </w:r>
      <w:proofErr w:type="spellEnd"/>
      <w:r>
        <w:rPr>
          <w:sz w:val="28"/>
          <w:szCs w:val="28"/>
        </w:rPr>
        <w:t xml:space="preserve"> 106 граждански дела, разгледани в Окръжен съд – Сливен</w:t>
      </w:r>
      <w:r w:rsidR="000D04C8">
        <w:rPr>
          <w:sz w:val="28"/>
          <w:szCs w:val="28"/>
        </w:rPr>
        <w:t>,</w:t>
      </w:r>
      <w:r>
        <w:rPr>
          <w:sz w:val="28"/>
          <w:szCs w:val="28"/>
        </w:rPr>
        <w:t xml:space="preserve"> са били решени 105 от тях</w:t>
      </w:r>
      <w:r w:rsidR="000D04C8">
        <w:rPr>
          <w:sz w:val="28"/>
          <w:szCs w:val="28"/>
        </w:rPr>
        <w:t>,</w:t>
      </w:r>
      <w:r>
        <w:rPr>
          <w:sz w:val="28"/>
          <w:szCs w:val="28"/>
        </w:rPr>
        <w:t xml:space="preserve"> представляващо 99,06%</w:t>
      </w:r>
      <w:r w:rsidR="000D04C8">
        <w:rPr>
          <w:sz w:val="28"/>
          <w:szCs w:val="28"/>
        </w:rPr>
        <w:t>,</w:t>
      </w:r>
      <w:r>
        <w:rPr>
          <w:sz w:val="28"/>
          <w:szCs w:val="28"/>
        </w:rPr>
        <w:t xml:space="preserve"> при 86,21% за 2023</w:t>
      </w:r>
      <w:r w:rsidR="000D04C8">
        <w:rPr>
          <w:sz w:val="28"/>
          <w:szCs w:val="28"/>
        </w:rPr>
        <w:t xml:space="preserve"> </w:t>
      </w:r>
      <w:r>
        <w:rPr>
          <w:sz w:val="28"/>
          <w:szCs w:val="28"/>
        </w:rPr>
        <w:t xml:space="preserve">г. и  94,29% за 2022 г. </w:t>
      </w:r>
      <w:r w:rsidR="004C2F99">
        <w:rPr>
          <w:sz w:val="28"/>
          <w:szCs w:val="28"/>
        </w:rPr>
        <w:t xml:space="preserve">Съотношението е значително завишено, като се отчита почти пълно изравняване между разгледаните и решените дела през отчетната 2024 г. </w:t>
      </w:r>
    </w:p>
    <w:p w:rsidR="00BB1782" w:rsidRDefault="00BB1782" w:rsidP="00BB1782">
      <w:pPr>
        <w:spacing w:line="360" w:lineRule="exact"/>
        <w:ind w:firstLine="708"/>
        <w:jc w:val="both"/>
        <w:rPr>
          <w:sz w:val="28"/>
          <w:szCs w:val="28"/>
        </w:rPr>
      </w:pPr>
      <w:r>
        <w:rPr>
          <w:sz w:val="28"/>
          <w:szCs w:val="28"/>
        </w:rPr>
        <w:t>В районните съдилища от Сливенския съдебен район през 2024 г. са били решени 31 от общо 33 дела на производство с участие на прокурор, представляващо 93,94% при 73,39% от делата за 2023</w:t>
      </w:r>
      <w:r w:rsidR="004C2F99">
        <w:rPr>
          <w:sz w:val="28"/>
          <w:szCs w:val="28"/>
        </w:rPr>
        <w:t xml:space="preserve"> </w:t>
      </w:r>
      <w:r>
        <w:rPr>
          <w:sz w:val="28"/>
          <w:szCs w:val="28"/>
        </w:rPr>
        <w:t xml:space="preserve">г. и при 77,54% за 2022 г.  </w:t>
      </w:r>
    </w:p>
    <w:p w:rsidR="00BB1782" w:rsidRDefault="00BB1782" w:rsidP="00BB1782">
      <w:pPr>
        <w:spacing w:line="360" w:lineRule="exact"/>
        <w:ind w:firstLine="708"/>
        <w:jc w:val="both"/>
        <w:rPr>
          <w:sz w:val="28"/>
          <w:szCs w:val="28"/>
        </w:rPr>
      </w:pPr>
      <w:r>
        <w:rPr>
          <w:sz w:val="28"/>
          <w:szCs w:val="28"/>
        </w:rPr>
        <w:t xml:space="preserve">Окръжна прокуратура - Сливен е взела участие в 4 </w:t>
      </w:r>
      <w:proofErr w:type="spellStart"/>
      <w:r>
        <w:rPr>
          <w:sz w:val="28"/>
          <w:szCs w:val="28"/>
        </w:rPr>
        <w:t>въззивни</w:t>
      </w:r>
      <w:proofErr w:type="spellEnd"/>
      <w:r>
        <w:rPr>
          <w:sz w:val="28"/>
          <w:szCs w:val="28"/>
        </w:rPr>
        <w:t xml:space="preserve"> граждански дела</w:t>
      </w:r>
      <w:r w:rsidR="004C2F99">
        <w:rPr>
          <w:sz w:val="28"/>
          <w:szCs w:val="28"/>
        </w:rPr>
        <w:t>,</w:t>
      </w:r>
      <w:r>
        <w:rPr>
          <w:sz w:val="28"/>
          <w:szCs w:val="28"/>
        </w:rPr>
        <w:t xml:space="preserve"> при 5 за 2023</w:t>
      </w:r>
      <w:r w:rsidR="004C2F99">
        <w:rPr>
          <w:sz w:val="28"/>
          <w:szCs w:val="28"/>
        </w:rPr>
        <w:t xml:space="preserve"> </w:t>
      </w:r>
      <w:r>
        <w:rPr>
          <w:sz w:val="28"/>
          <w:szCs w:val="28"/>
        </w:rPr>
        <w:t>г. и 7 за 2022 г.</w:t>
      </w:r>
      <w:r w:rsidR="004C2F99">
        <w:rPr>
          <w:sz w:val="28"/>
          <w:szCs w:val="28"/>
        </w:rPr>
        <w:t>,</w:t>
      </w:r>
      <w:r>
        <w:rPr>
          <w:sz w:val="28"/>
          <w:szCs w:val="28"/>
        </w:rPr>
        <w:t xml:space="preserve"> като всички към края на отчетния период са били решени от Окръжен съд - Сливен. И четирите производства с </w:t>
      </w:r>
      <w:proofErr w:type="spellStart"/>
      <w:r>
        <w:rPr>
          <w:sz w:val="28"/>
          <w:szCs w:val="28"/>
        </w:rPr>
        <w:t>въззивен</w:t>
      </w:r>
      <w:proofErr w:type="spellEnd"/>
      <w:r>
        <w:rPr>
          <w:sz w:val="28"/>
          <w:szCs w:val="28"/>
        </w:rPr>
        <w:t xml:space="preserve"> характер са били с правни основания, произтичащи от ЗОДОВ. Отчита се относителна устойчивост през последните три години  по отношение на броя на </w:t>
      </w:r>
      <w:proofErr w:type="spellStart"/>
      <w:r>
        <w:rPr>
          <w:sz w:val="28"/>
          <w:szCs w:val="28"/>
        </w:rPr>
        <w:t>въззивните</w:t>
      </w:r>
      <w:proofErr w:type="spellEnd"/>
      <w:r>
        <w:rPr>
          <w:sz w:val="28"/>
          <w:szCs w:val="28"/>
        </w:rPr>
        <w:t xml:space="preserve"> производства  със задължителното участие на прокурор. </w:t>
      </w:r>
    </w:p>
    <w:p w:rsidR="00BB1782" w:rsidRDefault="00BB1782" w:rsidP="00BB1782">
      <w:pPr>
        <w:spacing w:line="360" w:lineRule="exact"/>
        <w:ind w:firstLine="708"/>
        <w:jc w:val="both"/>
        <w:rPr>
          <w:sz w:val="28"/>
          <w:szCs w:val="28"/>
        </w:rPr>
      </w:pPr>
      <w:r>
        <w:rPr>
          <w:sz w:val="28"/>
          <w:szCs w:val="28"/>
        </w:rPr>
        <w:t>Разгледано за различните прокуратури, участието в съдебни заседания през 2024 г. е следното: Прокурор при ОП – Сливен е взел участие в 110 граждански дела (</w:t>
      </w:r>
      <w:proofErr w:type="spellStart"/>
      <w:r>
        <w:rPr>
          <w:sz w:val="28"/>
          <w:szCs w:val="28"/>
        </w:rPr>
        <w:t>първоинстанционни</w:t>
      </w:r>
      <w:proofErr w:type="spellEnd"/>
      <w:r>
        <w:rPr>
          <w:sz w:val="28"/>
          <w:szCs w:val="28"/>
        </w:rPr>
        <w:t xml:space="preserve"> и </w:t>
      </w:r>
      <w:proofErr w:type="spellStart"/>
      <w:r>
        <w:rPr>
          <w:sz w:val="28"/>
          <w:szCs w:val="28"/>
        </w:rPr>
        <w:t>въззивни</w:t>
      </w:r>
      <w:proofErr w:type="spellEnd"/>
      <w:r>
        <w:rPr>
          <w:sz w:val="28"/>
          <w:szCs w:val="28"/>
        </w:rPr>
        <w:t xml:space="preserve"> производства пред Окръжен съд - Сливен), протекли в 146 </w:t>
      </w:r>
      <w:r w:rsidR="004C2F99">
        <w:rPr>
          <w:sz w:val="28"/>
          <w:szCs w:val="28"/>
        </w:rPr>
        <w:t xml:space="preserve">съдебни заседания, </w:t>
      </w:r>
      <w:r>
        <w:rPr>
          <w:sz w:val="28"/>
          <w:szCs w:val="28"/>
        </w:rPr>
        <w:t>при съотношение на делата и съдебните заседания за 2023</w:t>
      </w:r>
      <w:r w:rsidR="004C2F99">
        <w:rPr>
          <w:sz w:val="28"/>
          <w:szCs w:val="28"/>
        </w:rPr>
        <w:t xml:space="preserve"> </w:t>
      </w:r>
      <w:r>
        <w:rPr>
          <w:sz w:val="28"/>
          <w:szCs w:val="28"/>
        </w:rPr>
        <w:t>г.</w:t>
      </w:r>
      <w:r w:rsidR="004C2F99">
        <w:rPr>
          <w:sz w:val="28"/>
          <w:szCs w:val="28"/>
        </w:rPr>
        <w:t xml:space="preserve"> - 63/73 и за 2022 г. – 77/92</w:t>
      </w:r>
      <w:r>
        <w:rPr>
          <w:sz w:val="28"/>
          <w:szCs w:val="28"/>
        </w:rPr>
        <w:t>,  а прокурор при РП – Сливен е взел участие в 33  граждански дела пред съответните районни съдилища, п</w:t>
      </w:r>
      <w:r w:rsidR="004C2F99">
        <w:rPr>
          <w:sz w:val="28"/>
          <w:szCs w:val="28"/>
        </w:rPr>
        <w:t xml:space="preserve">ротекли в 40  съдебни заседания, </w:t>
      </w:r>
      <w:r>
        <w:rPr>
          <w:sz w:val="28"/>
          <w:szCs w:val="28"/>
        </w:rPr>
        <w:t>при съотношение на делата и съдебните заседания за 2023</w:t>
      </w:r>
      <w:r w:rsidR="004C2F99">
        <w:rPr>
          <w:sz w:val="28"/>
          <w:szCs w:val="28"/>
        </w:rPr>
        <w:t xml:space="preserve"> </w:t>
      </w:r>
      <w:r>
        <w:rPr>
          <w:sz w:val="28"/>
          <w:szCs w:val="28"/>
        </w:rPr>
        <w:t>г.</w:t>
      </w:r>
      <w:r w:rsidR="004C2F99">
        <w:rPr>
          <w:sz w:val="28"/>
          <w:szCs w:val="28"/>
        </w:rPr>
        <w:t xml:space="preserve"> </w:t>
      </w:r>
      <w:r w:rsidR="00932D59">
        <w:rPr>
          <w:sz w:val="28"/>
          <w:szCs w:val="28"/>
        </w:rPr>
        <w:t>- 109/</w:t>
      </w:r>
      <w:r>
        <w:rPr>
          <w:sz w:val="28"/>
          <w:szCs w:val="28"/>
        </w:rPr>
        <w:t>115 и за 2022 г. – 138/148.</w:t>
      </w:r>
    </w:p>
    <w:p w:rsidR="00BB1782" w:rsidRDefault="00BB1782" w:rsidP="00BB1782">
      <w:pPr>
        <w:spacing w:line="360" w:lineRule="exact"/>
        <w:ind w:firstLine="708"/>
        <w:jc w:val="both"/>
        <w:rPr>
          <w:sz w:val="28"/>
          <w:szCs w:val="28"/>
        </w:rPr>
      </w:pPr>
      <w:r w:rsidRPr="00932D59">
        <w:rPr>
          <w:sz w:val="28"/>
          <w:szCs w:val="28"/>
        </w:rPr>
        <w:t>Обобщаващ извод за отчетната 2024 г., съпоставена с предходните 2023 г. и 2022 г. е,</w:t>
      </w:r>
      <w:r>
        <w:rPr>
          <w:sz w:val="28"/>
          <w:szCs w:val="28"/>
        </w:rPr>
        <w:t xml:space="preserve"> че е налице тенденция за значително завишаване </w:t>
      </w:r>
      <w:r w:rsidR="004C1699">
        <w:rPr>
          <w:sz w:val="28"/>
          <w:szCs w:val="28"/>
        </w:rPr>
        <w:t xml:space="preserve"> на броя на</w:t>
      </w:r>
      <w:r>
        <w:rPr>
          <w:sz w:val="28"/>
          <w:szCs w:val="28"/>
        </w:rPr>
        <w:t xml:space="preserve"> дела</w:t>
      </w:r>
      <w:r w:rsidR="004C1699">
        <w:rPr>
          <w:sz w:val="28"/>
          <w:szCs w:val="28"/>
        </w:rPr>
        <w:t>та</w:t>
      </w:r>
      <w:r>
        <w:rPr>
          <w:sz w:val="28"/>
          <w:szCs w:val="28"/>
        </w:rPr>
        <w:t xml:space="preserve"> и участия</w:t>
      </w:r>
      <w:r w:rsidR="004C1699">
        <w:rPr>
          <w:sz w:val="28"/>
          <w:szCs w:val="28"/>
        </w:rPr>
        <w:t>та</w:t>
      </w:r>
      <w:r>
        <w:rPr>
          <w:sz w:val="28"/>
          <w:szCs w:val="28"/>
        </w:rPr>
        <w:t xml:space="preserve"> по тях за прокурорите при ОП-Сливен и намаляване, както по отношение на броя на дела</w:t>
      </w:r>
      <w:r w:rsidR="004C1699">
        <w:rPr>
          <w:sz w:val="28"/>
          <w:szCs w:val="28"/>
        </w:rPr>
        <w:t>та</w:t>
      </w:r>
      <w:r>
        <w:rPr>
          <w:sz w:val="28"/>
          <w:szCs w:val="28"/>
        </w:rPr>
        <w:t>, така и по отношение на</w:t>
      </w:r>
      <w:r w:rsidR="004C1699">
        <w:rPr>
          <w:sz w:val="28"/>
          <w:szCs w:val="28"/>
        </w:rPr>
        <w:t xml:space="preserve"> участията </w:t>
      </w:r>
      <w:r w:rsidR="00932D59">
        <w:rPr>
          <w:sz w:val="28"/>
          <w:szCs w:val="28"/>
        </w:rPr>
        <w:t xml:space="preserve">в съдебни заседания по тях </w:t>
      </w:r>
      <w:r w:rsidR="004C1699">
        <w:rPr>
          <w:sz w:val="28"/>
          <w:szCs w:val="28"/>
        </w:rPr>
        <w:t>на</w:t>
      </w:r>
      <w:r>
        <w:rPr>
          <w:sz w:val="28"/>
          <w:szCs w:val="28"/>
        </w:rPr>
        <w:t xml:space="preserve"> </w:t>
      </w:r>
      <w:r w:rsidR="00932D59">
        <w:rPr>
          <w:sz w:val="28"/>
          <w:szCs w:val="28"/>
        </w:rPr>
        <w:t>прокурорите при РП-Сливен.</w:t>
      </w:r>
    </w:p>
    <w:p w:rsidR="00265F77" w:rsidRDefault="00265F77" w:rsidP="00BB1782">
      <w:pPr>
        <w:spacing w:line="360" w:lineRule="exact"/>
        <w:ind w:firstLine="708"/>
        <w:jc w:val="both"/>
        <w:rPr>
          <w:b/>
          <w:sz w:val="28"/>
          <w:szCs w:val="28"/>
          <w:u w:val="single"/>
        </w:rPr>
      </w:pPr>
    </w:p>
    <w:p w:rsidR="00BB1782" w:rsidRDefault="00BB1782" w:rsidP="00BB1782">
      <w:pPr>
        <w:spacing w:line="360" w:lineRule="exact"/>
        <w:ind w:firstLine="708"/>
        <w:jc w:val="both"/>
        <w:rPr>
          <w:b/>
          <w:sz w:val="28"/>
          <w:szCs w:val="28"/>
          <w:u w:val="single"/>
        </w:rPr>
      </w:pPr>
      <w:r>
        <w:rPr>
          <w:b/>
          <w:sz w:val="28"/>
          <w:szCs w:val="28"/>
          <w:u w:val="single"/>
        </w:rPr>
        <w:t>Предявени искове от прокурор</w:t>
      </w:r>
    </w:p>
    <w:p w:rsidR="00BB1782" w:rsidRDefault="00BB1782" w:rsidP="00BB1782">
      <w:pPr>
        <w:spacing w:line="360" w:lineRule="exact"/>
        <w:ind w:firstLine="720"/>
        <w:jc w:val="both"/>
        <w:rPr>
          <w:sz w:val="28"/>
          <w:szCs w:val="28"/>
        </w:rPr>
      </w:pPr>
      <w:r>
        <w:rPr>
          <w:sz w:val="28"/>
          <w:szCs w:val="28"/>
        </w:rPr>
        <w:t>През 2024</w:t>
      </w:r>
      <w:r w:rsidR="00033D6C">
        <w:rPr>
          <w:sz w:val="28"/>
          <w:szCs w:val="28"/>
        </w:rPr>
        <w:t xml:space="preserve"> </w:t>
      </w:r>
      <w:r>
        <w:rPr>
          <w:sz w:val="28"/>
          <w:szCs w:val="28"/>
        </w:rPr>
        <w:t>г. прокурорите от съдебния район на Окръжна прокуратура – Сливен са предявили пред съответния на прокуратурата съд общо 16</w:t>
      </w:r>
      <w:r>
        <w:rPr>
          <w:i/>
          <w:sz w:val="28"/>
          <w:szCs w:val="28"/>
        </w:rPr>
        <w:t xml:space="preserve"> </w:t>
      </w:r>
      <w:r>
        <w:rPr>
          <w:sz w:val="28"/>
          <w:szCs w:val="28"/>
        </w:rPr>
        <w:t xml:space="preserve">иска, от които 15 предявени от прокурор при Окръжна </w:t>
      </w:r>
      <w:r>
        <w:rPr>
          <w:sz w:val="28"/>
          <w:szCs w:val="28"/>
        </w:rPr>
        <w:lastRenderedPageBreak/>
        <w:t xml:space="preserve">прокуратура – Сливен и </w:t>
      </w:r>
      <w:r w:rsidR="007F6CAE">
        <w:rPr>
          <w:sz w:val="28"/>
          <w:szCs w:val="28"/>
        </w:rPr>
        <w:t>един</w:t>
      </w:r>
      <w:r>
        <w:rPr>
          <w:sz w:val="28"/>
          <w:szCs w:val="28"/>
        </w:rPr>
        <w:t xml:space="preserve"> от прокурор при Районна прокуратура - Сливен.</w:t>
      </w:r>
    </w:p>
    <w:p w:rsidR="00BB1782" w:rsidRDefault="00BB1782" w:rsidP="00BB1782">
      <w:pPr>
        <w:spacing w:line="360" w:lineRule="exact"/>
        <w:ind w:firstLine="720"/>
        <w:jc w:val="both"/>
        <w:rPr>
          <w:sz w:val="28"/>
          <w:szCs w:val="28"/>
        </w:rPr>
      </w:pPr>
      <w:r>
        <w:rPr>
          <w:sz w:val="28"/>
          <w:szCs w:val="28"/>
        </w:rPr>
        <w:t>През предходната 2023</w:t>
      </w:r>
      <w:r w:rsidR="00033D6C">
        <w:rPr>
          <w:sz w:val="28"/>
          <w:szCs w:val="28"/>
        </w:rPr>
        <w:t xml:space="preserve"> </w:t>
      </w:r>
      <w:r>
        <w:rPr>
          <w:sz w:val="28"/>
          <w:szCs w:val="28"/>
        </w:rPr>
        <w:t xml:space="preserve">г. са били предявени общо 20 иска, от които 18 от прокурор при Окръжна прокуратура - Сливен и два от прокурор при Районна прокуратура – Сливен, като се отчита намаление с </w:t>
      </w:r>
      <w:r w:rsidRPr="00FB58D0">
        <w:rPr>
          <w:sz w:val="28"/>
          <w:szCs w:val="28"/>
        </w:rPr>
        <w:t>2</w:t>
      </w:r>
      <w:r w:rsidR="0013070B" w:rsidRPr="00FB58D0">
        <w:rPr>
          <w:sz w:val="28"/>
          <w:szCs w:val="28"/>
        </w:rPr>
        <w:t>0</w:t>
      </w:r>
      <w:r w:rsidR="00033D6C">
        <w:rPr>
          <w:sz w:val="28"/>
          <w:szCs w:val="28"/>
        </w:rPr>
        <w:t>%</w:t>
      </w:r>
      <w:r>
        <w:rPr>
          <w:sz w:val="28"/>
          <w:szCs w:val="28"/>
        </w:rPr>
        <w:t xml:space="preserve"> на </w:t>
      </w:r>
      <w:r w:rsidR="00033D6C">
        <w:rPr>
          <w:sz w:val="28"/>
          <w:szCs w:val="28"/>
        </w:rPr>
        <w:t>предявените през 2024 г. искове,</w:t>
      </w:r>
      <w:r>
        <w:rPr>
          <w:sz w:val="28"/>
          <w:szCs w:val="28"/>
        </w:rPr>
        <w:t xml:space="preserve"> спрямо тези през предходната 2023 г. </w:t>
      </w:r>
    </w:p>
    <w:p w:rsidR="00BB1782" w:rsidRDefault="00BB1782" w:rsidP="00BB1782">
      <w:pPr>
        <w:spacing w:line="360" w:lineRule="exact"/>
        <w:ind w:firstLine="720"/>
        <w:jc w:val="both"/>
        <w:rPr>
          <w:sz w:val="28"/>
          <w:szCs w:val="28"/>
        </w:rPr>
      </w:pPr>
      <w:r>
        <w:rPr>
          <w:sz w:val="28"/>
          <w:szCs w:val="28"/>
        </w:rPr>
        <w:t>Правните основания на предявените от Окръжна прокуратура – Сливен искове през 2024</w:t>
      </w:r>
      <w:r>
        <w:rPr>
          <w:i/>
          <w:sz w:val="28"/>
          <w:szCs w:val="28"/>
        </w:rPr>
        <w:t xml:space="preserve"> г</w:t>
      </w:r>
      <w:r>
        <w:rPr>
          <w:sz w:val="28"/>
          <w:szCs w:val="28"/>
        </w:rPr>
        <w:t xml:space="preserve">. са по: чл.336 ал.1 от ГПК, вр. чл.5 от ЗЛС – 2 бр., по чл.157 ал.1, вр. чл.155, т.3 от ТЗ – 13 бр. </w:t>
      </w:r>
    </w:p>
    <w:p w:rsidR="00BB1782" w:rsidRDefault="00BB1782" w:rsidP="00BB1782">
      <w:pPr>
        <w:spacing w:line="360" w:lineRule="exact"/>
        <w:ind w:firstLine="720"/>
        <w:jc w:val="both"/>
        <w:rPr>
          <w:sz w:val="28"/>
          <w:szCs w:val="28"/>
        </w:rPr>
      </w:pPr>
      <w:r>
        <w:rPr>
          <w:sz w:val="28"/>
          <w:szCs w:val="28"/>
        </w:rPr>
        <w:t xml:space="preserve">Правното основание на предявения от Районна прокуратура - Сливен иск е по чл.28, ал.7 </w:t>
      </w:r>
      <w:proofErr w:type="spellStart"/>
      <w:r>
        <w:rPr>
          <w:sz w:val="28"/>
          <w:szCs w:val="28"/>
        </w:rPr>
        <w:t>вр</w:t>
      </w:r>
      <w:proofErr w:type="spellEnd"/>
      <w:r>
        <w:rPr>
          <w:sz w:val="28"/>
          <w:szCs w:val="28"/>
        </w:rPr>
        <w:t xml:space="preserve">.ал.1 от </w:t>
      </w:r>
      <w:proofErr w:type="spellStart"/>
      <w:r>
        <w:rPr>
          <w:sz w:val="28"/>
          <w:szCs w:val="28"/>
        </w:rPr>
        <w:t>ЗЗзД</w:t>
      </w:r>
      <w:proofErr w:type="spellEnd"/>
      <w:r w:rsidR="00033D6C">
        <w:rPr>
          <w:sz w:val="28"/>
          <w:szCs w:val="28"/>
        </w:rPr>
        <w:t>.</w:t>
      </w:r>
    </w:p>
    <w:p w:rsidR="004170EE" w:rsidRDefault="00BB1782" w:rsidP="004170EE">
      <w:pPr>
        <w:spacing w:line="360" w:lineRule="exact"/>
        <w:ind w:firstLine="720"/>
        <w:jc w:val="both"/>
        <w:rPr>
          <w:sz w:val="28"/>
          <w:szCs w:val="28"/>
        </w:rPr>
      </w:pPr>
      <w:r>
        <w:rPr>
          <w:sz w:val="28"/>
          <w:szCs w:val="28"/>
        </w:rPr>
        <w:t xml:space="preserve">Разгледани за съдебния район на Окръжна прокуратура – Сливен през годината са 16 </w:t>
      </w:r>
      <w:r w:rsidR="007F6CAE">
        <w:rPr>
          <w:sz w:val="28"/>
          <w:szCs w:val="28"/>
        </w:rPr>
        <w:t xml:space="preserve">иска, </w:t>
      </w:r>
      <w:r w:rsidR="00C810EA">
        <w:rPr>
          <w:sz w:val="28"/>
          <w:szCs w:val="28"/>
        </w:rPr>
        <w:t xml:space="preserve">като </w:t>
      </w:r>
      <w:r w:rsidR="007F6CAE">
        <w:rPr>
          <w:sz w:val="28"/>
          <w:szCs w:val="28"/>
        </w:rPr>
        <w:t>всички</w:t>
      </w:r>
      <w:r w:rsidR="00C810EA">
        <w:rPr>
          <w:sz w:val="28"/>
          <w:szCs w:val="28"/>
        </w:rPr>
        <w:t xml:space="preserve"> са</w:t>
      </w:r>
      <w:r w:rsidR="007F6CAE">
        <w:rPr>
          <w:sz w:val="28"/>
          <w:szCs w:val="28"/>
        </w:rPr>
        <w:t xml:space="preserve"> </w:t>
      </w:r>
      <w:r w:rsidR="004F2803">
        <w:rPr>
          <w:sz w:val="28"/>
          <w:szCs w:val="28"/>
        </w:rPr>
        <w:t xml:space="preserve">уважени. За предходната година 2023 г. разгледаните </w:t>
      </w:r>
      <w:r>
        <w:rPr>
          <w:sz w:val="28"/>
          <w:szCs w:val="28"/>
        </w:rPr>
        <w:t>искове са били 15, от които 12 са били уважени, а едно от производствата е било прекратено поради смърт на ответната страна.</w:t>
      </w:r>
    </w:p>
    <w:p w:rsidR="004170EE" w:rsidRDefault="004170EE" w:rsidP="004170EE">
      <w:pPr>
        <w:spacing w:line="360" w:lineRule="exact"/>
        <w:ind w:firstLine="720"/>
        <w:jc w:val="both"/>
        <w:rPr>
          <w:sz w:val="28"/>
          <w:szCs w:val="28"/>
        </w:rPr>
      </w:pPr>
      <w:r>
        <w:rPr>
          <w:sz w:val="28"/>
          <w:szCs w:val="28"/>
        </w:rPr>
        <w:t xml:space="preserve">Районна прокуратура - Сливен е внесла една искова молба, при две за 2023 г. и една за 2022 г. </w:t>
      </w:r>
    </w:p>
    <w:p w:rsidR="00BB1782" w:rsidRDefault="004F2803" w:rsidP="00BB1782">
      <w:pPr>
        <w:spacing w:line="360" w:lineRule="exact"/>
        <w:ind w:firstLine="720"/>
        <w:jc w:val="both"/>
        <w:rPr>
          <w:sz w:val="28"/>
          <w:szCs w:val="28"/>
        </w:rPr>
      </w:pPr>
      <w:r>
        <w:rPr>
          <w:sz w:val="28"/>
          <w:szCs w:val="28"/>
        </w:rPr>
        <w:t>Отчита се</w:t>
      </w:r>
      <w:r w:rsidR="00BB1782">
        <w:rPr>
          <w:sz w:val="28"/>
          <w:szCs w:val="28"/>
        </w:rPr>
        <w:t xml:space="preserve"> незначително намаляване през 2024 г. на внесените искови молби от прокурори от Окръжна прокуратура – Сливен, спрямо тези предявени през 2023 г. и увеличаване спрямо 2022 г.,</w:t>
      </w:r>
      <w:r>
        <w:rPr>
          <w:sz w:val="28"/>
          <w:szCs w:val="28"/>
        </w:rPr>
        <w:t xml:space="preserve"> като</w:t>
      </w:r>
      <w:r w:rsidR="004170EE">
        <w:rPr>
          <w:sz w:val="28"/>
          <w:szCs w:val="28"/>
        </w:rPr>
        <w:t xml:space="preserve"> </w:t>
      </w:r>
      <w:r w:rsidR="00BB1782">
        <w:rPr>
          <w:sz w:val="28"/>
          <w:szCs w:val="28"/>
        </w:rPr>
        <w:t xml:space="preserve">отчетените данни за уважаването на всички предявени искове </w:t>
      </w:r>
      <w:r w:rsidR="004170EE">
        <w:rPr>
          <w:sz w:val="28"/>
          <w:szCs w:val="28"/>
        </w:rPr>
        <w:t>сочат</w:t>
      </w:r>
      <w:r w:rsidR="00BB1782">
        <w:rPr>
          <w:sz w:val="28"/>
          <w:szCs w:val="28"/>
        </w:rPr>
        <w:t xml:space="preserve"> на извод за  </w:t>
      </w:r>
      <w:r w:rsidR="004170EE">
        <w:rPr>
          <w:sz w:val="28"/>
          <w:szCs w:val="28"/>
        </w:rPr>
        <w:t>изключително</w:t>
      </w:r>
      <w:r w:rsidR="00BB1782">
        <w:rPr>
          <w:sz w:val="28"/>
          <w:szCs w:val="28"/>
        </w:rPr>
        <w:t xml:space="preserve"> качествена работа на прокурорите от Окръжна прокуратура – Сливен, включени в </w:t>
      </w:r>
      <w:r w:rsidR="004170EE">
        <w:rPr>
          <w:sz w:val="28"/>
          <w:szCs w:val="28"/>
        </w:rPr>
        <w:t>дейността</w:t>
      </w:r>
      <w:r w:rsidR="00BB1782">
        <w:rPr>
          <w:sz w:val="28"/>
          <w:szCs w:val="28"/>
        </w:rPr>
        <w:t xml:space="preserve"> по Гражданско-съдебен надзор.</w:t>
      </w:r>
    </w:p>
    <w:p w:rsidR="004170EE" w:rsidRDefault="00BB1782" w:rsidP="00BB1782">
      <w:pPr>
        <w:spacing w:line="360" w:lineRule="exact"/>
        <w:ind w:firstLine="720"/>
        <w:jc w:val="both"/>
        <w:rPr>
          <w:sz w:val="28"/>
          <w:szCs w:val="28"/>
        </w:rPr>
      </w:pPr>
      <w:r>
        <w:rPr>
          <w:sz w:val="28"/>
          <w:szCs w:val="28"/>
        </w:rPr>
        <w:t>Устойчиво е като показатели подаването на сигнали до Окръжна прокуратура - Сливен по чл.157 от ТЗ</w:t>
      </w:r>
      <w:r w:rsidR="004170EE">
        <w:rPr>
          <w:sz w:val="28"/>
          <w:szCs w:val="28"/>
        </w:rPr>
        <w:t>,</w:t>
      </w:r>
      <w:r>
        <w:rPr>
          <w:sz w:val="28"/>
          <w:szCs w:val="28"/>
        </w:rPr>
        <w:t xml:space="preserve"> от страна на ТД на НАП – Бургас през отчетната 2024 г.</w:t>
      </w:r>
      <w:r w:rsidR="004170EE">
        <w:rPr>
          <w:sz w:val="28"/>
          <w:szCs w:val="28"/>
        </w:rPr>
        <w:t>,</w:t>
      </w:r>
      <w:r>
        <w:rPr>
          <w:sz w:val="28"/>
          <w:szCs w:val="28"/>
        </w:rPr>
        <w:t xml:space="preserve"> спрямо  предходните 2023 г. и 2022 г.</w:t>
      </w:r>
    </w:p>
    <w:p w:rsidR="00BB1782" w:rsidRDefault="00BB1782" w:rsidP="00BB1782">
      <w:pPr>
        <w:spacing w:line="360" w:lineRule="exact"/>
        <w:ind w:firstLine="720"/>
        <w:jc w:val="both"/>
        <w:rPr>
          <w:sz w:val="28"/>
          <w:szCs w:val="28"/>
        </w:rPr>
      </w:pPr>
      <w:r>
        <w:rPr>
          <w:sz w:val="28"/>
          <w:szCs w:val="28"/>
        </w:rPr>
        <w:t xml:space="preserve"> </w:t>
      </w:r>
    </w:p>
    <w:p w:rsidR="00BB1782" w:rsidRDefault="00BB1782" w:rsidP="00BB1782">
      <w:pPr>
        <w:spacing w:line="360" w:lineRule="exact"/>
        <w:ind w:firstLine="708"/>
        <w:jc w:val="both"/>
        <w:rPr>
          <w:rFonts w:eastAsia="Calibri"/>
          <w:sz w:val="28"/>
          <w:szCs w:val="28"/>
          <w:lang w:eastAsia="en-US"/>
        </w:rPr>
      </w:pPr>
      <w:r>
        <w:rPr>
          <w:rFonts w:eastAsia="Calibri"/>
          <w:b/>
          <w:sz w:val="28"/>
          <w:szCs w:val="28"/>
          <w:u w:val="single"/>
          <w:lang w:eastAsia="en-US"/>
        </w:rPr>
        <w:t xml:space="preserve">По Закона за отнемане на незаконно придобито имущество </w:t>
      </w:r>
      <w:r w:rsidRPr="004170EE">
        <w:rPr>
          <w:rFonts w:eastAsia="Calibri"/>
          <w:sz w:val="28"/>
          <w:szCs w:val="28"/>
          <w:lang w:eastAsia="en-US"/>
        </w:rPr>
        <w:t>през 2024 г</w:t>
      </w:r>
      <w:r w:rsidR="00EF5221">
        <w:rPr>
          <w:rFonts w:eastAsia="Calibri"/>
          <w:sz w:val="28"/>
          <w:szCs w:val="28"/>
          <w:lang w:eastAsia="en-US"/>
        </w:rPr>
        <w:t>.</w:t>
      </w:r>
      <w:r w:rsidR="004170EE" w:rsidRPr="004170EE">
        <w:rPr>
          <w:rFonts w:eastAsia="Calibri"/>
          <w:sz w:val="28"/>
          <w:szCs w:val="28"/>
          <w:lang w:eastAsia="en-US"/>
        </w:rPr>
        <w:t xml:space="preserve"> </w:t>
      </w:r>
      <w:r w:rsidR="004170EE">
        <w:rPr>
          <w:rFonts w:eastAsia="Calibri"/>
          <w:sz w:val="28"/>
          <w:szCs w:val="28"/>
          <w:lang w:eastAsia="en-US"/>
        </w:rPr>
        <w:t>по наблюдавани досъдебни производства</w:t>
      </w:r>
      <w:r>
        <w:rPr>
          <w:rFonts w:eastAsia="Calibri"/>
          <w:sz w:val="28"/>
          <w:szCs w:val="28"/>
          <w:lang w:eastAsia="en-US"/>
        </w:rPr>
        <w:t xml:space="preserve"> прокурорите от съдебния район на ОП - Сливен са подали общо 71 уведомления</w:t>
      </w:r>
      <w:r w:rsidR="004170EE">
        <w:rPr>
          <w:rFonts w:eastAsia="Calibri"/>
          <w:sz w:val="28"/>
          <w:szCs w:val="28"/>
          <w:lang w:eastAsia="en-US"/>
        </w:rPr>
        <w:t>,</w:t>
      </w:r>
      <w:r w:rsidR="004170EE" w:rsidRPr="004170EE">
        <w:rPr>
          <w:rFonts w:eastAsia="Calibri"/>
          <w:sz w:val="28"/>
          <w:szCs w:val="28"/>
          <w:lang w:eastAsia="en-US"/>
        </w:rPr>
        <w:t xml:space="preserve"> </w:t>
      </w:r>
      <w:r w:rsidR="004170EE">
        <w:rPr>
          <w:rFonts w:eastAsia="Calibri"/>
          <w:sz w:val="28"/>
          <w:szCs w:val="28"/>
          <w:lang w:eastAsia="en-US"/>
        </w:rPr>
        <w:t xml:space="preserve">при 73 за 2023 г. и </w:t>
      </w:r>
      <w:r>
        <w:rPr>
          <w:rFonts w:eastAsia="Calibri"/>
          <w:sz w:val="28"/>
          <w:szCs w:val="28"/>
          <w:lang w:eastAsia="en-US"/>
        </w:rPr>
        <w:t>81 за 2022</w:t>
      </w:r>
      <w:r w:rsidR="004170EE">
        <w:rPr>
          <w:rFonts w:eastAsia="Calibri"/>
          <w:sz w:val="28"/>
          <w:szCs w:val="28"/>
          <w:lang w:eastAsia="en-US"/>
        </w:rPr>
        <w:t xml:space="preserve"> </w:t>
      </w:r>
      <w:r>
        <w:rPr>
          <w:rFonts w:eastAsia="Calibri"/>
          <w:sz w:val="28"/>
          <w:szCs w:val="28"/>
          <w:lang w:eastAsia="en-US"/>
        </w:rPr>
        <w:t>г. От подадените през 2024 г. уведомления - 45 са от прокурори пр</w:t>
      </w:r>
      <w:r w:rsidR="004170EE">
        <w:rPr>
          <w:rFonts w:eastAsia="Calibri"/>
          <w:sz w:val="28"/>
          <w:szCs w:val="28"/>
          <w:lang w:eastAsia="en-US"/>
        </w:rPr>
        <w:t xml:space="preserve">и Окръжна прокуратура – Сливен, </w:t>
      </w:r>
      <w:r>
        <w:rPr>
          <w:rFonts w:eastAsia="Calibri"/>
          <w:sz w:val="28"/>
          <w:szCs w:val="28"/>
          <w:lang w:eastAsia="en-US"/>
        </w:rPr>
        <w:t>при 29 за 2023</w:t>
      </w:r>
      <w:r w:rsidR="004170EE">
        <w:rPr>
          <w:rFonts w:eastAsia="Calibri"/>
          <w:sz w:val="28"/>
          <w:szCs w:val="28"/>
          <w:lang w:eastAsia="en-US"/>
        </w:rPr>
        <w:t xml:space="preserve"> </w:t>
      </w:r>
      <w:r>
        <w:rPr>
          <w:rFonts w:eastAsia="Calibri"/>
          <w:sz w:val="28"/>
          <w:szCs w:val="28"/>
          <w:lang w:eastAsia="en-US"/>
        </w:rPr>
        <w:t>г.,</w:t>
      </w:r>
      <w:r w:rsidR="004170EE">
        <w:rPr>
          <w:rFonts w:eastAsia="Calibri"/>
          <w:sz w:val="28"/>
          <w:szCs w:val="28"/>
          <w:lang w:eastAsia="en-US"/>
        </w:rPr>
        <w:t xml:space="preserve"> а 26</w:t>
      </w:r>
      <w:r>
        <w:rPr>
          <w:rFonts w:eastAsia="Calibri"/>
          <w:sz w:val="28"/>
          <w:szCs w:val="28"/>
          <w:lang w:eastAsia="en-US"/>
        </w:rPr>
        <w:t xml:space="preserve"> са били подадени от прокурори от Районна прокуратура </w:t>
      </w:r>
      <w:r w:rsidR="004170EE">
        <w:rPr>
          <w:rFonts w:eastAsia="Calibri"/>
          <w:sz w:val="28"/>
          <w:szCs w:val="28"/>
          <w:lang w:eastAsia="en-US"/>
        </w:rPr>
        <w:t>–</w:t>
      </w:r>
      <w:r>
        <w:rPr>
          <w:rFonts w:eastAsia="Calibri"/>
          <w:sz w:val="28"/>
          <w:szCs w:val="28"/>
          <w:lang w:eastAsia="en-US"/>
        </w:rPr>
        <w:t xml:space="preserve"> Сливен</w:t>
      </w:r>
      <w:r w:rsidR="004170EE">
        <w:rPr>
          <w:rFonts w:eastAsia="Calibri"/>
          <w:sz w:val="28"/>
          <w:szCs w:val="28"/>
          <w:lang w:eastAsia="en-US"/>
        </w:rPr>
        <w:t>,</w:t>
      </w:r>
      <w:r w:rsidR="004170EE" w:rsidRPr="004170EE">
        <w:rPr>
          <w:rFonts w:eastAsia="Calibri"/>
          <w:sz w:val="28"/>
          <w:szCs w:val="28"/>
          <w:lang w:eastAsia="en-US"/>
        </w:rPr>
        <w:t xml:space="preserve"> </w:t>
      </w:r>
      <w:r w:rsidR="004170EE">
        <w:rPr>
          <w:rFonts w:eastAsia="Calibri"/>
          <w:sz w:val="28"/>
          <w:szCs w:val="28"/>
          <w:lang w:eastAsia="en-US"/>
        </w:rPr>
        <w:t xml:space="preserve">при 44 за 2023 г. </w:t>
      </w:r>
      <w:r>
        <w:rPr>
          <w:rFonts w:eastAsia="Calibri"/>
          <w:sz w:val="28"/>
          <w:szCs w:val="28"/>
          <w:lang w:eastAsia="en-US"/>
        </w:rPr>
        <w:t xml:space="preserve"> Отчита се</w:t>
      </w:r>
      <w:r w:rsidR="00EF5221">
        <w:rPr>
          <w:rFonts w:eastAsia="Calibri"/>
          <w:sz w:val="28"/>
          <w:szCs w:val="28"/>
          <w:lang w:eastAsia="en-US"/>
        </w:rPr>
        <w:t xml:space="preserve"> </w:t>
      </w:r>
      <w:r>
        <w:rPr>
          <w:rFonts w:eastAsia="Calibri"/>
          <w:sz w:val="28"/>
          <w:szCs w:val="28"/>
          <w:lang w:eastAsia="en-US"/>
        </w:rPr>
        <w:t xml:space="preserve">значително увеличаване по отношение на броя на </w:t>
      </w:r>
      <w:r w:rsidR="00EF5221">
        <w:rPr>
          <w:rFonts w:eastAsia="Calibri"/>
          <w:sz w:val="28"/>
          <w:szCs w:val="28"/>
          <w:lang w:eastAsia="en-US"/>
        </w:rPr>
        <w:t xml:space="preserve">подадените </w:t>
      </w:r>
      <w:r>
        <w:rPr>
          <w:rFonts w:eastAsia="Calibri"/>
          <w:sz w:val="28"/>
          <w:szCs w:val="28"/>
          <w:lang w:eastAsia="en-US"/>
        </w:rPr>
        <w:t>уведомления през 2024</w:t>
      </w:r>
      <w:r w:rsidR="00EF5221">
        <w:rPr>
          <w:rFonts w:eastAsia="Calibri"/>
          <w:sz w:val="28"/>
          <w:szCs w:val="28"/>
          <w:lang w:eastAsia="en-US"/>
        </w:rPr>
        <w:t xml:space="preserve"> </w:t>
      </w:r>
      <w:r>
        <w:rPr>
          <w:rFonts w:eastAsia="Calibri"/>
          <w:sz w:val="28"/>
          <w:szCs w:val="28"/>
          <w:lang w:eastAsia="en-US"/>
        </w:rPr>
        <w:t>г. за ОП-Сливен</w:t>
      </w:r>
      <w:r w:rsidR="00EF5221">
        <w:rPr>
          <w:rFonts w:eastAsia="Calibri"/>
          <w:sz w:val="28"/>
          <w:szCs w:val="28"/>
          <w:lang w:eastAsia="en-US"/>
        </w:rPr>
        <w:t>,</w:t>
      </w:r>
      <w:r>
        <w:rPr>
          <w:rFonts w:eastAsia="Calibri"/>
          <w:sz w:val="28"/>
          <w:szCs w:val="28"/>
          <w:lang w:eastAsia="en-US"/>
        </w:rPr>
        <w:t xml:space="preserve"> спрямо 2023 г. и спрямо тези през 2022</w:t>
      </w:r>
      <w:r w:rsidR="00EF5221">
        <w:rPr>
          <w:rFonts w:eastAsia="Calibri"/>
          <w:sz w:val="28"/>
          <w:szCs w:val="28"/>
          <w:lang w:eastAsia="en-US"/>
        </w:rPr>
        <w:t xml:space="preserve"> </w:t>
      </w:r>
      <w:r>
        <w:rPr>
          <w:rFonts w:eastAsia="Calibri"/>
          <w:sz w:val="28"/>
          <w:szCs w:val="28"/>
          <w:lang w:eastAsia="en-US"/>
        </w:rPr>
        <w:t>г.</w:t>
      </w:r>
    </w:p>
    <w:p w:rsidR="00BB1782" w:rsidRDefault="00BB1782" w:rsidP="00BB1782">
      <w:pPr>
        <w:spacing w:line="360" w:lineRule="exact"/>
        <w:ind w:firstLine="708"/>
        <w:jc w:val="both"/>
        <w:rPr>
          <w:rFonts w:eastAsia="Calibri"/>
          <w:sz w:val="28"/>
          <w:szCs w:val="28"/>
          <w:lang w:eastAsia="en-US"/>
        </w:rPr>
      </w:pPr>
      <w:r>
        <w:rPr>
          <w:rFonts w:eastAsia="Calibri"/>
          <w:sz w:val="28"/>
          <w:szCs w:val="28"/>
          <w:lang w:eastAsia="en-US"/>
        </w:rPr>
        <w:t xml:space="preserve">Тенденцията от предходни години от комисията да не постъпва </w:t>
      </w:r>
      <w:r>
        <w:rPr>
          <w:rFonts w:eastAsia="Calibri"/>
          <w:sz w:val="28"/>
          <w:szCs w:val="28"/>
          <w:lang w:eastAsia="en-US"/>
        </w:rPr>
        <w:lastRenderedPageBreak/>
        <w:t>обратна информация до прокуратурата, относно разгледаните случаи и евентуално образуваните производства пред съответния компетентен съд по внесените искови молби е променена</w:t>
      </w:r>
      <w:r w:rsidR="00EF5221">
        <w:rPr>
          <w:rFonts w:eastAsia="Calibri"/>
          <w:sz w:val="28"/>
          <w:szCs w:val="28"/>
          <w:lang w:eastAsia="en-US"/>
        </w:rPr>
        <w:t>, като от комисията вече постъпват уведомления</w:t>
      </w:r>
      <w:r>
        <w:rPr>
          <w:rFonts w:eastAsia="Calibri"/>
          <w:sz w:val="28"/>
          <w:szCs w:val="28"/>
          <w:lang w:eastAsia="en-US"/>
        </w:rPr>
        <w:t xml:space="preserve"> при приключване на</w:t>
      </w:r>
      <w:r w:rsidR="00EF5221">
        <w:rPr>
          <w:rFonts w:eastAsia="Calibri"/>
          <w:sz w:val="28"/>
          <w:szCs w:val="28"/>
          <w:lang w:eastAsia="en-US"/>
        </w:rPr>
        <w:t xml:space="preserve"> извършените от нея</w:t>
      </w:r>
      <w:r>
        <w:rPr>
          <w:rFonts w:eastAsia="Calibri"/>
          <w:sz w:val="28"/>
          <w:szCs w:val="28"/>
          <w:lang w:eastAsia="en-US"/>
        </w:rPr>
        <w:t xml:space="preserve"> проверки</w:t>
      </w:r>
      <w:r w:rsidR="00EF5221">
        <w:rPr>
          <w:rFonts w:eastAsia="Calibri"/>
          <w:sz w:val="28"/>
          <w:szCs w:val="28"/>
          <w:lang w:eastAsia="en-US"/>
        </w:rPr>
        <w:t>.</w:t>
      </w:r>
    </w:p>
    <w:p w:rsidR="00265F77" w:rsidRDefault="00265F77" w:rsidP="00BB1782">
      <w:pPr>
        <w:spacing w:line="360" w:lineRule="exact"/>
        <w:ind w:firstLine="720"/>
        <w:jc w:val="both"/>
        <w:rPr>
          <w:b/>
          <w:sz w:val="28"/>
          <w:szCs w:val="28"/>
        </w:rPr>
      </w:pPr>
    </w:p>
    <w:p w:rsidR="00BB1782" w:rsidRDefault="00BB1782" w:rsidP="00BB1782">
      <w:pPr>
        <w:spacing w:line="360" w:lineRule="exact"/>
        <w:ind w:firstLine="720"/>
        <w:jc w:val="both"/>
        <w:rPr>
          <w:b/>
          <w:sz w:val="28"/>
          <w:szCs w:val="28"/>
        </w:rPr>
      </w:pPr>
      <w:r>
        <w:rPr>
          <w:b/>
          <w:sz w:val="28"/>
          <w:szCs w:val="28"/>
        </w:rPr>
        <w:t>4. Осъдителни решения срещу Прокуратурата на РБ на основания, произтичащи от ЗОДОВ. Изпълнение на индивидуални и общи мерки във връзка с решения на ЕСПЧ по дела срещу България.</w:t>
      </w:r>
    </w:p>
    <w:p w:rsidR="00BB1782" w:rsidRDefault="00BB1782" w:rsidP="00D377B0">
      <w:pPr>
        <w:spacing w:line="360" w:lineRule="exact"/>
        <w:ind w:firstLine="720"/>
        <w:jc w:val="both"/>
        <w:rPr>
          <w:sz w:val="28"/>
          <w:szCs w:val="28"/>
        </w:rPr>
      </w:pPr>
      <w:r>
        <w:rPr>
          <w:sz w:val="28"/>
          <w:szCs w:val="28"/>
        </w:rPr>
        <w:t>През 202</w:t>
      </w:r>
      <w:r>
        <w:rPr>
          <w:sz w:val="28"/>
          <w:szCs w:val="28"/>
          <w:lang w:val="en-US"/>
        </w:rPr>
        <w:t>4</w:t>
      </w:r>
      <w:r>
        <w:rPr>
          <w:sz w:val="28"/>
          <w:szCs w:val="28"/>
        </w:rPr>
        <w:t xml:space="preserve"> г. по искови претенции свързани с правни основания произтичащи от ЗОДОВ и респективно - по образувани граждански дела пред Окръжен съд – Сливен и районните съдилища в съдебния район /включително по дела образувани през предходни години/, са били на производство общо 17 дела</w:t>
      </w:r>
      <w:r w:rsidR="00D377B0">
        <w:rPr>
          <w:sz w:val="28"/>
          <w:szCs w:val="28"/>
        </w:rPr>
        <w:t xml:space="preserve">, от които </w:t>
      </w:r>
      <w:r>
        <w:rPr>
          <w:sz w:val="28"/>
          <w:szCs w:val="28"/>
        </w:rPr>
        <w:t xml:space="preserve">6 пред </w:t>
      </w:r>
      <w:r w:rsidR="00D377B0">
        <w:rPr>
          <w:sz w:val="28"/>
          <w:szCs w:val="28"/>
        </w:rPr>
        <w:t xml:space="preserve">районните </w:t>
      </w:r>
      <w:r>
        <w:rPr>
          <w:sz w:val="28"/>
          <w:szCs w:val="28"/>
        </w:rPr>
        <w:t>съдилища /при 16 през 2023</w:t>
      </w:r>
      <w:r w:rsidR="00D377B0">
        <w:rPr>
          <w:sz w:val="28"/>
          <w:szCs w:val="28"/>
        </w:rPr>
        <w:t xml:space="preserve"> </w:t>
      </w:r>
      <w:r>
        <w:rPr>
          <w:sz w:val="28"/>
          <w:szCs w:val="28"/>
        </w:rPr>
        <w:t>г./ и 11 пред Окръжен съд – Сливен/ при 4 за 2023</w:t>
      </w:r>
      <w:r w:rsidR="00D377B0">
        <w:rPr>
          <w:sz w:val="28"/>
          <w:szCs w:val="28"/>
        </w:rPr>
        <w:t xml:space="preserve"> </w:t>
      </w:r>
      <w:r>
        <w:rPr>
          <w:sz w:val="28"/>
          <w:szCs w:val="28"/>
        </w:rPr>
        <w:t xml:space="preserve">г./. От тези общо </w:t>
      </w:r>
      <w:r>
        <w:rPr>
          <w:sz w:val="28"/>
          <w:szCs w:val="28"/>
          <w:lang w:val="en-US"/>
        </w:rPr>
        <w:t>1</w:t>
      </w:r>
      <w:r>
        <w:rPr>
          <w:sz w:val="28"/>
          <w:szCs w:val="28"/>
        </w:rPr>
        <w:t>7 граждански дела приключили</w:t>
      </w:r>
      <w:r>
        <w:rPr>
          <w:b/>
          <w:sz w:val="28"/>
          <w:szCs w:val="28"/>
        </w:rPr>
        <w:t xml:space="preserve"> </w:t>
      </w:r>
      <w:r>
        <w:rPr>
          <w:sz w:val="28"/>
          <w:szCs w:val="28"/>
        </w:rPr>
        <w:t xml:space="preserve">с осъждане на </w:t>
      </w:r>
      <w:r w:rsidR="00D377B0">
        <w:rPr>
          <w:sz w:val="28"/>
          <w:szCs w:val="28"/>
        </w:rPr>
        <w:t xml:space="preserve">прокуратурата </w:t>
      </w:r>
      <w:r>
        <w:rPr>
          <w:sz w:val="28"/>
          <w:szCs w:val="28"/>
        </w:rPr>
        <w:t>са</w:t>
      </w:r>
      <w:r>
        <w:rPr>
          <w:sz w:val="28"/>
          <w:szCs w:val="28"/>
          <w:lang w:val="en-US"/>
        </w:rPr>
        <w:t xml:space="preserve"> 1</w:t>
      </w:r>
      <w:r>
        <w:rPr>
          <w:sz w:val="28"/>
          <w:szCs w:val="28"/>
        </w:rPr>
        <w:t>1</w:t>
      </w:r>
      <w:r w:rsidR="00D377B0">
        <w:rPr>
          <w:sz w:val="28"/>
          <w:szCs w:val="28"/>
        </w:rPr>
        <w:t xml:space="preserve"> дела. Пред районните </w:t>
      </w:r>
      <w:r>
        <w:rPr>
          <w:sz w:val="28"/>
          <w:szCs w:val="28"/>
        </w:rPr>
        <w:t>съд</w:t>
      </w:r>
      <w:r w:rsidR="00D377B0">
        <w:rPr>
          <w:sz w:val="28"/>
          <w:szCs w:val="28"/>
        </w:rPr>
        <w:t>илища приключили с осъждане на прокуратурата</w:t>
      </w:r>
      <w:r>
        <w:rPr>
          <w:sz w:val="28"/>
          <w:szCs w:val="28"/>
        </w:rPr>
        <w:t xml:space="preserve"> са</w:t>
      </w:r>
      <w:r w:rsidR="00D377B0">
        <w:rPr>
          <w:sz w:val="28"/>
          <w:szCs w:val="28"/>
        </w:rPr>
        <w:t xml:space="preserve"> 3 дела</w:t>
      </w:r>
      <w:r>
        <w:rPr>
          <w:sz w:val="28"/>
          <w:szCs w:val="28"/>
        </w:rPr>
        <w:t xml:space="preserve"> </w:t>
      </w:r>
      <w:r w:rsidR="00D377B0">
        <w:rPr>
          <w:sz w:val="28"/>
          <w:szCs w:val="28"/>
        </w:rPr>
        <w:t>/</w:t>
      </w:r>
      <w:r>
        <w:rPr>
          <w:sz w:val="28"/>
          <w:szCs w:val="28"/>
        </w:rPr>
        <w:t>при 8 за 2023</w:t>
      </w:r>
      <w:r w:rsidR="00D377B0">
        <w:rPr>
          <w:sz w:val="28"/>
          <w:szCs w:val="28"/>
        </w:rPr>
        <w:t xml:space="preserve"> </w:t>
      </w:r>
      <w:r>
        <w:rPr>
          <w:sz w:val="28"/>
          <w:szCs w:val="28"/>
        </w:rPr>
        <w:t>г./ и 8 пред ОС- Сливен /при 3 за 2023</w:t>
      </w:r>
      <w:r w:rsidR="00D377B0">
        <w:rPr>
          <w:sz w:val="28"/>
          <w:szCs w:val="28"/>
        </w:rPr>
        <w:t xml:space="preserve"> </w:t>
      </w:r>
      <w:r>
        <w:rPr>
          <w:sz w:val="28"/>
          <w:szCs w:val="28"/>
        </w:rPr>
        <w:t>г</w:t>
      </w:r>
      <w:r w:rsidR="00D377B0">
        <w:rPr>
          <w:sz w:val="28"/>
          <w:szCs w:val="28"/>
        </w:rPr>
        <w:t xml:space="preserve">./. </w:t>
      </w:r>
      <w:r>
        <w:rPr>
          <w:sz w:val="28"/>
          <w:szCs w:val="28"/>
        </w:rPr>
        <w:t>Пред ОС-Сливен две дела са приключили с ця</w:t>
      </w:r>
      <w:r w:rsidR="007F6CAE">
        <w:rPr>
          <w:sz w:val="28"/>
          <w:szCs w:val="28"/>
        </w:rPr>
        <w:t>лостно отхвърляне на исковете,</w:t>
      </w:r>
      <w:r>
        <w:rPr>
          <w:sz w:val="28"/>
          <w:szCs w:val="28"/>
        </w:rPr>
        <w:t xml:space="preserve"> едно е отложено за 2025</w:t>
      </w:r>
      <w:r w:rsidR="00D377B0">
        <w:rPr>
          <w:sz w:val="28"/>
          <w:szCs w:val="28"/>
        </w:rPr>
        <w:t xml:space="preserve"> </w:t>
      </w:r>
      <w:r>
        <w:rPr>
          <w:sz w:val="28"/>
          <w:szCs w:val="28"/>
        </w:rPr>
        <w:t>г.</w:t>
      </w:r>
      <w:r>
        <w:rPr>
          <w:sz w:val="28"/>
          <w:szCs w:val="28"/>
          <w:lang w:val="en-US"/>
        </w:rPr>
        <w:t xml:space="preserve"> </w:t>
      </w:r>
      <w:r>
        <w:rPr>
          <w:sz w:val="28"/>
          <w:szCs w:val="28"/>
        </w:rPr>
        <w:t>и три са отложени пред РС-Сливен.</w:t>
      </w:r>
    </w:p>
    <w:p w:rsidR="00BB1782" w:rsidRDefault="00BB1782" w:rsidP="00BB1782">
      <w:pPr>
        <w:spacing w:line="360" w:lineRule="exact"/>
        <w:ind w:firstLine="720"/>
        <w:jc w:val="both"/>
        <w:rPr>
          <w:sz w:val="28"/>
          <w:szCs w:val="28"/>
        </w:rPr>
      </w:pPr>
      <w:r>
        <w:rPr>
          <w:sz w:val="28"/>
          <w:szCs w:val="28"/>
        </w:rPr>
        <w:t xml:space="preserve">Пред Окръжен съд - Сливен са били на производство 4 </w:t>
      </w:r>
      <w:proofErr w:type="spellStart"/>
      <w:r>
        <w:rPr>
          <w:sz w:val="28"/>
          <w:szCs w:val="28"/>
        </w:rPr>
        <w:t>възззивни</w:t>
      </w:r>
      <w:proofErr w:type="spellEnd"/>
      <w:r>
        <w:rPr>
          <w:sz w:val="28"/>
          <w:szCs w:val="28"/>
        </w:rPr>
        <w:t xml:space="preserve"> граждански дела</w:t>
      </w:r>
      <w:r w:rsidR="00D377B0">
        <w:rPr>
          <w:sz w:val="28"/>
          <w:szCs w:val="28"/>
        </w:rPr>
        <w:t>,</w:t>
      </w:r>
      <w:r>
        <w:rPr>
          <w:sz w:val="28"/>
          <w:szCs w:val="28"/>
        </w:rPr>
        <w:t xml:space="preserve"> с правни основания произтичащи от ЗОДОВ, като и четирите са били решени</w:t>
      </w:r>
      <w:r w:rsidR="00D377B0">
        <w:rPr>
          <w:sz w:val="28"/>
          <w:szCs w:val="28"/>
        </w:rPr>
        <w:t>.</w:t>
      </w:r>
      <w:r>
        <w:rPr>
          <w:sz w:val="28"/>
          <w:szCs w:val="28"/>
        </w:rPr>
        <w:t xml:space="preserve"> </w:t>
      </w:r>
      <w:r w:rsidR="00D377B0">
        <w:rPr>
          <w:sz w:val="28"/>
          <w:szCs w:val="28"/>
        </w:rPr>
        <w:t>П</w:t>
      </w:r>
      <w:r>
        <w:rPr>
          <w:sz w:val="28"/>
          <w:szCs w:val="28"/>
        </w:rPr>
        <w:t xml:space="preserve">о три от тях </w:t>
      </w:r>
      <w:r w:rsidR="00D377B0">
        <w:rPr>
          <w:sz w:val="28"/>
          <w:szCs w:val="28"/>
        </w:rPr>
        <w:t>е осъдена</w:t>
      </w:r>
      <w:r>
        <w:rPr>
          <w:sz w:val="28"/>
          <w:szCs w:val="28"/>
        </w:rPr>
        <w:t xml:space="preserve"> ПРБ</w:t>
      </w:r>
      <w:r w:rsidR="00D377B0">
        <w:rPr>
          <w:sz w:val="28"/>
          <w:szCs w:val="28"/>
        </w:rPr>
        <w:t>.</w:t>
      </w:r>
      <w:r>
        <w:rPr>
          <w:sz w:val="28"/>
          <w:szCs w:val="28"/>
        </w:rPr>
        <w:t xml:space="preserve"> Срещу решенията на </w:t>
      </w:r>
      <w:proofErr w:type="spellStart"/>
      <w:r>
        <w:rPr>
          <w:sz w:val="28"/>
          <w:szCs w:val="28"/>
        </w:rPr>
        <w:t>въззивната</w:t>
      </w:r>
      <w:proofErr w:type="spellEnd"/>
      <w:r>
        <w:rPr>
          <w:sz w:val="28"/>
          <w:szCs w:val="28"/>
        </w:rPr>
        <w:t xml:space="preserve"> инстанция не са били подадени касационни жалби, а са налице мотивирани становища за липса на основание за касационно оспорване. През 2024 г. са влезли в сила три осъдителни съдебни решения</w:t>
      </w:r>
      <w:r w:rsidR="00684657">
        <w:rPr>
          <w:sz w:val="28"/>
          <w:szCs w:val="28"/>
        </w:rPr>
        <w:t>,</w:t>
      </w:r>
      <w:r>
        <w:rPr>
          <w:sz w:val="28"/>
          <w:szCs w:val="28"/>
        </w:rPr>
        <w:t xml:space="preserve"> с правно основание произтичащо от ЗОДОВ, в производства с участието на прокурор при Окръжна прокуратура - Сливен – всички образувани през минали години, както и четири осъдителни решения в производства с участието на прокурор при Районна прокуратура – Сливен. Правните основания на влезлите в сила съдебни решения са по чл.2 ал.1 т.3 предл.1 от ЗОДОВ – за две от делата пред Окръжен съд - Сливен и четири от тези пред районните съдилища, както и едно пред Окръжен съд - Сливен с правно основание – чл.2 ал.1 т.3 предл.2 от ЗОДОВ.</w:t>
      </w:r>
    </w:p>
    <w:p w:rsidR="00BB1782" w:rsidRDefault="00BB1782" w:rsidP="00BB1782">
      <w:pPr>
        <w:spacing w:line="360" w:lineRule="exact"/>
        <w:ind w:firstLine="720"/>
        <w:jc w:val="both"/>
        <w:rPr>
          <w:sz w:val="28"/>
          <w:szCs w:val="28"/>
        </w:rPr>
      </w:pPr>
      <w:r>
        <w:rPr>
          <w:sz w:val="28"/>
          <w:szCs w:val="28"/>
        </w:rPr>
        <w:t>В сравнение с 2023</w:t>
      </w:r>
      <w:r w:rsidR="00684657">
        <w:rPr>
          <w:sz w:val="28"/>
          <w:szCs w:val="28"/>
        </w:rPr>
        <w:t xml:space="preserve"> </w:t>
      </w:r>
      <w:r>
        <w:rPr>
          <w:sz w:val="28"/>
          <w:szCs w:val="28"/>
        </w:rPr>
        <w:t>г. е налице стабилност на показателя</w:t>
      </w:r>
      <w:r w:rsidR="00684657">
        <w:rPr>
          <w:sz w:val="28"/>
          <w:szCs w:val="28"/>
        </w:rPr>
        <w:t xml:space="preserve"> </w:t>
      </w:r>
      <w:r>
        <w:rPr>
          <w:sz w:val="28"/>
          <w:szCs w:val="28"/>
        </w:rPr>
        <w:t>-</w:t>
      </w:r>
      <w:r w:rsidR="00684657">
        <w:rPr>
          <w:sz w:val="28"/>
          <w:szCs w:val="28"/>
        </w:rPr>
        <w:t xml:space="preserve"> </w:t>
      </w:r>
      <w:r>
        <w:rPr>
          <w:sz w:val="28"/>
          <w:szCs w:val="28"/>
        </w:rPr>
        <w:t>тогава са влезли в сила 8 решения, при влезли в сила само две съдебни решения за 2022г., с които ПРБ е била осъдена по дела с правни основания, произтичащи по ЗОДОВ.</w:t>
      </w:r>
      <w:r w:rsidR="007F6CAE">
        <w:rPr>
          <w:sz w:val="28"/>
          <w:szCs w:val="28"/>
        </w:rPr>
        <w:t xml:space="preserve"> </w:t>
      </w:r>
      <w:r>
        <w:rPr>
          <w:sz w:val="28"/>
          <w:szCs w:val="28"/>
        </w:rPr>
        <w:t xml:space="preserve">Очевидна е тенденцията за значително увеличаване на осъдителните решения а и на присъдените обезщетения </w:t>
      </w:r>
      <w:r>
        <w:rPr>
          <w:sz w:val="28"/>
          <w:szCs w:val="28"/>
        </w:rPr>
        <w:lastRenderedPageBreak/>
        <w:t>през последните две години.</w:t>
      </w:r>
      <w:r w:rsidR="007F6CAE">
        <w:rPr>
          <w:sz w:val="28"/>
          <w:szCs w:val="28"/>
        </w:rPr>
        <w:t xml:space="preserve"> </w:t>
      </w:r>
      <w:r>
        <w:rPr>
          <w:sz w:val="28"/>
          <w:szCs w:val="28"/>
        </w:rPr>
        <w:t xml:space="preserve">Лицата осъдили ПРБ през 2024 г. са били общо 7, от които 3 лица – по дела пред Окръжен съд - Сливен и 4 лица по дела пред районните съдилища. </w:t>
      </w:r>
    </w:p>
    <w:p w:rsidR="00BB1782" w:rsidRDefault="00BB1782" w:rsidP="00BB1782">
      <w:pPr>
        <w:spacing w:line="360" w:lineRule="exact"/>
        <w:ind w:firstLine="720"/>
        <w:jc w:val="both"/>
        <w:rPr>
          <w:sz w:val="28"/>
          <w:szCs w:val="28"/>
        </w:rPr>
      </w:pPr>
      <w:r>
        <w:rPr>
          <w:sz w:val="28"/>
          <w:szCs w:val="28"/>
        </w:rPr>
        <w:t xml:space="preserve">Общият размер на присъдените обезщетения по влезли в сила съдебни решения по ЗОДОВ за имуществени и неимуществени вреди през  2024г. е 43598,28лв. а през 2023 г. - 47861 лева, от които по дела на производство пред районните съдилища за 2024г.- 12400 лева , а пред Окръжен съд - Сливен – 31198,28 лева, при размер от 5707 лв. за 2022 г. като се отчита низходяща тенденция на размера на присъденото обезщетение в рамките на годината, спрямо 2023г., въпреки значително завишения брой на дела на производство и на </w:t>
      </w:r>
      <w:proofErr w:type="spellStart"/>
      <w:r>
        <w:rPr>
          <w:sz w:val="28"/>
          <w:szCs w:val="28"/>
        </w:rPr>
        <w:t>претендираните</w:t>
      </w:r>
      <w:proofErr w:type="spellEnd"/>
      <w:r>
        <w:rPr>
          <w:sz w:val="28"/>
          <w:szCs w:val="28"/>
        </w:rPr>
        <w:t xml:space="preserve"> обезщетения по тях.</w:t>
      </w:r>
      <w:r w:rsidR="007F6CAE">
        <w:rPr>
          <w:sz w:val="28"/>
          <w:szCs w:val="28"/>
        </w:rPr>
        <w:t xml:space="preserve"> </w:t>
      </w:r>
      <w:r>
        <w:rPr>
          <w:sz w:val="28"/>
          <w:szCs w:val="28"/>
        </w:rPr>
        <w:t xml:space="preserve">От новообразуваните производства пред съдилищата в съдебния район за 2024 г. няма приключили такива в Окръжен съд - Сливен с влязъл в сила осъдителен акт. </w:t>
      </w:r>
    </w:p>
    <w:p w:rsidR="00BB1782" w:rsidRDefault="00BB1782" w:rsidP="00BB1782">
      <w:pPr>
        <w:spacing w:line="360" w:lineRule="exact"/>
        <w:ind w:firstLine="720"/>
        <w:jc w:val="both"/>
        <w:rPr>
          <w:sz w:val="28"/>
          <w:szCs w:val="28"/>
        </w:rPr>
      </w:pPr>
      <w:r>
        <w:rPr>
          <w:sz w:val="28"/>
          <w:szCs w:val="28"/>
        </w:rPr>
        <w:t>Натрупването на неприключили производства от минали години и на такива от 2024</w:t>
      </w:r>
      <w:r w:rsidR="00684657">
        <w:rPr>
          <w:sz w:val="28"/>
          <w:szCs w:val="28"/>
        </w:rPr>
        <w:t xml:space="preserve"> </w:t>
      </w:r>
      <w:r>
        <w:rPr>
          <w:sz w:val="28"/>
          <w:szCs w:val="28"/>
        </w:rPr>
        <w:t xml:space="preserve">г. и вероятното им приключване им през 2025 г. ще завиши, както броя на влезлите в сила съдебни актове и приключили дела, така и на размера на присъдените с тях обезщетения. Независимо от това,  и с оглед на увеличаването на броя на разглежданите дела през 2024 г. по ЗОДОВ, размерът на присъдените обезщетения за тази година е в нормални граници, особено на фона на предявени искове и претенции в значителни размери за неимуществени вреди, достигащи в някои от делата до </w:t>
      </w:r>
      <w:proofErr w:type="spellStart"/>
      <w:r>
        <w:rPr>
          <w:sz w:val="28"/>
          <w:szCs w:val="28"/>
        </w:rPr>
        <w:t>няколкостотин</w:t>
      </w:r>
      <w:proofErr w:type="spellEnd"/>
      <w:r>
        <w:rPr>
          <w:sz w:val="28"/>
          <w:szCs w:val="28"/>
        </w:rPr>
        <w:t xml:space="preserve"> хиляди лева.</w:t>
      </w:r>
    </w:p>
    <w:p w:rsidR="00BB1782" w:rsidRDefault="00BB1782" w:rsidP="00BB1782">
      <w:pPr>
        <w:spacing w:line="360" w:lineRule="exact"/>
        <w:ind w:firstLine="709"/>
        <w:jc w:val="both"/>
        <w:rPr>
          <w:sz w:val="28"/>
          <w:szCs w:val="28"/>
        </w:rPr>
      </w:pPr>
      <w:r>
        <w:rPr>
          <w:sz w:val="28"/>
          <w:szCs w:val="28"/>
        </w:rPr>
        <w:t xml:space="preserve">Делата по ЗОДОВ се наблюдават приоритетно. Своевременно биват подавани подробни отговори на искови молби, становища, както и </w:t>
      </w:r>
      <w:proofErr w:type="spellStart"/>
      <w:r>
        <w:rPr>
          <w:sz w:val="28"/>
          <w:szCs w:val="28"/>
        </w:rPr>
        <w:t>въззивни</w:t>
      </w:r>
      <w:proofErr w:type="spellEnd"/>
      <w:r>
        <w:rPr>
          <w:sz w:val="28"/>
          <w:szCs w:val="28"/>
        </w:rPr>
        <w:t xml:space="preserve"> жалби или мотивирани становища (след съгласуване с наблюдаващите прокурори при Върховна</w:t>
      </w:r>
      <w:r w:rsidR="00684657">
        <w:rPr>
          <w:sz w:val="28"/>
          <w:szCs w:val="28"/>
        </w:rPr>
        <w:t xml:space="preserve"> касационна</w:t>
      </w:r>
      <w:r>
        <w:rPr>
          <w:sz w:val="28"/>
          <w:szCs w:val="28"/>
        </w:rPr>
        <w:t xml:space="preserve"> прокуратура) при неподаване на </w:t>
      </w:r>
      <w:proofErr w:type="spellStart"/>
      <w:r>
        <w:rPr>
          <w:sz w:val="28"/>
          <w:szCs w:val="28"/>
        </w:rPr>
        <w:t>въззивни</w:t>
      </w:r>
      <w:proofErr w:type="spellEnd"/>
      <w:r>
        <w:rPr>
          <w:sz w:val="28"/>
          <w:szCs w:val="28"/>
        </w:rPr>
        <w:t xml:space="preserve"> жалби. </w:t>
      </w:r>
    </w:p>
    <w:p w:rsidR="00BB1782" w:rsidRDefault="00BB1782" w:rsidP="00BB1782">
      <w:pPr>
        <w:spacing w:line="360" w:lineRule="exact"/>
        <w:ind w:firstLine="709"/>
        <w:jc w:val="both"/>
        <w:rPr>
          <w:b/>
          <w:bCs/>
          <w:sz w:val="26"/>
          <w:szCs w:val="26"/>
        </w:rPr>
      </w:pPr>
      <w:r>
        <w:rPr>
          <w:sz w:val="28"/>
          <w:szCs w:val="28"/>
        </w:rPr>
        <w:t xml:space="preserve">Поддържа се непосредствен контакт с наблюдаващите прокурори от Върховна </w:t>
      </w:r>
      <w:r w:rsidR="00684657">
        <w:rPr>
          <w:sz w:val="28"/>
          <w:szCs w:val="28"/>
        </w:rPr>
        <w:t xml:space="preserve">касационна </w:t>
      </w:r>
      <w:r>
        <w:rPr>
          <w:sz w:val="28"/>
          <w:szCs w:val="28"/>
        </w:rPr>
        <w:t>прокуратура, както и с ресорния по надзора прокурор от Апелативна прокуратура – Бургас, които своевременно и писмено биват уведомявани за предприетите действия, свързани с производството по ЗОДОВ, с изпращане на копия от съставените прокурорски актове. Водят се отделни регистри за тези дела и в Районна прокуратура - Сливен и в Окръжна прокуратура – Сливен- на хартиен и електронен носител.</w:t>
      </w:r>
      <w:r w:rsidR="00684657">
        <w:rPr>
          <w:sz w:val="28"/>
          <w:szCs w:val="28"/>
        </w:rPr>
        <w:t xml:space="preserve"> </w:t>
      </w:r>
      <w:r>
        <w:rPr>
          <w:sz w:val="28"/>
          <w:szCs w:val="28"/>
        </w:rPr>
        <w:t>Няма изпълнявани индивидуални мерки и общи такива, във връзка с решения на ЕСПЧ през 2024</w:t>
      </w:r>
      <w:r w:rsidR="00684657">
        <w:rPr>
          <w:sz w:val="28"/>
          <w:szCs w:val="28"/>
        </w:rPr>
        <w:t xml:space="preserve"> </w:t>
      </w:r>
      <w:r>
        <w:rPr>
          <w:sz w:val="28"/>
          <w:szCs w:val="28"/>
        </w:rPr>
        <w:t>г.</w:t>
      </w:r>
      <w:r w:rsidR="00684657">
        <w:rPr>
          <w:sz w:val="28"/>
          <w:szCs w:val="28"/>
        </w:rPr>
        <w:t xml:space="preserve"> </w:t>
      </w:r>
      <w:r>
        <w:rPr>
          <w:sz w:val="28"/>
          <w:szCs w:val="28"/>
        </w:rPr>
        <w:t>и за ОП-Сливен</w:t>
      </w:r>
      <w:r w:rsidR="00684657">
        <w:rPr>
          <w:sz w:val="28"/>
          <w:szCs w:val="28"/>
        </w:rPr>
        <w:t>,</w:t>
      </w:r>
      <w:r>
        <w:rPr>
          <w:sz w:val="28"/>
          <w:szCs w:val="28"/>
        </w:rPr>
        <w:t xml:space="preserve"> и за РП-Сливен, по дела срещу България.</w:t>
      </w:r>
    </w:p>
    <w:p w:rsidR="008E395B" w:rsidRDefault="00BB1782" w:rsidP="00265F77">
      <w:pPr>
        <w:rPr>
          <w:b/>
          <w:bCs/>
          <w:sz w:val="28"/>
          <w:szCs w:val="28"/>
        </w:rPr>
      </w:pPr>
      <w:r>
        <w:t xml:space="preserve">   </w:t>
      </w:r>
    </w:p>
    <w:p w:rsidR="005146F8" w:rsidRDefault="005146F8" w:rsidP="005146F8">
      <w:pPr>
        <w:widowControl/>
        <w:autoSpaceDE/>
        <w:adjustRightInd/>
        <w:spacing w:line="240" w:lineRule="atLeast"/>
        <w:ind w:right="57" w:firstLine="720"/>
        <w:jc w:val="both"/>
        <w:rPr>
          <w:b/>
          <w:bCs/>
          <w:sz w:val="28"/>
          <w:szCs w:val="28"/>
        </w:rPr>
      </w:pPr>
      <w:r>
        <w:rPr>
          <w:b/>
          <w:bCs/>
          <w:color w:val="000000" w:themeColor="text1"/>
          <w:sz w:val="28"/>
          <w:szCs w:val="28"/>
        </w:rPr>
        <w:lastRenderedPageBreak/>
        <w:t xml:space="preserve">5. </w:t>
      </w:r>
      <w:r w:rsidR="008D3C23">
        <w:rPr>
          <w:b/>
          <w:bCs/>
          <w:color w:val="000000" w:themeColor="text1"/>
          <w:sz w:val="28"/>
          <w:szCs w:val="28"/>
        </w:rPr>
        <w:t>И</w:t>
      </w:r>
      <w:r>
        <w:rPr>
          <w:b/>
          <w:bCs/>
          <w:color w:val="000000" w:themeColor="text1"/>
          <w:sz w:val="28"/>
          <w:szCs w:val="28"/>
        </w:rPr>
        <w:t xml:space="preserve">зпълнение на наказанията и другите </w:t>
      </w:r>
      <w:r>
        <w:rPr>
          <w:b/>
          <w:bCs/>
          <w:sz w:val="28"/>
          <w:szCs w:val="28"/>
        </w:rPr>
        <w:t>принудителни мерки.</w:t>
      </w:r>
    </w:p>
    <w:p w:rsidR="005146F8" w:rsidRDefault="005146F8" w:rsidP="005146F8">
      <w:pPr>
        <w:widowControl/>
        <w:autoSpaceDE/>
        <w:adjustRightInd/>
        <w:spacing w:line="340" w:lineRule="exact"/>
        <w:ind w:right="57" w:firstLine="708"/>
        <w:jc w:val="both"/>
        <w:rPr>
          <w:b/>
          <w:bCs/>
          <w:sz w:val="28"/>
          <w:szCs w:val="28"/>
        </w:rPr>
      </w:pPr>
      <w:r>
        <w:rPr>
          <w:b/>
          <w:bCs/>
          <w:sz w:val="28"/>
          <w:szCs w:val="28"/>
        </w:rPr>
        <w:t>Привеждане на присъдите в изпълнение.</w:t>
      </w:r>
    </w:p>
    <w:p w:rsidR="005146F8" w:rsidRDefault="005146F8" w:rsidP="005146F8">
      <w:pPr>
        <w:widowControl/>
        <w:autoSpaceDE/>
        <w:adjustRightInd/>
        <w:spacing w:line="340" w:lineRule="exact"/>
        <w:ind w:left="57" w:right="57" w:firstLine="720"/>
        <w:jc w:val="both"/>
        <w:rPr>
          <w:color w:val="FF0000"/>
          <w:sz w:val="28"/>
          <w:szCs w:val="28"/>
        </w:rPr>
      </w:pPr>
      <w:r>
        <w:rPr>
          <w:sz w:val="28"/>
          <w:szCs w:val="28"/>
        </w:rPr>
        <w:t>Към 01.</w:t>
      </w:r>
      <w:proofErr w:type="spellStart"/>
      <w:r>
        <w:rPr>
          <w:sz w:val="28"/>
          <w:szCs w:val="28"/>
        </w:rPr>
        <w:t>01</w:t>
      </w:r>
      <w:proofErr w:type="spellEnd"/>
      <w:r>
        <w:rPr>
          <w:sz w:val="28"/>
          <w:szCs w:val="28"/>
        </w:rPr>
        <w:t>.2024 г. в Окръжна прокуратура – Сливен са останали 4 неприведени присъди от предходния отчетен период. За сравнение в началото на 2023 година са били 7, а през 2022 г. не е имало неприведени присъди от предходен период.</w:t>
      </w:r>
      <w:r>
        <w:rPr>
          <w:color w:val="FF0000"/>
          <w:sz w:val="28"/>
          <w:szCs w:val="28"/>
        </w:rPr>
        <w:t xml:space="preserve"> </w:t>
      </w:r>
    </w:p>
    <w:p w:rsidR="005146F8" w:rsidRDefault="005146F8" w:rsidP="005146F8">
      <w:pPr>
        <w:widowControl/>
        <w:autoSpaceDE/>
        <w:adjustRightInd/>
        <w:spacing w:line="340" w:lineRule="exact"/>
        <w:ind w:left="57" w:right="57" w:firstLine="720"/>
        <w:jc w:val="both"/>
        <w:rPr>
          <w:color w:val="FF0000"/>
          <w:sz w:val="28"/>
          <w:szCs w:val="28"/>
        </w:rPr>
      </w:pPr>
    </w:p>
    <w:p w:rsidR="005146F8" w:rsidRDefault="00F97AFD" w:rsidP="005146F8">
      <w:pPr>
        <w:widowControl/>
        <w:autoSpaceDE/>
        <w:adjustRightInd/>
        <w:spacing w:line="340" w:lineRule="exact"/>
        <w:ind w:left="57" w:right="57" w:firstLine="720"/>
        <w:jc w:val="both"/>
        <w:rPr>
          <w:i/>
          <w:sz w:val="28"/>
          <w:szCs w:val="28"/>
          <w:u w:val="single"/>
        </w:rPr>
      </w:pPr>
      <w:r>
        <w:rPr>
          <w:noProof/>
        </w:rPr>
        <w:drawing>
          <wp:anchor distT="0" distB="0" distL="114300" distR="114300" simplePos="0" relativeHeight="251702272" behindDoc="0" locked="0" layoutInCell="1" allowOverlap="1" wp14:anchorId="7D4E9031" wp14:editId="49FE9BB7">
            <wp:simplePos x="0" y="0"/>
            <wp:positionH relativeFrom="column">
              <wp:posOffset>273050</wp:posOffset>
            </wp:positionH>
            <wp:positionV relativeFrom="paragraph">
              <wp:posOffset>629285</wp:posOffset>
            </wp:positionV>
            <wp:extent cx="4598670" cy="2360930"/>
            <wp:effectExtent l="0" t="0" r="0" b="0"/>
            <wp:wrapTopAndBottom/>
            <wp:docPr id="1"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5146F8">
        <w:rPr>
          <w:b/>
          <w:bCs/>
          <w:i/>
          <w:sz w:val="28"/>
          <w:szCs w:val="28"/>
          <w:u w:val="single"/>
          <w:lang w:val="be-BY"/>
        </w:rPr>
        <w:t xml:space="preserve">Останали неприведени присъди за съответната година от предходен отчетен период </w:t>
      </w:r>
    </w:p>
    <w:p w:rsidR="005146F8" w:rsidRDefault="005146F8" w:rsidP="005146F8">
      <w:pPr>
        <w:widowControl/>
        <w:autoSpaceDE/>
        <w:adjustRightInd/>
        <w:spacing w:line="340" w:lineRule="exact"/>
        <w:ind w:left="57" w:right="57" w:firstLine="720"/>
        <w:jc w:val="both"/>
        <w:rPr>
          <w:i/>
          <w:sz w:val="28"/>
          <w:szCs w:val="28"/>
          <w:u w:val="single"/>
        </w:rPr>
      </w:pPr>
    </w:p>
    <w:p w:rsidR="005146F8" w:rsidRDefault="005146F8" w:rsidP="005146F8">
      <w:pPr>
        <w:widowControl/>
        <w:autoSpaceDE/>
        <w:adjustRightInd/>
        <w:spacing w:line="340" w:lineRule="exact"/>
        <w:ind w:left="57" w:right="57" w:firstLine="720"/>
        <w:jc w:val="both"/>
        <w:rPr>
          <w:sz w:val="28"/>
          <w:szCs w:val="28"/>
        </w:rPr>
      </w:pPr>
    </w:p>
    <w:p w:rsidR="005146F8" w:rsidRDefault="005146F8" w:rsidP="005146F8">
      <w:pPr>
        <w:widowControl/>
        <w:autoSpaceDE/>
        <w:adjustRightInd/>
        <w:spacing w:line="340" w:lineRule="exact"/>
        <w:ind w:left="57" w:right="57" w:firstLine="720"/>
        <w:jc w:val="both"/>
        <w:rPr>
          <w:sz w:val="28"/>
          <w:szCs w:val="28"/>
        </w:rPr>
      </w:pPr>
      <w:r>
        <w:rPr>
          <w:sz w:val="28"/>
          <w:szCs w:val="28"/>
        </w:rPr>
        <w:t>През 2024 г. в прокуратурите от системата на Сливенската окръжна прокуратура са получени 585 присъди и одобрени споразумения. За предходната 2023 г. те са били 630 бр., а за 20</w:t>
      </w:r>
      <w:r>
        <w:rPr>
          <w:sz w:val="28"/>
          <w:szCs w:val="28"/>
          <w:lang w:val="en-US"/>
        </w:rPr>
        <w:t>2</w:t>
      </w:r>
      <w:r>
        <w:rPr>
          <w:sz w:val="28"/>
          <w:szCs w:val="28"/>
        </w:rPr>
        <w:t>2 г. - 649 бр. Намалението при получените за изпълнение присъди спрямо 2023 г. е</w:t>
      </w:r>
      <w:r>
        <w:rPr>
          <w:sz w:val="28"/>
          <w:szCs w:val="28"/>
          <w:lang w:val="en-US"/>
        </w:rPr>
        <w:t xml:space="preserve"> </w:t>
      </w:r>
      <w:r>
        <w:rPr>
          <w:sz w:val="28"/>
          <w:szCs w:val="28"/>
        </w:rPr>
        <w:t>със 7,14%, а спрямо 2022 г. с 9,8</w:t>
      </w:r>
      <w:r>
        <w:rPr>
          <w:sz w:val="28"/>
          <w:szCs w:val="28"/>
          <w:lang w:val="en-US"/>
        </w:rPr>
        <w:t>6</w:t>
      </w:r>
      <w:r>
        <w:rPr>
          <w:sz w:val="28"/>
          <w:szCs w:val="28"/>
        </w:rPr>
        <w:t>%. Налице е тенденция на намаляване по този показател, доколкото през отчетната година се отчита намален брой на получените за изпълнение от съдилищата присъди и одобрени споразумения.</w:t>
      </w:r>
    </w:p>
    <w:p w:rsidR="005146F8" w:rsidRDefault="005146F8" w:rsidP="005146F8">
      <w:pPr>
        <w:widowControl/>
        <w:autoSpaceDE/>
        <w:adjustRightInd/>
        <w:spacing w:line="340" w:lineRule="exact"/>
        <w:ind w:left="57" w:right="57" w:firstLine="720"/>
        <w:jc w:val="both"/>
        <w:rPr>
          <w:sz w:val="28"/>
          <w:szCs w:val="28"/>
        </w:rPr>
      </w:pPr>
      <w:r>
        <w:rPr>
          <w:sz w:val="28"/>
          <w:szCs w:val="28"/>
        </w:rPr>
        <w:t xml:space="preserve">През 2024 г. </w:t>
      </w:r>
      <w:r w:rsidR="00684657">
        <w:rPr>
          <w:sz w:val="28"/>
          <w:szCs w:val="28"/>
        </w:rPr>
        <w:t xml:space="preserve">прокурорите от Окръжна прокуратура - Сливен и Районна прокуратура - Сливен </w:t>
      </w:r>
      <w:r>
        <w:rPr>
          <w:sz w:val="28"/>
          <w:szCs w:val="28"/>
        </w:rPr>
        <w:t>са изпратили за изпълнение на компетентните органи 57</w:t>
      </w:r>
      <w:r>
        <w:rPr>
          <w:sz w:val="28"/>
          <w:szCs w:val="28"/>
          <w:lang w:val="en-US"/>
        </w:rPr>
        <w:t>8</w:t>
      </w:r>
      <w:r>
        <w:rPr>
          <w:sz w:val="28"/>
          <w:szCs w:val="28"/>
        </w:rPr>
        <w:t xml:space="preserve"> присъди (при 626 за 2023 г. и 642 за 2022 г.), като намалението спрямо 2023 г. е със 7,67%, а спрямо 2022 г. с 9,97% , което се дължи на намалението на общия брой на получените за изпълнение съдебни актове. </w:t>
      </w:r>
    </w:p>
    <w:p w:rsidR="0002679C" w:rsidRDefault="0002679C" w:rsidP="005146F8">
      <w:pPr>
        <w:widowControl/>
        <w:autoSpaceDE/>
        <w:adjustRightInd/>
        <w:spacing w:line="340" w:lineRule="exact"/>
        <w:ind w:left="57" w:right="57" w:firstLine="720"/>
        <w:jc w:val="both"/>
        <w:rPr>
          <w:b/>
          <w:bCs/>
          <w:i/>
          <w:sz w:val="28"/>
          <w:szCs w:val="28"/>
          <w:u w:val="single"/>
          <w:lang w:val="en-US"/>
        </w:rPr>
      </w:pPr>
    </w:p>
    <w:p w:rsidR="00F97AFD" w:rsidRDefault="00F97AFD" w:rsidP="005146F8">
      <w:pPr>
        <w:widowControl/>
        <w:autoSpaceDE/>
        <w:adjustRightInd/>
        <w:spacing w:line="340" w:lineRule="exact"/>
        <w:ind w:left="57" w:right="57" w:firstLine="720"/>
        <w:jc w:val="both"/>
        <w:rPr>
          <w:b/>
          <w:bCs/>
          <w:i/>
          <w:sz w:val="28"/>
          <w:szCs w:val="28"/>
          <w:u w:val="single"/>
          <w:lang w:val="en-US"/>
        </w:rPr>
      </w:pPr>
    </w:p>
    <w:p w:rsidR="008D3C23" w:rsidRDefault="008D3C23" w:rsidP="005146F8">
      <w:pPr>
        <w:widowControl/>
        <w:autoSpaceDE/>
        <w:adjustRightInd/>
        <w:spacing w:line="340" w:lineRule="exact"/>
        <w:ind w:left="57" w:right="57" w:firstLine="720"/>
        <w:jc w:val="both"/>
        <w:rPr>
          <w:b/>
          <w:bCs/>
          <w:i/>
          <w:sz w:val="28"/>
          <w:szCs w:val="28"/>
          <w:u w:val="single"/>
          <w:lang w:val="en-US"/>
        </w:rPr>
      </w:pPr>
    </w:p>
    <w:p w:rsidR="005146F8" w:rsidRDefault="005146F8" w:rsidP="005146F8">
      <w:pPr>
        <w:widowControl/>
        <w:autoSpaceDE/>
        <w:adjustRightInd/>
        <w:spacing w:line="340" w:lineRule="exact"/>
        <w:ind w:left="57" w:right="57" w:firstLine="720"/>
        <w:jc w:val="both"/>
        <w:rPr>
          <w:b/>
          <w:bCs/>
          <w:i/>
          <w:sz w:val="28"/>
          <w:szCs w:val="28"/>
          <w:u w:val="single"/>
        </w:rPr>
      </w:pPr>
      <w:proofErr w:type="spellStart"/>
      <w:r>
        <w:rPr>
          <w:b/>
          <w:bCs/>
          <w:i/>
          <w:sz w:val="28"/>
          <w:szCs w:val="28"/>
          <w:u w:val="single"/>
        </w:rPr>
        <w:lastRenderedPageBreak/>
        <w:t>Съотносимост</w:t>
      </w:r>
      <w:proofErr w:type="spellEnd"/>
      <w:r>
        <w:rPr>
          <w:b/>
          <w:bCs/>
          <w:i/>
          <w:sz w:val="28"/>
          <w:szCs w:val="28"/>
          <w:u w:val="single"/>
        </w:rPr>
        <w:t xml:space="preserve"> на получени и изпратени присъди за изпълнение през последните три години</w:t>
      </w:r>
    </w:p>
    <w:p w:rsidR="005146F8" w:rsidRPr="00C520B5" w:rsidRDefault="0002679C" w:rsidP="0002679C">
      <w:pPr>
        <w:widowControl/>
        <w:autoSpaceDE/>
        <w:adjustRightInd/>
        <w:spacing w:line="340" w:lineRule="exact"/>
        <w:ind w:left="57" w:right="57" w:firstLine="720"/>
        <w:jc w:val="both"/>
        <w:rPr>
          <w:sz w:val="28"/>
          <w:szCs w:val="28"/>
        </w:rPr>
      </w:pPr>
      <w:r>
        <w:rPr>
          <w:noProof/>
          <w:sz w:val="28"/>
          <w:szCs w:val="28"/>
        </w:rPr>
        <w:drawing>
          <wp:anchor distT="0" distB="0" distL="114300" distR="114300" simplePos="0" relativeHeight="251707392" behindDoc="0" locked="0" layoutInCell="1" allowOverlap="1" wp14:anchorId="6C65D53A" wp14:editId="19B20546">
            <wp:simplePos x="0" y="0"/>
            <wp:positionH relativeFrom="column">
              <wp:posOffset>76835</wp:posOffset>
            </wp:positionH>
            <wp:positionV relativeFrom="paragraph">
              <wp:posOffset>123825</wp:posOffset>
            </wp:positionV>
            <wp:extent cx="5694045" cy="2493645"/>
            <wp:effectExtent l="0" t="0" r="0" b="0"/>
            <wp:wrapTopAndBottom/>
            <wp:docPr id="24" name="Картина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94045" cy="2493645"/>
                    </a:xfrm>
                    <a:prstGeom prst="rect">
                      <a:avLst/>
                    </a:prstGeom>
                    <a:noFill/>
                  </pic:spPr>
                </pic:pic>
              </a:graphicData>
            </a:graphic>
            <wp14:sizeRelH relativeFrom="page">
              <wp14:pctWidth>0</wp14:pctWidth>
            </wp14:sizeRelH>
            <wp14:sizeRelV relativeFrom="page">
              <wp14:pctHeight>0</wp14:pctHeight>
            </wp14:sizeRelV>
          </wp:anchor>
        </w:drawing>
      </w:r>
      <w:r w:rsidR="005146F8">
        <w:rPr>
          <w:sz w:val="28"/>
          <w:szCs w:val="28"/>
        </w:rPr>
        <w:t xml:space="preserve">Към 31.12.2024 г. са останали 7 неприведени в изпълнение  присъди ( при 4 за 2023 г., а за 2022 г. няма неприведени присъди). </w:t>
      </w:r>
    </w:p>
    <w:p w:rsidR="005146F8" w:rsidRDefault="005146F8" w:rsidP="005146F8">
      <w:pPr>
        <w:widowControl/>
        <w:autoSpaceDE/>
        <w:adjustRightInd/>
        <w:spacing w:line="340" w:lineRule="exact"/>
        <w:ind w:left="57" w:right="57" w:firstLine="720"/>
        <w:jc w:val="both"/>
        <w:rPr>
          <w:sz w:val="28"/>
          <w:szCs w:val="28"/>
        </w:rPr>
      </w:pPr>
      <w:r>
        <w:rPr>
          <w:sz w:val="28"/>
          <w:szCs w:val="28"/>
        </w:rPr>
        <w:t>Относителният дял на приведените в изпълнение от прокурора присъди и споразумения, /включително останалите 4 непреведени от предходната година/ спрямо получените за изпълнение е както следва: общ брой получени за изпълнение присъди и споразумения през 2024 г., включително неприведените от предходната година – 589, приведени в изпълнение от прокурора присъди и споразумения през 2024 г. - 578 бр., което представлява 98,13%.</w:t>
      </w:r>
      <w:r>
        <w:rPr>
          <w:color w:val="FF0000"/>
          <w:sz w:val="28"/>
          <w:szCs w:val="28"/>
        </w:rPr>
        <w:t xml:space="preserve"> </w:t>
      </w:r>
      <w:r>
        <w:rPr>
          <w:sz w:val="28"/>
          <w:szCs w:val="28"/>
        </w:rPr>
        <w:t xml:space="preserve">През 2023 г. това съотношение е било 637 бр. към 626 бр., или 98,27%, а през 2022 г. съотношението е било 649 бр. към 642 бр., или 98,92%. </w:t>
      </w:r>
    </w:p>
    <w:p w:rsidR="005146F8" w:rsidRDefault="005146F8" w:rsidP="005146F8">
      <w:pPr>
        <w:widowControl/>
        <w:autoSpaceDE/>
        <w:adjustRightInd/>
        <w:spacing w:line="340" w:lineRule="exact"/>
        <w:ind w:left="57" w:right="57" w:firstLine="720"/>
        <w:jc w:val="both"/>
        <w:rPr>
          <w:sz w:val="28"/>
          <w:szCs w:val="28"/>
        </w:rPr>
      </w:pPr>
      <w:r>
        <w:rPr>
          <w:sz w:val="28"/>
          <w:szCs w:val="28"/>
        </w:rPr>
        <w:t xml:space="preserve">Тези данни сочат, че през последните три години в процентно съотношение е налице устойчивост на относителния дял на приведените от прокурора присъди и споразумения спрямо получените за изпълнение съдебни актове. </w:t>
      </w:r>
    </w:p>
    <w:p w:rsidR="005146F8" w:rsidRDefault="005146F8" w:rsidP="005146F8">
      <w:pPr>
        <w:widowControl/>
        <w:autoSpaceDE/>
        <w:adjustRightInd/>
        <w:spacing w:line="340" w:lineRule="exact"/>
        <w:ind w:left="57" w:right="57" w:firstLine="720"/>
        <w:jc w:val="both"/>
        <w:rPr>
          <w:sz w:val="28"/>
          <w:szCs w:val="28"/>
        </w:rPr>
      </w:pPr>
    </w:p>
    <w:p w:rsidR="005146F8" w:rsidRDefault="008D3C23" w:rsidP="005146F8">
      <w:pPr>
        <w:widowControl/>
        <w:autoSpaceDE/>
        <w:adjustRightInd/>
        <w:spacing w:line="340" w:lineRule="exact"/>
        <w:ind w:left="57" w:right="57" w:firstLine="720"/>
        <w:jc w:val="both"/>
        <w:rPr>
          <w:b/>
          <w:bCs/>
          <w:i/>
          <w:sz w:val="28"/>
          <w:szCs w:val="28"/>
          <w:u w:val="single"/>
        </w:rPr>
      </w:pPr>
      <w:r>
        <w:rPr>
          <w:noProof/>
        </w:rPr>
        <w:drawing>
          <wp:anchor distT="0" distB="0" distL="114300" distR="114300" simplePos="0" relativeHeight="251704320" behindDoc="0" locked="0" layoutInCell="1" allowOverlap="1" wp14:anchorId="0E029964" wp14:editId="14C33EE3">
            <wp:simplePos x="0" y="0"/>
            <wp:positionH relativeFrom="column">
              <wp:posOffset>744220</wp:posOffset>
            </wp:positionH>
            <wp:positionV relativeFrom="paragraph">
              <wp:posOffset>626110</wp:posOffset>
            </wp:positionV>
            <wp:extent cx="5321935" cy="1990725"/>
            <wp:effectExtent l="0" t="0" r="0" b="0"/>
            <wp:wrapNone/>
            <wp:docPr id="12" name="Ди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5146F8">
        <w:rPr>
          <w:b/>
          <w:bCs/>
          <w:i/>
          <w:sz w:val="28"/>
          <w:szCs w:val="28"/>
          <w:u w:val="single"/>
        </w:rPr>
        <w:t xml:space="preserve">Процентно съотношение на приведените от прокурора присъди и споразумения спрямо получените за изпълнение за последните три години  </w:t>
      </w:r>
    </w:p>
    <w:p w:rsidR="00684657" w:rsidRDefault="00684657" w:rsidP="005146F8">
      <w:pPr>
        <w:widowControl/>
        <w:autoSpaceDE/>
        <w:adjustRightInd/>
        <w:spacing w:line="340" w:lineRule="exact"/>
        <w:ind w:left="57" w:right="57" w:firstLine="720"/>
        <w:jc w:val="both"/>
        <w:rPr>
          <w:b/>
          <w:bCs/>
          <w:i/>
          <w:sz w:val="28"/>
          <w:szCs w:val="28"/>
          <w:u w:val="single"/>
        </w:rPr>
      </w:pPr>
    </w:p>
    <w:p w:rsidR="00684657" w:rsidRDefault="00684657" w:rsidP="005146F8">
      <w:pPr>
        <w:widowControl/>
        <w:autoSpaceDE/>
        <w:adjustRightInd/>
        <w:spacing w:line="340" w:lineRule="exact"/>
        <w:ind w:left="57" w:right="57" w:firstLine="720"/>
        <w:jc w:val="both"/>
        <w:rPr>
          <w:b/>
          <w:bCs/>
          <w:i/>
          <w:sz w:val="28"/>
          <w:szCs w:val="28"/>
          <w:u w:val="single"/>
        </w:rPr>
      </w:pPr>
    </w:p>
    <w:p w:rsidR="005146F8" w:rsidRDefault="005146F8" w:rsidP="005146F8">
      <w:pPr>
        <w:widowControl/>
        <w:autoSpaceDE/>
        <w:adjustRightInd/>
        <w:spacing w:line="340" w:lineRule="exact"/>
        <w:ind w:left="57" w:right="57" w:firstLine="720"/>
        <w:jc w:val="both"/>
        <w:rPr>
          <w:b/>
          <w:bCs/>
          <w:i/>
          <w:sz w:val="28"/>
          <w:szCs w:val="28"/>
          <w:u w:val="single"/>
        </w:rPr>
      </w:pPr>
    </w:p>
    <w:p w:rsidR="005146F8" w:rsidRDefault="005146F8" w:rsidP="005146F8">
      <w:pPr>
        <w:widowControl/>
        <w:autoSpaceDE/>
        <w:adjustRightInd/>
        <w:spacing w:line="340" w:lineRule="exact"/>
        <w:ind w:left="57" w:right="57" w:firstLine="720"/>
        <w:jc w:val="both"/>
        <w:rPr>
          <w:b/>
          <w:bCs/>
          <w:i/>
          <w:sz w:val="28"/>
          <w:szCs w:val="28"/>
          <w:u w:val="single"/>
        </w:rPr>
      </w:pPr>
    </w:p>
    <w:p w:rsidR="005146F8" w:rsidRDefault="005146F8" w:rsidP="005146F8">
      <w:pPr>
        <w:widowControl/>
        <w:autoSpaceDE/>
        <w:adjustRightInd/>
        <w:spacing w:line="340" w:lineRule="exact"/>
        <w:ind w:left="57" w:right="57" w:firstLine="720"/>
        <w:jc w:val="both"/>
        <w:rPr>
          <w:color w:val="0D0D0D"/>
          <w:sz w:val="28"/>
          <w:szCs w:val="28"/>
        </w:rPr>
      </w:pPr>
    </w:p>
    <w:p w:rsidR="005146F8" w:rsidRDefault="005146F8" w:rsidP="005146F8">
      <w:pPr>
        <w:widowControl/>
        <w:autoSpaceDE/>
        <w:adjustRightInd/>
        <w:spacing w:line="340" w:lineRule="exact"/>
        <w:ind w:left="57" w:right="57" w:firstLine="720"/>
        <w:jc w:val="both"/>
        <w:rPr>
          <w:color w:val="0D0D0D"/>
          <w:sz w:val="28"/>
          <w:szCs w:val="28"/>
        </w:rPr>
      </w:pPr>
    </w:p>
    <w:p w:rsidR="00F97AFD" w:rsidRDefault="00F97AFD" w:rsidP="005146F8">
      <w:pPr>
        <w:widowControl/>
        <w:autoSpaceDE/>
        <w:adjustRightInd/>
        <w:spacing w:line="340" w:lineRule="exact"/>
        <w:ind w:left="57" w:right="57" w:firstLine="720"/>
        <w:jc w:val="both"/>
        <w:rPr>
          <w:color w:val="0D0D0D"/>
          <w:sz w:val="28"/>
          <w:szCs w:val="28"/>
          <w:lang w:val="en-US"/>
        </w:rPr>
      </w:pPr>
    </w:p>
    <w:p w:rsidR="005146F8" w:rsidRDefault="005146F8" w:rsidP="005146F8">
      <w:pPr>
        <w:widowControl/>
        <w:autoSpaceDE/>
        <w:adjustRightInd/>
        <w:spacing w:line="340" w:lineRule="exact"/>
        <w:ind w:left="57" w:right="57" w:firstLine="720"/>
        <w:jc w:val="both"/>
        <w:rPr>
          <w:sz w:val="28"/>
          <w:szCs w:val="28"/>
        </w:rPr>
      </w:pPr>
      <w:r>
        <w:rPr>
          <w:color w:val="0D0D0D"/>
          <w:sz w:val="28"/>
          <w:szCs w:val="28"/>
        </w:rPr>
        <w:lastRenderedPageBreak/>
        <w:t>През 2024</w:t>
      </w:r>
      <w:r w:rsidR="00684657">
        <w:rPr>
          <w:color w:val="0D0D0D"/>
          <w:sz w:val="28"/>
          <w:szCs w:val="28"/>
        </w:rPr>
        <w:t xml:space="preserve"> </w:t>
      </w:r>
      <w:r>
        <w:rPr>
          <w:color w:val="0D0D0D"/>
          <w:sz w:val="28"/>
          <w:szCs w:val="28"/>
        </w:rPr>
        <w:t xml:space="preserve">г. в прокуратурите от Сливенския съдебен район са постъпили 2 </w:t>
      </w:r>
      <w:r>
        <w:rPr>
          <w:sz w:val="28"/>
          <w:szCs w:val="28"/>
        </w:rPr>
        <w:t xml:space="preserve">молби </w:t>
      </w:r>
      <w:r>
        <w:rPr>
          <w:color w:val="0D0D0D"/>
          <w:sz w:val="28"/>
          <w:szCs w:val="28"/>
        </w:rPr>
        <w:t>за отлагане на изпълнението на наложеното наказание лишаване от свобода, които са оставени без уважение. За сравнение</w:t>
      </w:r>
      <w:r w:rsidR="00684657">
        <w:rPr>
          <w:color w:val="0D0D0D"/>
          <w:sz w:val="28"/>
          <w:szCs w:val="28"/>
        </w:rPr>
        <w:t>,</w:t>
      </w:r>
      <w:r>
        <w:rPr>
          <w:color w:val="0D0D0D"/>
          <w:sz w:val="28"/>
          <w:szCs w:val="28"/>
        </w:rPr>
        <w:t xml:space="preserve"> през 2023 г. не са постъпвали, а през 2022 г. са постъпили 6 молби.</w:t>
      </w:r>
    </w:p>
    <w:p w:rsidR="005146F8" w:rsidRDefault="005146F8" w:rsidP="005146F8">
      <w:pPr>
        <w:widowControl/>
        <w:autoSpaceDE/>
        <w:adjustRightInd/>
        <w:spacing w:line="340" w:lineRule="exact"/>
        <w:ind w:left="57" w:right="57" w:firstLine="720"/>
        <w:jc w:val="both"/>
        <w:rPr>
          <w:sz w:val="28"/>
          <w:szCs w:val="28"/>
        </w:rPr>
      </w:pPr>
      <w:r>
        <w:rPr>
          <w:sz w:val="28"/>
          <w:szCs w:val="28"/>
        </w:rPr>
        <w:t xml:space="preserve"> Всички получени в прокуратурата присъди и споразумения са изпратени за изпълнение на съответните органи в срок до 5 дни. </w:t>
      </w:r>
    </w:p>
    <w:p w:rsidR="005146F8" w:rsidRDefault="005146F8" w:rsidP="005146F8">
      <w:pPr>
        <w:widowControl/>
        <w:autoSpaceDE/>
        <w:adjustRightInd/>
        <w:spacing w:line="340" w:lineRule="exact"/>
        <w:ind w:left="57" w:right="57" w:firstLine="720"/>
        <w:jc w:val="both"/>
        <w:rPr>
          <w:b/>
          <w:bCs/>
          <w:sz w:val="28"/>
          <w:szCs w:val="28"/>
        </w:rPr>
      </w:pPr>
    </w:p>
    <w:p w:rsidR="005146F8" w:rsidRDefault="005146F8" w:rsidP="005146F8">
      <w:pPr>
        <w:widowControl/>
        <w:autoSpaceDE/>
        <w:adjustRightInd/>
        <w:spacing w:line="340" w:lineRule="exact"/>
        <w:ind w:left="57" w:right="57" w:firstLine="720"/>
        <w:jc w:val="both"/>
        <w:rPr>
          <w:b/>
          <w:bCs/>
          <w:sz w:val="28"/>
          <w:szCs w:val="28"/>
        </w:rPr>
      </w:pPr>
      <w:r>
        <w:rPr>
          <w:b/>
          <w:bCs/>
          <w:sz w:val="28"/>
          <w:szCs w:val="28"/>
        </w:rPr>
        <w:t>Контрол по изпълнение на присъдите.</w:t>
      </w:r>
    </w:p>
    <w:p w:rsidR="005146F8" w:rsidRDefault="005146F8" w:rsidP="005146F8">
      <w:pPr>
        <w:widowControl/>
        <w:autoSpaceDE/>
        <w:adjustRightInd/>
        <w:spacing w:line="340" w:lineRule="exact"/>
        <w:ind w:left="57" w:right="57" w:firstLine="720"/>
        <w:jc w:val="both"/>
        <w:rPr>
          <w:sz w:val="28"/>
          <w:szCs w:val="28"/>
          <w:lang w:val="en-US"/>
        </w:rPr>
      </w:pPr>
      <w:r>
        <w:rPr>
          <w:sz w:val="28"/>
          <w:szCs w:val="28"/>
        </w:rPr>
        <w:t>От приведените в изпълнение от прокурора 578 присъди, реално са били приведени от съответните органи по изпълнение 545 присъди (при 579 за 2023 г. и 597 за 2022 г.), което представлява 94,29%. За сравнение през 2023 г. това процентно съотношение е било 92,49%, а за 2022 г. – 92,99%.</w:t>
      </w:r>
    </w:p>
    <w:p w:rsidR="00F97AFD" w:rsidRPr="00F97AFD" w:rsidRDefault="00F97AFD" w:rsidP="005146F8">
      <w:pPr>
        <w:widowControl/>
        <w:autoSpaceDE/>
        <w:adjustRightInd/>
        <w:spacing w:line="340" w:lineRule="exact"/>
        <w:ind w:left="57" w:right="57" w:firstLine="720"/>
        <w:jc w:val="both"/>
        <w:rPr>
          <w:sz w:val="28"/>
          <w:szCs w:val="28"/>
          <w:lang w:val="en-US"/>
        </w:rPr>
      </w:pPr>
    </w:p>
    <w:p w:rsidR="005146F8" w:rsidRDefault="005146F8" w:rsidP="005146F8">
      <w:pPr>
        <w:widowControl/>
        <w:autoSpaceDE/>
        <w:adjustRightInd/>
        <w:spacing w:line="340" w:lineRule="exact"/>
        <w:ind w:left="57" w:right="57" w:firstLine="720"/>
        <w:jc w:val="both"/>
        <w:rPr>
          <w:i/>
          <w:sz w:val="28"/>
          <w:szCs w:val="28"/>
          <w:u w:val="single"/>
        </w:rPr>
      </w:pPr>
      <w:r>
        <w:rPr>
          <w:b/>
          <w:bCs/>
          <w:i/>
          <w:sz w:val="28"/>
          <w:szCs w:val="28"/>
          <w:u w:val="single"/>
        </w:rPr>
        <w:t xml:space="preserve">Процентно съотношение на </w:t>
      </w:r>
      <w:r>
        <w:rPr>
          <w:b/>
          <w:bCs/>
          <w:i/>
          <w:sz w:val="28"/>
          <w:szCs w:val="28"/>
          <w:u w:val="single"/>
          <w:lang w:val="be-BY"/>
        </w:rPr>
        <w:t xml:space="preserve">реално </w:t>
      </w:r>
      <w:r>
        <w:rPr>
          <w:b/>
          <w:bCs/>
          <w:i/>
          <w:sz w:val="28"/>
          <w:szCs w:val="28"/>
          <w:u w:val="single"/>
        </w:rPr>
        <w:t>приведените присъди /с получени потвърждения за начало на изпълнението/ спрямо получените за последните три години</w:t>
      </w:r>
    </w:p>
    <w:p w:rsidR="005146F8" w:rsidRDefault="00C520B5" w:rsidP="005146F8">
      <w:pPr>
        <w:widowControl/>
        <w:autoSpaceDE/>
        <w:adjustRightInd/>
        <w:spacing w:line="340" w:lineRule="exact"/>
        <w:ind w:left="57" w:right="57" w:firstLine="720"/>
        <w:jc w:val="both"/>
        <w:rPr>
          <w:noProof/>
        </w:rPr>
      </w:pPr>
      <w:r>
        <w:rPr>
          <w:noProof/>
        </w:rPr>
        <w:drawing>
          <wp:anchor distT="0" distB="0" distL="114300" distR="114300" simplePos="0" relativeHeight="251705344" behindDoc="1" locked="0" layoutInCell="1" allowOverlap="1" wp14:anchorId="12E8853D" wp14:editId="7D4C28EF">
            <wp:simplePos x="0" y="0"/>
            <wp:positionH relativeFrom="column">
              <wp:posOffset>187325</wp:posOffset>
            </wp:positionH>
            <wp:positionV relativeFrom="paragraph">
              <wp:posOffset>132080</wp:posOffset>
            </wp:positionV>
            <wp:extent cx="5143500" cy="2133600"/>
            <wp:effectExtent l="0" t="0" r="0" b="0"/>
            <wp:wrapSquare wrapText="bothSides"/>
            <wp:docPr id="34" name="Диагра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C520B5" w:rsidRDefault="00C520B5" w:rsidP="005146F8">
      <w:pPr>
        <w:widowControl/>
        <w:autoSpaceDE/>
        <w:adjustRightInd/>
        <w:spacing w:line="340" w:lineRule="exact"/>
        <w:ind w:left="57" w:right="57" w:firstLine="720"/>
        <w:jc w:val="both"/>
        <w:rPr>
          <w:noProof/>
        </w:rPr>
      </w:pPr>
      <w:r>
        <w:rPr>
          <w:noProof/>
        </w:rPr>
        <w:drawing>
          <wp:inline distT="0" distB="0" distL="0" distR="0" wp14:anchorId="6DCB465E" wp14:editId="2A577392">
            <wp:extent cx="5145405" cy="2133600"/>
            <wp:effectExtent l="0" t="0" r="0" b="0"/>
            <wp:docPr id="33" name="Картина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45405" cy="2133600"/>
                    </a:xfrm>
                    <a:prstGeom prst="rect">
                      <a:avLst/>
                    </a:prstGeom>
                    <a:noFill/>
                  </pic:spPr>
                </pic:pic>
              </a:graphicData>
            </a:graphic>
          </wp:inline>
        </w:drawing>
      </w:r>
    </w:p>
    <w:p w:rsidR="00C520B5" w:rsidRDefault="00C520B5" w:rsidP="005146F8">
      <w:pPr>
        <w:widowControl/>
        <w:autoSpaceDE/>
        <w:adjustRightInd/>
        <w:spacing w:line="340" w:lineRule="exact"/>
        <w:ind w:left="57" w:right="57" w:firstLine="720"/>
        <w:jc w:val="both"/>
        <w:rPr>
          <w:noProof/>
        </w:rPr>
      </w:pPr>
    </w:p>
    <w:p w:rsidR="00C520B5" w:rsidRDefault="00C520B5" w:rsidP="005146F8">
      <w:pPr>
        <w:widowControl/>
        <w:autoSpaceDE/>
        <w:adjustRightInd/>
        <w:spacing w:line="340" w:lineRule="exact"/>
        <w:ind w:left="57" w:right="57" w:firstLine="720"/>
        <w:jc w:val="both"/>
        <w:rPr>
          <w:noProof/>
        </w:rPr>
      </w:pPr>
    </w:p>
    <w:p w:rsidR="00C520B5" w:rsidRDefault="00C520B5" w:rsidP="005146F8">
      <w:pPr>
        <w:widowControl/>
        <w:autoSpaceDE/>
        <w:adjustRightInd/>
        <w:spacing w:line="340" w:lineRule="exact"/>
        <w:ind w:left="57" w:right="57" w:firstLine="720"/>
        <w:jc w:val="both"/>
        <w:rPr>
          <w:noProof/>
        </w:rPr>
      </w:pPr>
    </w:p>
    <w:p w:rsidR="00C520B5" w:rsidRDefault="00C520B5" w:rsidP="005146F8">
      <w:pPr>
        <w:widowControl/>
        <w:autoSpaceDE/>
        <w:adjustRightInd/>
        <w:spacing w:line="340" w:lineRule="exact"/>
        <w:ind w:left="57" w:right="57" w:firstLine="720"/>
        <w:jc w:val="both"/>
        <w:rPr>
          <w:noProof/>
        </w:rPr>
      </w:pPr>
    </w:p>
    <w:p w:rsidR="00C520B5" w:rsidRDefault="00C520B5" w:rsidP="005146F8">
      <w:pPr>
        <w:widowControl/>
        <w:autoSpaceDE/>
        <w:adjustRightInd/>
        <w:spacing w:line="340" w:lineRule="exact"/>
        <w:ind w:left="57" w:right="57" w:firstLine="720"/>
        <w:jc w:val="both"/>
        <w:rPr>
          <w:noProof/>
        </w:rPr>
      </w:pPr>
    </w:p>
    <w:p w:rsidR="00C520B5" w:rsidRDefault="00C520B5" w:rsidP="005146F8">
      <w:pPr>
        <w:widowControl/>
        <w:autoSpaceDE/>
        <w:adjustRightInd/>
        <w:spacing w:line="340" w:lineRule="exact"/>
        <w:ind w:left="57" w:right="57" w:firstLine="720"/>
        <w:jc w:val="both"/>
        <w:rPr>
          <w:noProof/>
        </w:rPr>
      </w:pPr>
    </w:p>
    <w:p w:rsidR="00C520B5" w:rsidRDefault="00C520B5" w:rsidP="005146F8">
      <w:pPr>
        <w:widowControl/>
        <w:autoSpaceDE/>
        <w:adjustRightInd/>
        <w:spacing w:line="340" w:lineRule="exact"/>
        <w:ind w:left="57" w:right="57" w:firstLine="720"/>
        <w:jc w:val="both"/>
        <w:rPr>
          <w:noProof/>
        </w:rPr>
      </w:pPr>
    </w:p>
    <w:p w:rsidR="00C520B5" w:rsidRDefault="00C520B5" w:rsidP="005146F8">
      <w:pPr>
        <w:widowControl/>
        <w:autoSpaceDE/>
        <w:adjustRightInd/>
        <w:spacing w:line="340" w:lineRule="exact"/>
        <w:ind w:left="57" w:right="57" w:firstLine="720"/>
        <w:jc w:val="both"/>
        <w:rPr>
          <w:noProof/>
        </w:rPr>
      </w:pPr>
    </w:p>
    <w:p w:rsidR="00C520B5" w:rsidRDefault="00C520B5" w:rsidP="005146F8">
      <w:pPr>
        <w:widowControl/>
        <w:autoSpaceDE/>
        <w:adjustRightInd/>
        <w:spacing w:line="340" w:lineRule="exact"/>
        <w:ind w:left="57" w:right="57" w:firstLine="720"/>
        <w:jc w:val="both"/>
        <w:rPr>
          <w:noProof/>
        </w:rPr>
      </w:pPr>
    </w:p>
    <w:p w:rsidR="005146F8" w:rsidRDefault="005146F8" w:rsidP="005146F8">
      <w:pPr>
        <w:widowControl/>
        <w:autoSpaceDE/>
        <w:adjustRightInd/>
        <w:spacing w:line="340" w:lineRule="exact"/>
        <w:ind w:left="57" w:right="57" w:firstLine="720"/>
        <w:jc w:val="both"/>
        <w:rPr>
          <w:sz w:val="28"/>
          <w:szCs w:val="28"/>
        </w:rPr>
      </w:pPr>
      <w:r>
        <w:rPr>
          <w:sz w:val="28"/>
          <w:szCs w:val="28"/>
        </w:rPr>
        <w:t xml:space="preserve">В края на отчетния период по отношение на 33 присъди и споразумения  не са получени потвърждения в прокуратурата от органите по изпълнение за началото на изпълнението на съответните наказания (при 47 за 2023 г. и 45 за 2022 г.), което представлява 5,71 % от общия брой на приведените в изпълнение присъди. При по-голямата част от тези присъди не е получено потвърждение за начало на изпълнение на съответните наказания, поради обстоятелството, че присъдите са изпратени за изпълнение в края на отчетния период и към 31.12.2024 г. потвържденията за началото на изпълнение на наказанията все още не са били изпратени в прокуратурата. В отделни случаи по присъди и споразумения не са получени потвърждения за начало на изпълнение на наказанието, поради несвоевременното уведомяване на прокуратурата от </w:t>
      </w:r>
      <w:r>
        <w:rPr>
          <w:sz w:val="28"/>
          <w:szCs w:val="28"/>
        </w:rPr>
        <w:lastRenderedPageBreak/>
        <w:t xml:space="preserve">страна на администрацията в местата за лишаване от свобода, както и от органите на ПП при ОД на МВР - Сливен. </w:t>
      </w:r>
    </w:p>
    <w:p w:rsidR="005146F8" w:rsidRDefault="005146F8" w:rsidP="005146F8">
      <w:pPr>
        <w:widowControl/>
        <w:autoSpaceDE/>
        <w:adjustRightInd/>
        <w:spacing w:line="340" w:lineRule="exact"/>
        <w:ind w:left="57" w:right="57" w:firstLine="720"/>
        <w:jc w:val="both"/>
        <w:rPr>
          <w:sz w:val="28"/>
          <w:szCs w:val="28"/>
        </w:rPr>
      </w:pPr>
      <w:r>
        <w:rPr>
          <w:sz w:val="28"/>
          <w:szCs w:val="28"/>
        </w:rPr>
        <w:t xml:space="preserve">В края на 2024 г. по изпратените през отчетния период присъди с наложено наказание лишаване от свобода е имало 3 незадържани и неприведени в местата за лишаване от свобода осъдени лица за изтърпяване на наложените им  наказания. През 2023 г. няма незадържани лица, а през 2022 г. незадържаните лица са били 4. Всички незадържани осъдени лица, вкл. от предходни години са обявени за общодържавно издирване. </w:t>
      </w:r>
    </w:p>
    <w:p w:rsidR="005146F8" w:rsidRDefault="005146F8" w:rsidP="005146F8">
      <w:pPr>
        <w:widowControl/>
        <w:autoSpaceDE/>
        <w:adjustRightInd/>
        <w:spacing w:line="340" w:lineRule="exact"/>
        <w:ind w:left="57" w:right="57" w:firstLine="720"/>
        <w:jc w:val="both"/>
        <w:rPr>
          <w:sz w:val="16"/>
          <w:szCs w:val="16"/>
        </w:rPr>
      </w:pPr>
    </w:p>
    <w:p w:rsidR="005146F8" w:rsidRDefault="005146F8" w:rsidP="005146F8">
      <w:pPr>
        <w:widowControl/>
        <w:autoSpaceDE/>
        <w:adjustRightInd/>
        <w:spacing w:line="340" w:lineRule="exact"/>
        <w:ind w:left="57" w:right="57" w:firstLine="720"/>
        <w:jc w:val="both"/>
        <w:rPr>
          <w:b/>
          <w:bCs/>
          <w:i/>
          <w:sz w:val="28"/>
          <w:szCs w:val="28"/>
          <w:u w:val="single"/>
        </w:rPr>
      </w:pPr>
      <w:r>
        <w:rPr>
          <w:b/>
          <w:bCs/>
          <w:i/>
          <w:sz w:val="28"/>
          <w:szCs w:val="28"/>
          <w:u w:val="single"/>
        </w:rPr>
        <w:t>Незадържани лица по изпратени за изпълнение присъди с наложено наказание ЛС</w:t>
      </w:r>
    </w:p>
    <w:p w:rsidR="005146F8" w:rsidRDefault="00C520B5" w:rsidP="005146F8">
      <w:pPr>
        <w:widowControl/>
        <w:autoSpaceDE/>
        <w:adjustRightInd/>
        <w:spacing w:line="340" w:lineRule="exact"/>
        <w:ind w:left="57" w:right="57" w:firstLine="720"/>
        <w:jc w:val="both"/>
        <w:rPr>
          <w:i/>
          <w:sz w:val="28"/>
          <w:szCs w:val="28"/>
          <w:u w:val="single"/>
        </w:rPr>
      </w:pPr>
      <w:r>
        <w:rPr>
          <w:noProof/>
          <w:sz w:val="28"/>
          <w:szCs w:val="28"/>
        </w:rPr>
        <w:drawing>
          <wp:anchor distT="0" distB="0" distL="114300" distR="114300" simplePos="0" relativeHeight="251706368" behindDoc="1" locked="0" layoutInCell="1" allowOverlap="1" wp14:anchorId="62F75DFA" wp14:editId="46DD2F77">
            <wp:simplePos x="0" y="0"/>
            <wp:positionH relativeFrom="column">
              <wp:posOffset>1022350</wp:posOffset>
            </wp:positionH>
            <wp:positionV relativeFrom="paragraph">
              <wp:posOffset>55245</wp:posOffset>
            </wp:positionV>
            <wp:extent cx="3910965" cy="2005965"/>
            <wp:effectExtent l="0" t="0" r="0" b="0"/>
            <wp:wrapSquare wrapText="bothSides"/>
            <wp:docPr id="37" name="Картина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10965" cy="2005965"/>
                    </a:xfrm>
                    <a:prstGeom prst="rect">
                      <a:avLst/>
                    </a:prstGeom>
                    <a:noFill/>
                  </pic:spPr>
                </pic:pic>
              </a:graphicData>
            </a:graphic>
            <wp14:sizeRelH relativeFrom="page">
              <wp14:pctWidth>0</wp14:pctWidth>
            </wp14:sizeRelH>
            <wp14:sizeRelV relativeFrom="page">
              <wp14:pctHeight>0</wp14:pctHeight>
            </wp14:sizeRelV>
          </wp:anchor>
        </w:drawing>
      </w:r>
    </w:p>
    <w:p w:rsidR="005146F8" w:rsidRDefault="005146F8" w:rsidP="005146F8">
      <w:pPr>
        <w:widowControl/>
        <w:autoSpaceDE/>
        <w:adjustRightInd/>
        <w:spacing w:line="340" w:lineRule="exact"/>
        <w:ind w:left="57" w:right="57" w:firstLine="720"/>
        <w:jc w:val="both"/>
        <w:rPr>
          <w:b/>
          <w:sz w:val="28"/>
          <w:szCs w:val="28"/>
        </w:rPr>
      </w:pPr>
      <w:r>
        <w:rPr>
          <w:sz w:val="28"/>
          <w:szCs w:val="28"/>
        </w:rPr>
        <w:br/>
      </w:r>
      <w:r>
        <w:rPr>
          <w:b/>
          <w:sz w:val="28"/>
          <w:szCs w:val="28"/>
        </w:rPr>
        <w:t xml:space="preserve">       </w:t>
      </w:r>
    </w:p>
    <w:p w:rsidR="005146F8" w:rsidRDefault="005146F8" w:rsidP="005146F8">
      <w:pPr>
        <w:widowControl/>
        <w:autoSpaceDE/>
        <w:adjustRightInd/>
        <w:spacing w:line="340" w:lineRule="exact"/>
        <w:ind w:left="57" w:right="57" w:firstLine="720"/>
        <w:jc w:val="both"/>
        <w:rPr>
          <w:b/>
          <w:sz w:val="28"/>
          <w:szCs w:val="28"/>
        </w:rPr>
      </w:pPr>
    </w:p>
    <w:p w:rsidR="00C520B5" w:rsidRDefault="00C520B5" w:rsidP="005146F8">
      <w:pPr>
        <w:widowControl/>
        <w:autoSpaceDE/>
        <w:adjustRightInd/>
        <w:spacing w:line="340" w:lineRule="exact"/>
        <w:ind w:left="57" w:right="57" w:firstLine="720"/>
        <w:jc w:val="both"/>
        <w:rPr>
          <w:b/>
          <w:sz w:val="28"/>
          <w:szCs w:val="28"/>
        </w:rPr>
      </w:pPr>
    </w:p>
    <w:p w:rsidR="00C520B5" w:rsidRDefault="00C520B5" w:rsidP="005146F8">
      <w:pPr>
        <w:widowControl/>
        <w:autoSpaceDE/>
        <w:adjustRightInd/>
        <w:spacing w:line="340" w:lineRule="exact"/>
        <w:ind w:left="57" w:right="57" w:firstLine="720"/>
        <w:jc w:val="both"/>
        <w:rPr>
          <w:b/>
          <w:sz w:val="28"/>
          <w:szCs w:val="28"/>
        </w:rPr>
      </w:pPr>
    </w:p>
    <w:p w:rsidR="005146F8" w:rsidRDefault="005146F8" w:rsidP="005146F8">
      <w:pPr>
        <w:widowControl/>
        <w:autoSpaceDE/>
        <w:adjustRightInd/>
        <w:spacing w:line="340" w:lineRule="exact"/>
        <w:ind w:left="57" w:right="57" w:firstLine="720"/>
        <w:jc w:val="both"/>
        <w:rPr>
          <w:b/>
          <w:sz w:val="28"/>
          <w:szCs w:val="28"/>
        </w:rPr>
      </w:pPr>
    </w:p>
    <w:p w:rsidR="005146F8" w:rsidRDefault="005146F8" w:rsidP="005146F8">
      <w:pPr>
        <w:widowControl/>
        <w:autoSpaceDE/>
        <w:adjustRightInd/>
        <w:spacing w:line="340" w:lineRule="exact"/>
        <w:ind w:left="57" w:right="57" w:firstLine="720"/>
        <w:jc w:val="both"/>
        <w:rPr>
          <w:b/>
          <w:sz w:val="28"/>
          <w:szCs w:val="28"/>
        </w:rPr>
      </w:pPr>
      <w:r>
        <w:rPr>
          <w:b/>
          <w:sz w:val="28"/>
          <w:szCs w:val="28"/>
        </w:rPr>
        <w:t xml:space="preserve">  </w:t>
      </w:r>
    </w:p>
    <w:p w:rsidR="00C520B5" w:rsidRDefault="00C520B5" w:rsidP="005146F8">
      <w:pPr>
        <w:widowControl/>
        <w:autoSpaceDE/>
        <w:adjustRightInd/>
        <w:spacing w:line="340" w:lineRule="exact"/>
        <w:ind w:left="57" w:right="57" w:firstLine="720"/>
        <w:jc w:val="both"/>
        <w:rPr>
          <w:sz w:val="28"/>
          <w:szCs w:val="28"/>
        </w:rPr>
      </w:pPr>
    </w:p>
    <w:p w:rsidR="00C520B5" w:rsidRDefault="00C520B5" w:rsidP="005146F8">
      <w:pPr>
        <w:widowControl/>
        <w:autoSpaceDE/>
        <w:adjustRightInd/>
        <w:spacing w:line="340" w:lineRule="exact"/>
        <w:ind w:left="57" w:right="57" w:firstLine="720"/>
        <w:jc w:val="both"/>
        <w:rPr>
          <w:sz w:val="28"/>
          <w:szCs w:val="28"/>
        </w:rPr>
      </w:pPr>
    </w:p>
    <w:p w:rsidR="00C520B5" w:rsidRDefault="00C520B5" w:rsidP="005146F8">
      <w:pPr>
        <w:widowControl/>
        <w:autoSpaceDE/>
        <w:adjustRightInd/>
        <w:spacing w:line="340" w:lineRule="exact"/>
        <w:ind w:left="57" w:right="57" w:firstLine="720"/>
        <w:jc w:val="both"/>
        <w:rPr>
          <w:sz w:val="28"/>
          <w:szCs w:val="28"/>
        </w:rPr>
      </w:pPr>
    </w:p>
    <w:p w:rsidR="005146F8" w:rsidRDefault="00462B94" w:rsidP="005146F8">
      <w:pPr>
        <w:widowControl/>
        <w:autoSpaceDE/>
        <w:adjustRightInd/>
        <w:spacing w:line="340" w:lineRule="exact"/>
        <w:ind w:left="57" w:right="57" w:firstLine="720"/>
        <w:jc w:val="both"/>
        <w:rPr>
          <w:sz w:val="28"/>
          <w:szCs w:val="28"/>
          <w:lang w:val="en-US"/>
        </w:rPr>
      </w:pPr>
      <w:r>
        <w:rPr>
          <w:sz w:val="28"/>
          <w:szCs w:val="28"/>
        </w:rPr>
        <w:t>Общо 5 са незадържаните лица</w:t>
      </w:r>
      <w:r w:rsidRPr="00462B94">
        <w:rPr>
          <w:sz w:val="28"/>
          <w:szCs w:val="28"/>
        </w:rPr>
        <w:t xml:space="preserve"> </w:t>
      </w:r>
      <w:r>
        <w:rPr>
          <w:sz w:val="28"/>
          <w:szCs w:val="28"/>
        </w:rPr>
        <w:t>с наложено наказание лишаване от свобода, включително по присъди от предходни години</w:t>
      </w:r>
      <w:r w:rsidR="00684657">
        <w:rPr>
          <w:sz w:val="28"/>
          <w:szCs w:val="28"/>
        </w:rPr>
        <w:t>,</w:t>
      </w:r>
      <w:r>
        <w:rPr>
          <w:sz w:val="28"/>
          <w:szCs w:val="28"/>
          <w:lang w:val="en-US"/>
        </w:rPr>
        <w:t xml:space="preserve"> </w:t>
      </w:r>
      <w:r w:rsidR="005146F8">
        <w:rPr>
          <w:sz w:val="28"/>
          <w:szCs w:val="28"/>
        </w:rPr>
        <w:t>при 3</w:t>
      </w:r>
      <w:r>
        <w:rPr>
          <w:sz w:val="28"/>
          <w:szCs w:val="28"/>
        </w:rPr>
        <w:t xml:space="preserve"> лица</w:t>
      </w:r>
      <w:r w:rsidR="005146F8">
        <w:rPr>
          <w:sz w:val="28"/>
          <w:szCs w:val="28"/>
        </w:rPr>
        <w:t xml:space="preserve"> за 2023 г. и 6 за 2022 г. </w:t>
      </w:r>
    </w:p>
    <w:p w:rsidR="005146F8" w:rsidRDefault="005146F8" w:rsidP="005146F8">
      <w:pPr>
        <w:widowControl/>
        <w:autoSpaceDE/>
        <w:adjustRightInd/>
        <w:spacing w:line="340" w:lineRule="exact"/>
        <w:ind w:left="57" w:right="57" w:firstLine="720"/>
        <w:jc w:val="both"/>
        <w:rPr>
          <w:sz w:val="28"/>
          <w:szCs w:val="28"/>
        </w:rPr>
      </w:pPr>
      <w:r>
        <w:rPr>
          <w:sz w:val="28"/>
          <w:szCs w:val="28"/>
        </w:rPr>
        <w:t xml:space="preserve">През 2024 година няма случаи на </w:t>
      </w:r>
      <w:proofErr w:type="spellStart"/>
      <w:r>
        <w:rPr>
          <w:sz w:val="28"/>
          <w:szCs w:val="28"/>
        </w:rPr>
        <w:t>надлежаване</w:t>
      </w:r>
      <w:proofErr w:type="spellEnd"/>
      <w:r>
        <w:rPr>
          <w:sz w:val="28"/>
          <w:szCs w:val="28"/>
        </w:rPr>
        <w:t xml:space="preserve"> на осъдени лица над определеното им със съдебен акт наказание.</w:t>
      </w:r>
      <w:r>
        <w:rPr>
          <w:b/>
          <w:sz w:val="28"/>
          <w:szCs w:val="28"/>
        </w:rPr>
        <w:t xml:space="preserve"> </w:t>
      </w:r>
      <w:r>
        <w:rPr>
          <w:sz w:val="28"/>
          <w:szCs w:val="28"/>
        </w:rPr>
        <w:t xml:space="preserve">За сравнение през предходната 2023 г. е имало два случая, а през 2022 г. не е имало случаи на </w:t>
      </w:r>
      <w:proofErr w:type="spellStart"/>
      <w:r>
        <w:rPr>
          <w:sz w:val="28"/>
          <w:szCs w:val="28"/>
        </w:rPr>
        <w:t>надлежаване</w:t>
      </w:r>
      <w:proofErr w:type="spellEnd"/>
      <w:r>
        <w:rPr>
          <w:sz w:val="28"/>
          <w:szCs w:val="28"/>
        </w:rPr>
        <w:t xml:space="preserve"> на осъдени на лишаване от свобода лица.</w:t>
      </w:r>
    </w:p>
    <w:p w:rsidR="005146F8" w:rsidRDefault="005146F8" w:rsidP="005146F8">
      <w:pPr>
        <w:spacing w:line="340" w:lineRule="exact"/>
        <w:ind w:left="57" w:right="57" w:firstLine="720"/>
        <w:jc w:val="both"/>
        <w:rPr>
          <w:sz w:val="28"/>
          <w:szCs w:val="28"/>
        </w:rPr>
      </w:pPr>
      <w:r>
        <w:rPr>
          <w:sz w:val="28"/>
          <w:szCs w:val="28"/>
        </w:rPr>
        <w:t xml:space="preserve">През отчетния период в съдилищата в Сливенския съдебен район са били образувани 199 частни наказателни дела по чл.306 от НПК при 178 за 2023 г. и 165 за 2022 г. Спрямо предходните 2023 г. и 2022 г. данните по този показател сочат, че </w:t>
      </w:r>
      <w:r>
        <w:rPr>
          <w:color w:val="000000" w:themeColor="text1"/>
          <w:sz w:val="28"/>
          <w:szCs w:val="28"/>
        </w:rPr>
        <w:t xml:space="preserve">е налице увеличение, съответно с 11,8% и 20,61%. </w:t>
      </w:r>
      <w:r>
        <w:rPr>
          <w:sz w:val="28"/>
          <w:szCs w:val="28"/>
        </w:rPr>
        <w:t>От тях 194 дела са били образувани по предложение на прокурора, а 5 бр. по молба на осъдените лица. От внесените от прокурорите 194</w:t>
      </w:r>
      <w:r>
        <w:rPr>
          <w:color w:val="FF0000"/>
          <w:sz w:val="28"/>
          <w:szCs w:val="28"/>
        </w:rPr>
        <w:t xml:space="preserve"> </w:t>
      </w:r>
      <w:r>
        <w:rPr>
          <w:sz w:val="28"/>
          <w:szCs w:val="28"/>
        </w:rPr>
        <w:t>предложения по реда на чл.306 от НПК са били уважени 181 бр., неуважени – няма, а 13 бр. са останали неразгледани през отчетния период.</w:t>
      </w:r>
      <w:r>
        <w:rPr>
          <w:b/>
          <w:sz w:val="28"/>
          <w:szCs w:val="28"/>
        </w:rPr>
        <w:t xml:space="preserve"> </w:t>
      </w:r>
    </w:p>
    <w:p w:rsidR="005146F8" w:rsidRDefault="005146F8" w:rsidP="005146F8">
      <w:pPr>
        <w:spacing w:line="340" w:lineRule="exact"/>
        <w:ind w:left="57" w:right="57" w:firstLine="720"/>
        <w:jc w:val="both"/>
        <w:rPr>
          <w:sz w:val="28"/>
          <w:szCs w:val="28"/>
        </w:rPr>
      </w:pPr>
      <w:r>
        <w:rPr>
          <w:sz w:val="28"/>
          <w:szCs w:val="28"/>
        </w:rPr>
        <w:t>През 2024 година прокурорите</w:t>
      </w:r>
      <w:r w:rsidR="00684657">
        <w:rPr>
          <w:sz w:val="28"/>
          <w:szCs w:val="28"/>
        </w:rPr>
        <w:t xml:space="preserve"> изпълняващи наказанията</w:t>
      </w:r>
      <w:r>
        <w:rPr>
          <w:sz w:val="28"/>
          <w:szCs w:val="28"/>
        </w:rPr>
        <w:t xml:space="preserve"> са изготвили </w:t>
      </w:r>
      <w:r w:rsidR="008549DF">
        <w:rPr>
          <w:sz w:val="28"/>
          <w:szCs w:val="28"/>
          <w:lang w:val="en-US"/>
        </w:rPr>
        <w:t xml:space="preserve">6 </w:t>
      </w:r>
      <w:r>
        <w:rPr>
          <w:sz w:val="28"/>
          <w:szCs w:val="28"/>
        </w:rPr>
        <w:t>искания за възобновяване на наказателни производства с правно основание чл.422 от НПК</w:t>
      </w:r>
      <w:r w:rsidR="00684657">
        <w:rPr>
          <w:sz w:val="28"/>
          <w:szCs w:val="28"/>
        </w:rPr>
        <w:t xml:space="preserve">, </w:t>
      </w:r>
      <w:r>
        <w:rPr>
          <w:sz w:val="28"/>
          <w:szCs w:val="28"/>
        </w:rPr>
        <w:t xml:space="preserve">до Главния прокурор на Република </w:t>
      </w:r>
      <w:r>
        <w:rPr>
          <w:sz w:val="28"/>
          <w:szCs w:val="28"/>
        </w:rPr>
        <w:lastRenderedPageBreak/>
        <w:t xml:space="preserve">България, като </w:t>
      </w:r>
      <w:r w:rsidR="008549DF">
        <w:rPr>
          <w:sz w:val="28"/>
          <w:szCs w:val="28"/>
          <w:lang w:val="en-US"/>
        </w:rPr>
        <w:t>5</w:t>
      </w:r>
      <w:r>
        <w:rPr>
          <w:sz w:val="28"/>
          <w:szCs w:val="28"/>
        </w:rPr>
        <w:t xml:space="preserve"> от тях са уважени, а едно искане е останало неуважено. За сравнение</w:t>
      </w:r>
      <w:r w:rsidR="00684657">
        <w:rPr>
          <w:sz w:val="28"/>
          <w:szCs w:val="28"/>
        </w:rPr>
        <w:t>,</w:t>
      </w:r>
      <w:r>
        <w:rPr>
          <w:sz w:val="28"/>
          <w:szCs w:val="28"/>
        </w:rPr>
        <w:t xml:space="preserve"> през 2023 г. са били изготвени 2 искания за възобновяване, а през 2022 г. няма изготвени искания по чл.422 от НПК. </w:t>
      </w:r>
    </w:p>
    <w:p w:rsidR="005146F8" w:rsidRDefault="005146F8" w:rsidP="005146F8">
      <w:pPr>
        <w:spacing w:line="340" w:lineRule="exact"/>
        <w:ind w:left="57" w:right="57" w:firstLine="720"/>
        <w:jc w:val="both"/>
        <w:rPr>
          <w:sz w:val="28"/>
          <w:szCs w:val="28"/>
        </w:rPr>
      </w:pPr>
      <w:r>
        <w:rPr>
          <w:sz w:val="28"/>
          <w:szCs w:val="28"/>
        </w:rPr>
        <w:t>Внесени са 13 искания по реда на чл.414 от НПК, при 9 за 2023 г. и 7 за 2022 г., като 12 са били уважени, а по едно искане съдът не се е произнесъл към края  на отчетния период. Прави впечатление, че през последните години данните по този показател се увеличават, което показва пропуски при постановяване на съдебните актове и необходимост от изготвяне на искания по чл.414 от НПК.</w:t>
      </w:r>
    </w:p>
    <w:p w:rsidR="005146F8" w:rsidRDefault="005146F8" w:rsidP="005146F8">
      <w:pPr>
        <w:spacing w:line="340" w:lineRule="exact"/>
        <w:ind w:left="57" w:right="57" w:firstLine="651"/>
        <w:jc w:val="both"/>
        <w:rPr>
          <w:sz w:val="28"/>
          <w:szCs w:val="28"/>
          <w:lang w:val="be-BY"/>
        </w:rPr>
      </w:pPr>
      <w:r>
        <w:rPr>
          <w:sz w:val="28"/>
          <w:szCs w:val="28"/>
        </w:rPr>
        <w:t>Прокурорите изпълняващи наказанията са се произнесли по реда на чл.417 от НПК с</w:t>
      </w:r>
      <w:r w:rsidR="00684657">
        <w:rPr>
          <w:sz w:val="28"/>
          <w:szCs w:val="28"/>
        </w:rPr>
        <w:t>ъс</w:t>
      </w:r>
      <w:r>
        <w:rPr>
          <w:sz w:val="28"/>
          <w:szCs w:val="28"/>
        </w:rPr>
        <w:t xml:space="preserve"> 79 постановления за приспадане на период на предварително задържане под стража или домашен арест, като броят на тези постановления за 2023 г. и 2022 г. е бил съответно 96 бр. и 56 бр. </w:t>
      </w:r>
    </w:p>
    <w:p w:rsidR="005146F8" w:rsidRDefault="005146F8" w:rsidP="005146F8">
      <w:pPr>
        <w:widowControl/>
        <w:autoSpaceDE/>
        <w:adjustRightInd/>
        <w:spacing w:line="340" w:lineRule="exact"/>
        <w:ind w:left="57" w:right="57" w:firstLine="720"/>
        <w:jc w:val="both"/>
        <w:rPr>
          <w:sz w:val="28"/>
          <w:szCs w:val="28"/>
        </w:rPr>
      </w:pPr>
      <w:r>
        <w:rPr>
          <w:sz w:val="28"/>
          <w:szCs w:val="28"/>
        </w:rPr>
        <w:t>През отчетния период са условно-предсрочно освободени 9 лица, при 5 за 2023 г. и 10 за 2022 г., от които 6 лица по предложение на началника на Затвора – Сливен и 3 лица по тяхна молба.</w:t>
      </w:r>
    </w:p>
    <w:p w:rsidR="005146F8" w:rsidRDefault="005146F8" w:rsidP="005146F8">
      <w:pPr>
        <w:widowControl/>
        <w:autoSpaceDE/>
        <w:adjustRightInd/>
        <w:spacing w:line="340" w:lineRule="exact"/>
        <w:ind w:left="57" w:right="57" w:firstLine="720"/>
        <w:jc w:val="both"/>
        <w:rPr>
          <w:sz w:val="28"/>
          <w:szCs w:val="28"/>
        </w:rPr>
      </w:pPr>
      <w:r>
        <w:rPr>
          <w:b/>
          <w:sz w:val="28"/>
          <w:szCs w:val="28"/>
        </w:rPr>
        <w:t xml:space="preserve"> </w:t>
      </w:r>
      <w:r>
        <w:rPr>
          <w:sz w:val="28"/>
          <w:szCs w:val="28"/>
        </w:rPr>
        <w:t xml:space="preserve">По 25 молби, подадени от лишени от свобода, съдът е отказал условно – предсрочно освобождаване от изтърпяване на наложените им наказания. През отчетният период няма подадени до окръжния прокурор молби за изготвяне на предложение за условно-предсрочно освобождаване. </w:t>
      </w:r>
    </w:p>
    <w:p w:rsidR="005146F8" w:rsidRDefault="005146F8" w:rsidP="005146F8">
      <w:pPr>
        <w:widowControl/>
        <w:autoSpaceDE/>
        <w:adjustRightInd/>
        <w:spacing w:line="340" w:lineRule="exact"/>
        <w:ind w:left="57" w:right="57" w:firstLine="720"/>
        <w:jc w:val="both"/>
        <w:rPr>
          <w:b/>
          <w:color w:val="000000" w:themeColor="text1"/>
          <w:sz w:val="28"/>
          <w:szCs w:val="28"/>
        </w:rPr>
      </w:pPr>
      <w:r>
        <w:rPr>
          <w:color w:val="000000" w:themeColor="text1"/>
          <w:sz w:val="28"/>
          <w:szCs w:val="28"/>
        </w:rPr>
        <w:t>През 2024 г., на основание чл.447 от НПК, прокуратурата е прекъснала изпълнението на наказанието на лишени от свобода в 32 случая, при 53 за 2023 г. и 26 за 2022 г., като спрямо предходната година е налице значително намаление на случаите на прекъсване на наказанието.</w:t>
      </w:r>
      <w:r>
        <w:rPr>
          <w:b/>
          <w:color w:val="000000" w:themeColor="text1"/>
          <w:sz w:val="28"/>
          <w:szCs w:val="28"/>
        </w:rPr>
        <w:t xml:space="preserve"> </w:t>
      </w:r>
    </w:p>
    <w:p w:rsidR="005146F8" w:rsidRDefault="005146F8" w:rsidP="005146F8">
      <w:pPr>
        <w:widowControl/>
        <w:autoSpaceDE/>
        <w:adjustRightInd/>
        <w:spacing w:line="340" w:lineRule="exact"/>
        <w:ind w:right="57" w:firstLine="708"/>
        <w:jc w:val="both"/>
        <w:rPr>
          <w:sz w:val="28"/>
          <w:szCs w:val="28"/>
        </w:rPr>
      </w:pPr>
      <w:r>
        <w:rPr>
          <w:sz w:val="28"/>
          <w:szCs w:val="28"/>
        </w:rPr>
        <w:t>Окръжна прокуратура - Сливен е отказала прекъсване на изпълнението на наказанието лишаване от свобода в 41  случая.</w:t>
      </w:r>
    </w:p>
    <w:p w:rsidR="005146F8" w:rsidRDefault="005146F8" w:rsidP="005146F8">
      <w:pPr>
        <w:widowControl/>
        <w:autoSpaceDE/>
        <w:adjustRightInd/>
        <w:spacing w:line="340" w:lineRule="exact"/>
        <w:ind w:left="57" w:right="57" w:firstLine="720"/>
        <w:jc w:val="both"/>
        <w:rPr>
          <w:b/>
          <w:bCs/>
          <w:sz w:val="28"/>
          <w:szCs w:val="28"/>
        </w:rPr>
      </w:pPr>
      <w:r>
        <w:rPr>
          <w:b/>
          <w:bCs/>
          <w:sz w:val="28"/>
          <w:szCs w:val="28"/>
        </w:rPr>
        <w:t>Принудителни мерки</w:t>
      </w:r>
    </w:p>
    <w:p w:rsidR="005146F8" w:rsidRDefault="005146F8" w:rsidP="005146F8">
      <w:pPr>
        <w:widowControl/>
        <w:autoSpaceDE/>
        <w:adjustRightInd/>
        <w:spacing w:line="340" w:lineRule="exact"/>
        <w:ind w:left="57" w:right="57" w:firstLine="720"/>
        <w:jc w:val="both"/>
        <w:rPr>
          <w:sz w:val="28"/>
          <w:szCs w:val="28"/>
        </w:rPr>
      </w:pPr>
      <w:r>
        <w:rPr>
          <w:sz w:val="28"/>
          <w:szCs w:val="28"/>
        </w:rPr>
        <w:t>През 2024 г. в прокуратурите от Сливенския съдебен регион са наблюдавани 169 преписки за принудително лечение, от които новообразуваните са били 158 преписки. За предходната 2023 г. наблюдаваните преписки са били 190, а за 2022 г</w:t>
      </w:r>
      <w:r>
        <w:rPr>
          <w:b/>
          <w:sz w:val="28"/>
          <w:szCs w:val="28"/>
        </w:rPr>
        <w:t xml:space="preserve">. </w:t>
      </w:r>
      <w:r>
        <w:rPr>
          <w:sz w:val="28"/>
          <w:szCs w:val="28"/>
        </w:rPr>
        <w:t xml:space="preserve">– 169 бр. Данните сочат, че е налице минимално намаление на наблюдаваните преписки спрямо предходната </w:t>
      </w:r>
      <w:r>
        <w:rPr>
          <w:color w:val="000000" w:themeColor="text1"/>
          <w:sz w:val="28"/>
          <w:szCs w:val="28"/>
        </w:rPr>
        <w:t xml:space="preserve">2023 г. - с </w:t>
      </w:r>
      <w:r w:rsidR="00E823F5">
        <w:rPr>
          <w:color w:val="000000" w:themeColor="text1"/>
          <w:sz w:val="28"/>
          <w:szCs w:val="28"/>
        </w:rPr>
        <w:t>11,05</w:t>
      </w:r>
      <w:r>
        <w:rPr>
          <w:color w:val="000000" w:themeColor="text1"/>
          <w:sz w:val="28"/>
          <w:szCs w:val="28"/>
        </w:rPr>
        <w:t xml:space="preserve">%, </w:t>
      </w:r>
      <w:r w:rsidR="00684657">
        <w:rPr>
          <w:color w:val="000000" w:themeColor="text1"/>
          <w:sz w:val="28"/>
          <w:szCs w:val="28"/>
        </w:rPr>
        <w:t xml:space="preserve">като се отчита еднакъв брой </w:t>
      </w:r>
      <w:r>
        <w:rPr>
          <w:sz w:val="28"/>
          <w:szCs w:val="28"/>
        </w:rPr>
        <w:t xml:space="preserve">на преписките за принудително лечение </w:t>
      </w:r>
      <w:r w:rsidR="00684657">
        <w:rPr>
          <w:sz w:val="28"/>
          <w:szCs w:val="28"/>
        </w:rPr>
        <w:t xml:space="preserve">с тези за 2022 г. </w:t>
      </w:r>
      <w:r>
        <w:rPr>
          <w:sz w:val="28"/>
          <w:szCs w:val="28"/>
        </w:rPr>
        <w:t>Внесените предложения в съда са 116 бр., от които 111 бр. по чл.155 от Закона за здравето, а 5 преписки по чл.89 от НК. От внесените предложения 50 са уважени, 62 бр. са прекратени, 4 бр. са останали неразгледани. През отчетният период няма неуважени предложения по  чл.155 от Закона за здравето и по чл.89 от НК.</w:t>
      </w:r>
    </w:p>
    <w:p w:rsidR="00D204F3" w:rsidRDefault="00D204F3" w:rsidP="00D204F3">
      <w:pPr>
        <w:widowControl/>
        <w:autoSpaceDE/>
        <w:adjustRightInd/>
        <w:spacing w:line="340" w:lineRule="exact"/>
        <w:ind w:left="57" w:right="57" w:firstLine="720"/>
        <w:jc w:val="both"/>
        <w:rPr>
          <w:b/>
          <w:bCs/>
          <w:sz w:val="28"/>
          <w:szCs w:val="28"/>
        </w:rPr>
      </w:pPr>
      <w:r w:rsidRPr="00D204F3">
        <w:rPr>
          <w:b/>
          <w:bCs/>
          <w:sz w:val="28"/>
          <w:szCs w:val="28"/>
        </w:rPr>
        <w:lastRenderedPageBreak/>
        <w:t>Дейност по надзора за законност в местата за задържане и за</w:t>
      </w:r>
      <w:r>
        <w:rPr>
          <w:b/>
          <w:bCs/>
          <w:sz w:val="28"/>
          <w:szCs w:val="28"/>
        </w:rPr>
        <w:t xml:space="preserve"> изтърпяване на наказанията „Лишаване от свобода“ и „Доживотен затвор“.</w:t>
      </w:r>
    </w:p>
    <w:p w:rsidR="00D204F3" w:rsidRDefault="00D204F3" w:rsidP="00D204F3">
      <w:pPr>
        <w:spacing w:line="340" w:lineRule="exact"/>
        <w:ind w:right="57" w:firstLine="777"/>
        <w:jc w:val="both"/>
        <w:rPr>
          <w:color w:val="0D0D0D"/>
          <w:sz w:val="28"/>
          <w:szCs w:val="28"/>
        </w:rPr>
      </w:pPr>
      <w:r>
        <w:rPr>
          <w:color w:val="0D0D0D"/>
          <w:sz w:val="28"/>
          <w:szCs w:val="28"/>
        </w:rPr>
        <w:t>В съдебния район на Окръжна прокуратура – Сливен се намира Затвора – Сливен, където изтърпяват наказание „Лишаване от свобода“ лица от женски пол от цялата страна. През 2024 г. в затвора на място</w:t>
      </w:r>
      <w:r>
        <w:rPr>
          <w:color w:val="0D0D0D"/>
          <w:sz w:val="28"/>
          <w:szCs w:val="28"/>
          <w:lang w:val="en-US"/>
        </w:rPr>
        <w:t xml:space="preserve"> </w:t>
      </w:r>
      <w:r>
        <w:rPr>
          <w:color w:val="0D0D0D"/>
          <w:sz w:val="28"/>
          <w:szCs w:val="28"/>
        </w:rPr>
        <w:t xml:space="preserve">са проведени </w:t>
      </w:r>
      <w:r>
        <w:rPr>
          <w:sz w:val="28"/>
          <w:szCs w:val="28"/>
        </w:rPr>
        <w:t>11</w:t>
      </w:r>
      <w:r>
        <w:rPr>
          <w:color w:val="FF0000"/>
          <w:sz w:val="28"/>
          <w:szCs w:val="28"/>
        </w:rPr>
        <w:t xml:space="preserve"> </w:t>
      </w:r>
      <w:r>
        <w:rPr>
          <w:color w:val="0D0D0D"/>
          <w:sz w:val="28"/>
          <w:szCs w:val="28"/>
        </w:rPr>
        <w:t xml:space="preserve">планирани срещи с </w:t>
      </w:r>
      <w:r>
        <w:rPr>
          <w:sz w:val="28"/>
          <w:szCs w:val="28"/>
        </w:rPr>
        <w:t xml:space="preserve">61 </w:t>
      </w:r>
      <w:r>
        <w:rPr>
          <w:color w:val="0D0D0D"/>
          <w:sz w:val="28"/>
          <w:szCs w:val="28"/>
        </w:rPr>
        <w:t>лишени от свобода и с лица с мярка за неотклонение „Задържане под стража“.</w:t>
      </w:r>
    </w:p>
    <w:p w:rsidR="00D204F3" w:rsidRDefault="00D204F3" w:rsidP="00D204F3">
      <w:pPr>
        <w:spacing w:line="340" w:lineRule="exact"/>
        <w:ind w:right="57" w:firstLine="777"/>
        <w:jc w:val="both"/>
        <w:rPr>
          <w:sz w:val="28"/>
          <w:szCs w:val="28"/>
        </w:rPr>
      </w:pPr>
      <w:r>
        <w:rPr>
          <w:sz w:val="28"/>
          <w:szCs w:val="28"/>
        </w:rPr>
        <w:t>През отчетния период, от страна на Окръжна прокуратура – Сливен в Затвора – Сливен и прилежащият му арест са извършени следните планови проверки:</w:t>
      </w:r>
    </w:p>
    <w:p w:rsidR="00D204F3" w:rsidRDefault="00D204F3" w:rsidP="00D204F3">
      <w:pPr>
        <w:pStyle w:val="a7"/>
        <w:numPr>
          <w:ilvl w:val="0"/>
          <w:numId w:val="12"/>
        </w:numPr>
        <w:spacing w:line="340" w:lineRule="exact"/>
        <w:ind w:left="0" w:right="57" w:firstLine="777"/>
        <w:jc w:val="both"/>
        <w:rPr>
          <w:color w:val="0D0D0D"/>
          <w:sz w:val="28"/>
          <w:szCs w:val="28"/>
        </w:rPr>
      </w:pPr>
      <w:r>
        <w:rPr>
          <w:sz w:val="28"/>
          <w:szCs w:val="28"/>
        </w:rPr>
        <w:t xml:space="preserve">относно спазване разпоредбите на ЗИНЗС и ППЗИНЗС за приемане на задържани лица, преместването им от един в друг арест или затвор и диференцирано настаняване, изолация и охрана, включително при конвоиране, лечение, свиждане и други случаи на напускане на </w:t>
      </w:r>
      <w:proofErr w:type="spellStart"/>
      <w:r>
        <w:rPr>
          <w:sz w:val="28"/>
          <w:szCs w:val="28"/>
        </w:rPr>
        <w:t>ар</w:t>
      </w:r>
      <w:r w:rsidR="00100464">
        <w:rPr>
          <w:sz w:val="28"/>
          <w:szCs w:val="28"/>
        </w:rPr>
        <w:t>е</w:t>
      </w:r>
      <w:r>
        <w:rPr>
          <w:sz w:val="28"/>
          <w:szCs w:val="28"/>
        </w:rPr>
        <w:t>стните</w:t>
      </w:r>
      <w:proofErr w:type="spellEnd"/>
      <w:r>
        <w:rPr>
          <w:sz w:val="28"/>
          <w:szCs w:val="28"/>
        </w:rPr>
        <w:t xml:space="preserve"> помещения</w:t>
      </w:r>
      <w:r w:rsidR="00770AC3">
        <w:rPr>
          <w:sz w:val="28"/>
          <w:szCs w:val="28"/>
        </w:rPr>
        <w:t>.</w:t>
      </w:r>
    </w:p>
    <w:p w:rsidR="00D204F3" w:rsidRDefault="00D204F3" w:rsidP="00D204F3">
      <w:pPr>
        <w:pStyle w:val="a7"/>
        <w:numPr>
          <w:ilvl w:val="0"/>
          <w:numId w:val="12"/>
        </w:numPr>
        <w:spacing w:line="340" w:lineRule="exact"/>
        <w:ind w:left="0" w:right="57" w:firstLine="777"/>
        <w:jc w:val="both"/>
        <w:rPr>
          <w:color w:val="0D0D0D"/>
          <w:sz w:val="28"/>
          <w:szCs w:val="28"/>
        </w:rPr>
      </w:pPr>
      <w:r>
        <w:rPr>
          <w:sz w:val="28"/>
          <w:szCs w:val="28"/>
        </w:rPr>
        <w:t>относно законосъобразността в дейността на затворническата администрация по налагане на дисциплинарни наказания по смисъла на чл.101 и сл. от ЗИНЗС, както и наличието на основания за замяна на режима на изтърпяване на наказанието „Лишаване от свобода“ с по-тежък по чл.445-446 от НПК и за отмяна на зачитането на работни дни по чл.443-444 от НПК;</w:t>
      </w:r>
    </w:p>
    <w:p w:rsidR="00D204F3" w:rsidRDefault="00D204F3" w:rsidP="00D204F3">
      <w:pPr>
        <w:pStyle w:val="a7"/>
        <w:numPr>
          <w:ilvl w:val="0"/>
          <w:numId w:val="12"/>
        </w:numPr>
        <w:spacing w:line="340" w:lineRule="exact"/>
        <w:ind w:left="0" w:right="57" w:firstLine="777"/>
        <w:jc w:val="both"/>
        <w:rPr>
          <w:color w:val="0D0D0D"/>
          <w:sz w:val="28"/>
          <w:szCs w:val="28"/>
        </w:rPr>
      </w:pPr>
      <w:r>
        <w:rPr>
          <w:sz w:val="28"/>
          <w:szCs w:val="28"/>
        </w:rPr>
        <w:t xml:space="preserve">относно обжалвани дисциплинарни наказания по ЗИНЗС, наложени от </w:t>
      </w:r>
      <w:r w:rsidR="00770AC3">
        <w:rPr>
          <w:sz w:val="28"/>
          <w:szCs w:val="28"/>
        </w:rPr>
        <w:t>н</w:t>
      </w:r>
      <w:r>
        <w:rPr>
          <w:sz w:val="28"/>
          <w:szCs w:val="28"/>
        </w:rPr>
        <w:t>ачалника на Затвора – Сливен в периода от 01.</w:t>
      </w:r>
      <w:proofErr w:type="spellStart"/>
      <w:r>
        <w:rPr>
          <w:sz w:val="28"/>
          <w:szCs w:val="28"/>
        </w:rPr>
        <w:t>01</w:t>
      </w:r>
      <w:proofErr w:type="spellEnd"/>
      <w:r>
        <w:rPr>
          <w:sz w:val="28"/>
          <w:szCs w:val="28"/>
        </w:rPr>
        <w:t>.2023 г. – 31.08.2024 г.</w:t>
      </w:r>
    </w:p>
    <w:p w:rsidR="00D204F3" w:rsidRDefault="00D204F3" w:rsidP="00D204F3">
      <w:pPr>
        <w:spacing w:line="340" w:lineRule="exact"/>
        <w:ind w:right="57" w:firstLine="777"/>
        <w:jc w:val="both"/>
        <w:rPr>
          <w:color w:val="0D0D0D"/>
          <w:sz w:val="28"/>
          <w:szCs w:val="28"/>
        </w:rPr>
      </w:pPr>
      <w:r>
        <w:rPr>
          <w:color w:val="0D0D0D"/>
          <w:sz w:val="28"/>
          <w:szCs w:val="28"/>
        </w:rPr>
        <w:t>При проверките не са констатирани пропуски в работата на затворническата администрация.</w:t>
      </w:r>
    </w:p>
    <w:p w:rsidR="00D204F3" w:rsidRDefault="00D204F3" w:rsidP="00D204F3">
      <w:pPr>
        <w:spacing w:line="340" w:lineRule="exact"/>
        <w:ind w:right="57" w:firstLine="777"/>
        <w:jc w:val="both"/>
        <w:rPr>
          <w:color w:val="0D0D0D"/>
          <w:sz w:val="28"/>
          <w:szCs w:val="28"/>
        </w:rPr>
      </w:pPr>
      <w:r>
        <w:rPr>
          <w:color w:val="0D0D0D"/>
          <w:sz w:val="28"/>
          <w:szCs w:val="28"/>
        </w:rPr>
        <w:t xml:space="preserve">През отчетния период, прокурори от ОП – Сливен и РП – Сливен са извършили </w:t>
      </w:r>
      <w:r>
        <w:rPr>
          <w:sz w:val="28"/>
          <w:szCs w:val="28"/>
        </w:rPr>
        <w:t>14</w:t>
      </w:r>
      <w:r>
        <w:rPr>
          <w:color w:val="FF0000"/>
          <w:sz w:val="28"/>
          <w:szCs w:val="28"/>
        </w:rPr>
        <w:t xml:space="preserve"> </w:t>
      </w:r>
      <w:r>
        <w:rPr>
          <w:color w:val="0D0D0D"/>
          <w:sz w:val="28"/>
          <w:szCs w:val="28"/>
        </w:rPr>
        <w:t xml:space="preserve">планирани проверки в Ареста при Затвора - Сливен, за което са изготвяни справки и констативни протоколи. При проверките не са констатирани нарушения, свързани със законосъобразността при изпълнението на мярката за неотклонение „Задържане под стража“ от страна на длъжностните лица, осигуряващи охраната в </w:t>
      </w:r>
      <w:proofErr w:type="spellStart"/>
      <w:r>
        <w:rPr>
          <w:color w:val="0D0D0D"/>
          <w:sz w:val="28"/>
          <w:szCs w:val="28"/>
        </w:rPr>
        <w:t>арестното</w:t>
      </w:r>
      <w:proofErr w:type="spellEnd"/>
      <w:r>
        <w:rPr>
          <w:color w:val="0D0D0D"/>
          <w:sz w:val="28"/>
          <w:szCs w:val="28"/>
        </w:rPr>
        <w:t xml:space="preserve"> помещение.</w:t>
      </w:r>
    </w:p>
    <w:p w:rsidR="00D204F3" w:rsidRDefault="00D204F3" w:rsidP="00D204F3">
      <w:pPr>
        <w:spacing w:line="340" w:lineRule="exact"/>
        <w:ind w:right="57" w:firstLine="777"/>
        <w:jc w:val="both"/>
        <w:rPr>
          <w:color w:val="0D0D0D"/>
          <w:sz w:val="28"/>
          <w:szCs w:val="28"/>
        </w:rPr>
      </w:pPr>
      <w:r>
        <w:rPr>
          <w:color w:val="0D0D0D"/>
          <w:sz w:val="28"/>
          <w:szCs w:val="28"/>
        </w:rPr>
        <w:t xml:space="preserve">В изпълнение на разпоредбата на чл. 286, ал.4 от ППЗИНЗС и т.45 от раздел ІV от Заповед от 26.07.2010 г. на Главния директор на ГД „ИН” – София, в Затвора – Сливен са извършени общо </w:t>
      </w:r>
      <w:r>
        <w:rPr>
          <w:sz w:val="28"/>
          <w:szCs w:val="28"/>
        </w:rPr>
        <w:t xml:space="preserve">1400 </w:t>
      </w:r>
      <w:r>
        <w:rPr>
          <w:color w:val="0D0D0D"/>
          <w:sz w:val="28"/>
          <w:szCs w:val="28"/>
        </w:rPr>
        <w:t xml:space="preserve">претърсвания, от които </w:t>
      </w:r>
      <w:r>
        <w:rPr>
          <w:sz w:val="28"/>
          <w:szCs w:val="28"/>
        </w:rPr>
        <w:t>1378</w:t>
      </w:r>
      <w:r>
        <w:rPr>
          <w:color w:val="FF0000"/>
          <w:sz w:val="28"/>
          <w:szCs w:val="28"/>
        </w:rPr>
        <w:t xml:space="preserve"> </w:t>
      </w:r>
      <w:r>
        <w:rPr>
          <w:color w:val="0D0D0D"/>
          <w:sz w:val="28"/>
          <w:szCs w:val="28"/>
        </w:rPr>
        <w:t xml:space="preserve">планирани и </w:t>
      </w:r>
      <w:r>
        <w:rPr>
          <w:sz w:val="28"/>
          <w:szCs w:val="28"/>
        </w:rPr>
        <w:t xml:space="preserve">22 </w:t>
      </w:r>
      <w:r>
        <w:rPr>
          <w:color w:val="0D0D0D"/>
          <w:sz w:val="28"/>
          <w:szCs w:val="28"/>
        </w:rPr>
        <w:t>извънредни</w:t>
      </w:r>
      <w:r w:rsidR="00106193">
        <w:rPr>
          <w:color w:val="0D0D0D"/>
          <w:sz w:val="28"/>
          <w:szCs w:val="28"/>
        </w:rPr>
        <w:t>, като 241 от тях</w:t>
      </w:r>
      <w:r>
        <w:rPr>
          <w:color w:val="0D0D0D"/>
          <w:sz w:val="28"/>
          <w:szCs w:val="28"/>
        </w:rPr>
        <w:t xml:space="preserve"> са извършени в прилежащия арест. Извършени са общо </w:t>
      </w:r>
      <w:r>
        <w:rPr>
          <w:sz w:val="28"/>
          <w:szCs w:val="28"/>
        </w:rPr>
        <w:t xml:space="preserve">17861 </w:t>
      </w:r>
      <w:r>
        <w:rPr>
          <w:color w:val="0D0D0D"/>
          <w:sz w:val="28"/>
          <w:szCs w:val="28"/>
        </w:rPr>
        <w:t xml:space="preserve">обиска, от които </w:t>
      </w:r>
      <w:r>
        <w:rPr>
          <w:sz w:val="28"/>
          <w:szCs w:val="28"/>
        </w:rPr>
        <w:t xml:space="preserve">3891 </w:t>
      </w:r>
      <w:r>
        <w:rPr>
          <w:color w:val="0D0D0D"/>
          <w:sz w:val="28"/>
          <w:szCs w:val="28"/>
        </w:rPr>
        <w:t>в ареста. Извънредните обиски през периода са 48.</w:t>
      </w:r>
    </w:p>
    <w:p w:rsidR="00D204F3" w:rsidRDefault="00D204F3" w:rsidP="00D204F3">
      <w:pPr>
        <w:pStyle w:val="a8"/>
        <w:tabs>
          <w:tab w:val="left" w:pos="2977"/>
          <w:tab w:val="left" w:pos="3402"/>
        </w:tabs>
        <w:spacing w:line="276" w:lineRule="auto"/>
        <w:ind w:firstLine="720"/>
        <w:jc w:val="both"/>
        <w:rPr>
          <w:sz w:val="28"/>
          <w:szCs w:val="28"/>
        </w:rPr>
      </w:pPr>
      <w:r>
        <w:rPr>
          <w:color w:val="0D0D0D"/>
          <w:sz w:val="28"/>
          <w:szCs w:val="28"/>
        </w:rPr>
        <w:t xml:space="preserve">През отчетната година от страна на надзорно-охранителния състав </w:t>
      </w:r>
      <w:r>
        <w:rPr>
          <w:color w:val="0D0D0D"/>
          <w:sz w:val="28"/>
          <w:szCs w:val="28"/>
        </w:rPr>
        <w:lastRenderedPageBreak/>
        <w:t xml:space="preserve">при Затвора – Сливен е употребена физическа сила по отношение на </w:t>
      </w:r>
      <w:r>
        <w:rPr>
          <w:sz w:val="28"/>
          <w:szCs w:val="28"/>
        </w:rPr>
        <w:t xml:space="preserve">27 лица и </w:t>
      </w:r>
      <w:r>
        <w:rPr>
          <w:color w:val="0D0D0D"/>
          <w:sz w:val="28"/>
          <w:szCs w:val="28"/>
        </w:rPr>
        <w:t xml:space="preserve">са употребени помощни средства срещу </w:t>
      </w:r>
      <w:r>
        <w:rPr>
          <w:sz w:val="28"/>
          <w:szCs w:val="28"/>
        </w:rPr>
        <w:t xml:space="preserve">13 </w:t>
      </w:r>
      <w:r>
        <w:rPr>
          <w:color w:val="0D0D0D"/>
          <w:sz w:val="28"/>
          <w:szCs w:val="28"/>
        </w:rPr>
        <w:t xml:space="preserve">лица. За всеки от случаите е уведомявана Окръжна прокуратура и действията на служителите в </w:t>
      </w:r>
      <w:r w:rsidR="00106193">
        <w:rPr>
          <w:color w:val="0D0D0D"/>
          <w:sz w:val="28"/>
          <w:szCs w:val="28"/>
        </w:rPr>
        <w:t>Затвора – Сливен са преценявани</w:t>
      </w:r>
      <w:r>
        <w:rPr>
          <w:color w:val="0D0D0D"/>
          <w:sz w:val="28"/>
          <w:szCs w:val="28"/>
        </w:rPr>
        <w:t xml:space="preserve"> </w:t>
      </w:r>
      <w:r>
        <w:rPr>
          <w:sz w:val="28"/>
          <w:szCs w:val="28"/>
        </w:rPr>
        <w:t>като законосъобразни</w:t>
      </w:r>
      <w:r w:rsidR="00106193">
        <w:rPr>
          <w:sz w:val="28"/>
          <w:szCs w:val="28"/>
        </w:rPr>
        <w:t>,</w:t>
      </w:r>
      <w:r>
        <w:rPr>
          <w:sz w:val="28"/>
          <w:szCs w:val="28"/>
        </w:rPr>
        <w:t xml:space="preserve"> в </w:t>
      </w:r>
      <w:proofErr w:type="spellStart"/>
      <w:r>
        <w:rPr>
          <w:sz w:val="28"/>
          <w:szCs w:val="28"/>
        </w:rPr>
        <w:t>съотвествие</w:t>
      </w:r>
      <w:proofErr w:type="spellEnd"/>
      <w:r>
        <w:rPr>
          <w:sz w:val="28"/>
          <w:szCs w:val="28"/>
        </w:rPr>
        <w:t xml:space="preserve"> с разпоредбите на чл.113, ал.1, т.1 и т.2 от ЗИНЗС. Няма случаи на установени телесни увреждания и/или накърняване на честта и достойнството на задържаните лица и лишените от свобода, произтичащи от използвана спрямо тях физическа сила и помощни средства.</w:t>
      </w:r>
    </w:p>
    <w:p w:rsidR="00D204F3" w:rsidRDefault="00D204F3" w:rsidP="00D204F3">
      <w:pPr>
        <w:spacing w:line="340" w:lineRule="exact"/>
        <w:ind w:right="57" w:firstLine="777"/>
        <w:jc w:val="both"/>
      </w:pPr>
      <w:r>
        <w:rPr>
          <w:sz w:val="28"/>
          <w:szCs w:val="28"/>
        </w:rPr>
        <w:t>През отчетната 2024 г. има 3 лишени от свобода, незавърнали се след постановено прекъсване на изпълнението на наложеното наказание „Лишаване от свобода“. И трите са били обявени за ОДИ и задържани и приведени обратно в Затвора - Сливен.</w:t>
      </w:r>
      <w:r>
        <w:t xml:space="preserve"> </w:t>
      </w:r>
      <w:r>
        <w:rPr>
          <w:sz w:val="28"/>
          <w:szCs w:val="28"/>
        </w:rPr>
        <w:t>Няма случаи на бягства или опити за бягства от затвора.</w:t>
      </w:r>
    </w:p>
    <w:p w:rsidR="00106193" w:rsidRDefault="00D204F3" w:rsidP="00D204F3">
      <w:pPr>
        <w:spacing w:line="340" w:lineRule="exact"/>
        <w:ind w:right="57" w:firstLine="777"/>
        <w:jc w:val="both"/>
        <w:rPr>
          <w:sz w:val="28"/>
          <w:szCs w:val="28"/>
        </w:rPr>
      </w:pPr>
      <w:r>
        <w:rPr>
          <w:sz w:val="28"/>
          <w:szCs w:val="28"/>
        </w:rPr>
        <w:t>През 2024 г. има две осъдени лица на „Лишаване от свобода“, задържани над срока на наложено наказание, което не се дължи на пропуски в дейността на затворническата администрация, а е свързано с определяне на общо наказание на лицата с определения на РС – Варна и Софийски районен съд</w:t>
      </w:r>
      <w:r w:rsidR="00106193">
        <w:rPr>
          <w:sz w:val="28"/>
          <w:szCs w:val="28"/>
        </w:rPr>
        <w:t>.</w:t>
      </w:r>
    </w:p>
    <w:p w:rsidR="00D204F3" w:rsidRDefault="00D204F3" w:rsidP="00D204F3">
      <w:pPr>
        <w:spacing w:line="340" w:lineRule="exact"/>
        <w:ind w:right="57" w:firstLine="777"/>
        <w:jc w:val="both"/>
        <w:rPr>
          <w:sz w:val="28"/>
          <w:szCs w:val="28"/>
        </w:rPr>
      </w:pPr>
      <w:r>
        <w:rPr>
          <w:sz w:val="28"/>
          <w:szCs w:val="28"/>
        </w:rPr>
        <w:t xml:space="preserve">  </w:t>
      </w:r>
    </w:p>
    <w:p w:rsidR="00D204F3" w:rsidRDefault="00D204F3" w:rsidP="00D204F3">
      <w:pPr>
        <w:ind w:firstLine="777"/>
      </w:pPr>
    </w:p>
    <w:p w:rsidR="00423FD4" w:rsidRDefault="00423FD4" w:rsidP="00423FD4">
      <w:pPr>
        <w:spacing w:line="340" w:lineRule="atLeast"/>
        <w:jc w:val="center"/>
        <w:rPr>
          <w:b/>
          <w:sz w:val="28"/>
          <w:szCs w:val="28"/>
        </w:rPr>
      </w:pPr>
      <w:r w:rsidRPr="00727341">
        <w:rPr>
          <w:b/>
          <w:sz w:val="28"/>
          <w:szCs w:val="28"/>
        </w:rPr>
        <w:t xml:space="preserve">ІІІ. </w:t>
      </w:r>
      <w:r w:rsidRPr="00727341">
        <w:rPr>
          <w:b/>
          <w:sz w:val="28"/>
          <w:szCs w:val="28"/>
          <w:lang w:val="be-BY"/>
        </w:rPr>
        <w:t>ДЕЙНОСТ ПО ИЗПЪЛНЕНИЕ НА ПРЕПОРЪКИТЕ В РАМКИТЕ</w:t>
      </w:r>
      <w:r>
        <w:rPr>
          <w:b/>
          <w:sz w:val="28"/>
          <w:szCs w:val="28"/>
          <w:lang w:val="be-BY"/>
        </w:rPr>
        <w:t xml:space="preserve"> НА </w:t>
      </w:r>
      <w:r w:rsidR="00106193">
        <w:rPr>
          <w:b/>
          <w:sz w:val="28"/>
          <w:szCs w:val="28"/>
          <w:lang w:val="be-BY"/>
        </w:rPr>
        <w:t>ВЪРХОВЕНСТВОТО НА ПРАВОТО</w:t>
      </w:r>
      <w:r>
        <w:rPr>
          <w:b/>
          <w:sz w:val="28"/>
          <w:szCs w:val="28"/>
          <w:lang w:val="be-BY"/>
        </w:rPr>
        <w:t>.</w:t>
      </w:r>
      <w:r>
        <w:rPr>
          <w:b/>
          <w:sz w:val="28"/>
          <w:szCs w:val="28"/>
        </w:rPr>
        <w:t xml:space="preserve"> НАКАЗАТЕЛНИ ПРОИЗВОДСТВА, ОБРАЗУВАНИ ЗА НЯКОЙ КАТЕГОРИИ ТЕЖКИ ПРЕСТЪПЛЕНИЯ И ТАКИВА ОТ ОСОБЕН ОБЩЕСТВЕН ИНТЕРЕС.</w:t>
      </w:r>
    </w:p>
    <w:p w:rsidR="00423FD4" w:rsidRDefault="00423FD4" w:rsidP="00423FD4">
      <w:pPr>
        <w:spacing w:line="340" w:lineRule="atLeast"/>
        <w:jc w:val="center"/>
        <w:rPr>
          <w:b/>
          <w:sz w:val="28"/>
          <w:szCs w:val="28"/>
        </w:rPr>
      </w:pPr>
    </w:p>
    <w:p w:rsidR="00423FD4" w:rsidRDefault="00423FD4" w:rsidP="00423FD4">
      <w:pPr>
        <w:widowControl/>
        <w:autoSpaceDE/>
        <w:adjustRightInd/>
        <w:spacing w:line="340" w:lineRule="atLeast"/>
        <w:ind w:left="57" w:right="57" w:firstLine="720"/>
        <w:contextualSpacing/>
        <w:jc w:val="both"/>
        <w:rPr>
          <w:b/>
          <w:sz w:val="28"/>
          <w:szCs w:val="28"/>
        </w:rPr>
      </w:pPr>
      <w:r>
        <w:rPr>
          <w:b/>
          <w:sz w:val="28"/>
          <w:szCs w:val="28"/>
        </w:rPr>
        <w:t>Наказателни производства, образувани за някои категории тежки престъпления и такива от особен обществен интерес</w:t>
      </w:r>
    </w:p>
    <w:p w:rsidR="00423FD4" w:rsidRDefault="00423FD4" w:rsidP="00423FD4">
      <w:pPr>
        <w:widowControl/>
        <w:autoSpaceDE/>
        <w:adjustRightInd/>
        <w:spacing w:line="340" w:lineRule="atLeast"/>
        <w:ind w:left="57" w:right="57" w:firstLine="720"/>
        <w:contextualSpacing/>
        <w:jc w:val="both"/>
        <w:rPr>
          <w:b/>
          <w:sz w:val="28"/>
          <w:szCs w:val="28"/>
        </w:rPr>
      </w:pPr>
    </w:p>
    <w:p w:rsidR="00423FD4" w:rsidRDefault="00423FD4" w:rsidP="00423FD4">
      <w:pPr>
        <w:widowControl/>
        <w:autoSpaceDE/>
        <w:adjustRightInd/>
        <w:spacing w:line="340" w:lineRule="atLeast"/>
        <w:ind w:left="57" w:right="57" w:firstLine="720"/>
        <w:contextualSpacing/>
        <w:jc w:val="both"/>
        <w:rPr>
          <w:b/>
          <w:sz w:val="28"/>
          <w:szCs w:val="28"/>
        </w:rPr>
      </w:pPr>
      <w:r>
        <w:rPr>
          <w:b/>
          <w:sz w:val="28"/>
          <w:szCs w:val="28"/>
        </w:rPr>
        <w:t>Наказателни производства, водени за ОПГ.</w:t>
      </w:r>
    </w:p>
    <w:p w:rsidR="00423FD4" w:rsidRDefault="00423FD4" w:rsidP="00423FD4">
      <w:pPr>
        <w:widowControl/>
        <w:autoSpaceDE/>
        <w:adjustRightInd/>
        <w:spacing w:line="340" w:lineRule="atLeast"/>
        <w:ind w:left="57" w:right="57" w:firstLine="720"/>
        <w:contextualSpacing/>
        <w:jc w:val="both"/>
        <w:rPr>
          <w:sz w:val="28"/>
          <w:szCs w:val="28"/>
        </w:rPr>
      </w:pPr>
      <w:r>
        <w:rPr>
          <w:sz w:val="28"/>
          <w:szCs w:val="28"/>
        </w:rPr>
        <w:t>През 2024 год. в Окръжна прокуратура – Сливен са наблюдавани 5 досъдебни производства за организирани престъпни групи – всичките изпратени по компетентност от Специализирана прокуратура – София след закриването на специализираните структури.</w:t>
      </w:r>
    </w:p>
    <w:p w:rsidR="00423FD4" w:rsidRDefault="00423FD4" w:rsidP="00423FD4">
      <w:pPr>
        <w:widowControl/>
        <w:autoSpaceDE/>
        <w:adjustRightInd/>
        <w:spacing w:line="340" w:lineRule="atLeast"/>
        <w:ind w:left="57" w:right="57" w:firstLine="720"/>
        <w:contextualSpacing/>
        <w:jc w:val="both"/>
        <w:rPr>
          <w:sz w:val="28"/>
          <w:szCs w:val="28"/>
        </w:rPr>
      </w:pPr>
      <w:r>
        <w:rPr>
          <w:sz w:val="28"/>
          <w:szCs w:val="28"/>
        </w:rPr>
        <w:t xml:space="preserve">От общо наблюдаваните през периода 5 досъдебни производства, няма новообразувани. Решено е </w:t>
      </w:r>
      <w:r w:rsidR="00B27AF2">
        <w:rPr>
          <w:sz w:val="28"/>
          <w:szCs w:val="28"/>
        </w:rPr>
        <w:t>едно</w:t>
      </w:r>
      <w:r>
        <w:rPr>
          <w:sz w:val="28"/>
          <w:szCs w:val="28"/>
        </w:rPr>
        <w:t xml:space="preserve"> досъдебно производство, което е прекратено и съставлява 20% от наблюдаваните. Към края на периода неприключени остават 4 досъдебни производства.  </w:t>
      </w:r>
    </w:p>
    <w:p w:rsidR="00423FD4" w:rsidRDefault="00423FD4" w:rsidP="00423FD4">
      <w:pPr>
        <w:widowControl/>
        <w:autoSpaceDE/>
        <w:adjustRightInd/>
        <w:spacing w:line="340" w:lineRule="atLeast"/>
        <w:ind w:left="57" w:right="57" w:firstLine="720"/>
        <w:contextualSpacing/>
        <w:jc w:val="both"/>
        <w:rPr>
          <w:sz w:val="28"/>
          <w:szCs w:val="28"/>
        </w:rPr>
      </w:pPr>
      <w:r>
        <w:rPr>
          <w:sz w:val="28"/>
          <w:szCs w:val="28"/>
        </w:rPr>
        <w:t xml:space="preserve">Няма осъдени и санкционирани лица с влязла в сила присъда. </w:t>
      </w:r>
    </w:p>
    <w:p w:rsidR="00423FD4" w:rsidRDefault="00423FD4" w:rsidP="00423FD4">
      <w:pPr>
        <w:widowControl/>
        <w:autoSpaceDE/>
        <w:adjustRightInd/>
        <w:spacing w:line="340" w:lineRule="atLeast"/>
        <w:ind w:left="57" w:right="57" w:firstLine="720"/>
        <w:contextualSpacing/>
        <w:jc w:val="both"/>
        <w:rPr>
          <w:sz w:val="28"/>
          <w:szCs w:val="28"/>
        </w:rPr>
      </w:pPr>
      <w:r>
        <w:rPr>
          <w:sz w:val="28"/>
          <w:szCs w:val="28"/>
        </w:rPr>
        <w:lastRenderedPageBreak/>
        <w:t>В сравнение с отчетените данни за 2023 година, когато са били наблюдавани 8 досъдебни производства е налице спад в броя на наблюдаваните дела. За 2022 г.</w:t>
      </w:r>
      <w:r w:rsidR="001243FC">
        <w:rPr>
          <w:sz w:val="28"/>
          <w:szCs w:val="28"/>
        </w:rPr>
        <w:t>,</w:t>
      </w:r>
      <w:r>
        <w:rPr>
          <w:sz w:val="28"/>
          <w:szCs w:val="28"/>
        </w:rPr>
        <w:t xml:space="preserve"> с оглед наличната към него момент компетентност на </w:t>
      </w:r>
      <w:proofErr w:type="spellStart"/>
      <w:r>
        <w:rPr>
          <w:sz w:val="28"/>
          <w:szCs w:val="28"/>
        </w:rPr>
        <w:t>СпП</w:t>
      </w:r>
      <w:proofErr w:type="spellEnd"/>
      <w:r>
        <w:rPr>
          <w:sz w:val="28"/>
          <w:szCs w:val="28"/>
        </w:rPr>
        <w:t>, в ОП-Сливен не са наблюдавани дела от тази категория.</w:t>
      </w:r>
    </w:p>
    <w:p w:rsidR="00423FD4" w:rsidRDefault="00423FD4" w:rsidP="00423FD4">
      <w:pPr>
        <w:widowControl/>
        <w:autoSpaceDE/>
        <w:adjustRightInd/>
        <w:spacing w:line="340" w:lineRule="atLeast"/>
        <w:ind w:right="57"/>
        <w:contextualSpacing/>
        <w:jc w:val="both"/>
        <w:rPr>
          <w:b/>
          <w:sz w:val="28"/>
          <w:szCs w:val="28"/>
        </w:rPr>
      </w:pPr>
    </w:p>
    <w:p w:rsidR="00423FD4" w:rsidRDefault="00423FD4" w:rsidP="00423FD4">
      <w:pPr>
        <w:widowControl/>
        <w:autoSpaceDE/>
        <w:adjustRightInd/>
        <w:spacing w:line="340" w:lineRule="atLeast"/>
        <w:ind w:left="57" w:right="57" w:firstLine="720"/>
        <w:contextualSpacing/>
        <w:jc w:val="both"/>
        <w:rPr>
          <w:b/>
          <w:sz w:val="28"/>
          <w:szCs w:val="28"/>
        </w:rPr>
      </w:pPr>
      <w:r>
        <w:rPr>
          <w:b/>
          <w:sz w:val="28"/>
          <w:szCs w:val="28"/>
        </w:rPr>
        <w:t>Корупционни престъпления</w:t>
      </w:r>
    </w:p>
    <w:p w:rsidR="00423FD4" w:rsidRDefault="00423FD4" w:rsidP="00423FD4">
      <w:pPr>
        <w:widowControl/>
        <w:autoSpaceDE/>
        <w:adjustRightInd/>
        <w:spacing w:line="340" w:lineRule="atLeast"/>
        <w:ind w:left="57" w:right="57" w:firstLine="720"/>
        <w:contextualSpacing/>
        <w:jc w:val="both"/>
        <w:rPr>
          <w:sz w:val="28"/>
          <w:szCs w:val="28"/>
        </w:rPr>
      </w:pPr>
      <w:bookmarkStart w:id="13" w:name="OLE_LINK12"/>
      <w:r>
        <w:rPr>
          <w:sz w:val="28"/>
          <w:szCs w:val="28"/>
        </w:rPr>
        <w:t xml:space="preserve">Според статистическите данни за 2024 г. в прокуратурите от системата на Окръжна прокуратура - Сливен са наблюдавани общо 48 досъдебни производства, водени за </w:t>
      </w:r>
      <w:r>
        <w:rPr>
          <w:sz w:val="28"/>
          <w:szCs w:val="28"/>
          <w:lang w:val="be-BY"/>
        </w:rPr>
        <w:t xml:space="preserve">корупционни </w:t>
      </w:r>
      <w:r>
        <w:rPr>
          <w:sz w:val="28"/>
          <w:szCs w:val="28"/>
        </w:rPr>
        <w:t>престъпления, от които 25</w:t>
      </w:r>
      <w:r>
        <w:rPr>
          <w:sz w:val="28"/>
          <w:szCs w:val="28"/>
          <w:lang w:val="en-US"/>
        </w:rPr>
        <w:t xml:space="preserve"> </w:t>
      </w:r>
      <w:r>
        <w:rPr>
          <w:sz w:val="28"/>
          <w:szCs w:val="28"/>
        </w:rPr>
        <w:t>са новообразувани. През същия период са били решени общо 31</w:t>
      </w:r>
      <w:r>
        <w:rPr>
          <w:sz w:val="28"/>
          <w:szCs w:val="28"/>
          <w:lang w:val="en-US"/>
        </w:rPr>
        <w:t xml:space="preserve"> </w:t>
      </w:r>
      <w:r>
        <w:rPr>
          <w:sz w:val="28"/>
          <w:szCs w:val="28"/>
        </w:rPr>
        <w:t>досъдебни производства, които спрямо наблюдаваните производства представляват 64,58</w:t>
      </w:r>
      <w:r>
        <w:rPr>
          <w:sz w:val="28"/>
          <w:szCs w:val="28"/>
          <w:lang w:val="en-US"/>
        </w:rPr>
        <w:t>%</w:t>
      </w:r>
      <w:r>
        <w:rPr>
          <w:sz w:val="28"/>
          <w:szCs w:val="28"/>
        </w:rPr>
        <w:t>. От решените производства</w:t>
      </w:r>
      <w:r>
        <w:rPr>
          <w:sz w:val="28"/>
          <w:szCs w:val="28"/>
          <w:lang w:val="be-BY"/>
        </w:rPr>
        <w:t xml:space="preserve"> </w:t>
      </w:r>
      <w:r>
        <w:rPr>
          <w:sz w:val="28"/>
          <w:szCs w:val="28"/>
        </w:rPr>
        <w:t>24</w:t>
      </w:r>
      <w:r>
        <w:rPr>
          <w:sz w:val="28"/>
          <w:szCs w:val="28"/>
          <w:lang w:val="en-US"/>
        </w:rPr>
        <w:t xml:space="preserve"> </w:t>
      </w:r>
      <w:r>
        <w:rPr>
          <w:sz w:val="28"/>
          <w:szCs w:val="28"/>
        </w:rPr>
        <w:t>досъдебни производства са прекратени,</w:t>
      </w:r>
      <w:r>
        <w:rPr>
          <w:sz w:val="28"/>
          <w:szCs w:val="28"/>
          <w:lang w:val="en-US"/>
        </w:rPr>
        <w:t xml:space="preserve"> </w:t>
      </w:r>
      <w:r w:rsidR="00C217E2">
        <w:rPr>
          <w:sz w:val="28"/>
          <w:szCs w:val="28"/>
        </w:rPr>
        <w:t>едно</w:t>
      </w:r>
      <w:r>
        <w:rPr>
          <w:sz w:val="28"/>
          <w:szCs w:val="28"/>
        </w:rPr>
        <w:t xml:space="preserve"> досъдебно производство е спряно и по 4 досъдебни производства са внесени 4 обвинителни акта срещу 4 лица с обвинения, както следва: </w:t>
      </w:r>
      <w:r>
        <w:rPr>
          <w:sz w:val="28"/>
          <w:szCs w:val="28"/>
          <w:lang w:val="be-BY"/>
        </w:rPr>
        <w:t xml:space="preserve">по чл.201 от НК - 2 лица, по чл.169 от НК - едно лице, </w:t>
      </w:r>
      <w:r>
        <w:rPr>
          <w:sz w:val="28"/>
          <w:szCs w:val="28"/>
        </w:rPr>
        <w:t xml:space="preserve">по чл.167 ал.2 от НК – </w:t>
      </w:r>
      <w:r w:rsidR="00C217E2">
        <w:rPr>
          <w:sz w:val="28"/>
          <w:szCs w:val="28"/>
        </w:rPr>
        <w:t>едно</w:t>
      </w:r>
      <w:r>
        <w:rPr>
          <w:sz w:val="28"/>
          <w:szCs w:val="28"/>
        </w:rPr>
        <w:t xml:space="preserve"> лице.</w:t>
      </w:r>
    </w:p>
    <w:p w:rsidR="00423FD4" w:rsidRDefault="00423FD4" w:rsidP="00423FD4">
      <w:pPr>
        <w:widowControl/>
        <w:autoSpaceDE/>
        <w:adjustRightInd/>
        <w:spacing w:line="340" w:lineRule="atLeast"/>
        <w:ind w:left="57" w:right="57" w:firstLine="720"/>
        <w:contextualSpacing/>
        <w:jc w:val="both"/>
        <w:rPr>
          <w:sz w:val="28"/>
          <w:szCs w:val="28"/>
        </w:rPr>
      </w:pPr>
      <w:r>
        <w:rPr>
          <w:sz w:val="28"/>
          <w:szCs w:val="28"/>
        </w:rPr>
        <w:t xml:space="preserve">През 2024 г. са били осъдени 2 лица с влязъл в сила съдебен акт, на едното от които е наложено ефективно наказание „лишаване от свобода“. С влязла в сила присъда е оправдано </w:t>
      </w:r>
      <w:r w:rsidR="00C217E2">
        <w:rPr>
          <w:sz w:val="28"/>
          <w:szCs w:val="28"/>
        </w:rPr>
        <w:t xml:space="preserve">едно </w:t>
      </w:r>
      <w:r>
        <w:rPr>
          <w:sz w:val="28"/>
          <w:szCs w:val="28"/>
        </w:rPr>
        <w:t xml:space="preserve">лице. </w:t>
      </w:r>
    </w:p>
    <w:p w:rsidR="00423FD4" w:rsidRDefault="00423FD4" w:rsidP="00423FD4">
      <w:pPr>
        <w:widowControl/>
        <w:autoSpaceDE/>
        <w:adjustRightInd/>
        <w:spacing w:line="340" w:lineRule="atLeast"/>
        <w:ind w:left="57" w:right="57" w:firstLine="720"/>
        <w:contextualSpacing/>
        <w:jc w:val="both"/>
        <w:rPr>
          <w:sz w:val="28"/>
          <w:szCs w:val="28"/>
          <w:lang w:val="be-BY"/>
        </w:rPr>
      </w:pPr>
      <w:r>
        <w:rPr>
          <w:sz w:val="28"/>
          <w:szCs w:val="28"/>
        </w:rPr>
        <w:t>В сравнение с отчетените данни за 2023 година, когато са били наблюдавани общо 49 досъдебни производства, е налице незначително намаляване. Спрямо 2022 г. е налице леко увеличаване в броя на наблюдаваните дела от тази категория, т.к. тогава техния брой е бил 44.</w:t>
      </w:r>
    </w:p>
    <w:bookmarkEnd w:id="13"/>
    <w:p w:rsidR="00423FD4" w:rsidRDefault="00423FD4" w:rsidP="00423FD4">
      <w:pPr>
        <w:widowControl/>
        <w:autoSpaceDE/>
        <w:adjustRightInd/>
        <w:spacing w:line="340" w:lineRule="atLeast"/>
        <w:ind w:right="57"/>
        <w:contextualSpacing/>
        <w:jc w:val="both"/>
        <w:rPr>
          <w:b/>
          <w:sz w:val="28"/>
          <w:szCs w:val="28"/>
        </w:rPr>
      </w:pPr>
    </w:p>
    <w:p w:rsidR="00423FD4" w:rsidRDefault="00423FD4" w:rsidP="00423FD4">
      <w:pPr>
        <w:widowControl/>
        <w:autoSpaceDE/>
        <w:adjustRightInd/>
        <w:spacing w:line="340" w:lineRule="atLeast"/>
        <w:ind w:left="57" w:right="57" w:firstLine="720"/>
        <w:contextualSpacing/>
        <w:jc w:val="both"/>
        <w:rPr>
          <w:b/>
          <w:sz w:val="28"/>
          <w:szCs w:val="28"/>
        </w:rPr>
      </w:pPr>
      <w:r>
        <w:rPr>
          <w:b/>
          <w:sz w:val="28"/>
          <w:szCs w:val="28"/>
        </w:rPr>
        <w:t>Изпиране на пари.</w:t>
      </w:r>
    </w:p>
    <w:p w:rsidR="00423FD4" w:rsidRDefault="00423FD4" w:rsidP="00423FD4">
      <w:pPr>
        <w:widowControl/>
        <w:autoSpaceDE/>
        <w:adjustRightInd/>
        <w:spacing w:line="340" w:lineRule="atLeast"/>
        <w:ind w:left="57" w:right="57" w:firstLine="720"/>
        <w:contextualSpacing/>
        <w:jc w:val="both"/>
        <w:rPr>
          <w:sz w:val="28"/>
          <w:szCs w:val="28"/>
        </w:rPr>
      </w:pPr>
      <w:r>
        <w:rPr>
          <w:sz w:val="28"/>
          <w:szCs w:val="28"/>
        </w:rPr>
        <w:t xml:space="preserve">През 2024 г. прокурорите от Окръжна прокуратура – Сливен са осъществили ръководство и надзор върху общо </w:t>
      </w:r>
      <w:r>
        <w:rPr>
          <w:sz w:val="28"/>
          <w:szCs w:val="28"/>
          <w:lang w:val="be-BY"/>
        </w:rPr>
        <w:t xml:space="preserve">9 </w:t>
      </w:r>
      <w:r>
        <w:rPr>
          <w:sz w:val="28"/>
          <w:szCs w:val="28"/>
        </w:rPr>
        <w:t>досъдебни производства, (от които две са новообразувани) за престъпления по чл.253 от НК. Наблюдава се тенденция на увеличаване в броя на тези досъдебни производства спрямо 2023 г., когато са наблюдавани 6 досъдебни производства, както и по отношение на 2022 г. когато са били наблюдавани 8 досъдебни производства</w:t>
      </w:r>
      <w:r>
        <w:rPr>
          <w:sz w:val="28"/>
          <w:szCs w:val="28"/>
          <w:lang w:val="be-BY"/>
        </w:rPr>
        <w:t>.</w:t>
      </w:r>
    </w:p>
    <w:p w:rsidR="001243FC" w:rsidRDefault="00423FD4" w:rsidP="00423FD4">
      <w:pPr>
        <w:widowControl/>
        <w:autoSpaceDE/>
        <w:adjustRightInd/>
        <w:spacing w:line="340" w:lineRule="atLeast"/>
        <w:ind w:right="57" w:firstLine="708"/>
        <w:contextualSpacing/>
        <w:jc w:val="both"/>
        <w:rPr>
          <w:sz w:val="28"/>
          <w:szCs w:val="28"/>
        </w:rPr>
      </w:pPr>
      <w:r>
        <w:rPr>
          <w:sz w:val="28"/>
          <w:szCs w:val="28"/>
        </w:rPr>
        <w:t xml:space="preserve">Към края на 2024 г. е решено </w:t>
      </w:r>
      <w:r w:rsidR="00C217E2">
        <w:rPr>
          <w:sz w:val="28"/>
          <w:szCs w:val="28"/>
        </w:rPr>
        <w:t>едно</w:t>
      </w:r>
      <w:r>
        <w:rPr>
          <w:sz w:val="28"/>
          <w:szCs w:val="28"/>
        </w:rPr>
        <w:t xml:space="preserve"> досъдебно производство за престъпления свързани с пране на пари, което е внесено в съд с обвинителен акт срещу 6 лица. </w:t>
      </w:r>
    </w:p>
    <w:p w:rsidR="00423FD4" w:rsidRDefault="00423FD4" w:rsidP="00423FD4">
      <w:pPr>
        <w:widowControl/>
        <w:autoSpaceDE/>
        <w:adjustRightInd/>
        <w:spacing w:line="340" w:lineRule="atLeast"/>
        <w:ind w:right="57" w:firstLine="708"/>
        <w:contextualSpacing/>
        <w:jc w:val="both"/>
        <w:rPr>
          <w:sz w:val="28"/>
          <w:szCs w:val="28"/>
        </w:rPr>
      </w:pPr>
      <w:r>
        <w:rPr>
          <w:sz w:val="28"/>
          <w:szCs w:val="28"/>
        </w:rPr>
        <w:t xml:space="preserve">Към края на отчетния период няма осъдени или оправдани лица с влязъл в сила съдебен акт. </w:t>
      </w:r>
    </w:p>
    <w:p w:rsidR="00423FD4" w:rsidRDefault="00423FD4" w:rsidP="00423FD4">
      <w:pPr>
        <w:widowControl/>
        <w:autoSpaceDE/>
        <w:adjustRightInd/>
        <w:spacing w:line="340" w:lineRule="atLeast"/>
        <w:ind w:right="57" w:firstLine="708"/>
        <w:contextualSpacing/>
        <w:jc w:val="both"/>
        <w:rPr>
          <w:sz w:val="28"/>
          <w:szCs w:val="28"/>
        </w:rPr>
      </w:pPr>
      <w:r>
        <w:rPr>
          <w:sz w:val="28"/>
          <w:szCs w:val="28"/>
        </w:rPr>
        <w:t>Останали са 8 неприключени досъдебни производства по чл.253 от НК.</w:t>
      </w:r>
    </w:p>
    <w:p w:rsidR="00423FD4" w:rsidRDefault="00423FD4" w:rsidP="00423FD4">
      <w:pPr>
        <w:widowControl/>
        <w:autoSpaceDE/>
        <w:adjustRightInd/>
        <w:spacing w:line="340" w:lineRule="atLeast"/>
        <w:ind w:right="57" w:firstLine="708"/>
        <w:contextualSpacing/>
        <w:jc w:val="both"/>
        <w:rPr>
          <w:sz w:val="28"/>
          <w:szCs w:val="28"/>
        </w:rPr>
      </w:pPr>
      <w:r>
        <w:rPr>
          <w:sz w:val="28"/>
          <w:szCs w:val="28"/>
        </w:rPr>
        <w:t xml:space="preserve"> </w:t>
      </w:r>
    </w:p>
    <w:p w:rsidR="00423FD4" w:rsidRDefault="00423FD4" w:rsidP="00423FD4">
      <w:pPr>
        <w:widowControl/>
        <w:autoSpaceDE/>
        <w:adjustRightInd/>
        <w:spacing w:line="340" w:lineRule="atLeast"/>
        <w:ind w:left="57" w:right="57" w:firstLine="720"/>
        <w:contextualSpacing/>
        <w:jc w:val="both"/>
        <w:rPr>
          <w:b/>
          <w:sz w:val="28"/>
          <w:szCs w:val="28"/>
        </w:rPr>
      </w:pPr>
      <w:r>
        <w:rPr>
          <w:b/>
          <w:sz w:val="28"/>
          <w:szCs w:val="28"/>
        </w:rPr>
        <w:lastRenderedPageBreak/>
        <w:t xml:space="preserve">Престъпления с предмет – имущество и/или средства от фондове, принадлежащи на ЕС или предоставени от ЕС на българската държава. </w:t>
      </w:r>
    </w:p>
    <w:p w:rsidR="00423FD4" w:rsidRDefault="00423FD4" w:rsidP="00423FD4">
      <w:pPr>
        <w:widowControl/>
        <w:autoSpaceDE/>
        <w:adjustRightInd/>
        <w:spacing w:line="340" w:lineRule="atLeast"/>
        <w:ind w:right="57" w:firstLine="708"/>
        <w:contextualSpacing/>
        <w:jc w:val="both"/>
        <w:rPr>
          <w:sz w:val="28"/>
          <w:szCs w:val="28"/>
        </w:rPr>
      </w:pPr>
      <w:r>
        <w:rPr>
          <w:sz w:val="28"/>
          <w:szCs w:val="28"/>
        </w:rPr>
        <w:t>В прокуратурите от системата на Сливенската окръжна прокуратура през 2024 г. са наблюдавани 12 досъдебни производства за престъпления, свързани със злоупотреба с фондове от Европейския съюз, от които 4 новообразуван</w:t>
      </w:r>
      <w:r>
        <w:rPr>
          <w:sz w:val="28"/>
          <w:szCs w:val="28"/>
          <w:lang w:val="be-BY"/>
        </w:rPr>
        <w:t>и</w:t>
      </w:r>
      <w:r>
        <w:rPr>
          <w:sz w:val="28"/>
          <w:szCs w:val="28"/>
        </w:rPr>
        <w:t xml:space="preserve">. Шест досъдебни производства са решени от прокурор, като 3 са прекратени, а по 3 от тях са внесени </w:t>
      </w:r>
      <w:r w:rsidR="00C217E2">
        <w:rPr>
          <w:sz w:val="28"/>
          <w:szCs w:val="28"/>
        </w:rPr>
        <w:t xml:space="preserve">прокурорски актове </w:t>
      </w:r>
      <w:r>
        <w:rPr>
          <w:sz w:val="28"/>
          <w:szCs w:val="28"/>
        </w:rPr>
        <w:t xml:space="preserve">в съда срещу 3 лица.  </w:t>
      </w:r>
    </w:p>
    <w:p w:rsidR="00423FD4" w:rsidRDefault="00423FD4" w:rsidP="00423FD4">
      <w:pPr>
        <w:widowControl/>
        <w:autoSpaceDE/>
        <w:adjustRightInd/>
        <w:spacing w:line="340" w:lineRule="atLeast"/>
        <w:ind w:left="57" w:right="57" w:firstLine="720"/>
        <w:contextualSpacing/>
        <w:jc w:val="both"/>
        <w:rPr>
          <w:sz w:val="28"/>
          <w:szCs w:val="28"/>
        </w:rPr>
      </w:pPr>
      <w:r>
        <w:rPr>
          <w:sz w:val="28"/>
          <w:szCs w:val="28"/>
          <w:lang w:val="be-BY"/>
        </w:rPr>
        <w:t xml:space="preserve">През 2024 г. осъдени и санкционирани с влязъл в сила съдебен акт </w:t>
      </w:r>
      <w:r w:rsidR="00C217E2">
        <w:rPr>
          <w:sz w:val="28"/>
          <w:szCs w:val="28"/>
          <w:lang w:val="be-BY"/>
        </w:rPr>
        <w:t xml:space="preserve">са </w:t>
      </w:r>
      <w:r>
        <w:rPr>
          <w:sz w:val="28"/>
          <w:szCs w:val="28"/>
          <w:lang w:val="be-BY"/>
        </w:rPr>
        <w:t>8 лица, с наложени 8 наказания</w:t>
      </w:r>
      <w:r>
        <w:rPr>
          <w:sz w:val="28"/>
          <w:szCs w:val="28"/>
        </w:rPr>
        <w:t xml:space="preserve">. </w:t>
      </w:r>
      <w:r>
        <w:rPr>
          <w:sz w:val="28"/>
          <w:szCs w:val="28"/>
          <w:lang w:val="be-BY"/>
        </w:rPr>
        <w:t>Няма оправдани лица</w:t>
      </w:r>
      <w:r>
        <w:rPr>
          <w:sz w:val="28"/>
          <w:szCs w:val="28"/>
        </w:rPr>
        <w:t>.</w:t>
      </w:r>
    </w:p>
    <w:p w:rsidR="00423FD4" w:rsidRDefault="00423FD4" w:rsidP="00423FD4">
      <w:pPr>
        <w:widowControl/>
        <w:autoSpaceDE/>
        <w:adjustRightInd/>
        <w:spacing w:line="340" w:lineRule="atLeast"/>
        <w:ind w:left="57" w:right="57" w:firstLine="720"/>
        <w:contextualSpacing/>
        <w:jc w:val="both"/>
        <w:rPr>
          <w:sz w:val="28"/>
          <w:szCs w:val="28"/>
        </w:rPr>
      </w:pPr>
      <w:r>
        <w:rPr>
          <w:sz w:val="28"/>
          <w:szCs w:val="28"/>
        </w:rPr>
        <w:t>За сравнение</w:t>
      </w:r>
      <w:r w:rsidR="001243FC">
        <w:rPr>
          <w:sz w:val="28"/>
          <w:szCs w:val="28"/>
        </w:rPr>
        <w:t>,</w:t>
      </w:r>
      <w:r>
        <w:rPr>
          <w:sz w:val="28"/>
          <w:szCs w:val="28"/>
        </w:rPr>
        <w:t xml:space="preserve"> през 2023</w:t>
      </w:r>
      <w:r w:rsidR="001243FC">
        <w:rPr>
          <w:sz w:val="28"/>
          <w:szCs w:val="28"/>
        </w:rPr>
        <w:t xml:space="preserve"> </w:t>
      </w:r>
      <w:r>
        <w:rPr>
          <w:sz w:val="28"/>
          <w:szCs w:val="28"/>
        </w:rPr>
        <w:t xml:space="preserve">г. са наблюдавани 15 досъдебни производства, по които са осъдени 7 лица, а през 2022 г. са наблюдавани 18 досъдебни производства, по които са осъдени 6 лица. </w:t>
      </w:r>
      <w:r w:rsidR="001243FC">
        <w:rPr>
          <w:sz w:val="28"/>
          <w:szCs w:val="28"/>
        </w:rPr>
        <w:t>П</w:t>
      </w:r>
      <w:r>
        <w:rPr>
          <w:sz w:val="28"/>
          <w:szCs w:val="28"/>
        </w:rPr>
        <w:t xml:space="preserve">рез 2024 г. се наблюдава тенденция за намаляване броя на наблюдаваните дела от отчетната категория, но същевременно е налице увеличение в броя на осъдени и санкционирани лица. </w:t>
      </w:r>
    </w:p>
    <w:p w:rsidR="00423FD4" w:rsidRDefault="00423FD4" w:rsidP="00423FD4">
      <w:pPr>
        <w:widowControl/>
        <w:autoSpaceDE/>
        <w:adjustRightInd/>
        <w:spacing w:line="340" w:lineRule="atLeast"/>
        <w:ind w:right="57"/>
        <w:contextualSpacing/>
        <w:jc w:val="both"/>
        <w:rPr>
          <w:b/>
          <w:sz w:val="28"/>
          <w:szCs w:val="28"/>
          <w:lang w:val="en-US"/>
        </w:rPr>
      </w:pPr>
    </w:p>
    <w:p w:rsidR="00423FD4" w:rsidRDefault="00423FD4" w:rsidP="00423FD4">
      <w:pPr>
        <w:widowControl/>
        <w:autoSpaceDE/>
        <w:adjustRightInd/>
        <w:spacing w:line="340" w:lineRule="atLeast"/>
        <w:ind w:left="57" w:right="57" w:firstLine="720"/>
        <w:contextualSpacing/>
        <w:jc w:val="both"/>
        <w:rPr>
          <w:b/>
          <w:sz w:val="28"/>
          <w:szCs w:val="28"/>
        </w:rPr>
      </w:pPr>
      <w:r>
        <w:rPr>
          <w:b/>
          <w:sz w:val="28"/>
          <w:szCs w:val="28"/>
        </w:rPr>
        <w:t>Данъчни престъпления. Престъпления с предмет ДДС.</w:t>
      </w:r>
    </w:p>
    <w:p w:rsidR="00423FD4" w:rsidRDefault="00423FD4" w:rsidP="00423FD4">
      <w:pPr>
        <w:widowControl/>
        <w:autoSpaceDE/>
        <w:adjustRightInd/>
        <w:spacing w:line="340" w:lineRule="atLeast"/>
        <w:ind w:left="57" w:right="57" w:firstLine="720"/>
        <w:contextualSpacing/>
        <w:jc w:val="both"/>
        <w:rPr>
          <w:sz w:val="28"/>
          <w:szCs w:val="28"/>
        </w:rPr>
      </w:pPr>
      <w:r>
        <w:rPr>
          <w:sz w:val="28"/>
          <w:szCs w:val="28"/>
        </w:rPr>
        <w:t xml:space="preserve">През 2024 г. в прокуратурите от системата на Окръжна прокуратура -Сливен са наблюдавани 31 досъдебни производства </w:t>
      </w:r>
      <w:r>
        <w:rPr>
          <w:sz w:val="28"/>
          <w:szCs w:val="28"/>
          <w:lang w:val="be-BY"/>
        </w:rPr>
        <w:t>за данъчни престъпления</w:t>
      </w:r>
      <w:r>
        <w:rPr>
          <w:sz w:val="28"/>
          <w:szCs w:val="28"/>
        </w:rPr>
        <w:t>, от които 17 бр. са свързани с ДДС. Новообразуваните през 2024 г. дела от посочената категория са 12 бр., като 5 от тях са с предмет ДДС.</w:t>
      </w:r>
    </w:p>
    <w:p w:rsidR="00423FD4" w:rsidRDefault="00423FD4" w:rsidP="00423FD4">
      <w:pPr>
        <w:widowControl/>
        <w:autoSpaceDE/>
        <w:adjustRightInd/>
        <w:spacing w:line="340" w:lineRule="atLeast"/>
        <w:ind w:left="57" w:right="57" w:firstLine="720"/>
        <w:contextualSpacing/>
        <w:jc w:val="both"/>
        <w:rPr>
          <w:sz w:val="28"/>
          <w:szCs w:val="28"/>
        </w:rPr>
      </w:pPr>
      <w:r>
        <w:rPr>
          <w:sz w:val="28"/>
          <w:szCs w:val="28"/>
        </w:rPr>
        <w:t>Към края на 2024 г.</w:t>
      </w:r>
      <w:r w:rsidR="001243FC">
        <w:rPr>
          <w:sz w:val="28"/>
          <w:szCs w:val="28"/>
        </w:rPr>
        <w:t xml:space="preserve"> от наблюдаваните 31 досъдебни производства</w:t>
      </w:r>
      <w:r>
        <w:rPr>
          <w:sz w:val="28"/>
          <w:szCs w:val="28"/>
        </w:rPr>
        <w:t xml:space="preserve"> </w:t>
      </w:r>
      <w:r w:rsidR="001243FC">
        <w:rPr>
          <w:sz w:val="28"/>
          <w:szCs w:val="28"/>
        </w:rPr>
        <w:t xml:space="preserve">за данъчни престъпления </w:t>
      </w:r>
      <w:r>
        <w:rPr>
          <w:sz w:val="28"/>
          <w:szCs w:val="28"/>
        </w:rPr>
        <w:t>са</w:t>
      </w:r>
      <w:r w:rsidR="001243FC">
        <w:rPr>
          <w:sz w:val="28"/>
          <w:szCs w:val="28"/>
        </w:rPr>
        <w:t xml:space="preserve"> решени 18 досъдебни производства, а 13 са останали нерешени. От решените</w:t>
      </w:r>
      <w:r>
        <w:rPr>
          <w:sz w:val="28"/>
          <w:szCs w:val="28"/>
        </w:rPr>
        <w:t xml:space="preserve"> </w:t>
      </w:r>
      <w:r w:rsidR="001243FC">
        <w:rPr>
          <w:sz w:val="28"/>
          <w:szCs w:val="28"/>
        </w:rPr>
        <w:t xml:space="preserve">18 досъдебни производства </w:t>
      </w:r>
      <w:r>
        <w:rPr>
          <w:sz w:val="28"/>
          <w:szCs w:val="28"/>
        </w:rPr>
        <w:t xml:space="preserve">4 са прекратени, по 12 досъдебни производства са изготвени и внесени в съда прокурорски актове </w:t>
      </w:r>
      <w:r w:rsidR="001243FC">
        <w:rPr>
          <w:sz w:val="28"/>
          <w:szCs w:val="28"/>
        </w:rPr>
        <w:t>срещу 12 лица, а 2 досъдебни производства са изпратени по компетентност.</w:t>
      </w:r>
      <w:r>
        <w:rPr>
          <w:sz w:val="28"/>
          <w:szCs w:val="28"/>
        </w:rPr>
        <w:t xml:space="preserve"> Няма спрени досъдебни производства от тази категория.</w:t>
      </w:r>
    </w:p>
    <w:p w:rsidR="00423FD4" w:rsidRDefault="00423FD4" w:rsidP="00423FD4">
      <w:pPr>
        <w:widowControl/>
        <w:autoSpaceDE/>
        <w:adjustRightInd/>
        <w:spacing w:line="340" w:lineRule="atLeast"/>
        <w:ind w:left="57" w:right="57" w:firstLine="720"/>
        <w:contextualSpacing/>
        <w:jc w:val="both"/>
        <w:rPr>
          <w:sz w:val="28"/>
          <w:szCs w:val="28"/>
        </w:rPr>
      </w:pPr>
      <w:r>
        <w:rPr>
          <w:sz w:val="28"/>
          <w:szCs w:val="28"/>
        </w:rPr>
        <w:t xml:space="preserve">В съда с обвинителен акт са внесени 5 дела, 6 досъдебни производства са внесени със споразумения, а едно дело е внесено в съда с мотивирано постановление за освобождаване от наказателна отговорност по чл.78а от НК. </w:t>
      </w:r>
    </w:p>
    <w:p w:rsidR="00423FD4" w:rsidRDefault="00423FD4" w:rsidP="00423FD4">
      <w:pPr>
        <w:widowControl/>
        <w:autoSpaceDE/>
        <w:adjustRightInd/>
        <w:spacing w:line="340" w:lineRule="atLeast"/>
        <w:ind w:left="57" w:right="57" w:firstLine="720"/>
        <w:contextualSpacing/>
        <w:jc w:val="both"/>
        <w:rPr>
          <w:sz w:val="28"/>
          <w:szCs w:val="28"/>
        </w:rPr>
      </w:pPr>
      <w:r>
        <w:rPr>
          <w:sz w:val="28"/>
          <w:szCs w:val="28"/>
        </w:rPr>
        <w:t>През отчетния период са осъдени 9</w:t>
      </w:r>
      <w:r>
        <w:rPr>
          <w:sz w:val="28"/>
          <w:szCs w:val="28"/>
          <w:lang w:val="be-BY"/>
        </w:rPr>
        <w:t xml:space="preserve"> </w:t>
      </w:r>
      <w:r>
        <w:rPr>
          <w:sz w:val="28"/>
          <w:szCs w:val="28"/>
        </w:rPr>
        <w:t>лица с влязла в сила присъда, като на едно лице е наложено ефективно наказание лишаване от свобода. Едно лице е оправдано.</w:t>
      </w:r>
    </w:p>
    <w:p w:rsidR="00423FD4" w:rsidRDefault="00423FD4" w:rsidP="00423FD4">
      <w:pPr>
        <w:widowControl/>
        <w:autoSpaceDE/>
        <w:adjustRightInd/>
        <w:spacing w:line="340" w:lineRule="atLeast"/>
        <w:ind w:left="57" w:right="57" w:firstLine="720"/>
        <w:contextualSpacing/>
        <w:jc w:val="both"/>
        <w:rPr>
          <w:sz w:val="28"/>
          <w:szCs w:val="28"/>
        </w:rPr>
      </w:pPr>
      <w:r>
        <w:rPr>
          <w:sz w:val="28"/>
          <w:szCs w:val="28"/>
        </w:rPr>
        <w:t xml:space="preserve">Налице е </w:t>
      </w:r>
      <w:r w:rsidR="00E65C0C">
        <w:rPr>
          <w:sz w:val="28"/>
          <w:szCs w:val="28"/>
        </w:rPr>
        <w:t>незначително намаляване</w:t>
      </w:r>
      <w:r>
        <w:rPr>
          <w:sz w:val="28"/>
          <w:szCs w:val="28"/>
        </w:rPr>
        <w:t xml:space="preserve"> на наблюдаваните досъдебни производства от </w:t>
      </w:r>
      <w:r w:rsidR="00E65C0C">
        <w:rPr>
          <w:sz w:val="28"/>
          <w:szCs w:val="28"/>
        </w:rPr>
        <w:t>тази</w:t>
      </w:r>
      <w:r>
        <w:rPr>
          <w:sz w:val="28"/>
          <w:szCs w:val="28"/>
        </w:rPr>
        <w:t xml:space="preserve"> категория</w:t>
      </w:r>
      <w:r w:rsidR="00E65C0C">
        <w:rPr>
          <w:sz w:val="28"/>
          <w:szCs w:val="28"/>
        </w:rPr>
        <w:t>,</w:t>
      </w:r>
      <w:r>
        <w:rPr>
          <w:sz w:val="28"/>
          <w:szCs w:val="28"/>
        </w:rPr>
        <w:t xml:space="preserve"> спрямо 2023 г., когато са били наблюдавани </w:t>
      </w:r>
      <w:r w:rsidR="00E65C0C">
        <w:rPr>
          <w:sz w:val="28"/>
          <w:szCs w:val="28"/>
        </w:rPr>
        <w:t>33</w:t>
      </w:r>
      <w:r>
        <w:rPr>
          <w:sz w:val="28"/>
          <w:szCs w:val="28"/>
        </w:rPr>
        <w:t xml:space="preserve"> такива производства. Спрямо 2022 г. е налице </w:t>
      </w:r>
      <w:r>
        <w:rPr>
          <w:sz w:val="28"/>
          <w:szCs w:val="28"/>
        </w:rPr>
        <w:lastRenderedPageBreak/>
        <w:t xml:space="preserve">устойчивост по показателя, т.к. и тогава са били наблюдавани 31 досъдебни производства от същата категория.  </w:t>
      </w:r>
    </w:p>
    <w:p w:rsidR="00423FD4" w:rsidRDefault="00423FD4" w:rsidP="00423FD4">
      <w:pPr>
        <w:widowControl/>
        <w:autoSpaceDE/>
        <w:adjustRightInd/>
        <w:spacing w:line="340" w:lineRule="atLeast"/>
        <w:ind w:left="57" w:right="57" w:firstLine="720"/>
        <w:contextualSpacing/>
        <w:jc w:val="both"/>
        <w:rPr>
          <w:sz w:val="28"/>
          <w:szCs w:val="28"/>
        </w:rPr>
      </w:pPr>
      <w:r>
        <w:rPr>
          <w:sz w:val="28"/>
          <w:szCs w:val="28"/>
        </w:rPr>
        <w:t xml:space="preserve">През 2024 г. са били наблюдавани </w:t>
      </w:r>
      <w:r>
        <w:rPr>
          <w:sz w:val="28"/>
          <w:szCs w:val="28"/>
          <w:lang w:val="be-BY"/>
        </w:rPr>
        <w:t xml:space="preserve">17 </w:t>
      </w:r>
      <w:r>
        <w:rPr>
          <w:sz w:val="28"/>
          <w:szCs w:val="28"/>
        </w:rPr>
        <w:t xml:space="preserve">досъдебни производства, водени </w:t>
      </w:r>
      <w:bookmarkStart w:id="14" w:name="OLE_LINK19"/>
      <w:r>
        <w:rPr>
          <w:sz w:val="28"/>
          <w:szCs w:val="28"/>
        </w:rPr>
        <w:t>за данъчни престъпления с предмет ДДС</w:t>
      </w:r>
      <w:bookmarkEnd w:id="14"/>
      <w:r>
        <w:rPr>
          <w:sz w:val="28"/>
          <w:szCs w:val="28"/>
        </w:rPr>
        <w:t xml:space="preserve">, от които 5 са новообразувани. През отчетния период внесени в съда са 5 ДП, с 5 прокурорски акта – 4 с обвинителен акт и </w:t>
      </w:r>
      <w:r w:rsidR="00181E30">
        <w:rPr>
          <w:sz w:val="28"/>
          <w:szCs w:val="28"/>
        </w:rPr>
        <w:t>едно</w:t>
      </w:r>
      <w:r>
        <w:rPr>
          <w:sz w:val="28"/>
          <w:szCs w:val="28"/>
        </w:rPr>
        <w:t xml:space="preserve"> с постановление по чл.78а от НК. Няма спрени и прекратени досъдебно производство за данъчни престъпления с предмет ДДС.  </w:t>
      </w:r>
    </w:p>
    <w:p w:rsidR="00423FD4" w:rsidRDefault="00423FD4" w:rsidP="00423FD4">
      <w:pPr>
        <w:widowControl/>
        <w:autoSpaceDE/>
        <w:adjustRightInd/>
        <w:spacing w:line="340" w:lineRule="atLeast"/>
        <w:ind w:left="57" w:right="57" w:firstLine="720"/>
        <w:contextualSpacing/>
        <w:jc w:val="both"/>
        <w:rPr>
          <w:sz w:val="28"/>
          <w:szCs w:val="28"/>
        </w:rPr>
      </w:pPr>
      <w:r>
        <w:rPr>
          <w:sz w:val="28"/>
          <w:szCs w:val="28"/>
        </w:rPr>
        <w:t>За сравнение през 2023 година наблюдаваните досъдебни производства с предмет ДДС са 15, а през 2022г. са били 12 ДП.</w:t>
      </w:r>
    </w:p>
    <w:p w:rsidR="00423FD4" w:rsidRDefault="00423FD4" w:rsidP="00423FD4">
      <w:pPr>
        <w:widowControl/>
        <w:autoSpaceDE/>
        <w:adjustRightInd/>
        <w:spacing w:line="340" w:lineRule="atLeast"/>
        <w:ind w:right="57"/>
        <w:contextualSpacing/>
        <w:jc w:val="both"/>
        <w:rPr>
          <w:sz w:val="28"/>
          <w:szCs w:val="28"/>
          <w:lang w:val="be-BY"/>
        </w:rPr>
      </w:pPr>
    </w:p>
    <w:p w:rsidR="00423FD4" w:rsidRDefault="00423FD4" w:rsidP="00423FD4">
      <w:pPr>
        <w:widowControl/>
        <w:autoSpaceDE/>
        <w:adjustRightInd/>
        <w:spacing w:line="340" w:lineRule="atLeast"/>
        <w:ind w:left="57" w:right="57" w:firstLine="720"/>
        <w:contextualSpacing/>
        <w:jc w:val="both"/>
        <w:rPr>
          <w:b/>
          <w:sz w:val="28"/>
          <w:szCs w:val="28"/>
        </w:rPr>
      </w:pPr>
      <w:r>
        <w:rPr>
          <w:b/>
          <w:sz w:val="28"/>
          <w:szCs w:val="28"/>
        </w:rPr>
        <w:t xml:space="preserve">Престъпления, свързани с изготвяне, прокарване в </w:t>
      </w:r>
      <w:proofErr w:type="spellStart"/>
      <w:r>
        <w:rPr>
          <w:b/>
          <w:sz w:val="28"/>
          <w:szCs w:val="28"/>
        </w:rPr>
        <w:t>обр</w:t>
      </w:r>
      <w:proofErr w:type="spellEnd"/>
      <w:r>
        <w:rPr>
          <w:b/>
          <w:sz w:val="28"/>
          <w:szCs w:val="28"/>
          <w:lang w:val="be-BY"/>
        </w:rPr>
        <w:t>ъ</w:t>
      </w:r>
      <w:r>
        <w:rPr>
          <w:b/>
          <w:sz w:val="28"/>
          <w:szCs w:val="28"/>
        </w:rPr>
        <w:t>щение и използване на неистински и преправени парични знаци и кредитни карти.</w:t>
      </w:r>
    </w:p>
    <w:p w:rsidR="00423FD4" w:rsidRDefault="00423FD4" w:rsidP="00423FD4">
      <w:pPr>
        <w:widowControl/>
        <w:autoSpaceDE/>
        <w:adjustRightInd/>
        <w:spacing w:line="340" w:lineRule="atLeast"/>
        <w:ind w:left="57" w:right="57" w:firstLine="720"/>
        <w:contextualSpacing/>
        <w:jc w:val="both"/>
        <w:rPr>
          <w:sz w:val="28"/>
          <w:szCs w:val="28"/>
        </w:rPr>
      </w:pPr>
      <w:r>
        <w:rPr>
          <w:sz w:val="28"/>
          <w:szCs w:val="28"/>
        </w:rPr>
        <w:t xml:space="preserve">Общо наблюдаваните през 2024 г. досъдебни производства от тази категория са 75 бр., от които 38 новообразувани. За сравнение, през 2023 година са били наблюдавани 67 бр., от които 43 новообразувани, а през 2022 г. са били наблюдавани 57 досъдебни производства. Отчита се устойчива тенденция за </w:t>
      </w:r>
      <w:r>
        <w:rPr>
          <w:sz w:val="28"/>
          <w:szCs w:val="28"/>
          <w:lang w:val="be-BY"/>
        </w:rPr>
        <w:t xml:space="preserve">увеличение </w:t>
      </w:r>
      <w:r>
        <w:rPr>
          <w:sz w:val="28"/>
          <w:szCs w:val="28"/>
        </w:rPr>
        <w:t xml:space="preserve">броя на наблюдаваните производства от посочената категория спрямо предходните две години. </w:t>
      </w:r>
    </w:p>
    <w:p w:rsidR="00423FD4" w:rsidRDefault="00423FD4" w:rsidP="00423FD4">
      <w:pPr>
        <w:widowControl/>
        <w:autoSpaceDE/>
        <w:adjustRightInd/>
        <w:spacing w:line="340" w:lineRule="atLeast"/>
        <w:ind w:left="57" w:right="57" w:firstLine="720"/>
        <w:contextualSpacing/>
        <w:jc w:val="both"/>
        <w:rPr>
          <w:sz w:val="28"/>
          <w:szCs w:val="28"/>
        </w:rPr>
      </w:pPr>
      <w:r>
        <w:rPr>
          <w:sz w:val="28"/>
          <w:szCs w:val="28"/>
        </w:rPr>
        <w:t>През 2024 г. са решени 56 производства за престъпления против паричната и кредитната система /през 2023 год. – 42/, от които</w:t>
      </w:r>
      <w:r>
        <w:rPr>
          <w:sz w:val="28"/>
          <w:szCs w:val="28"/>
          <w:lang w:val="be-BY"/>
        </w:rPr>
        <w:t xml:space="preserve"> 22 </w:t>
      </w:r>
      <w:r>
        <w:rPr>
          <w:sz w:val="28"/>
          <w:szCs w:val="28"/>
        </w:rPr>
        <w:t>спрени,</w:t>
      </w:r>
      <w:r>
        <w:rPr>
          <w:sz w:val="28"/>
          <w:szCs w:val="28"/>
          <w:lang w:val="be-BY"/>
        </w:rPr>
        <w:t xml:space="preserve"> </w:t>
      </w:r>
      <w:r>
        <w:rPr>
          <w:sz w:val="28"/>
          <w:szCs w:val="28"/>
        </w:rPr>
        <w:t>21</w:t>
      </w:r>
      <w:r>
        <w:rPr>
          <w:sz w:val="28"/>
          <w:szCs w:val="28"/>
          <w:lang w:val="be-BY"/>
        </w:rPr>
        <w:t xml:space="preserve"> </w:t>
      </w:r>
      <w:r>
        <w:rPr>
          <w:sz w:val="28"/>
          <w:szCs w:val="28"/>
        </w:rPr>
        <w:t>прекратени, 9 внесени в съда. Осъдени са 12 лица с влязъл в сила съдебен акт, от които 2 лица с наложени ефективни наказания „лишаване от свобода“. Няма</w:t>
      </w:r>
      <w:r>
        <w:rPr>
          <w:sz w:val="28"/>
          <w:szCs w:val="28"/>
          <w:lang w:val="be-BY"/>
        </w:rPr>
        <w:t xml:space="preserve"> лица с влязла в сила оправдателна присъда</w:t>
      </w:r>
      <w:r>
        <w:rPr>
          <w:sz w:val="28"/>
          <w:szCs w:val="28"/>
        </w:rPr>
        <w:t xml:space="preserve">. </w:t>
      </w:r>
    </w:p>
    <w:p w:rsidR="00423FD4" w:rsidRDefault="00423FD4" w:rsidP="00423FD4">
      <w:pPr>
        <w:widowControl/>
        <w:autoSpaceDE/>
        <w:adjustRightInd/>
        <w:spacing w:line="340" w:lineRule="atLeast"/>
        <w:ind w:left="57" w:right="57" w:firstLine="720"/>
        <w:contextualSpacing/>
        <w:jc w:val="both"/>
        <w:rPr>
          <w:sz w:val="28"/>
          <w:szCs w:val="28"/>
        </w:rPr>
      </w:pPr>
      <w:r>
        <w:rPr>
          <w:sz w:val="28"/>
          <w:szCs w:val="28"/>
        </w:rPr>
        <w:t>Наблюдава се леко увеличение при броя на внесените в съда дела и на осъдените лица в сравнение с предходния отчетен период /за 2023 г./, когато са били внесени 8 дела, а осъдени с влязла сила съдебен акт са 7 лица.</w:t>
      </w:r>
    </w:p>
    <w:p w:rsidR="00423FD4" w:rsidRDefault="00423FD4" w:rsidP="00423FD4">
      <w:pPr>
        <w:widowControl/>
        <w:autoSpaceDE/>
        <w:adjustRightInd/>
        <w:spacing w:line="340" w:lineRule="atLeast"/>
        <w:ind w:left="57" w:right="57" w:firstLine="720"/>
        <w:contextualSpacing/>
        <w:jc w:val="both"/>
        <w:rPr>
          <w:b/>
          <w:sz w:val="28"/>
          <w:szCs w:val="28"/>
        </w:rPr>
      </w:pPr>
    </w:p>
    <w:p w:rsidR="00423FD4" w:rsidRDefault="00423FD4" w:rsidP="00423FD4">
      <w:pPr>
        <w:widowControl/>
        <w:autoSpaceDE/>
        <w:adjustRightInd/>
        <w:spacing w:line="340" w:lineRule="atLeast"/>
        <w:ind w:left="57" w:right="57" w:firstLine="720"/>
        <w:contextualSpacing/>
        <w:jc w:val="both"/>
        <w:rPr>
          <w:b/>
          <w:sz w:val="28"/>
          <w:szCs w:val="28"/>
        </w:rPr>
      </w:pPr>
      <w:r>
        <w:rPr>
          <w:b/>
          <w:sz w:val="28"/>
          <w:szCs w:val="28"/>
        </w:rPr>
        <w:t xml:space="preserve">Престъпления с предмет наркотични вещества и </w:t>
      </w:r>
      <w:proofErr w:type="spellStart"/>
      <w:r>
        <w:rPr>
          <w:b/>
          <w:sz w:val="28"/>
          <w:szCs w:val="28"/>
        </w:rPr>
        <w:t>прекурсори</w:t>
      </w:r>
      <w:proofErr w:type="spellEnd"/>
    </w:p>
    <w:p w:rsidR="00423FD4" w:rsidRDefault="00423FD4" w:rsidP="00423FD4">
      <w:pPr>
        <w:widowControl/>
        <w:autoSpaceDE/>
        <w:adjustRightInd/>
        <w:spacing w:line="340" w:lineRule="atLeast"/>
        <w:ind w:left="57" w:right="57" w:firstLine="720"/>
        <w:contextualSpacing/>
        <w:jc w:val="both"/>
        <w:rPr>
          <w:sz w:val="28"/>
          <w:szCs w:val="28"/>
        </w:rPr>
      </w:pPr>
      <w:r>
        <w:rPr>
          <w:sz w:val="28"/>
          <w:szCs w:val="28"/>
        </w:rPr>
        <w:t>През 20</w:t>
      </w:r>
      <w:r>
        <w:rPr>
          <w:sz w:val="28"/>
          <w:szCs w:val="28"/>
          <w:lang w:val="en-US"/>
        </w:rPr>
        <w:t>2</w:t>
      </w:r>
      <w:r>
        <w:rPr>
          <w:sz w:val="28"/>
          <w:szCs w:val="28"/>
        </w:rPr>
        <w:t xml:space="preserve">4 г. прокуратурите от системата на Сливенската окръжна прокуратура са наблюдавали общо 273 </w:t>
      </w:r>
      <w:bookmarkStart w:id="15" w:name="OLE_LINK28"/>
      <w:r>
        <w:rPr>
          <w:sz w:val="28"/>
          <w:szCs w:val="28"/>
        </w:rPr>
        <w:t>досъдебни производства от тази категория</w:t>
      </w:r>
      <w:bookmarkEnd w:id="15"/>
      <w:r>
        <w:rPr>
          <w:sz w:val="28"/>
          <w:szCs w:val="28"/>
        </w:rPr>
        <w:t>, от които</w:t>
      </w:r>
      <w:r>
        <w:rPr>
          <w:sz w:val="28"/>
          <w:szCs w:val="28"/>
          <w:lang w:val="be-BY"/>
        </w:rPr>
        <w:t xml:space="preserve"> </w:t>
      </w:r>
      <w:r>
        <w:rPr>
          <w:sz w:val="28"/>
          <w:szCs w:val="28"/>
        </w:rPr>
        <w:t>156</w:t>
      </w:r>
      <w:r>
        <w:rPr>
          <w:sz w:val="28"/>
          <w:szCs w:val="28"/>
          <w:lang w:val="en-US"/>
        </w:rPr>
        <w:t xml:space="preserve"> </w:t>
      </w:r>
      <w:r>
        <w:rPr>
          <w:sz w:val="28"/>
          <w:szCs w:val="28"/>
        </w:rPr>
        <w:t>са новообразувани. По 57 от тях се разкрива по-висока степен на обществена опасност, тъй като са свързани с разпространение на наркотични вещества. През същия период са били решени общо</w:t>
      </w:r>
      <w:r>
        <w:rPr>
          <w:sz w:val="28"/>
          <w:szCs w:val="28"/>
          <w:lang w:val="be-BY"/>
        </w:rPr>
        <w:t xml:space="preserve"> </w:t>
      </w:r>
      <w:r>
        <w:rPr>
          <w:sz w:val="28"/>
          <w:szCs w:val="28"/>
        </w:rPr>
        <w:t>171</w:t>
      </w:r>
      <w:r>
        <w:rPr>
          <w:sz w:val="28"/>
          <w:szCs w:val="28"/>
          <w:lang w:val="en-US"/>
        </w:rPr>
        <w:t xml:space="preserve"> </w:t>
      </w:r>
      <w:r>
        <w:rPr>
          <w:sz w:val="28"/>
          <w:szCs w:val="28"/>
        </w:rPr>
        <w:t xml:space="preserve">досъдебни производства, които спрямо наблюдаваните производства представляват 62,64 %. </w:t>
      </w:r>
    </w:p>
    <w:p w:rsidR="00423FD4" w:rsidRDefault="00423FD4" w:rsidP="00423FD4">
      <w:pPr>
        <w:widowControl/>
        <w:autoSpaceDE/>
        <w:adjustRightInd/>
        <w:spacing w:line="340" w:lineRule="atLeast"/>
        <w:ind w:left="57" w:right="57" w:firstLine="720"/>
        <w:contextualSpacing/>
        <w:jc w:val="both"/>
        <w:rPr>
          <w:sz w:val="28"/>
          <w:szCs w:val="28"/>
        </w:rPr>
      </w:pPr>
      <w:r>
        <w:rPr>
          <w:sz w:val="28"/>
          <w:szCs w:val="28"/>
        </w:rPr>
        <w:t>През 20</w:t>
      </w:r>
      <w:r>
        <w:rPr>
          <w:sz w:val="28"/>
          <w:szCs w:val="28"/>
          <w:lang w:val="en-US"/>
        </w:rPr>
        <w:t>2</w:t>
      </w:r>
      <w:r>
        <w:rPr>
          <w:sz w:val="28"/>
          <w:szCs w:val="28"/>
        </w:rPr>
        <w:t xml:space="preserve">4 г. са прекратени 44 </w:t>
      </w:r>
      <w:bookmarkStart w:id="16" w:name="OLE_LINK13"/>
      <w:r>
        <w:rPr>
          <w:sz w:val="28"/>
          <w:szCs w:val="28"/>
        </w:rPr>
        <w:t>досъдебни производства</w:t>
      </w:r>
      <w:bookmarkEnd w:id="16"/>
      <w:r>
        <w:rPr>
          <w:sz w:val="28"/>
          <w:szCs w:val="28"/>
        </w:rPr>
        <w:t xml:space="preserve"> за престъпления с предмет наркотични вещества. Спрените досъдебни </w:t>
      </w:r>
      <w:r>
        <w:rPr>
          <w:sz w:val="28"/>
          <w:szCs w:val="28"/>
        </w:rPr>
        <w:lastRenderedPageBreak/>
        <w:t>производства са 8, а 106</w:t>
      </w:r>
      <w:r>
        <w:rPr>
          <w:sz w:val="28"/>
          <w:szCs w:val="28"/>
          <w:lang w:val="en-US"/>
        </w:rPr>
        <w:t xml:space="preserve"> </w:t>
      </w:r>
      <w:r w:rsidR="00181E30">
        <w:rPr>
          <w:sz w:val="28"/>
          <w:szCs w:val="28"/>
        </w:rPr>
        <w:t xml:space="preserve">досъдебни производства </w:t>
      </w:r>
      <w:r>
        <w:rPr>
          <w:sz w:val="28"/>
          <w:szCs w:val="28"/>
        </w:rPr>
        <w:t>и същият брой прокурорски актове са внесени в съответните съдилища срещу 115</w:t>
      </w:r>
      <w:r>
        <w:rPr>
          <w:sz w:val="28"/>
          <w:szCs w:val="28"/>
          <w:lang w:val="en-US"/>
        </w:rPr>
        <w:t xml:space="preserve"> </w:t>
      </w:r>
      <w:r>
        <w:rPr>
          <w:sz w:val="28"/>
          <w:szCs w:val="28"/>
        </w:rPr>
        <w:t xml:space="preserve">лица. </w:t>
      </w:r>
    </w:p>
    <w:p w:rsidR="00423FD4" w:rsidRDefault="00423FD4" w:rsidP="00423FD4">
      <w:pPr>
        <w:widowControl/>
        <w:autoSpaceDE/>
        <w:adjustRightInd/>
        <w:spacing w:line="340" w:lineRule="atLeast"/>
        <w:ind w:left="57" w:right="57" w:firstLine="720"/>
        <w:contextualSpacing/>
        <w:jc w:val="both"/>
        <w:rPr>
          <w:sz w:val="28"/>
          <w:szCs w:val="28"/>
        </w:rPr>
      </w:pPr>
      <w:r>
        <w:rPr>
          <w:sz w:val="28"/>
          <w:szCs w:val="28"/>
        </w:rPr>
        <w:t>В сравнение с отчетените данни за наблюдаваните през 2023 г. – 232 бр. и през 2022 г. - 244 досъдебни производства</w:t>
      </w:r>
      <w:r>
        <w:rPr>
          <w:sz w:val="28"/>
          <w:szCs w:val="28"/>
          <w:lang w:val="be-BY"/>
        </w:rPr>
        <w:t>,</w:t>
      </w:r>
      <w:r>
        <w:rPr>
          <w:sz w:val="28"/>
          <w:szCs w:val="28"/>
        </w:rPr>
        <w:t xml:space="preserve"> през отчетн</w:t>
      </w:r>
      <w:r w:rsidR="00E65C0C">
        <w:rPr>
          <w:sz w:val="28"/>
          <w:szCs w:val="28"/>
        </w:rPr>
        <w:t>ия</w:t>
      </w:r>
      <w:r>
        <w:rPr>
          <w:sz w:val="28"/>
          <w:szCs w:val="28"/>
        </w:rPr>
        <w:t xml:space="preserve"> период </w:t>
      </w:r>
      <w:r>
        <w:rPr>
          <w:sz w:val="28"/>
          <w:szCs w:val="28"/>
          <w:lang w:val="be-BY"/>
        </w:rPr>
        <w:t xml:space="preserve">се наблюдава подчертана тенденция за увеличаване в </w:t>
      </w:r>
      <w:r>
        <w:rPr>
          <w:sz w:val="28"/>
          <w:szCs w:val="28"/>
        </w:rPr>
        <w:t xml:space="preserve">броя на наблюдаваните досъдебни производства, водени за престъпления с предмет наркотични вещества.  </w:t>
      </w:r>
    </w:p>
    <w:p w:rsidR="00423FD4" w:rsidRDefault="00423FD4" w:rsidP="00423FD4">
      <w:pPr>
        <w:widowControl/>
        <w:autoSpaceDE/>
        <w:adjustRightInd/>
        <w:spacing w:line="340" w:lineRule="atLeast"/>
        <w:ind w:left="57" w:right="57" w:firstLine="720"/>
        <w:contextualSpacing/>
        <w:jc w:val="both"/>
        <w:rPr>
          <w:sz w:val="28"/>
          <w:szCs w:val="28"/>
          <w:lang w:val="be-BY"/>
        </w:rPr>
      </w:pPr>
      <w:r>
        <w:rPr>
          <w:sz w:val="28"/>
          <w:szCs w:val="28"/>
        </w:rPr>
        <w:t>Анализът на тези данни сочи, че през отчетния период е увеличен както броят на наблюдаваните досъдебни производства, така и броя</w:t>
      </w:r>
      <w:r w:rsidR="00E65C0C">
        <w:rPr>
          <w:sz w:val="28"/>
          <w:szCs w:val="28"/>
        </w:rPr>
        <w:t>т</w:t>
      </w:r>
      <w:r>
        <w:rPr>
          <w:sz w:val="28"/>
          <w:szCs w:val="28"/>
        </w:rPr>
        <w:t xml:space="preserve"> на внесените </w:t>
      </w:r>
      <w:r w:rsidR="00181E30">
        <w:rPr>
          <w:sz w:val="28"/>
          <w:szCs w:val="28"/>
        </w:rPr>
        <w:t xml:space="preserve">в съда </w:t>
      </w:r>
      <w:r>
        <w:rPr>
          <w:sz w:val="28"/>
          <w:szCs w:val="28"/>
        </w:rPr>
        <w:t xml:space="preserve">дела и на предадените на съд лица. </w:t>
      </w:r>
    </w:p>
    <w:p w:rsidR="00423FD4" w:rsidRDefault="00423FD4" w:rsidP="00423FD4">
      <w:pPr>
        <w:widowControl/>
        <w:tabs>
          <w:tab w:val="left" w:pos="709"/>
        </w:tabs>
        <w:autoSpaceDE/>
        <w:adjustRightInd/>
        <w:spacing w:line="380" w:lineRule="atLeast"/>
        <w:ind w:right="57"/>
        <w:contextualSpacing/>
        <w:jc w:val="both"/>
        <w:rPr>
          <w:sz w:val="28"/>
          <w:szCs w:val="28"/>
        </w:rPr>
      </w:pPr>
      <w:r>
        <w:rPr>
          <w:sz w:val="28"/>
          <w:szCs w:val="28"/>
        </w:rPr>
        <w:tab/>
        <w:t>Прокурорите от Окръжна прокуратура–Сливен са изготвили и внесли в Окръжен съд – Сливен 34</w:t>
      </w:r>
      <w:r>
        <w:rPr>
          <w:sz w:val="28"/>
          <w:szCs w:val="28"/>
          <w:lang w:val="en-US"/>
        </w:rPr>
        <w:t xml:space="preserve"> </w:t>
      </w:r>
      <w:r>
        <w:rPr>
          <w:sz w:val="28"/>
          <w:szCs w:val="28"/>
        </w:rPr>
        <w:t>акта за престъпления по чл.354а, ал.1 от НК, свързани с производство и разпространение на високорискови наркотични вещества</w:t>
      </w:r>
      <w:r w:rsidR="00E65C0C">
        <w:rPr>
          <w:sz w:val="28"/>
          <w:szCs w:val="28"/>
        </w:rPr>
        <w:t>,</w:t>
      </w:r>
      <w:r>
        <w:rPr>
          <w:sz w:val="28"/>
          <w:szCs w:val="28"/>
        </w:rPr>
        <w:t xml:space="preserve"> срещу 42</w:t>
      </w:r>
      <w:r>
        <w:rPr>
          <w:sz w:val="28"/>
          <w:szCs w:val="28"/>
          <w:lang w:val="en-US"/>
        </w:rPr>
        <w:t xml:space="preserve"> </w:t>
      </w:r>
      <w:r>
        <w:rPr>
          <w:sz w:val="28"/>
          <w:szCs w:val="28"/>
        </w:rPr>
        <w:t xml:space="preserve">лица. </w:t>
      </w:r>
    </w:p>
    <w:p w:rsidR="00423FD4" w:rsidRDefault="00423FD4" w:rsidP="00423FD4">
      <w:pPr>
        <w:widowControl/>
        <w:autoSpaceDE/>
        <w:adjustRightInd/>
        <w:spacing w:line="380" w:lineRule="atLeast"/>
        <w:ind w:left="57" w:right="57" w:firstLine="720"/>
        <w:contextualSpacing/>
        <w:jc w:val="both"/>
        <w:rPr>
          <w:sz w:val="28"/>
          <w:szCs w:val="28"/>
        </w:rPr>
      </w:pPr>
      <w:r>
        <w:rPr>
          <w:sz w:val="28"/>
          <w:szCs w:val="28"/>
          <w:lang w:val="be-BY"/>
        </w:rPr>
        <w:t>Съдилищата в Сливенски съдебен регион са о</w:t>
      </w:r>
      <w:r>
        <w:rPr>
          <w:sz w:val="28"/>
          <w:szCs w:val="28"/>
        </w:rPr>
        <w:t>съд</w:t>
      </w:r>
      <w:r>
        <w:rPr>
          <w:sz w:val="28"/>
          <w:szCs w:val="28"/>
          <w:lang w:val="be-BY"/>
        </w:rPr>
        <w:t xml:space="preserve">или </w:t>
      </w:r>
      <w:r>
        <w:rPr>
          <w:sz w:val="28"/>
          <w:szCs w:val="28"/>
        </w:rPr>
        <w:t>118</w:t>
      </w:r>
      <w:r>
        <w:rPr>
          <w:sz w:val="28"/>
          <w:szCs w:val="28"/>
          <w:lang w:val="en-US"/>
        </w:rPr>
        <w:t xml:space="preserve"> </w:t>
      </w:r>
      <w:r>
        <w:rPr>
          <w:sz w:val="28"/>
          <w:szCs w:val="28"/>
        </w:rPr>
        <w:t>лица с влязъл в сила съдебен акт</w:t>
      </w:r>
      <w:r>
        <w:rPr>
          <w:sz w:val="28"/>
          <w:szCs w:val="28"/>
          <w:lang w:val="en-US"/>
        </w:rPr>
        <w:t xml:space="preserve">, </w:t>
      </w:r>
      <w:r>
        <w:rPr>
          <w:sz w:val="28"/>
          <w:szCs w:val="28"/>
        </w:rPr>
        <w:t>като на 36 лица е наложено ефективно наказание „лишаване от свобода“.</w:t>
      </w:r>
    </w:p>
    <w:p w:rsidR="00423FD4" w:rsidRDefault="00423FD4" w:rsidP="00423FD4">
      <w:pPr>
        <w:widowControl/>
        <w:autoSpaceDE/>
        <w:adjustRightInd/>
        <w:spacing w:line="380" w:lineRule="atLeast"/>
        <w:ind w:left="57" w:right="57" w:firstLine="720"/>
        <w:contextualSpacing/>
        <w:jc w:val="both"/>
        <w:rPr>
          <w:sz w:val="28"/>
          <w:szCs w:val="28"/>
        </w:rPr>
      </w:pPr>
      <w:r>
        <w:rPr>
          <w:sz w:val="28"/>
          <w:szCs w:val="28"/>
        </w:rPr>
        <w:t>Няма оправдани лица по досъдебни производства от тази категория. За сравнение, през 2023 г. е имало 2 оправдани лица, а за 2022 г. не е имало оправдани.</w:t>
      </w:r>
    </w:p>
    <w:p w:rsidR="00423FD4" w:rsidRDefault="00423FD4" w:rsidP="00423FD4">
      <w:pPr>
        <w:widowControl/>
        <w:autoSpaceDE/>
        <w:adjustRightInd/>
        <w:spacing w:line="380" w:lineRule="atLeast"/>
        <w:ind w:right="57"/>
        <w:contextualSpacing/>
        <w:jc w:val="both"/>
        <w:rPr>
          <w:sz w:val="28"/>
          <w:szCs w:val="28"/>
          <w:lang w:val="be-BY"/>
        </w:rPr>
      </w:pPr>
    </w:p>
    <w:p w:rsidR="00423FD4" w:rsidRDefault="00423FD4" w:rsidP="00423FD4">
      <w:pPr>
        <w:widowControl/>
        <w:autoSpaceDE/>
        <w:adjustRightInd/>
        <w:spacing w:after="120" w:line="380" w:lineRule="atLeast"/>
        <w:ind w:left="57" w:right="57" w:firstLine="720"/>
        <w:contextualSpacing/>
        <w:jc w:val="both"/>
        <w:rPr>
          <w:b/>
          <w:sz w:val="28"/>
          <w:szCs w:val="28"/>
        </w:rPr>
      </w:pPr>
      <w:r>
        <w:rPr>
          <w:b/>
          <w:sz w:val="28"/>
          <w:szCs w:val="28"/>
        </w:rPr>
        <w:t>Незаконен трафик на хора</w:t>
      </w:r>
    </w:p>
    <w:p w:rsidR="00423FD4" w:rsidRDefault="00423FD4" w:rsidP="00423FD4">
      <w:pPr>
        <w:widowControl/>
        <w:autoSpaceDE/>
        <w:adjustRightInd/>
        <w:spacing w:before="120" w:line="380" w:lineRule="atLeast"/>
        <w:ind w:left="57" w:right="57" w:firstLine="720"/>
        <w:contextualSpacing/>
        <w:jc w:val="both"/>
        <w:rPr>
          <w:sz w:val="28"/>
          <w:szCs w:val="28"/>
        </w:rPr>
      </w:pPr>
      <w:r>
        <w:rPr>
          <w:sz w:val="28"/>
          <w:szCs w:val="28"/>
        </w:rPr>
        <w:t>През 2024 г. прокуратурите от системата на Сливенската окръжна прокуратура са наблюдавали общо 2 досъдебни производства, образувани за трафик на хора, докато през 2023 г. делата от тази категория са били 4, а през 2022 г. са наблюдавани 8 такива производства.</w:t>
      </w:r>
    </w:p>
    <w:p w:rsidR="00423FD4" w:rsidRDefault="00423FD4" w:rsidP="00423FD4">
      <w:pPr>
        <w:widowControl/>
        <w:autoSpaceDE/>
        <w:adjustRightInd/>
        <w:spacing w:before="120" w:line="380" w:lineRule="atLeast"/>
        <w:ind w:left="57" w:right="57"/>
        <w:contextualSpacing/>
        <w:jc w:val="both"/>
        <w:rPr>
          <w:sz w:val="28"/>
          <w:szCs w:val="28"/>
        </w:rPr>
      </w:pPr>
      <w:r>
        <w:rPr>
          <w:sz w:val="28"/>
          <w:szCs w:val="28"/>
        </w:rPr>
        <w:t xml:space="preserve">         От наблюдаваните през 2024 г. досъдебни производства, едно е новообразувано. През отчетния период е било решено </w:t>
      </w:r>
      <w:r w:rsidR="00EC168D">
        <w:rPr>
          <w:sz w:val="28"/>
          <w:szCs w:val="28"/>
        </w:rPr>
        <w:t>едно</w:t>
      </w:r>
      <w:r>
        <w:rPr>
          <w:sz w:val="28"/>
          <w:szCs w:val="28"/>
        </w:rPr>
        <w:t xml:space="preserve"> досъдебно производство, което спрямо наблюдаваните производства представлява </w:t>
      </w:r>
      <w:r w:rsidR="00EC168D">
        <w:rPr>
          <w:sz w:val="28"/>
          <w:szCs w:val="28"/>
          <w:lang w:val="be-BY"/>
        </w:rPr>
        <w:t>50</w:t>
      </w:r>
      <w:r>
        <w:rPr>
          <w:sz w:val="28"/>
          <w:szCs w:val="28"/>
          <w:lang w:val="be-BY"/>
        </w:rPr>
        <w:t>%</w:t>
      </w:r>
      <w:r>
        <w:rPr>
          <w:sz w:val="28"/>
          <w:szCs w:val="28"/>
        </w:rPr>
        <w:t xml:space="preserve">.  Въпросното решено ДП е внесено в съд с обвинителен акт, срещу </w:t>
      </w:r>
      <w:r w:rsidR="00EC168D">
        <w:rPr>
          <w:sz w:val="28"/>
          <w:szCs w:val="28"/>
        </w:rPr>
        <w:t xml:space="preserve">едно </w:t>
      </w:r>
      <w:r>
        <w:rPr>
          <w:sz w:val="28"/>
          <w:szCs w:val="28"/>
        </w:rPr>
        <w:t xml:space="preserve">лице. През 2024 г. няма прекратени и спрени  досъдебни производства от отчитаната категория. Няма осъдени и оправдани лица. </w:t>
      </w:r>
    </w:p>
    <w:p w:rsidR="00423FD4" w:rsidRDefault="00423FD4" w:rsidP="00423FD4">
      <w:pPr>
        <w:widowControl/>
        <w:autoSpaceDE/>
        <w:adjustRightInd/>
        <w:spacing w:before="120" w:line="380" w:lineRule="atLeast"/>
        <w:ind w:left="57" w:right="57"/>
        <w:contextualSpacing/>
        <w:jc w:val="both"/>
        <w:rPr>
          <w:sz w:val="28"/>
          <w:szCs w:val="28"/>
        </w:rPr>
      </w:pPr>
      <w:r>
        <w:rPr>
          <w:sz w:val="28"/>
          <w:szCs w:val="28"/>
        </w:rPr>
        <w:t xml:space="preserve">          От наблюдаваните през 2024 г. досъдебни производства за трафик на хора, едното е за престъпление по чл.159б, ал.1 от НК, а другото за такова по чл.159б, ал.2 от НК.</w:t>
      </w:r>
    </w:p>
    <w:p w:rsidR="00423FD4" w:rsidRDefault="00423FD4" w:rsidP="00423FD4">
      <w:pPr>
        <w:widowControl/>
        <w:autoSpaceDE/>
        <w:adjustRightInd/>
        <w:spacing w:line="380" w:lineRule="atLeast"/>
        <w:ind w:left="57" w:right="57" w:firstLine="720"/>
        <w:contextualSpacing/>
        <w:jc w:val="both"/>
        <w:rPr>
          <w:sz w:val="28"/>
          <w:szCs w:val="28"/>
        </w:rPr>
      </w:pPr>
      <w:r>
        <w:rPr>
          <w:sz w:val="28"/>
          <w:szCs w:val="28"/>
        </w:rPr>
        <w:t xml:space="preserve">Отчетените данни за намалението на броя на наблюдаваните досъдебни производства и резултата от същите се дължат на резултата от </w:t>
      </w:r>
      <w:r>
        <w:rPr>
          <w:sz w:val="28"/>
          <w:szCs w:val="28"/>
        </w:rPr>
        <w:lastRenderedPageBreak/>
        <w:t xml:space="preserve">дейността на полицейските органи по разкриване и противодействие на престъпленията, свързани с трафика на хора. </w:t>
      </w:r>
    </w:p>
    <w:p w:rsidR="00423FD4" w:rsidRDefault="00423FD4" w:rsidP="00423FD4">
      <w:pPr>
        <w:widowControl/>
        <w:autoSpaceDE/>
        <w:adjustRightInd/>
        <w:spacing w:line="380" w:lineRule="atLeast"/>
        <w:ind w:left="57" w:right="57" w:firstLine="720"/>
        <w:contextualSpacing/>
        <w:jc w:val="both"/>
        <w:rPr>
          <w:sz w:val="28"/>
          <w:szCs w:val="28"/>
        </w:rPr>
      </w:pPr>
    </w:p>
    <w:p w:rsidR="00423FD4" w:rsidRDefault="00423FD4" w:rsidP="00423FD4">
      <w:pPr>
        <w:widowControl/>
        <w:autoSpaceDE/>
        <w:adjustRightInd/>
        <w:spacing w:line="380" w:lineRule="atLeast"/>
        <w:ind w:left="57" w:right="57" w:firstLine="720"/>
        <w:contextualSpacing/>
        <w:jc w:val="both"/>
        <w:rPr>
          <w:b/>
          <w:i/>
          <w:sz w:val="28"/>
          <w:szCs w:val="28"/>
          <w:u w:val="single"/>
        </w:rPr>
      </w:pPr>
      <w:r>
        <w:rPr>
          <w:b/>
          <w:i/>
          <w:sz w:val="28"/>
          <w:szCs w:val="28"/>
          <w:u w:val="single"/>
        </w:rPr>
        <w:t xml:space="preserve">В графичен вид делът на делата със значим обществен интерес спрямо общия брой </w:t>
      </w:r>
      <w:r w:rsidR="00EC168D">
        <w:rPr>
          <w:b/>
          <w:i/>
          <w:sz w:val="28"/>
          <w:szCs w:val="28"/>
          <w:u w:val="single"/>
          <w:lang w:val="be-BY"/>
        </w:rPr>
        <w:t>3949</w:t>
      </w:r>
      <w:r>
        <w:rPr>
          <w:b/>
          <w:i/>
          <w:sz w:val="28"/>
          <w:szCs w:val="28"/>
          <w:u w:val="single"/>
        </w:rPr>
        <w:t xml:space="preserve"> наблюдавани производства е следният:</w:t>
      </w:r>
    </w:p>
    <w:p w:rsidR="00423FD4" w:rsidRDefault="00EC168D" w:rsidP="00423FD4">
      <w:pPr>
        <w:widowControl/>
        <w:autoSpaceDE/>
        <w:adjustRightInd/>
        <w:spacing w:line="380" w:lineRule="atLeast"/>
        <w:ind w:left="57" w:right="57" w:firstLine="720"/>
        <w:contextualSpacing/>
        <w:jc w:val="both"/>
        <w:rPr>
          <w:sz w:val="28"/>
          <w:szCs w:val="28"/>
        </w:rPr>
      </w:pPr>
      <w:r>
        <w:rPr>
          <w:noProof/>
        </w:rPr>
        <w:drawing>
          <wp:inline distT="0" distB="0" distL="0" distR="0" wp14:anchorId="36F8F855" wp14:editId="661FDB8D">
            <wp:extent cx="5759450" cy="3689820"/>
            <wp:effectExtent l="0" t="0" r="0" b="6350"/>
            <wp:docPr id="16" name="Диагра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C7835" w:rsidRDefault="004C7835" w:rsidP="004C7835">
      <w:pPr>
        <w:spacing w:line="360" w:lineRule="exact"/>
        <w:ind w:left="57" w:right="57" w:firstLine="720"/>
        <w:contextualSpacing/>
        <w:jc w:val="both"/>
        <w:rPr>
          <w:b/>
          <w:sz w:val="28"/>
          <w:szCs w:val="28"/>
        </w:rPr>
      </w:pPr>
      <w:r>
        <w:rPr>
          <w:b/>
          <w:sz w:val="28"/>
          <w:szCs w:val="28"/>
        </w:rPr>
        <w:t xml:space="preserve">Досъдебни производства, образувани за престъпления, извършени от непълнолетни лица. </w:t>
      </w:r>
    </w:p>
    <w:p w:rsidR="004C7835" w:rsidRDefault="004C7835" w:rsidP="004C7835">
      <w:pPr>
        <w:spacing w:line="360" w:lineRule="exact"/>
        <w:ind w:left="57" w:right="57" w:firstLine="720"/>
        <w:contextualSpacing/>
        <w:jc w:val="both"/>
        <w:rPr>
          <w:sz w:val="28"/>
          <w:szCs w:val="28"/>
        </w:rPr>
      </w:pPr>
      <w:r>
        <w:rPr>
          <w:sz w:val="28"/>
          <w:szCs w:val="28"/>
        </w:rPr>
        <w:t>Наблюдаваните досъдебни производства срещу непълнолетни обвиняеми лица общо за района на Окръжна прокуратура–Сливен за 2024 г. са 125. В сравнение с предходната година е налице значително увеличение с 43,68%, тъй като през 20</w:t>
      </w:r>
      <w:r>
        <w:rPr>
          <w:sz w:val="28"/>
          <w:szCs w:val="28"/>
          <w:lang w:val="en-US"/>
        </w:rPr>
        <w:t>2</w:t>
      </w:r>
      <w:r>
        <w:rPr>
          <w:sz w:val="28"/>
          <w:szCs w:val="28"/>
        </w:rPr>
        <w:t xml:space="preserve">3 г. техният брой е бил 87, а спрямо 2022 г. когато са били 92 дела, увеличението е със 35,87%. </w:t>
      </w:r>
    </w:p>
    <w:p w:rsidR="004C7835" w:rsidRDefault="004C7835" w:rsidP="004C7835">
      <w:pPr>
        <w:spacing w:line="360" w:lineRule="exact"/>
        <w:ind w:left="57" w:right="57" w:firstLine="720"/>
        <w:contextualSpacing/>
        <w:jc w:val="both"/>
        <w:rPr>
          <w:sz w:val="28"/>
          <w:szCs w:val="28"/>
        </w:rPr>
      </w:pPr>
      <w:r>
        <w:rPr>
          <w:sz w:val="28"/>
          <w:szCs w:val="28"/>
        </w:rPr>
        <w:t>През 2024 г. новообразуваните досъдебни производства са 78 бр., при 53 за 20</w:t>
      </w:r>
      <w:r>
        <w:rPr>
          <w:sz w:val="28"/>
          <w:szCs w:val="28"/>
          <w:lang w:val="en-US"/>
        </w:rPr>
        <w:t>2</w:t>
      </w:r>
      <w:r>
        <w:rPr>
          <w:sz w:val="28"/>
          <w:szCs w:val="28"/>
        </w:rPr>
        <w:t>3 г. и 48 производства за 2022 г. Налице е увеличение, което в процентно съотношение е следното: спрямо 2023 г. увеличението е с 47,17%, а спрямо 2022 г. с 62,5%.</w:t>
      </w:r>
    </w:p>
    <w:p w:rsidR="004C7835" w:rsidRDefault="004C7835" w:rsidP="004C7835">
      <w:pPr>
        <w:spacing w:line="360" w:lineRule="exact"/>
        <w:ind w:left="57" w:right="57" w:firstLine="720"/>
        <w:contextualSpacing/>
        <w:jc w:val="both"/>
        <w:rPr>
          <w:sz w:val="28"/>
          <w:szCs w:val="28"/>
        </w:rPr>
      </w:pPr>
      <w:r>
        <w:rPr>
          <w:sz w:val="28"/>
          <w:szCs w:val="28"/>
        </w:rPr>
        <w:t xml:space="preserve">През отчетния период са наблюдавани 19 досъдебни производства за извършени престъпления против личността, 94 за престъпления против собствеността, по едно досъдебно производство за престъпления против стопанството, против финансовата система, против дейността на държавни органи, против реда и общественото спокойствие и 8 досъдебни производства за извършени </w:t>
      </w:r>
      <w:proofErr w:type="spellStart"/>
      <w:r>
        <w:rPr>
          <w:sz w:val="28"/>
          <w:szCs w:val="28"/>
        </w:rPr>
        <w:t>общоопасни</w:t>
      </w:r>
      <w:proofErr w:type="spellEnd"/>
      <w:r>
        <w:rPr>
          <w:sz w:val="28"/>
          <w:szCs w:val="28"/>
        </w:rPr>
        <w:t xml:space="preserve"> престъпления от непълнолетни </w:t>
      </w:r>
      <w:r>
        <w:rPr>
          <w:sz w:val="28"/>
          <w:szCs w:val="28"/>
        </w:rPr>
        <w:lastRenderedPageBreak/>
        <w:t>обвиняеми лица по глава ХІ , както следва:</w:t>
      </w:r>
    </w:p>
    <w:p w:rsidR="004C7835" w:rsidRDefault="004C7835" w:rsidP="004C7835">
      <w:pPr>
        <w:spacing w:line="360" w:lineRule="exact"/>
        <w:ind w:left="57" w:right="57" w:firstLine="720"/>
        <w:contextualSpacing/>
        <w:jc w:val="both"/>
        <w:rPr>
          <w:sz w:val="28"/>
          <w:szCs w:val="28"/>
        </w:rPr>
      </w:pPr>
    </w:p>
    <w:p w:rsidR="004C7835" w:rsidRDefault="004C7835" w:rsidP="004C7835">
      <w:pPr>
        <w:numPr>
          <w:ilvl w:val="0"/>
          <w:numId w:val="11"/>
        </w:numPr>
        <w:spacing w:line="360" w:lineRule="exact"/>
        <w:ind w:left="2268" w:right="57" w:firstLine="142"/>
        <w:contextualSpacing/>
        <w:jc w:val="both"/>
        <w:rPr>
          <w:sz w:val="28"/>
          <w:szCs w:val="28"/>
        </w:rPr>
      </w:pPr>
      <w:r>
        <w:rPr>
          <w:sz w:val="28"/>
          <w:szCs w:val="28"/>
        </w:rPr>
        <w:t>чл.330 от НК</w:t>
      </w:r>
      <w:r>
        <w:rPr>
          <w:sz w:val="28"/>
          <w:szCs w:val="28"/>
        </w:rPr>
        <w:tab/>
        <w:t xml:space="preserve">  1 ДП</w:t>
      </w:r>
    </w:p>
    <w:p w:rsidR="004C7835" w:rsidRDefault="004C7835" w:rsidP="004C7835">
      <w:pPr>
        <w:numPr>
          <w:ilvl w:val="0"/>
          <w:numId w:val="11"/>
        </w:numPr>
        <w:spacing w:line="360" w:lineRule="exact"/>
        <w:ind w:left="2268" w:right="57" w:firstLine="142"/>
        <w:contextualSpacing/>
        <w:jc w:val="both"/>
        <w:rPr>
          <w:sz w:val="28"/>
          <w:szCs w:val="28"/>
        </w:rPr>
      </w:pPr>
      <w:r>
        <w:rPr>
          <w:sz w:val="28"/>
          <w:szCs w:val="28"/>
        </w:rPr>
        <w:t>чл.345 от НК</w:t>
      </w:r>
      <w:r>
        <w:rPr>
          <w:sz w:val="28"/>
          <w:szCs w:val="28"/>
        </w:rPr>
        <w:tab/>
        <w:t xml:space="preserve">  3 ДП</w:t>
      </w:r>
    </w:p>
    <w:p w:rsidR="004C7835" w:rsidRDefault="004C7835" w:rsidP="004C7835">
      <w:pPr>
        <w:numPr>
          <w:ilvl w:val="0"/>
          <w:numId w:val="11"/>
        </w:numPr>
        <w:spacing w:line="360" w:lineRule="exact"/>
        <w:ind w:left="2268" w:right="57" w:firstLine="142"/>
        <w:contextualSpacing/>
        <w:jc w:val="both"/>
        <w:rPr>
          <w:sz w:val="28"/>
          <w:szCs w:val="28"/>
        </w:rPr>
      </w:pPr>
      <w:r>
        <w:rPr>
          <w:sz w:val="28"/>
          <w:szCs w:val="28"/>
        </w:rPr>
        <w:t>чл.346 от НК        3 ДП</w:t>
      </w:r>
    </w:p>
    <w:p w:rsidR="004C7835" w:rsidRDefault="004C7835" w:rsidP="004C7835">
      <w:pPr>
        <w:numPr>
          <w:ilvl w:val="0"/>
          <w:numId w:val="11"/>
        </w:numPr>
        <w:spacing w:line="360" w:lineRule="exact"/>
        <w:ind w:left="2268" w:right="57" w:firstLine="142"/>
        <w:contextualSpacing/>
        <w:jc w:val="both"/>
        <w:rPr>
          <w:sz w:val="28"/>
          <w:szCs w:val="28"/>
        </w:rPr>
      </w:pPr>
      <w:r>
        <w:rPr>
          <w:sz w:val="28"/>
          <w:szCs w:val="28"/>
        </w:rPr>
        <w:t>чл.354а от НК      1 ДП</w:t>
      </w:r>
    </w:p>
    <w:p w:rsidR="004C7835" w:rsidRDefault="004C7835" w:rsidP="004C7835">
      <w:pPr>
        <w:spacing w:line="360" w:lineRule="exact"/>
        <w:ind w:right="57"/>
        <w:contextualSpacing/>
        <w:jc w:val="both"/>
        <w:rPr>
          <w:sz w:val="28"/>
          <w:szCs w:val="28"/>
        </w:rPr>
      </w:pPr>
    </w:p>
    <w:p w:rsidR="004C7835" w:rsidRDefault="004C7835" w:rsidP="004C7835">
      <w:pPr>
        <w:spacing w:line="360" w:lineRule="exact"/>
        <w:ind w:left="57" w:right="57" w:firstLine="720"/>
        <w:contextualSpacing/>
        <w:jc w:val="both"/>
        <w:rPr>
          <w:sz w:val="28"/>
          <w:szCs w:val="28"/>
        </w:rPr>
      </w:pPr>
      <w:r>
        <w:rPr>
          <w:sz w:val="28"/>
          <w:szCs w:val="28"/>
        </w:rPr>
        <w:t xml:space="preserve">От наблюдаваните общо 125 дела, приключени са 110, а неприключени са останали 11 производства. Процентното съотношение на приключените досъдебни производства спрямо наблюдаваните е 88 %. Всички дела срещу непълнолетни лица са образувани от прокурорите в срок от 30 дни след приключване на работата по преписката. </w:t>
      </w:r>
    </w:p>
    <w:p w:rsidR="00E65C0C" w:rsidRDefault="004C7835" w:rsidP="004C7835">
      <w:pPr>
        <w:spacing w:line="360" w:lineRule="exact"/>
        <w:ind w:left="57" w:right="57" w:firstLine="720"/>
        <w:contextualSpacing/>
        <w:jc w:val="both"/>
        <w:rPr>
          <w:sz w:val="28"/>
          <w:szCs w:val="28"/>
        </w:rPr>
      </w:pPr>
      <w:r>
        <w:rPr>
          <w:sz w:val="28"/>
          <w:szCs w:val="28"/>
        </w:rPr>
        <w:t xml:space="preserve">През 2024 г. са били решени 110 досъдебни производства, </w:t>
      </w:r>
      <w:r w:rsidR="00E65C0C">
        <w:rPr>
          <w:sz w:val="28"/>
          <w:szCs w:val="28"/>
        </w:rPr>
        <w:t>при 73 за 2023 г. и 81 за 2022 г.</w:t>
      </w:r>
      <w:r>
        <w:rPr>
          <w:sz w:val="28"/>
          <w:szCs w:val="28"/>
        </w:rPr>
        <w:t xml:space="preserve"> </w:t>
      </w:r>
      <w:r w:rsidR="00E65C0C">
        <w:rPr>
          <w:sz w:val="28"/>
          <w:szCs w:val="28"/>
        </w:rPr>
        <w:t>П</w:t>
      </w:r>
      <w:r>
        <w:rPr>
          <w:sz w:val="28"/>
          <w:szCs w:val="28"/>
        </w:rPr>
        <w:t xml:space="preserve">рекратени </w:t>
      </w:r>
      <w:r w:rsidR="00E65C0C">
        <w:rPr>
          <w:sz w:val="28"/>
          <w:szCs w:val="28"/>
        </w:rPr>
        <w:t xml:space="preserve">са </w:t>
      </w:r>
      <w:r>
        <w:rPr>
          <w:sz w:val="28"/>
          <w:szCs w:val="28"/>
        </w:rPr>
        <w:t xml:space="preserve">35 досъдебни производства, от </w:t>
      </w:r>
      <w:r w:rsidR="00E65C0C">
        <w:rPr>
          <w:sz w:val="28"/>
          <w:szCs w:val="28"/>
        </w:rPr>
        <w:t>които по чл.61 от НК – 29</w:t>
      </w:r>
      <w:r>
        <w:rPr>
          <w:sz w:val="28"/>
          <w:szCs w:val="28"/>
        </w:rPr>
        <w:t>. Внесените в съдилищата през отчетния период прокурорски актове срещу непълнолетни обвиняеми са общо 64 срещу 93 лица. За сравнение</w:t>
      </w:r>
      <w:r w:rsidR="00E65C0C">
        <w:rPr>
          <w:sz w:val="28"/>
          <w:szCs w:val="28"/>
        </w:rPr>
        <w:t>,</w:t>
      </w:r>
      <w:r>
        <w:rPr>
          <w:sz w:val="28"/>
          <w:szCs w:val="28"/>
        </w:rPr>
        <w:t xml:space="preserve"> през 20</w:t>
      </w:r>
      <w:r>
        <w:rPr>
          <w:sz w:val="28"/>
          <w:szCs w:val="28"/>
          <w:lang w:val="en-US"/>
        </w:rPr>
        <w:t>2</w:t>
      </w:r>
      <w:r>
        <w:rPr>
          <w:sz w:val="28"/>
          <w:szCs w:val="28"/>
        </w:rPr>
        <w:t xml:space="preserve">3 г. са били 58 акта срещу 60 лица, а през 2022 г. са били 66 акта срещу 78 лица. </w:t>
      </w:r>
      <w:r w:rsidR="00E65C0C">
        <w:rPr>
          <w:sz w:val="28"/>
          <w:szCs w:val="28"/>
        </w:rPr>
        <w:t>Отчита се значително увеличаване спрямо предходните две години</w:t>
      </w:r>
      <w:r>
        <w:rPr>
          <w:sz w:val="28"/>
          <w:szCs w:val="28"/>
        </w:rPr>
        <w:t xml:space="preserve"> на решените дела, </w:t>
      </w:r>
      <w:r w:rsidR="00E65C0C">
        <w:rPr>
          <w:sz w:val="28"/>
          <w:szCs w:val="28"/>
        </w:rPr>
        <w:t xml:space="preserve">а по отношение </w:t>
      </w:r>
      <w:r>
        <w:rPr>
          <w:sz w:val="28"/>
          <w:szCs w:val="28"/>
        </w:rPr>
        <w:t>на внесените в съда прокурорски актове</w:t>
      </w:r>
      <w:r w:rsidR="00E65C0C">
        <w:rPr>
          <w:sz w:val="28"/>
          <w:szCs w:val="28"/>
        </w:rPr>
        <w:t xml:space="preserve"> се отчита устойчивост по този показател.</w:t>
      </w:r>
      <w:r>
        <w:rPr>
          <w:sz w:val="28"/>
          <w:szCs w:val="28"/>
        </w:rPr>
        <w:t xml:space="preserve"> Налице е значително увелич</w:t>
      </w:r>
      <w:r w:rsidR="00E65C0C">
        <w:rPr>
          <w:sz w:val="28"/>
          <w:szCs w:val="28"/>
        </w:rPr>
        <w:t>аване</w:t>
      </w:r>
      <w:r>
        <w:rPr>
          <w:sz w:val="28"/>
          <w:szCs w:val="28"/>
        </w:rPr>
        <w:t xml:space="preserve"> и на броя на непълнолетните обвиняеми лица, срещу които са внесени прокурорски актове в съда</w:t>
      </w:r>
      <w:r w:rsidR="00E65C0C">
        <w:rPr>
          <w:sz w:val="28"/>
          <w:szCs w:val="28"/>
        </w:rPr>
        <w:t xml:space="preserve">. </w:t>
      </w:r>
      <w:r>
        <w:rPr>
          <w:sz w:val="28"/>
          <w:szCs w:val="28"/>
        </w:rPr>
        <w:t xml:space="preserve"> </w:t>
      </w:r>
    </w:p>
    <w:p w:rsidR="004C7835" w:rsidRDefault="004C7835" w:rsidP="004C7835">
      <w:pPr>
        <w:spacing w:line="360" w:lineRule="exact"/>
        <w:ind w:left="57" w:right="57" w:firstLine="720"/>
        <w:contextualSpacing/>
        <w:jc w:val="both"/>
        <w:rPr>
          <w:sz w:val="28"/>
          <w:szCs w:val="28"/>
        </w:rPr>
      </w:pPr>
      <w:r>
        <w:rPr>
          <w:sz w:val="28"/>
          <w:szCs w:val="28"/>
        </w:rPr>
        <w:t>През отчетния период са осъдени 87 непълнолетни лица с влязъл в сила съдебен акт. В сравнение с отчетените през 2023 г. - 56 лица и 2022 г. – 70 лица, е налице увеличение на броя на осъдените непълнолетни лица спрямо 2023 г. с 55,36%, а спрямо 2022 г. с 24,29 %.</w:t>
      </w:r>
    </w:p>
    <w:p w:rsidR="004C7835" w:rsidRDefault="004C7835" w:rsidP="004C7835">
      <w:pPr>
        <w:spacing w:line="360" w:lineRule="exact"/>
        <w:ind w:left="57" w:right="57" w:firstLine="720"/>
        <w:contextualSpacing/>
        <w:jc w:val="both"/>
        <w:rPr>
          <w:sz w:val="28"/>
          <w:szCs w:val="28"/>
        </w:rPr>
      </w:pPr>
      <w:r>
        <w:rPr>
          <w:sz w:val="28"/>
          <w:szCs w:val="28"/>
        </w:rPr>
        <w:t>Наложените наказания по видове са както следва:</w:t>
      </w:r>
    </w:p>
    <w:p w:rsidR="004C7835" w:rsidRDefault="004C7835" w:rsidP="004C7835">
      <w:pPr>
        <w:tabs>
          <w:tab w:val="left" w:pos="8505"/>
        </w:tabs>
        <w:spacing w:line="360" w:lineRule="exact"/>
        <w:ind w:left="57" w:right="57"/>
        <w:contextualSpacing/>
        <w:jc w:val="both"/>
        <w:rPr>
          <w:sz w:val="28"/>
          <w:szCs w:val="28"/>
        </w:rPr>
      </w:pPr>
      <w:r>
        <w:rPr>
          <w:sz w:val="28"/>
          <w:szCs w:val="28"/>
        </w:rPr>
        <w:t>- лишаване от свобода – ефективно -  17</w:t>
      </w:r>
    </w:p>
    <w:p w:rsidR="004C7835" w:rsidRDefault="004C7835" w:rsidP="004C7835">
      <w:pPr>
        <w:tabs>
          <w:tab w:val="left" w:pos="8505"/>
        </w:tabs>
        <w:spacing w:line="360" w:lineRule="exact"/>
        <w:ind w:left="57" w:right="57"/>
        <w:contextualSpacing/>
        <w:jc w:val="both"/>
        <w:rPr>
          <w:sz w:val="28"/>
          <w:szCs w:val="28"/>
        </w:rPr>
      </w:pPr>
      <w:r>
        <w:rPr>
          <w:sz w:val="28"/>
          <w:szCs w:val="28"/>
        </w:rPr>
        <w:t>- лишаване от свобода – с приложение на чл.69 вр.чл.66 от НК- 35</w:t>
      </w:r>
    </w:p>
    <w:p w:rsidR="004C7835" w:rsidRDefault="004C7835" w:rsidP="004C7835">
      <w:pPr>
        <w:tabs>
          <w:tab w:val="left" w:pos="8505"/>
        </w:tabs>
        <w:spacing w:line="360" w:lineRule="exact"/>
        <w:ind w:left="57" w:right="57"/>
        <w:contextualSpacing/>
        <w:jc w:val="both"/>
        <w:rPr>
          <w:sz w:val="28"/>
          <w:szCs w:val="28"/>
          <w:lang w:val="en-US"/>
        </w:rPr>
      </w:pPr>
      <w:r>
        <w:rPr>
          <w:sz w:val="28"/>
          <w:szCs w:val="28"/>
        </w:rPr>
        <w:t xml:space="preserve">- обществено порицание и осъдени на </w:t>
      </w:r>
      <w:proofErr w:type="spellStart"/>
      <w:r>
        <w:rPr>
          <w:sz w:val="28"/>
          <w:szCs w:val="28"/>
        </w:rPr>
        <w:t>пробация</w:t>
      </w:r>
      <w:proofErr w:type="spellEnd"/>
      <w:r>
        <w:rPr>
          <w:sz w:val="28"/>
          <w:szCs w:val="28"/>
        </w:rPr>
        <w:t xml:space="preserve"> лица</w:t>
      </w:r>
      <w:r>
        <w:rPr>
          <w:sz w:val="28"/>
          <w:szCs w:val="28"/>
          <w:lang w:val="en-US"/>
        </w:rPr>
        <w:t xml:space="preserve"> </w:t>
      </w:r>
      <w:r>
        <w:rPr>
          <w:sz w:val="28"/>
          <w:szCs w:val="28"/>
        </w:rPr>
        <w:t>над 16</w:t>
      </w:r>
      <w:r w:rsidR="00E65C0C">
        <w:rPr>
          <w:sz w:val="28"/>
          <w:szCs w:val="28"/>
        </w:rPr>
        <w:t xml:space="preserve"> </w:t>
      </w:r>
      <w:r>
        <w:rPr>
          <w:sz w:val="28"/>
          <w:szCs w:val="28"/>
        </w:rPr>
        <w:t xml:space="preserve">години-35 </w:t>
      </w:r>
    </w:p>
    <w:p w:rsidR="004C7835" w:rsidRDefault="004C7835" w:rsidP="004C7835">
      <w:pPr>
        <w:spacing w:line="360" w:lineRule="exact"/>
        <w:ind w:left="57" w:right="57" w:firstLine="720"/>
        <w:contextualSpacing/>
        <w:jc w:val="both"/>
        <w:rPr>
          <w:sz w:val="28"/>
          <w:szCs w:val="28"/>
        </w:rPr>
      </w:pPr>
      <w:r>
        <w:rPr>
          <w:sz w:val="28"/>
          <w:szCs w:val="28"/>
        </w:rPr>
        <w:t>През отчетния период няма постановени оправдателни присъди срещу  непълнолетни обвиняеми лица.</w:t>
      </w:r>
    </w:p>
    <w:p w:rsidR="004C7835" w:rsidRDefault="004C7835" w:rsidP="004C7835">
      <w:pPr>
        <w:spacing w:line="360" w:lineRule="exact"/>
        <w:ind w:left="57" w:right="57" w:firstLine="720"/>
        <w:contextualSpacing/>
        <w:jc w:val="both"/>
        <w:rPr>
          <w:sz w:val="28"/>
          <w:szCs w:val="28"/>
        </w:rPr>
      </w:pPr>
    </w:p>
    <w:p w:rsidR="004C7835" w:rsidRDefault="004C7835" w:rsidP="004C7835">
      <w:pPr>
        <w:spacing w:line="360" w:lineRule="exact"/>
        <w:ind w:left="57" w:right="57" w:firstLine="720"/>
        <w:contextualSpacing/>
        <w:jc w:val="both"/>
        <w:rPr>
          <w:b/>
          <w:sz w:val="28"/>
          <w:szCs w:val="28"/>
        </w:rPr>
      </w:pPr>
      <w:r>
        <w:rPr>
          <w:b/>
          <w:sz w:val="28"/>
          <w:szCs w:val="28"/>
        </w:rPr>
        <w:t>Преписки и досъдебни производства, образувани за полицейско насилие от служители на МВР.</w:t>
      </w:r>
    </w:p>
    <w:p w:rsidR="004C7835" w:rsidRDefault="004C7835" w:rsidP="004C7835">
      <w:pPr>
        <w:spacing w:line="360" w:lineRule="exact"/>
        <w:ind w:left="57" w:right="57" w:firstLine="720"/>
        <w:contextualSpacing/>
        <w:jc w:val="both"/>
        <w:rPr>
          <w:sz w:val="28"/>
          <w:szCs w:val="28"/>
        </w:rPr>
      </w:pPr>
      <w:r>
        <w:rPr>
          <w:sz w:val="28"/>
          <w:szCs w:val="28"/>
        </w:rPr>
        <w:t xml:space="preserve">През отчетният период са наблюдавани </w:t>
      </w:r>
      <w:r>
        <w:rPr>
          <w:sz w:val="28"/>
          <w:szCs w:val="28"/>
          <w:lang w:val="en-US"/>
        </w:rPr>
        <w:t>1</w:t>
      </w:r>
      <w:r>
        <w:rPr>
          <w:sz w:val="28"/>
          <w:szCs w:val="28"/>
        </w:rPr>
        <w:t>4</w:t>
      </w:r>
      <w:r>
        <w:rPr>
          <w:sz w:val="28"/>
          <w:szCs w:val="28"/>
          <w:lang w:val="en-US"/>
        </w:rPr>
        <w:t xml:space="preserve"> </w:t>
      </w:r>
      <w:r>
        <w:rPr>
          <w:sz w:val="28"/>
          <w:szCs w:val="28"/>
        </w:rPr>
        <w:t>преписки, като</w:t>
      </w:r>
      <w:r>
        <w:rPr>
          <w:sz w:val="28"/>
          <w:szCs w:val="28"/>
          <w:lang w:val="en-US"/>
        </w:rPr>
        <w:t xml:space="preserve"> </w:t>
      </w:r>
      <w:r>
        <w:rPr>
          <w:sz w:val="28"/>
          <w:szCs w:val="28"/>
        </w:rPr>
        <w:t>3</w:t>
      </w:r>
      <w:r>
        <w:rPr>
          <w:sz w:val="28"/>
          <w:szCs w:val="28"/>
          <w:lang w:val="en-US"/>
        </w:rPr>
        <w:t xml:space="preserve"> </w:t>
      </w:r>
      <w:r>
        <w:rPr>
          <w:sz w:val="28"/>
          <w:szCs w:val="28"/>
        </w:rPr>
        <w:t>от тях са образувани в предходен период, а 11 са новообразувани. Решените</w:t>
      </w:r>
      <w:r>
        <w:rPr>
          <w:sz w:val="28"/>
          <w:szCs w:val="28"/>
          <w:lang w:val="en-US"/>
        </w:rPr>
        <w:t xml:space="preserve"> </w:t>
      </w:r>
      <w:r>
        <w:rPr>
          <w:sz w:val="28"/>
          <w:szCs w:val="28"/>
        </w:rPr>
        <w:t>през 2024 г.</w:t>
      </w:r>
      <w:r>
        <w:rPr>
          <w:sz w:val="28"/>
          <w:szCs w:val="28"/>
          <w:lang w:val="en-US"/>
        </w:rPr>
        <w:t xml:space="preserve"> </w:t>
      </w:r>
      <w:r>
        <w:rPr>
          <w:sz w:val="28"/>
          <w:szCs w:val="28"/>
        </w:rPr>
        <w:t xml:space="preserve">преписки са 12. За сравнение през 2023 г. са били наблюдавани 19 </w:t>
      </w:r>
      <w:r>
        <w:rPr>
          <w:sz w:val="28"/>
          <w:szCs w:val="28"/>
        </w:rPr>
        <w:lastRenderedPageBreak/>
        <w:t>преписки, от които 16 решени, а за 20</w:t>
      </w:r>
      <w:r>
        <w:rPr>
          <w:sz w:val="28"/>
          <w:szCs w:val="28"/>
          <w:lang w:val="en-US"/>
        </w:rPr>
        <w:t>2</w:t>
      </w:r>
      <w:r>
        <w:rPr>
          <w:sz w:val="28"/>
          <w:szCs w:val="28"/>
        </w:rPr>
        <w:t>2</w:t>
      </w:r>
      <w:r>
        <w:rPr>
          <w:sz w:val="28"/>
          <w:szCs w:val="28"/>
          <w:lang w:val="en-US"/>
        </w:rPr>
        <w:t xml:space="preserve"> </w:t>
      </w:r>
      <w:r>
        <w:rPr>
          <w:sz w:val="28"/>
          <w:szCs w:val="28"/>
        </w:rPr>
        <w:t xml:space="preserve">г. - 15 наблюдавани преписки и 11 решени. </w:t>
      </w:r>
      <w:r w:rsidR="00E65C0C">
        <w:rPr>
          <w:sz w:val="28"/>
          <w:szCs w:val="28"/>
        </w:rPr>
        <w:t>Отчита</w:t>
      </w:r>
      <w:r>
        <w:rPr>
          <w:sz w:val="28"/>
          <w:szCs w:val="28"/>
        </w:rPr>
        <w:t xml:space="preserve"> се намаление в сравнение с предходната година с 26,32% </w:t>
      </w:r>
      <w:r w:rsidR="001E6789">
        <w:rPr>
          <w:sz w:val="28"/>
          <w:szCs w:val="28"/>
        </w:rPr>
        <w:t>на</w:t>
      </w:r>
      <w:r>
        <w:rPr>
          <w:sz w:val="28"/>
          <w:szCs w:val="28"/>
        </w:rPr>
        <w:t xml:space="preserve"> наблюдаваните и </w:t>
      </w:r>
      <w:r w:rsidR="001E6789">
        <w:rPr>
          <w:sz w:val="28"/>
          <w:szCs w:val="28"/>
        </w:rPr>
        <w:t xml:space="preserve">с </w:t>
      </w:r>
      <w:r>
        <w:rPr>
          <w:sz w:val="28"/>
          <w:szCs w:val="28"/>
        </w:rPr>
        <w:t xml:space="preserve">25% </w:t>
      </w:r>
      <w:r w:rsidR="001E6789">
        <w:rPr>
          <w:sz w:val="28"/>
          <w:szCs w:val="28"/>
        </w:rPr>
        <w:t>на</w:t>
      </w:r>
      <w:r>
        <w:rPr>
          <w:sz w:val="28"/>
          <w:szCs w:val="28"/>
        </w:rPr>
        <w:t xml:space="preserve"> решените преписки. Спрямо 2022</w:t>
      </w:r>
      <w:r w:rsidR="001E6789">
        <w:rPr>
          <w:sz w:val="28"/>
          <w:szCs w:val="28"/>
        </w:rPr>
        <w:t xml:space="preserve"> </w:t>
      </w:r>
      <w:r>
        <w:rPr>
          <w:sz w:val="28"/>
          <w:szCs w:val="28"/>
        </w:rPr>
        <w:t xml:space="preserve">г. </w:t>
      </w:r>
      <w:r w:rsidR="001E6789">
        <w:rPr>
          <w:sz w:val="28"/>
          <w:szCs w:val="28"/>
        </w:rPr>
        <w:t>се отчита</w:t>
      </w:r>
      <w:r>
        <w:rPr>
          <w:sz w:val="28"/>
          <w:szCs w:val="28"/>
        </w:rPr>
        <w:t xml:space="preserve"> минимално намаление с </w:t>
      </w:r>
      <w:r w:rsidR="001E6789">
        <w:rPr>
          <w:sz w:val="28"/>
          <w:szCs w:val="28"/>
        </w:rPr>
        <w:t>6,67</w:t>
      </w:r>
      <w:r>
        <w:rPr>
          <w:sz w:val="28"/>
          <w:szCs w:val="28"/>
        </w:rPr>
        <w:t>% за наблюдаваните</w:t>
      </w:r>
      <w:r w:rsidR="001E6789">
        <w:rPr>
          <w:sz w:val="28"/>
          <w:szCs w:val="28"/>
        </w:rPr>
        <w:t xml:space="preserve"> преписки, а по отношение на решените се отчита увеличение с 9,09%</w:t>
      </w:r>
      <w:r>
        <w:rPr>
          <w:sz w:val="28"/>
          <w:szCs w:val="28"/>
        </w:rPr>
        <w:t xml:space="preserve">. </w:t>
      </w:r>
    </w:p>
    <w:p w:rsidR="004C7835" w:rsidRDefault="004C7835" w:rsidP="004C7835">
      <w:pPr>
        <w:spacing w:line="360" w:lineRule="exact"/>
        <w:ind w:left="57" w:right="57" w:firstLine="720"/>
        <w:contextualSpacing/>
        <w:jc w:val="both"/>
        <w:rPr>
          <w:sz w:val="28"/>
          <w:szCs w:val="28"/>
        </w:rPr>
      </w:pPr>
      <w:r>
        <w:rPr>
          <w:sz w:val="28"/>
          <w:szCs w:val="28"/>
        </w:rPr>
        <w:t>През периода е наблюдавано 1 досъдебно производство, образувано през предходния отчетен период. Решено е едно ДП с внесено и одобрено от съда споразумение за решаване на делото спрямо едно лице.</w:t>
      </w:r>
    </w:p>
    <w:p w:rsidR="004C7835" w:rsidRDefault="004C7835" w:rsidP="004C7835">
      <w:pPr>
        <w:spacing w:line="360" w:lineRule="exact"/>
        <w:ind w:left="57" w:right="57" w:firstLine="720"/>
        <w:contextualSpacing/>
        <w:jc w:val="both"/>
        <w:rPr>
          <w:sz w:val="28"/>
          <w:szCs w:val="28"/>
          <w:lang w:val="en-US"/>
        </w:rPr>
      </w:pPr>
      <w:r>
        <w:rPr>
          <w:sz w:val="28"/>
          <w:szCs w:val="28"/>
        </w:rPr>
        <w:t>Всички наблюдавани преписки и досъдебни производства от тази категория са за престъпление по чл.131, ал.1, т.2 от НК.</w:t>
      </w:r>
    </w:p>
    <w:p w:rsidR="00610A0D" w:rsidRPr="00610A0D" w:rsidRDefault="00610A0D" w:rsidP="004C7835">
      <w:pPr>
        <w:spacing w:line="360" w:lineRule="exact"/>
        <w:ind w:left="57" w:right="57" w:firstLine="720"/>
        <w:contextualSpacing/>
        <w:jc w:val="both"/>
        <w:rPr>
          <w:sz w:val="28"/>
          <w:szCs w:val="28"/>
          <w:lang w:val="en-US"/>
        </w:rPr>
      </w:pPr>
    </w:p>
    <w:p w:rsidR="004C7835" w:rsidRDefault="004C7835" w:rsidP="004C7835">
      <w:pPr>
        <w:spacing w:line="360" w:lineRule="exact"/>
        <w:ind w:left="57" w:right="57" w:firstLine="720"/>
        <w:contextualSpacing/>
        <w:jc w:val="both"/>
        <w:rPr>
          <w:b/>
          <w:sz w:val="28"/>
          <w:szCs w:val="28"/>
        </w:rPr>
      </w:pPr>
      <w:r>
        <w:rPr>
          <w:b/>
          <w:sz w:val="28"/>
          <w:szCs w:val="28"/>
        </w:rPr>
        <w:t>Преписки и досъдебни производства, образувани за насилие от служители в местата за лишаване от свобода и задържане под стража.</w:t>
      </w:r>
    </w:p>
    <w:p w:rsidR="004C7835" w:rsidRDefault="004C7835" w:rsidP="004C7835">
      <w:pPr>
        <w:spacing w:line="360" w:lineRule="exact"/>
        <w:ind w:left="57" w:right="57" w:firstLine="720"/>
        <w:contextualSpacing/>
        <w:jc w:val="both"/>
        <w:rPr>
          <w:sz w:val="28"/>
          <w:szCs w:val="28"/>
        </w:rPr>
      </w:pPr>
      <w:r>
        <w:rPr>
          <w:sz w:val="28"/>
          <w:szCs w:val="28"/>
        </w:rPr>
        <w:t>През 2024 г. няма наблюдавани преписки и досъдебни производства,</w:t>
      </w:r>
      <w:r>
        <w:rPr>
          <w:b/>
          <w:sz w:val="28"/>
          <w:szCs w:val="28"/>
        </w:rPr>
        <w:t xml:space="preserve"> </w:t>
      </w:r>
      <w:r>
        <w:rPr>
          <w:sz w:val="28"/>
          <w:szCs w:val="28"/>
        </w:rPr>
        <w:t xml:space="preserve">образувани за насилие от служители в местата за лишаване от свобода и задържане под стража. За сравнение през 2023 г. са наблюдавани и решени 2 преписки, а през 2022 г. няма наблюдавани преписки и дела от тази категория. </w:t>
      </w:r>
    </w:p>
    <w:p w:rsidR="004C7835" w:rsidRDefault="004C7835" w:rsidP="004C7835">
      <w:pPr>
        <w:rPr>
          <w:lang w:val="en-US"/>
        </w:rPr>
      </w:pPr>
    </w:p>
    <w:p w:rsidR="00423FD4" w:rsidRDefault="00423FD4" w:rsidP="00423FD4">
      <w:pPr>
        <w:spacing w:line="360" w:lineRule="exact"/>
        <w:ind w:left="57" w:right="57" w:firstLine="720"/>
        <w:contextualSpacing/>
        <w:jc w:val="both"/>
        <w:rPr>
          <w:b/>
          <w:sz w:val="28"/>
          <w:szCs w:val="28"/>
        </w:rPr>
      </w:pPr>
      <w:r w:rsidRPr="004C7835">
        <w:rPr>
          <w:b/>
          <w:sz w:val="28"/>
          <w:szCs w:val="28"/>
        </w:rPr>
        <w:t>Преписки и досъдебни производства, образувани за</w:t>
      </w:r>
      <w:r>
        <w:rPr>
          <w:b/>
          <w:sz w:val="28"/>
          <w:szCs w:val="28"/>
        </w:rPr>
        <w:t xml:space="preserve"> престъпления, съставляващи домашно насилие.</w:t>
      </w:r>
    </w:p>
    <w:p w:rsidR="00423FD4" w:rsidRDefault="00423FD4" w:rsidP="00423FD4">
      <w:pPr>
        <w:ind w:left="57" w:right="57" w:firstLine="720"/>
        <w:contextualSpacing/>
        <w:jc w:val="both"/>
        <w:rPr>
          <w:sz w:val="28"/>
          <w:szCs w:val="28"/>
        </w:rPr>
      </w:pPr>
      <w:r>
        <w:rPr>
          <w:sz w:val="28"/>
          <w:szCs w:val="28"/>
        </w:rPr>
        <w:t>През отчетн</w:t>
      </w:r>
      <w:r w:rsidR="001E6789">
        <w:rPr>
          <w:sz w:val="28"/>
          <w:szCs w:val="28"/>
        </w:rPr>
        <w:t>ата</w:t>
      </w:r>
      <w:r>
        <w:rPr>
          <w:sz w:val="28"/>
          <w:szCs w:val="28"/>
        </w:rPr>
        <w:t xml:space="preserve"> 2024 г. са наблюдавани 32</w:t>
      </w:r>
      <w:r>
        <w:rPr>
          <w:sz w:val="28"/>
          <w:szCs w:val="28"/>
          <w:lang w:val="en-US"/>
        </w:rPr>
        <w:t xml:space="preserve"> </w:t>
      </w:r>
      <w:r>
        <w:rPr>
          <w:sz w:val="28"/>
          <w:szCs w:val="28"/>
        </w:rPr>
        <w:t>преписки, като</w:t>
      </w:r>
      <w:r>
        <w:rPr>
          <w:sz w:val="28"/>
          <w:szCs w:val="28"/>
          <w:lang w:val="en-US"/>
        </w:rPr>
        <w:t xml:space="preserve"> </w:t>
      </w:r>
      <w:r>
        <w:rPr>
          <w:sz w:val="28"/>
          <w:szCs w:val="28"/>
        </w:rPr>
        <w:t>30 са новообразувани. Решени са</w:t>
      </w:r>
      <w:r>
        <w:rPr>
          <w:sz w:val="28"/>
          <w:szCs w:val="28"/>
          <w:lang w:val="en-US"/>
        </w:rPr>
        <w:t xml:space="preserve"> </w:t>
      </w:r>
      <w:r>
        <w:rPr>
          <w:sz w:val="28"/>
          <w:szCs w:val="28"/>
        </w:rPr>
        <w:t>32 преписки</w:t>
      </w:r>
      <w:r>
        <w:rPr>
          <w:sz w:val="28"/>
          <w:szCs w:val="28"/>
          <w:lang w:val="en-US"/>
        </w:rPr>
        <w:t>.</w:t>
      </w:r>
      <w:r>
        <w:rPr>
          <w:sz w:val="28"/>
          <w:szCs w:val="28"/>
        </w:rPr>
        <w:t xml:space="preserve"> За сравнение през 2023 г. са били наблюдавани 65 преписки, а през 2022г. са били наблюдавани 22 преписки. Наблюдава се значително намаление спрямо 2023 г. – с </w:t>
      </w:r>
      <w:r w:rsidR="00D91441">
        <w:rPr>
          <w:sz w:val="28"/>
          <w:szCs w:val="28"/>
        </w:rPr>
        <w:t>50,77</w:t>
      </w:r>
      <w:r>
        <w:rPr>
          <w:sz w:val="28"/>
          <w:szCs w:val="28"/>
        </w:rPr>
        <w:t xml:space="preserve"> % и увеличение по отношение данните за 2022 г. – с </w:t>
      </w:r>
      <w:r w:rsidR="00D91441">
        <w:rPr>
          <w:sz w:val="28"/>
          <w:szCs w:val="28"/>
        </w:rPr>
        <w:t>45,</w:t>
      </w:r>
      <w:proofErr w:type="spellStart"/>
      <w:r w:rsidR="00D91441">
        <w:rPr>
          <w:sz w:val="28"/>
          <w:szCs w:val="28"/>
        </w:rPr>
        <w:t>45</w:t>
      </w:r>
      <w:proofErr w:type="spellEnd"/>
      <w:r>
        <w:rPr>
          <w:sz w:val="28"/>
          <w:szCs w:val="28"/>
        </w:rPr>
        <w:t xml:space="preserve"> % </w:t>
      </w:r>
      <w:bookmarkStart w:id="17" w:name="OLE_LINK31"/>
    </w:p>
    <w:bookmarkEnd w:id="17"/>
    <w:p w:rsidR="00423FD4" w:rsidRDefault="00423FD4" w:rsidP="00423FD4">
      <w:pPr>
        <w:spacing w:line="360" w:lineRule="exact"/>
        <w:ind w:left="57" w:right="57"/>
        <w:contextualSpacing/>
        <w:jc w:val="both"/>
        <w:rPr>
          <w:sz w:val="28"/>
          <w:szCs w:val="28"/>
        </w:rPr>
      </w:pPr>
      <w:r>
        <w:rPr>
          <w:sz w:val="28"/>
          <w:szCs w:val="28"/>
        </w:rPr>
        <w:t xml:space="preserve">          През периода са наблюдавани 139 досъдебни производства, от които 99 са новообразувани. </w:t>
      </w:r>
    </w:p>
    <w:p w:rsidR="00423FD4" w:rsidRDefault="00423FD4" w:rsidP="00423FD4">
      <w:pPr>
        <w:spacing w:line="360" w:lineRule="exact"/>
        <w:ind w:left="57" w:right="57" w:firstLine="720"/>
        <w:contextualSpacing/>
        <w:jc w:val="both"/>
        <w:rPr>
          <w:sz w:val="28"/>
          <w:szCs w:val="28"/>
        </w:rPr>
      </w:pPr>
      <w:r>
        <w:rPr>
          <w:sz w:val="28"/>
          <w:szCs w:val="28"/>
        </w:rPr>
        <w:t xml:space="preserve">Пострадали по новообразуваните производства са 102 лица, от които и 6 мъже. </w:t>
      </w:r>
    </w:p>
    <w:p w:rsidR="00423FD4" w:rsidRDefault="00423FD4" w:rsidP="00423FD4">
      <w:pPr>
        <w:spacing w:line="360" w:lineRule="exact"/>
        <w:ind w:left="57" w:right="57" w:firstLine="720"/>
        <w:contextualSpacing/>
        <w:jc w:val="both"/>
        <w:rPr>
          <w:sz w:val="28"/>
          <w:szCs w:val="28"/>
        </w:rPr>
      </w:pPr>
      <w:r>
        <w:rPr>
          <w:sz w:val="28"/>
          <w:szCs w:val="28"/>
        </w:rPr>
        <w:t>Решени са 103 ДП, 8 от които с постановление за спиране</w:t>
      </w:r>
      <w:r w:rsidR="00D91441">
        <w:rPr>
          <w:sz w:val="28"/>
          <w:szCs w:val="28"/>
        </w:rPr>
        <w:t xml:space="preserve">, а </w:t>
      </w:r>
      <w:r>
        <w:rPr>
          <w:sz w:val="28"/>
          <w:szCs w:val="28"/>
        </w:rPr>
        <w:t xml:space="preserve">63 ДП са прекратени.  Прокурорите от Районна прокуратура Сливен са внесли в съда 31 акта, от които 15 обвинителни акта, 10 споразумения и 6 постановления по чл. 78а НК. </w:t>
      </w:r>
    </w:p>
    <w:p w:rsidR="00423FD4" w:rsidRDefault="00423FD4" w:rsidP="00423FD4">
      <w:pPr>
        <w:spacing w:line="360" w:lineRule="exact"/>
        <w:ind w:left="57" w:right="57" w:firstLine="720"/>
        <w:contextualSpacing/>
        <w:jc w:val="both"/>
        <w:rPr>
          <w:sz w:val="28"/>
          <w:szCs w:val="28"/>
        </w:rPr>
      </w:pPr>
      <w:r>
        <w:rPr>
          <w:sz w:val="28"/>
          <w:szCs w:val="28"/>
        </w:rPr>
        <w:t>Осъдени с влязъл в  сила съдебен акт са 31 лица, като на 11 лица е  наложено ефективно наказание „лишаване от свобода“.</w:t>
      </w:r>
    </w:p>
    <w:p w:rsidR="00423FD4" w:rsidRDefault="00423FD4" w:rsidP="00423FD4">
      <w:pPr>
        <w:spacing w:line="360" w:lineRule="exact"/>
        <w:ind w:left="57" w:right="57" w:firstLine="720"/>
        <w:contextualSpacing/>
        <w:jc w:val="both"/>
        <w:rPr>
          <w:sz w:val="28"/>
          <w:szCs w:val="28"/>
          <w:lang w:val="en-US"/>
        </w:rPr>
      </w:pPr>
      <w:r>
        <w:rPr>
          <w:sz w:val="28"/>
          <w:szCs w:val="28"/>
        </w:rPr>
        <w:t>По-голямата част от наблюдаваните преписки и досъдебни производства от тази категория са за престъпление по чл.131, ал.1, т.5а и чл.144, ал.3 от НК.</w:t>
      </w:r>
    </w:p>
    <w:p w:rsidR="00423FD4" w:rsidRDefault="00423FD4" w:rsidP="00423FD4">
      <w:pPr>
        <w:spacing w:line="360" w:lineRule="exact"/>
        <w:ind w:left="57" w:right="57" w:firstLine="720"/>
        <w:contextualSpacing/>
        <w:jc w:val="both"/>
        <w:rPr>
          <w:b/>
          <w:sz w:val="28"/>
          <w:szCs w:val="28"/>
          <w:lang w:val="en-US"/>
        </w:rPr>
      </w:pPr>
    </w:p>
    <w:p w:rsidR="00423FD4" w:rsidRDefault="00423FD4" w:rsidP="00423FD4">
      <w:pPr>
        <w:spacing w:line="360" w:lineRule="exact"/>
        <w:ind w:left="57" w:right="57" w:firstLine="720"/>
        <w:contextualSpacing/>
        <w:jc w:val="both"/>
        <w:rPr>
          <w:b/>
          <w:sz w:val="28"/>
          <w:szCs w:val="28"/>
          <w:lang w:val="en-US"/>
        </w:rPr>
      </w:pPr>
      <w:r w:rsidRPr="00D33724">
        <w:rPr>
          <w:b/>
          <w:sz w:val="28"/>
          <w:szCs w:val="28"/>
        </w:rPr>
        <w:t>Преписки и досъдебни производства,</w:t>
      </w:r>
      <w:r w:rsidRPr="00D33724">
        <w:rPr>
          <w:b/>
          <w:sz w:val="28"/>
          <w:szCs w:val="28"/>
          <w:lang w:val="en-US"/>
        </w:rPr>
        <w:t xml:space="preserve"> </w:t>
      </w:r>
      <w:r w:rsidRPr="00D33724">
        <w:rPr>
          <w:b/>
          <w:sz w:val="28"/>
          <w:szCs w:val="28"/>
        </w:rPr>
        <w:t>образувани за</w:t>
      </w:r>
      <w:r>
        <w:rPr>
          <w:b/>
          <w:sz w:val="28"/>
          <w:szCs w:val="28"/>
        </w:rPr>
        <w:t xml:space="preserve"> престъпления с дискриминационен елемент, включително от омраза</w:t>
      </w:r>
      <w:r>
        <w:rPr>
          <w:b/>
          <w:sz w:val="28"/>
          <w:szCs w:val="28"/>
          <w:lang w:val="en-US"/>
        </w:rPr>
        <w:t>.</w:t>
      </w:r>
    </w:p>
    <w:p w:rsidR="00423FD4" w:rsidRDefault="00D33724" w:rsidP="00423FD4">
      <w:pPr>
        <w:spacing w:line="360" w:lineRule="exact"/>
        <w:ind w:left="57" w:right="57" w:firstLine="720"/>
        <w:contextualSpacing/>
        <w:jc w:val="both"/>
        <w:rPr>
          <w:sz w:val="28"/>
          <w:szCs w:val="28"/>
        </w:rPr>
      </w:pPr>
      <w:r>
        <w:rPr>
          <w:sz w:val="28"/>
          <w:szCs w:val="28"/>
        </w:rPr>
        <w:t>През 2024</w:t>
      </w:r>
      <w:r w:rsidR="008970BA">
        <w:rPr>
          <w:sz w:val="28"/>
          <w:szCs w:val="28"/>
        </w:rPr>
        <w:t xml:space="preserve"> г. прокурорите</w:t>
      </w:r>
      <w:r>
        <w:rPr>
          <w:sz w:val="28"/>
          <w:szCs w:val="28"/>
        </w:rPr>
        <w:t xml:space="preserve"> от системата на Окръжна прокуратура – Сливен са наблюдавали една новообразувана преписка</w:t>
      </w:r>
      <w:r w:rsidR="008970BA">
        <w:rPr>
          <w:sz w:val="28"/>
          <w:szCs w:val="28"/>
        </w:rPr>
        <w:t>, която е решена с образуване на ДП. За периода за наблюдавали и образували 2 досъдебни производства по чл.164 ал.2 от НК.</w:t>
      </w:r>
    </w:p>
    <w:p w:rsidR="008970BA" w:rsidRPr="00423FD4" w:rsidRDefault="008970BA" w:rsidP="00423FD4">
      <w:pPr>
        <w:spacing w:line="360" w:lineRule="exact"/>
        <w:ind w:left="57" w:right="57" w:firstLine="720"/>
        <w:contextualSpacing/>
        <w:jc w:val="both"/>
        <w:rPr>
          <w:sz w:val="28"/>
          <w:szCs w:val="28"/>
          <w:lang w:val="en-US"/>
        </w:rPr>
      </w:pPr>
      <w:r>
        <w:rPr>
          <w:sz w:val="28"/>
          <w:szCs w:val="28"/>
        </w:rPr>
        <w:t>През предходн</w:t>
      </w:r>
      <w:r w:rsidR="00A20494">
        <w:rPr>
          <w:sz w:val="28"/>
          <w:szCs w:val="28"/>
        </w:rPr>
        <w:t>и</w:t>
      </w:r>
      <w:r>
        <w:rPr>
          <w:sz w:val="28"/>
          <w:szCs w:val="28"/>
        </w:rPr>
        <w:t>т</w:t>
      </w:r>
      <w:r w:rsidR="00A20494">
        <w:rPr>
          <w:sz w:val="28"/>
          <w:szCs w:val="28"/>
        </w:rPr>
        <w:t>е</w:t>
      </w:r>
      <w:r>
        <w:rPr>
          <w:sz w:val="28"/>
          <w:szCs w:val="28"/>
        </w:rPr>
        <w:t xml:space="preserve"> годин</w:t>
      </w:r>
      <w:r w:rsidR="00A20494">
        <w:rPr>
          <w:sz w:val="28"/>
          <w:szCs w:val="28"/>
        </w:rPr>
        <w:t>и</w:t>
      </w:r>
      <w:r>
        <w:rPr>
          <w:sz w:val="28"/>
          <w:szCs w:val="28"/>
        </w:rPr>
        <w:t xml:space="preserve"> няма наблюдавани преписки и </w:t>
      </w:r>
      <w:r w:rsidR="001E6789">
        <w:rPr>
          <w:sz w:val="28"/>
          <w:szCs w:val="28"/>
        </w:rPr>
        <w:t>досъдебни производства от тази категория</w:t>
      </w:r>
      <w:r>
        <w:rPr>
          <w:sz w:val="28"/>
          <w:szCs w:val="28"/>
        </w:rPr>
        <w:t>.</w:t>
      </w:r>
    </w:p>
    <w:p w:rsidR="00D33724" w:rsidRDefault="00D33724" w:rsidP="00580E47">
      <w:pPr>
        <w:widowControl/>
        <w:autoSpaceDE/>
        <w:adjustRightInd/>
        <w:spacing w:after="120" w:line="340" w:lineRule="atLeast"/>
        <w:ind w:left="57" w:right="57" w:firstLine="720"/>
        <w:contextualSpacing/>
        <w:jc w:val="center"/>
        <w:rPr>
          <w:b/>
          <w:sz w:val="28"/>
          <w:szCs w:val="28"/>
          <w:lang w:val="be-BY"/>
        </w:rPr>
      </w:pPr>
      <w:bookmarkStart w:id="18" w:name="OLE_LINK14"/>
      <w:bookmarkStart w:id="19" w:name="OLE_LINK20"/>
    </w:p>
    <w:bookmarkEnd w:id="18"/>
    <w:bookmarkEnd w:id="19"/>
    <w:p w:rsidR="008D3C23" w:rsidRDefault="001E5557" w:rsidP="008D3C23">
      <w:pPr>
        <w:spacing w:after="120" w:line="360" w:lineRule="exact"/>
        <w:jc w:val="center"/>
        <w:rPr>
          <w:b/>
          <w:sz w:val="28"/>
          <w:szCs w:val="28"/>
        </w:rPr>
      </w:pPr>
      <w:r>
        <w:rPr>
          <w:b/>
          <w:sz w:val="28"/>
          <w:szCs w:val="28"/>
          <w:lang w:val="be-BY"/>
        </w:rPr>
        <w:t>ІV.</w:t>
      </w:r>
      <w:r w:rsidR="008D3C23" w:rsidRPr="008D3C23">
        <w:rPr>
          <w:b/>
          <w:sz w:val="28"/>
          <w:szCs w:val="28"/>
        </w:rPr>
        <w:t xml:space="preserve"> </w:t>
      </w:r>
      <w:r w:rsidR="008D3C23">
        <w:rPr>
          <w:b/>
          <w:sz w:val="28"/>
          <w:szCs w:val="28"/>
        </w:rPr>
        <w:t>ДЕЙНОСТ ПО АДМИНИСТРАТИВНОСЪДЕБНИЯ НАДЗОР</w:t>
      </w:r>
    </w:p>
    <w:p w:rsidR="008D3C23" w:rsidRDefault="008D3C23" w:rsidP="008D3C23">
      <w:pPr>
        <w:spacing w:after="120" w:line="360" w:lineRule="exact"/>
        <w:jc w:val="center"/>
        <w:rPr>
          <w:b/>
          <w:sz w:val="28"/>
          <w:szCs w:val="28"/>
        </w:rPr>
      </w:pPr>
      <w:r>
        <w:rPr>
          <w:b/>
          <w:sz w:val="28"/>
          <w:szCs w:val="28"/>
        </w:rPr>
        <w:t>И НАДЗОРА ЗА ЗАКОННОСТ</w:t>
      </w:r>
    </w:p>
    <w:p w:rsidR="008D3C23" w:rsidRDefault="008D3C23" w:rsidP="008D3C23">
      <w:pPr>
        <w:spacing w:after="120" w:line="360" w:lineRule="exact"/>
        <w:ind w:firstLine="720"/>
        <w:jc w:val="both"/>
        <w:rPr>
          <w:sz w:val="28"/>
          <w:szCs w:val="28"/>
        </w:rPr>
      </w:pPr>
      <w:r>
        <w:rPr>
          <w:sz w:val="28"/>
          <w:szCs w:val="28"/>
        </w:rPr>
        <w:t xml:space="preserve">През отчетната 2024 г. обезпечаването на двата вида административен надзор в Окръжна прокуратура – Сливен и Районна прокуратура Сливен е осъществяван от шестима прокурори, реално работили от които четирима прокурори.  </w:t>
      </w:r>
    </w:p>
    <w:p w:rsidR="008D3C23" w:rsidRDefault="008D3C23" w:rsidP="008D3C23">
      <w:pPr>
        <w:spacing w:after="120" w:line="360" w:lineRule="exact"/>
        <w:ind w:firstLine="720"/>
        <w:jc w:val="both"/>
        <w:rPr>
          <w:sz w:val="28"/>
          <w:szCs w:val="28"/>
        </w:rPr>
      </w:pPr>
      <w:r>
        <w:rPr>
          <w:sz w:val="28"/>
          <w:szCs w:val="28"/>
        </w:rPr>
        <w:t xml:space="preserve">Извършените проверки през периода са общо 206, при 182 за 2023 г., като са проверени 2711 административни акта, при 3107 броя за 2023 г. </w:t>
      </w:r>
    </w:p>
    <w:p w:rsidR="008D3C23" w:rsidRDefault="008D3C23" w:rsidP="008D3C23">
      <w:pPr>
        <w:spacing w:after="120" w:line="360" w:lineRule="exact"/>
        <w:ind w:firstLine="720"/>
        <w:jc w:val="both"/>
        <w:rPr>
          <w:sz w:val="28"/>
          <w:szCs w:val="28"/>
        </w:rPr>
      </w:pPr>
      <w:r>
        <w:rPr>
          <w:sz w:val="28"/>
          <w:szCs w:val="28"/>
        </w:rPr>
        <w:t xml:space="preserve">Прокурорите са взели участие по 237 административни дела, в 261 съдебни заседания. </w:t>
      </w:r>
    </w:p>
    <w:p w:rsidR="008D3C23" w:rsidRDefault="008D3C23" w:rsidP="008D3C23">
      <w:pPr>
        <w:spacing w:after="120" w:line="360" w:lineRule="exact"/>
        <w:ind w:firstLine="720"/>
        <w:jc w:val="both"/>
        <w:rPr>
          <w:b/>
          <w:sz w:val="28"/>
          <w:szCs w:val="28"/>
        </w:rPr>
      </w:pPr>
      <w:r>
        <w:rPr>
          <w:b/>
          <w:sz w:val="28"/>
          <w:szCs w:val="28"/>
        </w:rPr>
        <w:t>1. Дейност по административно-съдебния надзор</w:t>
      </w:r>
    </w:p>
    <w:p w:rsidR="008D3C23" w:rsidRDefault="008D3C23" w:rsidP="008D3C23">
      <w:pPr>
        <w:spacing w:line="360" w:lineRule="exact"/>
        <w:ind w:firstLine="720"/>
        <w:jc w:val="both"/>
        <w:rPr>
          <w:sz w:val="28"/>
          <w:szCs w:val="28"/>
        </w:rPr>
      </w:pPr>
      <w:r>
        <w:rPr>
          <w:sz w:val="28"/>
          <w:szCs w:val="28"/>
        </w:rPr>
        <w:t>През отчетната 2024 г. прокурорите от административния отдел на Окръжна прокуратура – Сливен са взели участие по общо 237  административни дела, при  216  участия в административни дела през 2023 г. и 302 за 20</w:t>
      </w:r>
      <w:r>
        <w:rPr>
          <w:sz w:val="28"/>
          <w:szCs w:val="28"/>
          <w:lang w:val="en-US"/>
        </w:rPr>
        <w:t>2</w:t>
      </w:r>
      <w:r>
        <w:rPr>
          <w:sz w:val="28"/>
          <w:szCs w:val="28"/>
        </w:rPr>
        <w:t xml:space="preserve">2 г. Видно е, че през 2024г.  е налице   увеличаване на делата с </w:t>
      </w:r>
      <w:r>
        <w:rPr>
          <w:sz w:val="28"/>
          <w:szCs w:val="28"/>
          <w:lang w:val="en-US"/>
        </w:rPr>
        <w:t>9,72</w:t>
      </w:r>
      <w:r>
        <w:rPr>
          <w:sz w:val="28"/>
          <w:szCs w:val="28"/>
        </w:rPr>
        <w:t>%</w:t>
      </w:r>
      <w:r>
        <w:rPr>
          <w:sz w:val="28"/>
          <w:szCs w:val="28"/>
          <w:lang w:val="en-US"/>
        </w:rPr>
        <w:t xml:space="preserve"> </w:t>
      </w:r>
      <w:r>
        <w:rPr>
          <w:sz w:val="28"/>
          <w:szCs w:val="28"/>
        </w:rPr>
        <w:t xml:space="preserve">спрямо предходната 2023г. Спрямо 2022г. се наблюдава намаление на броя на административните дела  с </w:t>
      </w:r>
      <w:r>
        <w:rPr>
          <w:sz w:val="28"/>
          <w:szCs w:val="28"/>
          <w:lang w:val="en-US"/>
        </w:rPr>
        <w:t>21,52</w:t>
      </w:r>
      <w:r>
        <w:rPr>
          <w:sz w:val="28"/>
          <w:szCs w:val="28"/>
        </w:rPr>
        <w:t>%.</w:t>
      </w:r>
    </w:p>
    <w:p w:rsidR="008D3C23" w:rsidRDefault="008D3C23" w:rsidP="008D3C23">
      <w:pPr>
        <w:spacing w:line="360" w:lineRule="exact"/>
        <w:ind w:firstLine="720"/>
        <w:jc w:val="both"/>
        <w:rPr>
          <w:sz w:val="28"/>
          <w:szCs w:val="28"/>
        </w:rPr>
      </w:pPr>
      <w:r>
        <w:rPr>
          <w:sz w:val="28"/>
          <w:szCs w:val="28"/>
        </w:rPr>
        <w:t>От общия брой административни дела, прокурорите са взели участие в 41 административни дела, участието по които е задължително по закон, при 36 за 2023 г. и 55 за 20</w:t>
      </w:r>
      <w:r>
        <w:rPr>
          <w:sz w:val="28"/>
          <w:szCs w:val="28"/>
          <w:lang w:val="en-US"/>
        </w:rPr>
        <w:t>2</w:t>
      </w:r>
      <w:r>
        <w:rPr>
          <w:sz w:val="28"/>
          <w:szCs w:val="28"/>
        </w:rPr>
        <w:t xml:space="preserve">2 г., като и тук се отчита увеличаване на  броя на тези дела в Административен съд – Сливен, в сравнение с предходната 2023г. и намаляване  спрямо 2022г. Не малка част от тези дела са образувани по ЗОДОВ и с претенция за дължим адвокатски хонорар по административни дела пред районните съдилища. </w:t>
      </w:r>
    </w:p>
    <w:p w:rsidR="008D3C23" w:rsidRDefault="008D3C23" w:rsidP="008D3C23">
      <w:pPr>
        <w:spacing w:line="360" w:lineRule="exact"/>
        <w:ind w:firstLine="720"/>
        <w:jc w:val="both"/>
        <w:rPr>
          <w:sz w:val="28"/>
          <w:szCs w:val="28"/>
        </w:rPr>
      </w:pPr>
      <w:r>
        <w:rPr>
          <w:sz w:val="28"/>
          <w:szCs w:val="28"/>
        </w:rPr>
        <w:t>През отчетния период участието в касационни дела е както следва: за 2024 г. -  185, при 162 касационни дела за 2023 г. и 247 за 20</w:t>
      </w:r>
      <w:r>
        <w:rPr>
          <w:sz w:val="28"/>
          <w:szCs w:val="28"/>
          <w:lang w:val="en-US"/>
        </w:rPr>
        <w:t>2</w:t>
      </w:r>
      <w:r>
        <w:rPr>
          <w:sz w:val="28"/>
          <w:szCs w:val="28"/>
        </w:rPr>
        <w:t xml:space="preserve">2 г., като </w:t>
      </w:r>
      <w:r>
        <w:rPr>
          <w:sz w:val="28"/>
          <w:szCs w:val="28"/>
        </w:rPr>
        <w:lastRenderedPageBreak/>
        <w:t>отново е видно увеличение на броя на тези дела в сравнение с предходната 2023г. и намаляване  спрямо 2022 г.</w:t>
      </w:r>
    </w:p>
    <w:p w:rsidR="008D3C23" w:rsidRDefault="008D3C23" w:rsidP="008D3C23">
      <w:pPr>
        <w:spacing w:line="360" w:lineRule="exact"/>
        <w:ind w:firstLine="720"/>
        <w:jc w:val="both"/>
        <w:rPr>
          <w:sz w:val="28"/>
          <w:szCs w:val="28"/>
        </w:rPr>
      </w:pPr>
      <w:r>
        <w:rPr>
          <w:sz w:val="28"/>
          <w:szCs w:val="28"/>
        </w:rPr>
        <w:t xml:space="preserve">През 2024 г. прокурорите от административния отдел са участвали в 9 административни дела, представляващи важен държавен или обществен интерес, съгласно Указание № И-196/08.06.2011 г. и Указание, утвърдено със Заповед на Главния прокурор на </w:t>
      </w:r>
      <w:proofErr w:type="spellStart"/>
      <w:r>
        <w:rPr>
          <w:sz w:val="28"/>
          <w:szCs w:val="28"/>
        </w:rPr>
        <w:t>РБългария</w:t>
      </w:r>
      <w:proofErr w:type="spellEnd"/>
      <w:r>
        <w:rPr>
          <w:sz w:val="28"/>
          <w:szCs w:val="28"/>
        </w:rPr>
        <w:t xml:space="preserve"> с № ЛС-4496/13.10.2014 г., при 20 бр. дела за 2023 г. и 20 бр. дела – за 20</w:t>
      </w:r>
      <w:r>
        <w:rPr>
          <w:sz w:val="28"/>
          <w:szCs w:val="28"/>
          <w:lang w:val="en-US"/>
        </w:rPr>
        <w:t>2</w:t>
      </w:r>
      <w:r>
        <w:rPr>
          <w:sz w:val="28"/>
          <w:szCs w:val="28"/>
        </w:rPr>
        <w:t xml:space="preserve">2 г., като изводът е за намаляване в  броя на тази категория  дела, в сравнение с предходните години. </w:t>
      </w:r>
    </w:p>
    <w:p w:rsidR="008D3C23" w:rsidRDefault="008D3C23" w:rsidP="008D3C23">
      <w:pPr>
        <w:spacing w:line="360" w:lineRule="exact"/>
        <w:ind w:firstLine="720"/>
        <w:jc w:val="both"/>
        <w:rPr>
          <w:sz w:val="28"/>
          <w:szCs w:val="28"/>
        </w:rPr>
      </w:pPr>
      <w:r>
        <w:rPr>
          <w:sz w:val="28"/>
          <w:szCs w:val="28"/>
        </w:rPr>
        <w:t>Общият брой съдебни заседания по административни дела, в които са участвали прокурорите от Окръжна прокуратура – Сливен е 261, при 254 за 2023 г. и 322 заседания през 20</w:t>
      </w:r>
      <w:r>
        <w:rPr>
          <w:sz w:val="28"/>
          <w:szCs w:val="28"/>
          <w:lang w:val="en-US"/>
        </w:rPr>
        <w:t>2</w:t>
      </w:r>
      <w:r>
        <w:rPr>
          <w:sz w:val="28"/>
          <w:szCs w:val="28"/>
        </w:rPr>
        <w:t xml:space="preserve">2 г. Налице е увеличение в броя на съдебните заседания в Административен съд - Сливен с участие на прокурори от административния отдел на Окръжна прокуратура – Сливен -  с </w:t>
      </w:r>
      <w:r>
        <w:rPr>
          <w:sz w:val="28"/>
          <w:szCs w:val="28"/>
          <w:lang w:val="en-US"/>
        </w:rPr>
        <w:t>2,75</w:t>
      </w:r>
      <w:r>
        <w:rPr>
          <w:sz w:val="28"/>
          <w:szCs w:val="28"/>
        </w:rPr>
        <w:t xml:space="preserve">% в сравнение с 2023 г. и намаление с </w:t>
      </w:r>
      <w:r>
        <w:rPr>
          <w:sz w:val="28"/>
          <w:szCs w:val="28"/>
          <w:lang w:val="en-US"/>
        </w:rPr>
        <w:t>18,94</w:t>
      </w:r>
      <w:r>
        <w:rPr>
          <w:sz w:val="28"/>
          <w:szCs w:val="28"/>
        </w:rPr>
        <w:t xml:space="preserve">% в сравнение с 2022 г. </w:t>
      </w:r>
    </w:p>
    <w:p w:rsidR="008D3C23" w:rsidRDefault="008D3C23" w:rsidP="008D3C23">
      <w:pPr>
        <w:spacing w:line="360" w:lineRule="exact"/>
        <w:ind w:firstLine="720"/>
        <w:jc w:val="both"/>
        <w:rPr>
          <w:sz w:val="28"/>
          <w:szCs w:val="28"/>
        </w:rPr>
      </w:pPr>
      <w:r>
        <w:rPr>
          <w:sz w:val="28"/>
          <w:szCs w:val="28"/>
        </w:rPr>
        <w:t>През отчетния период в Административен съд - Сливен е  внесено  едно предложение за възобновяване на дела по ЗАНН. През 2023г. не е имало внесени предложения, а през 2022 г. е било внесено също едно предложение.</w:t>
      </w:r>
    </w:p>
    <w:p w:rsidR="008D3C23" w:rsidRDefault="008D3C23" w:rsidP="008D3C23">
      <w:pPr>
        <w:jc w:val="both"/>
        <w:rPr>
          <w:i/>
          <w:sz w:val="28"/>
          <w:szCs w:val="28"/>
        </w:rPr>
      </w:pPr>
    </w:p>
    <w:p w:rsidR="008D3C23" w:rsidRDefault="008D3C23" w:rsidP="008D3C23">
      <w:pPr>
        <w:jc w:val="both"/>
        <w:rPr>
          <w:b/>
          <w:sz w:val="28"/>
          <w:szCs w:val="28"/>
          <w:lang w:val="en-US"/>
        </w:rPr>
      </w:pPr>
      <w:r>
        <w:rPr>
          <w:i/>
          <w:sz w:val="28"/>
          <w:szCs w:val="28"/>
        </w:rPr>
        <w:t xml:space="preserve">           </w:t>
      </w:r>
      <w:r>
        <w:rPr>
          <w:b/>
          <w:sz w:val="28"/>
          <w:szCs w:val="28"/>
        </w:rPr>
        <w:t xml:space="preserve">2. Дейност по </w:t>
      </w:r>
      <w:proofErr w:type="spellStart"/>
      <w:r>
        <w:rPr>
          <w:b/>
          <w:sz w:val="28"/>
          <w:szCs w:val="28"/>
          <w:lang w:val="en-US"/>
        </w:rPr>
        <w:t>Надзор</w:t>
      </w:r>
      <w:proofErr w:type="spellEnd"/>
      <w:r>
        <w:rPr>
          <w:b/>
          <w:sz w:val="28"/>
          <w:szCs w:val="28"/>
        </w:rPr>
        <w:t>а</w:t>
      </w:r>
      <w:r>
        <w:rPr>
          <w:b/>
          <w:sz w:val="28"/>
          <w:szCs w:val="28"/>
          <w:lang w:val="en-US"/>
        </w:rPr>
        <w:t xml:space="preserve"> </w:t>
      </w:r>
      <w:proofErr w:type="spellStart"/>
      <w:r>
        <w:rPr>
          <w:b/>
          <w:sz w:val="28"/>
          <w:szCs w:val="28"/>
          <w:lang w:val="en-US"/>
        </w:rPr>
        <w:t>за</w:t>
      </w:r>
      <w:proofErr w:type="spellEnd"/>
      <w:r>
        <w:rPr>
          <w:b/>
          <w:sz w:val="28"/>
          <w:szCs w:val="28"/>
          <w:lang w:val="en-US"/>
        </w:rPr>
        <w:t xml:space="preserve"> </w:t>
      </w:r>
      <w:proofErr w:type="spellStart"/>
      <w:r>
        <w:rPr>
          <w:b/>
          <w:sz w:val="28"/>
          <w:szCs w:val="28"/>
          <w:lang w:val="en-US"/>
        </w:rPr>
        <w:t>законност</w:t>
      </w:r>
      <w:proofErr w:type="spellEnd"/>
      <w:r>
        <w:rPr>
          <w:b/>
          <w:sz w:val="28"/>
          <w:szCs w:val="28"/>
        </w:rPr>
        <w:t>, защита на обществения интерес и правата на гражданите.</w:t>
      </w:r>
      <w:r>
        <w:rPr>
          <w:b/>
          <w:sz w:val="28"/>
          <w:szCs w:val="28"/>
          <w:lang w:val="en-US"/>
        </w:rPr>
        <w:t xml:space="preserve"> </w:t>
      </w:r>
    </w:p>
    <w:p w:rsidR="008D3C23" w:rsidRDefault="008D3C23" w:rsidP="008D3C23">
      <w:pPr>
        <w:spacing w:line="360" w:lineRule="exact"/>
        <w:ind w:firstLine="709"/>
        <w:jc w:val="both"/>
        <w:rPr>
          <w:sz w:val="28"/>
          <w:szCs w:val="28"/>
        </w:rPr>
      </w:pPr>
      <w:proofErr w:type="spellStart"/>
      <w:proofErr w:type="gramStart"/>
      <w:r>
        <w:rPr>
          <w:sz w:val="28"/>
          <w:szCs w:val="28"/>
          <w:lang w:val="en-US"/>
        </w:rPr>
        <w:t>През</w:t>
      </w:r>
      <w:proofErr w:type="spellEnd"/>
      <w:r>
        <w:rPr>
          <w:sz w:val="28"/>
          <w:szCs w:val="28"/>
          <w:lang w:val="en-US"/>
        </w:rPr>
        <w:t xml:space="preserve"> </w:t>
      </w:r>
      <w:proofErr w:type="spellStart"/>
      <w:r>
        <w:rPr>
          <w:sz w:val="28"/>
          <w:szCs w:val="28"/>
          <w:lang w:val="en-US"/>
        </w:rPr>
        <w:t>отчетния</w:t>
      </w:r>
      <w:proofErr w:type="spellEnd"/>
      <w:r>
        <w:rPr>
          <w:sz w:val="28"/>
          <w:szCs w:val="28"/>
          <w:lang w:val="en-US"/>
        </w:rPr>
        <w:t xml:space="preserve"> </w:t>
      </w:r>
      <w:proofErr w:type="spellStart"/>
      <w:r>
        <w:rPr>
          <w:sz w:val="28"/>
          <w:szCs w:val="28"/>
          <w:lang w:val="en-US"/>
        </w:rPr>
        <w:t>период</w:t>
      </w:r>
      <w:proofErr w:type="spellEnd"/>
      <w:r>
        <w:rPr>
          <w:sz w:val="28"/>
          <w:szCs w:val="28"/>
          <w:lang w:val="en-US"/>
        </w:rPr>
        <w:t xml:space="preserve"> в </w:t>
      </w:r>
      <w:proofErr w:type="spellStart"/>
      <w:r>
        <w:rPr>
          <w:sz w:val="28"/>
          <w:szCs w:val="28"/>
          <w:lang w:val="en-US"/>
        </w:rPr>
        <w:t>прокуратурите</w:t>
      </w:r>
      <w:proofErr w:type="spellEnd"/>
      <w:r>
        <w:rPr>
          <w:sz w:val="28"/>
          <w:szCs w:val="28"/>
          <w:lang w:val="en-US"/>
        </w:rPr>
        <w:t xml:space="preserve"> </w:t>
      </w:r>
      <w:proofErr w:type="spellStart"/>
      <w:r>
        <w:rPr>
          <w:sz w:val="28"/>
          <w:szCs w:val="28"/>
          <w:lang w:val="en-US"/>
        </w:rPr>
        <w:t>от</w:t>
      </w:r>
      <w:proofErr w:type="spellEnd"/>
      <w:r>
        <w:rPr>
          <w:sz w:val="28"/>
          <w:szCs w:val="28"/>
          <w:lang w:val="en-US"/>
        </w:rPr>
        <w:t xml:space="preserve"> </w:t>
      </w:r>
      <w:proofErr w:type="spellStart"/>
      <w:r>
        <w:rPr>
          <w:sz w:val="28"/>
          <w:szCs w:val="28"/>
          <w:lang w:val="en-US"/>
        </w:rPr>
        <w:t>системата</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Окръжна</w:t>
      </w:r>
      <w:proofErr w:type="spellEnd"/>
      <w:r>
        <w:rPr>
          <w:sz w:val="28"/>
          <w:szCs w:val="28"/>
          <w:lang w:val="en-US"/>
        </w:rPr>
        <w:t xml:space="preserve"> </w:t>
      </w:r>
      <w:proofErr w:type="spellStart"/>
      <w:r>
        <w:rPr>
          <w:sz w:val="28"/>
          <w:szCs w:val="28"/>
          <w:lang w:val="en-US"/>
        </w:rPr>
        <w:t>прокуратура</w:t>
      </w:r>
      <w:proofErr w:type="spellEnd"/>
      <w:r>
        <w:rPr>
          <w:sz w:val="28"/>
          <w:szCs w:val="28"/>
          <w:lang w:val="en-US"/>
        </w:rPr>
        <w:t xml:space="preserve"> – Сливен е </w:t>
      </w:r>
      <w:proofErr w:type="spellStart"/>
      <w:r>
        <w:rPr>
          <w:sz w:val="28"/>
          <w:szCs w:val="28"/>
          <w:lang w:val="en-US"/>
        </w:rPr>
        <w:t>създадена</w:t>
      </w:r>
      <w:proofErr w:type="spellEnd"/>
      <w:r>
        <w:rPr>
          <w:sz w:val="28"/>
          <w:szCs w:val="28"/>
          <w:lang w:val="en-US"/>
        </w:rPr>
        <w:t xml:space="preserve"> </w:t>
      </w:r>
      <w:proofErr w:type="spellStart"/>
      <w:r>
        <w:rPr>
          <w:sz w:val="28"/>
          <w:szCs w:val="28"/>
          <w:lang w:val="en-US"/>
        </w:rPr>
        <w:t>много</w:t>
      </w:r>
      <w:proofErr w:type="spellEnd"/>
      <w:r>
        <w:rPr>
          <w:sz w:val="28"/>
          <w:szCs w:val="28"/>
          <w:lang w:val="en-US"/>
        </w:rPr>
        <w:t xml:space="preserve"> </w:t>
      </w:r>
      <w:proofErr w:type="spellStart"/>
      <w:r>
        <w:rPr>
          <w:sz w:val="28"/>
          <w:szCs w:val="28"/>
          <w:lang w:val="en-US"/>
        </w:rPr>
        <w:t>добра</w:t>
      </w:r>
      <w:proofErr w:type="spellEnd"/>
      <w:r>
        <w:rPr>
          <w:sz w:val="28"/>
          <w:szCs w:val="28"/>
          <w:lang w:val="en-US"/>
        </w:rPr>
        <w:t xml:space="preserve"> </w:t>
      </w:r>
      <w:proofErr w:type="spellStart"/>
      <w:r>
        <w:rPr>
          <w:sz w:val="28"/>
          <w:szCs w:val="28"/>
          <w:lang w:val="en-US"/>
        </w:rPr>
        <w:t>организация</w:t>
      </w:r>
      <w:proofErr w:type="spellEnd"/>
      <w:r>
        <w:rPr>
          <w:sz w:val="28"/>
          <w:szCs w:val="28"/>
          <w:lang w:val="en-US"/>
        </w:rPr>
        <w:t xml:space="preserve"> </w:t>
      </w:r>
      <w:proofErr w:type="spellStart"/>
      <w:r>
        <w:rPr>
          <w:sz w:val="28"/>
          <w:szCs w:val="28"/>
          <w:lang w:val="en-US"/>
        </w:rPr>
        <w:t>на</w:t>
      </w:r>
      <w:proofErr w:type="spellEnd"/>
      <w:r>
        <w:rPr>
          <w:sz w:val="28"/>
          <w:szCs w:val="28"/>
          <w:lang w:val="en-US"/>
        </w:rPr>
        <w:t xml:space="preserve"> </w:t>
      </w:r>
      <w:proofErr w:type="spellStart"/>
      <w:r>
        <w:rPr>
          <w:sz w:val="28"/>
          <w:szCs w:val="28"/>
          <w:lang w:val="en-US"/>
        </w:rPr>
        <w:t>работа</w:t>
      </w:r>
      <w:proofErr w:type="spellEnd"/>
      <w:r>
        <w:rPr>
          <w:sz w:val="28"/>
          <w:szCs w:val="28"/>
          <w:lang w:val="en-US"/>
        </w:rPr>
        <w:t xml:space="preserve"> </w:t>
      </w:r>
      <w:proofErr w:type="spellStart"/>
      <w:r>
        <w:rPr>
          <w:sz w:val="28"/>
          <w:szCs w:val="28"/>
          <w:lang w:val="en-US"/>
        </w:rPr>
        <w:t>по</w:t>
      </w:r>
      <w:proofErr w:type="spellEnd"/>
      <w:r>
        <w:rPr>
          <w:sz w:val="28"/>
          <w:szCs w:val="28"/>
        </w:rPr>
        <w:t xml:space="preserve"> надзора за законност.</w:t>
      </w:r>
      <w:proofErr w:type="gramEnd"/>
      <w:r>
        <w:rPr>
          <w:sz w:val="28"/>
          <w:szCs w:val="28"/>
        </w:rPr>
        <w:t xml:space="preserve"> Организирането и осъществяването на дейността по този надзор е подчинено на произтичащото от чл.127, т.5 от Конституцията на Република България и Закона за съдебната власт задължение на прокуратурата да следи за спазване на законността чрез очертаните в чл.145 от Закона за съдебната власт способи. </w:t>
      </w:r>
    </w:p>
    <w:p w:rsidR="008D3C23" w:rsidRDefault="008D3C23" w:rsidP="008D3C23">
      <w:pPr>
        <w:spacing w:line="360" w:lineRule="exact"/>
        <w:ind w:firstLine="708"/>
        <w:jc w:val="both"/>
        <w:rPr>
          <w:i/>
          <w:sz w:val="28"/>
          <w:szCs w:val="28"/>
        </w:rPr>
      </w:pPr>
      <w:r>
        <w:rPr>
          <w:sz w:val="28"/>
          <w:szCs w:val="28"/>
        </w:rPr>
        <w:t>Прокуратурите от Сливенския съдебен район през 2024г. са работили по общо 206 преписки, при 190 преписки за 2023 г. и 174 преписки за 2022 г.</w:t>
      </w:r>
      <w:r>
        <w:rPr>
          <w:i/>
          <w:sz w:val="28"/>
          <w:szCs w:val="28"/>
        </w:rPr>
        <w:t xml:space="preserve"> </w:t>
      </w:r>
      <w:r>
        <w:rPr>
          <w:sz w:val="28"/>
          <w:szCs w:val="28"/>
        </w:rPr>
        <w:t xml:space="preserve">По този показател - брой преписки, се отчита увеличение с </w:t>
      </w:r>
      <w:r>
        <w:rPr>
          <w:sz w:val="28"/>
          <w:szCs w:val="28"/>
          <w:lang w:val="en-US"/>
        </w:rPr>
        <w:t>8,42</w:t>
      </w:r>
      <w:r>
        <w:rPr>
          <w:sz w:val="28"/>
          <w:szCs w:val="28"/>
        </w:rPr>
        <w:t xml:space="preserve">% в сравнение с 2023 г., а в  сравнение с 2022 г. увеличението е с </w:t>
      </w:r>
      <w:r>
        <w:rPr>
          <w:sz w:val="28"/>
          <w:szCs w:val="28"/>
          <w:lang w:val="en-US"/>
        </w:rPr>
        <w:t>18,39</w:t>
      </w:r>
      <w:r>
        <w:rPr>
          <w:sz w:val="28"/>
          <w:szCs w:val="28"/>
        </w:rPr>
        <w:t>%.  По посочените преписки са извършени 206 проверки, при 182 проверки за 202</w:t>
      </w:r>
      <w:r>
        <w:rPr>
          <w:sz w:val="28"/>
          <w:szCs w:val="28"/>
          <w:lang w:val="en-US"/>
        </w:rPr>
        <w:t>3</w:t>
      </w:r>
      <w:r>
        <w:rPr>
          <w:sz w:val="28"/>
          <w:szCs w:val="28"/>
        </w:rPr>
        <w:t xml:space="preserve"> г. и 135 проверки за 2022 г. Броят на проверките е увеличен, като спрямо 2023 година увеличението  е с </w:t>
      </w:r>
      <w:r>
        <w:rPr>
          <w:sz w:val="28"/>
          <w:szCs w:val="28"/>
          <w:lang w:val="en-US"/>
        </w:rPr>
        <w:t>13,19</w:t>
      </w:r>
      <w:r>
        <w:rPr>
          <w:sz w:val="28"/>
          <w:szCs w:val="28"/>
        </w:rPr>
        <w:t xml:space="preserve">%, а спрямо 2022 г. – с </w:t>
      </w:r>
      <w:r>
        <w:rPr>
          <w:sz w:val="28"/>
          <w:szCs w:val="28"/>
          <w:lang w:val="en-US"/>
        </w:rPr>
        <w:t>52,59</w:t>
      </w:r>
      <w:r>
        <w:rPr>
          <w:sz w:val="28"/>
          <w:szCs w:val="28"/>
        </w:rPr>
        <w:t>%. Всички преписки са решени в законовия срок.</w:t>
      </w:r>
    </w:p>
    <w:p w:rsidR="008D3C23" w:rsidRDefault="008D3C23" w:rsidP="008D3C23">
      <w:pPr>
        <w:spacing w:line="360" w:lineRule="exact"/>
        <w:ind w:firstLine="708"/>
        <w:jc w:val="both"/>
        <w:rPr>
          <w:sz w:val="28"/>
          <w:szCs w:val="28"/>
        </w:rPr>
      </w:pPr>
      <w:r>
        <w:rPr>
          <w:sz w:val="28"/>
          <w:szCs w:val="28"/>
        </w:rPr>
        <w:t xml:space="preserve">При реализиране на проверките за законност, Окръжна прокуратура – Сливен и Районна прокуратура – Сливен са използвали всички способи, </w:t>
      </w:r>
      <w:r>
        <w:rPr>
          <w:sz w:val="28"/>
          <w:szCs w:val="28"/>
        </w:rPr>
        <w:lastRenderedPageBreak/>
        <w:t>предвидени в чл.145, ал.1, т. т.1 – 3</w:t>
      </w:r>
      <w:r>
        <w:rPr>
          <w:sz w:val="28"/>
          <w:szCs w:val="28"/>
          <w:lang w:val="en-US"/>
        </w:rPr>
        <w:t xml:space="preserve"> </w:t>
      </w:r>
      <w:r>
        <w:rPr>
          <w:sz w:val="28"/>
          <w:szCs w:val="28"/>
        </w:rPr>
        <w:t xml:space="preserve">и т. 6 от Закона за съдебната власт. </w:t>
      </w:r>
    </w:p>
    <w:p w:rsidR="008D3C23" w:rsidRDefault="008D3C23" w:rsidP="008D3C23">
      <w:pPr>
        <w:spacing w:line="360" w:lineRule="exact"/>
        <w:ind w:firstLine="708"/>
        <w:jc w:val="both"/>
        <w:rPr>
          <w:sz w:val="28"/>
          <w:szCs w:val="28"/>
        </w:rPr>
      </w:pPr>
      <w:r>
        <w:rPr>
          <w:sz w:val="28"/>
          <w:szCs w:val="28"/>
        </w:rPr>
        <w:t>От общо 206 извършени проверки през 2024 г., най-много са проверките по реда на чл.145, ал.1, т.1 от Закона за съдебната власт – 193 бр. (</w:t>
      </w:r>
      <w:r>
        <w:rPr>
          <w:sz w:val="28"/>
          <w:szCs w:val="28"/>
          <w:lang w:val="en-US"/>
        </w:rPr>
        <w:t>93,69</w:t>
      </w:r>
      <w:r>
        <w:rPr>
          <w:sz w:val="28"/>
          <w:szCs w:val="28"/>
        </w:rPr>
        <w:t xml:space="preserve">%), което означава, че  прокурорите работили по надзора за законност лично са изискали документи и са преценили надлежната законова реакция, без това да бъде </w:t>
      </w:r>
      <w:proofErr w:type="spellStart"/>
      <w:r>
        <w:rPr>
          <w:sz w:val="28"/>
          <w:szCs w:val="28"/>
        </w:rPr>
        <w:t>опосредено</w:t>
      </w:r>
      <w:proofErr w:type="spellEnd"/>
      <w:r>
        <w:rPr>
          <w:sz w:val="28"/>
          <w:szCs w:val="28"/>
        </w:rPr>
        <w:t xml:space="preserve"> от наличието на контролен орган. </w:t>
      </w:r>
    </w:p>
    <w:p w:rsidR="008D3C23" w:rsidRDefault="008D3C23" w:rsidP="008D3C23">
      <w:pPr>
        <w:spacing w:line="360" w:lineRule="exact"/>
        <w:ind w:firstLine="708"/>
        <w:jc w:val="both"/>
      </w:pPr>
      <w:r>
        <w:rPr>
          <w:sz w:val="28"/>
          <w:szCs w:val="28"/>
        </w:rPr>
        <w:t xml:space="preserve">През 2024 г. по надзора за законност са подадени общо 19 предложения по реда на чл.145 ал.1 т.5 и т.6 от ЗСВ. От тях 8 са били уважени, а останалите 11 са висящи. Протести срещу незаконосъобразни нормативни актове през 2024г. не са били подавани, като през предходната година са подадени общо 2 протеста. През  2022 г. също са били подадени 2 протеста. Посоченият резултат следва да се разглежда в контекста на промените в Конституцията на РБ, както и следва да се отчете, че през  годините са проверени почти всички нормативни актове на Общинските съвети, а и последните са повишили качеството си на работа при приемане на нормативни актове и съобразяване със законовите изисквания и разпоредби. </w:t>
      </w:r>
    </w:p>
    <w:p w:rsidR="008D3C23" w:rsidRDefault="008D3C23" w:rsidP="008D3C23">
      <w:pPr>
        <w:spacing w:after="120" w:line="360" w:lineRule="exact"/>
        <w:ind w:firstLine="708"/>
        <w:jc w:val="both"/>
        <w:rPr>
          <w:sz w:val="28"/>
          <w:szCs w:val="28"/>
        </w:rPr>
      </w:pPr>
    </w:p>
    <w:p w:rsidR="001E5557" w:rsidRDefault="008D3C23" w:rsidP="001E5557">
      <w:pPr>
        <w:widowControl/>
        <w:autoSpaceDE/>
        <w:adjustRightInd/>
        <w:spacing w:after="120" w:line="340" w:lineRule="atLeast"/>
        <w:ind w:left="57" w:right="57" w:firstLine="720"/>
        <w:contextualSpacing/>
        <w:jc w:val="center"/>
        <w:rPr>
          <w:b/>
          <w:sz w:val="28"/>
          <w:szCs w:val="28"/>
          <w:lang w:val="be-BY"/>
        </w:rPr>
      </w:pPr>
      <w:r>
        <w:rPr>
          <w:b/>
          <w:sz w:val="28"/>
          <w:szCs w:val="28"/>
          <w:lang w:val="en-US"/>
        </w:rPr>
        <w:t>V.</w:t>
      </w:r>
      <w:r w:rsidR="001E5557">
        <w:rPr>
          <w:b/>
          <w:sz w:val="28"/>
          <w:szCs w:val="28"/>
          <w:lang w:val="be-BY"/>
        </w:rPr>
        <w:t xml:space="preserve"> МЕЖДУНАРОДНО-ПРАВНО СЪТРУДНИЧЕСТВО</w:t>
      </w:r>
    </w:p>
    <w:p w:rsidR="001E5557" w:rsidRDefault="001E5557" w:rsidP="001E5557">
      <w:pPr>
        <w:widowControl/>
        <w:autoSpaceDE/>
        <w:adjustRightInd/>
        <w:ind w:left="57" w:right="57" w:firstLine="720"/>
        <w:contextualSpacing/>
        <w:jc w:val="center"/>
        <w:rPr>
          <w:b/>
          <w:sz w:val="16"/>
          <w:szCs w:val="16"/>
          <w:lang w:val="be-BY"/>
        </w:rPr>
      </w:pPr>
    </w:p>
    <w:p w:rsidR="001E5557" w:rsidRDefault="001E5557" w:rsidP="001E5557">
      <w:pPr>
        <w:widowControl/>
        <w:autoSpaceDE/>
        <w:adjustRightInd/>
        <w:spacing w:before="120" w:line="360" w:lineRule="exact"/>
        <w:ind w:left="57" w:right="57" w:firstLine="720"/>
        <w:contextualSpacing/>
        <w:jc w:val="both"/>
        <w:rPr>
          <w:sz w:val="28"/>
          <w:szCs w:val="28"/>
        </w:rPr>
      </w:pPr>
      <w:r>
        <w:rPr>
          <w:sz w:val="28"/>
          <w:szCs w:val="28"/>
        </w:rPr>
        <w:t xml:space="preserve">През 2024 г. прокуратурите от системата на Окръжна прокуратура – Сливен са изпратили за изпълнение в страни-членки на Европейския съюз  16 молби за правна помощ, при 23 бр. за 2023 г. и 11 бр. за 2022 </w:t>
      </w:r>
      <w:r>
        <w:rPr>
          <w:sz w:val="28"/>
          <w:szCs w:val="28"/>
          <w:lang w:val="be-BY"/>
        </w:rPr>
        <w:t>г</w:t>
      </w:r>
      <w:r>
        <w:rPr>
          <w:sz w:val="28"/>
          <w:szCs w:val="28"/>
        </w:rPr>
        <w:t xml:space="preserve">. Наблюдава се тенденция на намаление на броя на изходящите молби за правна помощ. </w:t>
      </w:r>
    </w:p>
    <w:p w:rsidR="001E5557" w:rsidRDefault="001E5557" w:rsidP="001E5557">
      <w:pPr>
        <w:widowControl/>
        <w:autoSpaceDE/>
        <w:adjustRightInd/>
        <w:spacing w:line="360" w:lineRule="exact"/>
        <w:ind w:left="57" w:right="57" w:firstLine="720"/>
        <w:contextualSpacing/>
        <w:jc w:val="both"/>
        <w:rPr>
          <w:sz w:val="28"/>
          <w:szCs w:val="28"/>
        </w:rPr>
      </w:pPr>
      <w:r>
        <w:rPr>
          <w:sz w:val="28"/>
          <w:szCs w:val="28"/>
        </w:rPr>
        <w:t xml:space="preserve">През отчетния период в прокуратурите от системата на Сливенската окръжна прокуратура са получени за изпълнение 42 молби за правна помощ от страни-членки на Европейския съюз, при 25 бр. за 2023 год. и 18 бр. за 2022 г., като отчетените данни сочат за значително увеличение на броя на получените молби за правна помощ спрямо последната година. </w:t>
      </w:r>
    </w:p>
    <w:p w:rsidR="001E5557" w:rsidRDefault="001E5557" w:rsidP="001E5557">
      <w:pPr>
        <w:widowControl/>
        <w:autoSpaceDE/>
        <w:adjustRightInd/>
        <w:spacing w:line="360" w:lineRule="exact"/>
        <w:ind w:left="57" w:right="57" w:firstLine="720"/>
        <w:contextualSpacing/>
        <w:jc w:val="both"/>
        <w:rPr>
          <w:sz w:val="28"/>
          <w:szCs w:val="28"/>
        </w:rPr>
      </w:pPr>
      <w:r>
        <w:rPr>
          <w:sz w:val="28"/>
          <w:szCs w:val="28"/>
        </w:rPr>
        <w:t>От страна на прокуратурите от Сл</w:t>
      </w:r>
      <w:r w:rsidR="006A3323">
        <w:rPr>
          <w:sz w:val="28"/>
          <w:szCs w:val="28"/>
        </w:rPr>
        <w:t>ивенски съдебен район през 2024</w:t>
      </w:r>
      <w:r>
        <w:rPr>
          <w:sz w:val="28"/>
          <w:szCs w:val="28"/>
        </w:rPr>
        <w:t xml:space="preserve">г. са били изготвени 2 Европейски заповеди за арест (ЕЗА). Издадените през отчетната година ЕЗА са за изпълнение на наказание лишаване от свобода по влезли в сила присъди, постановени от българските съдилища, като през 2024 г. не се отчитат изготвени от прокурорите ЕЗА с цел провеждане на наказателно преследване. </w:t>
      </w:r>
    </w:p>
    <w:p w:rsidR="001E5557" w:rsidRDefault="001E5557" w:rsidP="001E5557">
      <w:pPr>
        <w:widowControl/>
        <w:autoSpaceDE/>
        <w:adjustRightInd/>
        <w:spacing w:line="360" w:lineRule="exact"/>
        <w:ind w:left="57" w:right="57" w:firstLine="720"/>
        <w:contextualSpacing/>
        <w:jc w:val="both"/>
        <w:rPr>
          <w:sz w:val="28"/>
          <w:szCs w:val="28"/>
        </w:rPr>
      </w:pPr>
      <w:r>
        <w:rPr>
          <w:sz w:val="28"/>
          <w:szCs w:val="28"/>
        </w:rPr>
        <w:lastRenderedPageBreak/>
        <w:t xml:space="preserve">През отчетния период са били получени за изпълнение </w:t>
      </w:r>
      <w:r>
        <w:rPr>
          <w:sz w:val="28"/>
          <w:szCs w:val="28"/>
          <w:lang w:val="be-BY"/>
        </w:rPr>
        <w:t>5 Е</w:t>
      </w:r>
      <w:proofErr w:type="spellStart"/>
      <w:r>
        <w:rPr>
          <w:sz w:val="28"/>
          <w:szCs w:val="28"/>
        </w:rPr>
        <w:t>вропейски</w:t>
      </w:r>
      <w:proofErr w:type="spellEnd"/>
      <w:r>
        <w:rPr>
          <w:sz w:val="28"/>
          <w:szCs w:val="28"/>
        </w:rPr>
        <w:t xml:space="preserve"> заповеди за арест, по които Окръжна прокуратура – Сливен е предприела предвидените в чл.42 и сл. от ЗЕЕЗА действия.</w:t>
      </w:r>
    </w:p>
    <w:p w:rsidR="001E5557" w:rsidRDefault="001E5557" w:rsidP="001E5557">
      <w:pPr>
        <w:widowControl/>
        <w:autoSpaceDE/>
        <w:adjustRightInd/>
        <w:spacing w:line="360" w:lineRule="exact"/>
        <w:ind w:left="57" w:right="57" w:firstLine="720"/>
        <w:contextualSpacing/>
        <w:jc w:val="both"/>
        <w:rPr>
          <w:sz w:val="28"/>
          <w:szCs w:val="28"/>
        </w:rPr>
      </w:pPr>
      <w:r>
        <w:rPr>
          <w:sz w:val="28"/>
          <w:szCs w:val="28"/>
        </w:rPr>
        <w:t>През 2024 г. са получени 13 Европейски заповеди за разследване (ЕЗР), докато 26 бр. са били изпратени от прокуратурите от системата на Окръжна прокуратура – Сливен. Налице е увеличение на броя на входящите и изходящите ЕЗР през 2024 г. в сравнение с предходната година, когато техният брой е бил съответно 10 бр. и 21 бр. Увеличението на дейността, свързана с ЕЗР в прокуратурите от Сливенския съдебен регион през 2024 г. е с 25,8 %</w:t>
      </w:r>
      <w:r w:rsidR="001E6789">
        <w:rPr>
          <w:sz w:val="28"/>
          <w:szCs w:val="28"/>
        </w:rPr>
        <w:t>,</w:t>
      </w:r>
      <w:r>
        <w:rPr>
          <w:sz w:val="28"/>
          <w:szCs w:val="28"/>
        </w:rPr>
        <w:t xml:space="preserve"> в сравнение с 2023 г.</w:t>
      </w:r>
    </w:p>
    <w:p w:rsidR="001E5557" w:rsidRDefault="001E5557" w:rsidP="001E5557">
      <w:pPr>
        <w:spacing w:line="360" w:lineRule="exact"/>
        <w:ind w:firstLine="720"/>
        <w:jc w:val="both"/>
        <w:rPr>
          <w:sz w:val="28"/>
          <w:szCs w:val="28"/>
          <w:highlight w:val="yellow"/>
          <w:lang w:val="be-BY"/>
        </w:rPr>
      </w:pPr>
      <w:r>
        <w:rPr>
          <w:sz w:val="28"/>
          <w:szCs w:val="28"/>
          <w:lang w:val="be-BY"/>
        </w:rPr>
        <w:t>През 2024 г. е постъпила една молба за трансфер на наказателно производство, като в прокуратурите от системата на ОП - Сливен не са изготвяни молби за трансфер на наказателно производство.</w:t>
      </w:r>
    </w:p>
    <w:p w:rsidR="001E5557" w:rsidRDefault="001E5557" w:rsidP="001E5557">
      <w:pPr>
        <w:spacing w:line="360" w:lineRule="exact"/>
        <w:ind w:firstLine="720"/>
        <w:jc w:val="both"/>
        <w:rPr>
          <w:sz w:val="28"/>
          <w:szCs w:val="28"/>
          <w:lang w:val="be-BY"/>
        </w:rPr>
      </w:pPr>
      <w:bookmarkStart w:id="20" w:name="OLE_LINK27"/>
      <w:r>
        <w:rPr>
          <w:sz w:val="28"/>
          <w:szCs w:val="28"/>
          <w:lang w:val="be-BY"/>
        </w:rPr>
        <w:t xml:space="preserve">Прокурорите от ОП – Сливен са участвали общо в 305 съдебни заседания по 228 съдебни производства на ОС - Сливен, от които общо 25 участия в съдебни заседания, проведени по дела, свързани с международно правно сътрудничество - за признаване на присъди, постановени от чужд съд и по издадени ЕЗА. </w:t>
      </w:r>
      <w:bookmarkEnd w:id="20"/>
      <w:r>
        <w:rPr>
          <w:sz w:val="28"/>
          <w:szCs w:val="28"/>
          <w:lang w:val="be-BY"/>
        </w:rPr>
        <w:t>Останалите 280 участия в съдебни заседния са в съдебни производства по признаване на финасови санкции. За поредна година се отчита значително увеличение (над два пъти) на участието на прокурорите от ОП – Сливен в съдебни заседания по дела с международен елемент, в сравнение с предходната година, когато участията в съдебни заседания са били 162.</w:t>
      </w:r>
    </w:p>
    <w:p w:rsidR="001E5557" w:rsidRDefault="001E5557" w:rsidP="001E5557">
      <w:pPr>
        <w:spacing w:line="360" w:lineRule="exact"/>
        <w:ind w:firstLine="720"/>
        <w:jc w:val="both"/>
        <w:rPr>
          <w:sz w:val="28"/>
          <w:szCs w:val="28"/>
          <w:lang w:val="be-BY"/>
        </w:rPr>
      </w:pPr>
      <w:r>
        <w:rPr>
          <w:sz w:val="28"/>
          <w:szCs w:val="28"/>
          <w:lang w:val="be-BY"/>
        </w:rPr>
        <w:t xml:space="preserve">През 2024 г. са били признати присъди по отношение на 4 лица и признати актове за налагане на финансови санкции срещу 213 лица. </w:t>
      </w:r>
    </w:p>
    <w:p w:rsidR="001E5557" w:rsidRDefault="001E5557" w:rsidP="001E5557">
      <w:pPr>
        <w:spacing w:line="360" w:lineRule="exact"/>
        <w:ind w:firstLine="720"/>
        <w:jc w:val="both"/>
        <w:rPr>
          <w:sz w:val="28"/>
          <w:szCs w:val="28"/>
          <w:lang w:val="be-BY"/>
        </w:rPr>
      </w:pPr>
      <w:r>
        <w:rPr>
          <w:sz w:val="28"/>
          <w:szCs w:val="28"/>
          <w:lang w:val="be-BY"/>
        </w:rPr>
        <w:t>През 2024 г. не е имало задържани по международно правно сътрудничество лица, тъй като в производствата по чл.43 от ЗЕЕЗА по отношение на исканите лица са били определени мерки за неотклонение “Домашен арест”.</w:t>
      </w:r>
    </w:p>
    <w:p w:rsidR="001E5557" w:rsidRDefault="001E5557" w:rsidP="001E5557">
      <w:pPr>
        <w:spacing w:line="360" w:lineRule="exact"/>
        <w:ind w:firstLine="720"/>
        <w:jc w:val="both"/>
      </w:pPr>
      <w:r>
        <w:rPr>
          <w:sz w:val="28"/>
          <w:szCs w:val="28"/>
          <w:lang w:val="be-BY"/>
        </w:rPr>
        <w:t xml:space="preserve">Общо участията на Окръжна прокуратура в съдебни заседания са </w:t>
      </w:r>
      <w:r>
        <w:rPr>
          <w:sz w:val="28"/>
          <w:szCs w:val="28"/>
        </w:rPr>
        <w:t>25</w:t>
      </w:r>
      <w:r>
        <w:rPr>
          <w:sz w:val="28"/>
          <w:szCs w:val="28"/>
          <w:lang w:val="be-BY"/>
        </w:rPr>
        <w:t xml:space="preserve"> по 54 преписки на Окръжна прокуратура – Сливен с международен елемент, като в така посочените данни не са включени участията в съдебни заседания и броя на преписките, образувани в ОП – Сливен, свързани с наложени финансови санкции от компетентните органи на държавите-членки на ЕС.  </w:t>
      </w:r>
    </w:p>
    <w:p w:rsidR="001E5557" w:rsidRDefault="001E5557" w:rsidP="001E5557"/>
    <w:p w:rsidR="008D3C23" w:rsidRDefault="008D3C23" w:rsidP="00BD0C3C">
      <w:pPr>
        <w:spacing w:line="320" w:lineRule="exact"/>
        <w:ind w:firstLine="567"/>
        <w:jc w:val="both"/>
        <w:rPr>
          <w:b/>
          <w:sz w:val="28"/>
          <w:szCs w:val="28"/>
          <w:lang w:val="en-US"/>
        </w:rPr>
      </w:pPr>
    </w:p>
    <w:p w:rsidR="008D3C23" w:rsidRDefault="008D3C23" w:rsidP="00BD0C3C">
      <w:pPr>
        <w:spacing w:line="320" w:lineRule="exact"/>
        <w:ind w:firstLine="567"/>
        <w:jc w:val="both"/>
        <w:rPr>
          <w:b/>
          <w:sz w:val="28"/>
          <w:szCs w:val="28"/>
          <w:lang w:val="en-US"/>
        </w:rPr>
      </w:pPr>
    </w:p>
    <w:p w:rsidR="008D3C23" w:rsidRDefault="008D3C23" w:rsidP="00BD0C3C">
      <w:pPr>
        <w:spacing w:line="320" w:lineRule="exact"/>
        <w:ind w:firstLine="567"/>
        <w:jc w:val="both"/>
        <w:rPr>
          <w:b/>
          <w:sz w:val="28"/>
          <w:szCs w:val="28"/>
          <w:lang w:val="en-US"/>
        </w:rPr>
      </w:pPr>
    </w:p>
    <w:p w:rsidR="00BD0C3C" w:rsidRDefault="00BD0C3C" w:rsidP="00BD0C3C">
      <w:pPr>
        <w:spacing w:line="320" w:lineRule="exact"/>
        <w:ind w:firstLine="567"/>
        <w:jc w:val="both"/>
        <w:rPr>
          <w:b/>
          <w:sz w:val="28"/>
          <w:szCs w:val="28"/>
        </w:rPr>
      </w:pPr>
      <w:r>
        <w:rPr>
          <w:b/>
          <w:sz w:val="28"/>
          <w:szCs w:val="28"/>
        </w:rPr>
        <w:lastRenderedPageBreak/>
        <w:t>V</w:t>
      </w:r>
      <w:r w:rsidR="008D3C23">
        <w:rPr>
          <w:b/>
          <w:sz w:val="28"/>
          <w:szCs w:val="28"/>
          <w:lang w:val="en-US"/>
        </w:rPr>
        <w:t>I</w:t>
      </w:r>
      <w:r>
        <w:rPr>
          <w:b/>
          <w:sz w:val="28"/>
          <w:szCs w:val="28"/>
        </w:rPr>
        <w:t>. АДМИНИСТРАТИВНА И КОНТРОЛНО-РЕВИЗИОННА ДЕЙНОСТ</w:t>
      </w:r>
    </w:p>
    <w:p w:rsidR="00BD0C3C" w:rsidRDefault="00BD0C3C" w:rsidP="00BD0C3C">
      <w:pPr>
        <w:spacing w:line="320" w:lineRule="exact"/>
        <w:ind w:firstLine="567"/>
        <w:jc w:val="both"/>
        <w:rPr>
          <w:b/>
          <w:sz w:val="28"/>
          <w:szCs w:val="28"/>
          <w:lang w:val="en-US"/>
        </w:rPr>
      </w:pPr>
    </w:p>
    <w:p w:rsidR="00BD0C3C" w:rsidRDefault="00BD0C3C" w:rsidP="00BD0C3C">
      <w:pPr>
        <w:spacing w:line="320" w:lineRule="exact"/>
        <w:ind w:firstLine="567"/>
        <w:jc w:val="both"/>
        <w:rPr>
          <w:b/>
          <w:sz w:val="28"/>
          <w:szCs w:val="28"/>
        </w:rPr>
      </w:pPr>
      <w:r>
        <w:rPr>
          <w:b/>
          <w:sz w:val="28"/>
          <w:szCs w:val="28"/>
        </w:rPr>
        <w:t xml:space="preserve">Кадрово обезпечаване и квалификация на прокурори и разследващи органи. </w:t>
      </w:r>
    </w:p>
    <w:p w:rsidR="00BD0C3C" w:rsidRDefault="00BD0C3C" w:rsidP="00BD0C3C">
      <w:pPr>
        <w:spacing w:line="360" w:lineRule="exact"/>
        <w:ind w:firstLine="567"/>
        <w:jc w:val="both"/>
        <w:rPr>
          <w:sz w:val="28"/>
          <w:szCs w:val="28"/>
        </w:rPr>
      </w:pPr>
      <w:r>
        <w:rPr>
          <w:sz w:val="28"/>
          <w:szCs w:val="28"/>
        </w:rPr>
        <w:t>В края на отчетната година по щат прокуратурите от Сливенския съдебен регион се състоят от общо 39 магистрати и 56 служители, разпределени, както следва:</w:t>
      </w:r>
    </w:p>
    <w:p w:rsidR="00BD0C3C" w:rsidRDefault="00BD0C3C" w:rsidP="00BD0C3C">
      <w:pPr>
        <w:spacing w:line="360" w:lineRule="exact"/>
        <w:ind w:firstLine="567"/>
        <w:jc w:val="both"/>
        <w:rPr>
          <w:sz w:val="28"/>
          <w:szCs w:val="28"/>
        </w:rPr>
      </w:pPr>
      <w:r>
        <w:rPr>
          <w:sz w:val="28"/>
          <w:szCs w:val="28"/>
        </w:rPr>
        <w:t>Към 31.12.202</w:t>
      </w:r>
      <w:r>
        <w:rPr>
          <w:sz w:val="28"/>
          <w:szCs w:val="28"/>
          <w:lang w:val="en-US"/>
        </w:rPr>
        <w:t>4</w:t>
      </w:r>
      <w:r>
        <w:rPr>
          <w:sz w:val="28"/>
          <w:szCs w:val="28"/>
        </w:rPr>
        <w:t xml:space="preserve"> г. Окръжна прокуратура - Сливен разполага с щат от 11 прокурори, като заети са </w:t>
      </w:r>
      <w:r>
        <w:rPr>
          <w:sz w:val="28"/>
          <w:szCs w:val="28"/>
          <w:lang w:val="en-US"/>
        </w:rPr>
        <w:t>10</w:t>
      </w:r>
      <w:r>
        <w:rPr>
          <w:sz w:val="28"/>
          <w:szCs w:val="28"/>
        </w:rPr>
        <w:t xml:space="preserve"> щатни длъжности. Вакантна е една щатна длъжност, на която е командирован прокурор от РП – Сливен. Щатните бройки за служители в ОП – Сливен са 23, като към 31.12.2024 г. е била налице една незаета щатна длъжност „чистач“. Окръжният следствен отдел при Окръжна прокуратура – Сливен е с щат от 7 магистрати, от които един завеждащ отдела, 3 следователи и 3 младши следователи. Вакантна е една щатна бройка за младши следовател. Утвърдените щатни бройки за съдебни служители в </w:t>
      </w:r>
      <w:proofErr w:type="spellStart"/>
      <w:r>
        <w:rPr>
          <w:sz w:val="28"/>
          <w:szCs w:val="28"/>
        </w:rPr>
        <w:t>ОСлО</w:t>
      </w:r>
      <w:proofErr w:type="spellEnd"/>
      <w:r>
        <w:rPr>
          <w:sz w:val="28"/>
          <w:szCs w:val="28"/>
        </w:rPr>
        <w:t xml:space="preserve"> при ОП-Сливен са били 4, като в края на 2024 г. всички за заети.</w:t>
      </w:r>
    </w:p>
    <w:p w:rsidR="00BD0C3C" w:rsidRDefault="00BD0C3C" w:rsidP="00BD0C3C">
      <w:pPr>
        <w:spacing w:line="360" w:lineRule="exact"/>
        <w:ind w:firstLine="567"/>
        <w:jc w:val="both"/>
        <w:rPr>
          <w:sz w:val="28"/>
          <w:szCs w:val="28"/>
        </w:rPr>
      </w:pPr>
      <w:r>
        <w:rPr>
          <w:sz w:val="28"/>
          <w:szCs w:val="28"/>
        </w:rPr>
        <w:t>Към 31.12.2024 г. щатното разписание на РП – Сливен за прокурори е 21 бройки, от които незаети една щатна бройка за прокурор и една щатна бройка за младши прокурор. Реално работили са 16 прокурори и 2 младши прокурори, т.к. един прокурор е командирован в ОП-Сливен.</w:t>
      </w:r>
    </w:p>
    <w:p w:rsidR="00BD0C3C" w:rsidRDefault="00BD0C3C" w:rsidP="00BD0C3C">
      <w:pPr>
        <w:spacing w:line="360" w:lineRule="exact"/>
        <w:ind w:firstLine="567"/>
        <w:jc w:val="both"/>
        <w:rPr>
          <w:sz w:val="28"/>
          <w:szCs w:val="28"/>
        </w:rPr>
      </w:pPr>
      <w:r>
        <w:rPr>
          <w:sz w:val="28"/>
          <w:szCs w:val="28"/>
        </w:rPr>
        <w:t>Към края на 2024 г. по щатно разписание за РП – Сливен има общо 29 бройки за служители, като няма незаети щатни длъжности.</w:t>
      </w:r>
    </w:p>
    <w:p w:rsidR="00BD0C3C" w:rsidRDefault="00BD0C3C" w:rsidP="00BD0C3C">
      <w:pPr>
        <w:spacing w:line="360" w:lineRule="exact"/>
        <w:ind w:firstLine="567"/>
        <w:jc w:val="both"/>
        <w:rPr>
          <w:sz w:val="28"/>
          <w:szCs w:val="28"/>
        </w:rPr>
      </w:pPr>
    </w:p>
    <w:p w:rsidR="00BD0C3C" w:rsidRDefault="00BD0C3C" w:rsidP="00BD0C3C">
      <w:pPr>
        <w:pStyle w:val="a5"/>
        <w:spacing w:after="0" w:line="360" w:lineRule="exact"/>
        <w:ind w:firstLine="708"/>
        <w:jc w:val="both"/>
        <w:rPr>
          <w:b/>
          <w:i/>
          <w:sz w:val="28"/>
          <w:szCs w:val="28"/>
          <w:u w:val="single"/>
          <w:lang w:val="be-BY"/>
        </w:rPr>
      </w:pPr>
      <w:r>
        <w:rPr>
          <w:b/>
          <w:i/>
          <w:sz w:val="28"/>
          <w:szCs w:val="28"/>
          <w:u w:val="single"/>
          <w:lang w:val="be-BY"/>
        </w:rPr>
        <w:t>Съотнощението на магистрати и служители по щат общо за района и по прокуратури представено в табличен и графичен вид е следното:</w:t>
      </w:r>
    </w:p>
    <w:p w:rsidR="00BD0C3C" w:rsidRDefault="00BD0C3C" w:rsidP="00BD0C3C">
      <w:pPr>
        <w:spacing w:line="320" w:lineRule="exact"/>
        <w:ind w:firstLine="567"/>
        <w:jc w:val="both"/>
        <w:rPr>
          <w:sz w:val="28"/>
          <w:szCs w:val="28"/>
        </w:rPr>
      </w:pPr>
    </w:p>
    <w:tbl>
      <w:tblPr>
        <w:tblW w:w="6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0"/>
        <w:gridCol w:w="1562"/>
        <w:gridCol w:w="1486"/>
        <w:gridCol w:w="1788"/>
      </w:tblGrid>
      <w:tr w:rsidR="00BD0C3C" w:rsidTr="00BD0C3C">
        <w:trPr>
          <w:trHeight w:val="430"/>
          <w:jc w:val="center"/>
        </w:trPr>
        <w:tc>
          <w:tcPr>
            <w:tcW w:w="169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BD0C3C" w:rsidRDefault="00BD0C3C">
            <w:pPr>
              <w:spacing w:line="320" w:lineRule="exact"/>
              <w:rPr>
                <w:sz w:val="28"/>
                <w:szCs w:val="28"/>
                <w:lang w:eastAsia="en-US"/>
              </w:rPr>
            </w:pPr>
            <w:r>
              <w:rPr>
                <w:sz w:val="28"/>
                <w:szCs w:val="28"/>
                <w:lang w:eastAsia="en-US"/>
              </w:rPr>
              <w:t>Прокуратура</w:t>
            </w:r>
          </w:p>
        </w:tc>
        <w:tc>
          <w:tcPr>
            <w:tcW w:w="1562"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BD0C3C" w:rsidRDefault="00BD0C3C">
            <w:pPr>
              <w:spacing w:line="320" w:lineRule="exact"/>
              <w:rPr>
                <w:sz w:val="28"/>
                <w:szCs w:val="28"/>
                <w:lang w:eastAsia="en-US"/>
              </w:rPr>
            </w:pPr>
            <w:r>
              <w:rPr>
                <w:sz w:val="28"/>
                <w:szCs w:val="28"/>
                <w:lang w:eastAsia="en-US"/>
              </w:rPr>
              <w:t>Магистрати</w:t>
            </w:r>
          </w:p>
        </w:tc>
        <w:tc>
          <w:tcPr>
            <w:tcW w:w="148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BD0C3C" w:rsidRDefault="00BD0C3C">
            <w:pPr>
              <w:spacing w:line="320" w:lineRule="exact"/>
              <w:rPr>
                <w:sz w:val="28"/>
                <w:szCs w:val="28"/>
                <w:lang w:eastAsia="en-US"/>
              </w:rPr>
            </w:pPr>
            <w:r>
              <w:rPr>
                <w:sz w:val="28"/>
                <w:szCs w:val="28"/>
                <w:lang w:eastAsia="en-US"/>
              </w:rPr>
              <w:t>Служители</w:t>
            </w:r>
          </w:p>
        </w:tc>
        <w:tc>
          <w:tcPr>
            <w:tcW w:w="178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BD0C3C" w:rsidRDefault="00BD0C3C">
            <w:pPr>
              <w:spacing w:line="320" w:lineRule="exact"/>
              <w:rPr>
                <w:sz w:val="28"/>
                <w:szCs w:val="28"/>
                <w:lang w:eastAsia="en-US"/>
              </w:rPr>
            </w:pPr>
            <w:r>
              <w:rPr>
                <w:sz w:val="28"/>
                <w:szCs w:val="28"/>
                <w:lang w:eastAsia="en-US"/>
              </w:rPr>
              <w:t>Съотношение</w:t>
            </w:r>
          </w:p>
        </w:tc>
      </w:tr>
      <w:tr w:rsidR="00BD0C3C" w:rsidTr="00BD0C3C">
        <w:trPr>
          <w:trHeight w:val="430"/>
          <w:jc w:val="center"/>
        </w:trPr>
        <w:tc>
          <w:tcPr>
            <w:tcW w:w="169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BD0C3C" w:rsidRDefault="00BD0C3C">
            <w:pPr>
              <w:spacing w:line="320" w:lineRule="exact"/>
              <w:rPr>
                <w:sz w:val="28"/>
                <w:szCs w:val="28"/>
                <w:lang w:eastAsia="en-US"/>
              </w:rPr>
            </w:pPr>
            <w:r>
              <w:rPr>
                <w:sz w:val="28"/>
                <w:szCs w:val="28"/>
                <w:lang w:eastAsia="en-US"/>
              </w:rPr>
              <w:t>ОП-Сливен</w:t>
            </w:r>
          </w:p>
        </w:tc>
        <w:tc>
          <w:tcPr>
            <w:tcW w:w="1562" w:type="dxa"/>
            <w:tcBorders>
              <w:top w:val="single" w:sz="4" w:space="0" w:color="auto"/>
              <w:left w:val="single" w:sz="4" w:space="0" w:color="auto"/>
              <w:bottom w:val="single" w:sz="4" w:space="0" w:color="auto"/>
              <w:right w:val="single" w:sz="4" w:space="0" w:color="auto"/>
            </w:tcBorders>
            <w:noWrap/>
            <w:vAlign w:val="center"/>
            <w:hideMark/>
          </w:tcPr>
          <w:p w:rsidR="00BD0C3C" w:rsidRDefault="00BD0C3C">
            <w:pPr>
              <w:spacing w:line="320" w:lineRule="exact"/>
              <w:jc w:val="right"/>
              <w:rPr>
                <w:sz w:val="28"/>
                <w:szCs w:val="28"/>
                <w:lang w:eastAsia="en-US"/>
              </w:rPr>
            </w:pPr>
            <w:r>
              <w:rPr>
                <w:sz w:val="28"/>
                <w:szCs w:val="28"/>
                <w:lang w:eastAsia="en-US"/>
              </w:rPr>
              <w:t>18</w:t>
            </w:r>
          </w:p>
        </w:tc>
        <w:tc>
          <w:tcPr>
            <w:tcW w:w="1486" w:type="dxa"/>
            <w:tcBorders>
              <w:top w:val="single" w:sz="4" w:space="0" w:color="auto"/>
              <w:left w:val="single" w:sz="4" w:space="0" w:color="auto"/>
              <w:bottom w:val="single" w:sz="4" w:space="0" w:color="auto"/>
              <w:right w:val="single" w:sz="4" w:space="0" w:color="auto"/>
            </w:tcBorders>
            <w:noWrap/>
            <w:vAlign w:val="center"/>
            <w:hideMark/>
          </w:tcPr>
          <w:p w:rsidR="00BD0C3C" w:rsidRDefault="00BD0C3C">
            <w:pPr>
              <w:spacing w:line="320" w:lineRule="exact"/>
              <w:jc w:val="right"/>
              <w:rPr>
                <w:sz w:val="28"/>
                <w:szCs w:val="28"/>
                <w:lang w:eastAsia="en-US"/>
              </w:rPr>
            </w:pPr>
            <w:r>
              <w:rPr>
                <w:sz w:val="28"/>
                <w:szCs w:val="28"/>
                <w:lang w:eastAsia="en-US"/>
              </w:rPr>
              <w:t>27</w:t>
            </w:r>
          </w:p>
        </w:tc>
        <w:tc>
          <w:tcPr>
            <w:tcW w:w="1788" w:type="dxa"/>
            <w:tcBorders>
              <w:top w:val="single" w:sz="4" w:space="0" w:color="auto"/>
              <w:left w:val="single" w:sz="4" w:space="0" w:color="auto"/>
              <w:bottom w:val="single" w:sz="4" w:space="0" w:color="auto"/>
              <w:right w:val="single" w:sz="4" w:space="0" w:color="auto"/>
            </w:tcBorders>
            <w:noWrap/>
            <w:vAlign w:val="center"/>
            <w:hideMark/>
          </w:tcPr>
          <w:p w:rsidR="00BD0C3C" w:rsidRDefault="00BD0C3C">
            <w:pPr>
              <w:spacing w:line="320" w:lineRule="exact"/>
              <w:jc w:val="right"/>
              <w:rPr>
                <w:sz w:val="28"/>
                <w:szCs w:val="28"/>
                <w:lang w:eastAsia="en-US"/>
              </w:rPr>
            </w:pPr>
            <w:r>
              <w:rPr>
                <w:sz w:val="28"/>
                <w:szCs w:val="28"/>
                <w:lang w:eastAsia="en-US"/>
              </w:rPr>
              <w:t>1,5</w:t>
            </w:r>
          </w:p>
        </w:tc>
      </w:tr>
      <w:tr w:rsidR="00BD0C3C" w:rsidTr="00BD0C3C">
        <w:trPr>
          <w:trHeight w:val="410"/>
          <w:jc w:val="center"/>
        </w:trPr>
        <w:tc>
          <w:tcPr>
            <w:tcW w:w="169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BD0C3C" w:rsidRDefault="00BD0C3C">
            <w:pPr>
              <w:spacing w:line="320" w:lineRule="exact"/>
              <w:rPr>
                <w:sz w:val="28"/>
                <w:szCs w:val="28"/>
                <w:lang w:eastAsia="en-US"/>
              </w:rPr>
            </w:pPr>
            <w:r>
              <w:rPr>
                <w:sz w:val="28"/>
                <w:szCs w:val="28"/>
                <w:lang w:eastAsia="en-US"/>
              </w:rPr>
              <w:t>РП-Сливен</w:t>
            </w:r>
          </w:p>
        </w:tc>
        <w:tc>
          <w:tcPr>
            <w:tcW w:w="1562" w:type="dxa"/>
            <w:tcBorders>
              <w:top w:val="single" w:sz="4" w:space="0" w:color="auto"/>
              <w:left w:val="single" w:sz="4" w:space="0" w:color="auto"/>
              <w:bottom w:val="single" w:sz="4" w:space="0" w:color="auto"/>
              <w:right w:val="single" w:sz="4" w:space="0" w:color="auto"/>
            </w:tcBorders>
            <w:noWrap/>
            <w:vAlign w:val="center"/>
            <w:hideMark/>
          </w:tcPr>
          <w:p w:rsidR="00BD0C3C" w:rsidRDefault="00BD0C3C">
            <w:pPr>
              <w:spacing w:line="320" w:lineRule="exact"/>
              <w:jc w:val="right"/>
              <w:rPr>
                <w:sz w:val="28"/>
                <w:szCs w:val="28"/>
                <w:lang w:eastAsia="en-US"/>
              </w:rPr>
            </w:pPr>
            <w:r>
              <w:rPr>
                <w:sz w:val="28"/>
                <w:szCs w:val="28"/>
                <w:lang w:eastAsia="en-US"/>
              </w:rPr>
              <w:t>21</w:t>
            </w:r>
          </w:p>
        </w:tc>
        <w:tc>
          <w:tcPr>
            <w:tcW w:w="1486" w:type="dxa"/>
            <w:tcBorders>
              <w:top w:val="single" w:sz="4" w:space="0" w:color="auto"/>
              <w:left w:val="single" w:sz="4" w:space="0" w:color="auto"/>
              <w:bottom w:val="single" w:sz="4" w:space="0" w:color="auto"/>
              <w:right w:val="single" w:sz="4" w:space="0" w:color="auto"/>
            </w:tcBorders>
            <w:noWrap/>
            <w:vAlign w:val="center"/>
            <w:hideMark/>
          </w:tcPr>
          <w:p w:rsidR="00BD0C3C" w:rsidRDefault="00BD0C3C">
            <w:pPr>
              <w:spacing w:line="320" w:lineRule="exact"/>
              <w:jc w:val="right"/>
              <w:rPr>
                <w:sz w:val="28"/>
                <w:szCs w:val="28"/>
                <w:lang w:eastAsia="en-US"/>
              </w:rPr>
            </w:pPr>
            <w:r>
              <w:rPr>
                <w:sz w:val="28"/>
                <w:szCs w:val="28"/>
                <w:lang w:eastAsia="en-US"/>
              </w:rPr>
              <w:t>29</w:t>
            </w:r>
          </w:p>
        </w:tc>
        <w:tc>
          <w:tcPr>
            <w:tcW w:w="1788" w:type="dxa"/>
            <w:tcBorders>
              <w:top w:val="single" w:sz="4" w:space="0" w:color="auto"/>
              <w:left w:val="single" w:sz="4" w:space="0" w:color="auto"/>
              <w:bottom w:val="single" w:sz="4" w:space="0" w:color="auto"/>
              <w:right w:val="single" w:sz="4" w:space="0" w:color="auto"/>
            </w:tcBorders>
            <w:noWrap/>
            <w:vAlign w:val="center"/>
            <w:hideMark/>
          </w:tcPr>
          <w:p w:rsidR="00BD0C3C" w:rsidRDefault="00BD0C3C">
            <w:pPr>
              <w:spacing w:line="320" w:lineRule="exact"/>
              <w:jc w:val="right"/>
              <w:rPr>
                <w:sz w:val="28"/>
                <w:szCs w:val="28"/>
                <w:lang w:eastAsia="en-US"/>
              </w:rPr>
            </w:pPr>
            <w:r>
              <w:rPr>
                <w:sz w:val="28"/>
                <w:szCs w:val="28"/>
                <w:lang w:eastAsia="en-US"/>
              </w:rPr>
              <w:t>1,38</w:t>
            </w:r>
          </w:p>
        </w:tc>
      </w:tr>
      <w:tr w:rsidR="00BD0C3C" w:rsidRPr="000B216A" w:rsidTr="00BD0C3C">
        <w:trPr>
          <w:trHeight w:val="410"/>
          <w:jc w:val="center"/>
        </w:trPr>
        <w:tc>
          <w:tcPr>
            <w:tcW w:w="169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BD0C3C" w:rsidRPr="000B216A" w:rsidRDefault="00BD0C3C">
            <w:pPr>
              <w:spacing w:line="320" w:lineRule="exact"/>
              <w:rPr>
                <w:b/>
                <w:sz w:val="28"/>
                <w:szCs w:val="28"/>
                <w:lang w:eastAsia="en-US"/>
              </w:rPr>
            </w:pPr>
            <w:r w:rsidRPr="000B216A">
              <w:rPr>
                <w:b/>
                <w:sz w:val="28"/>
                <w:szCs w:val="28"/>
                <w:lang w:eastAsia="en-US"/>
              </w:rPr>
              <w:t>Общо за региона</w:t>
            </w:r>
          </w:p>
        </w:tc>
        <w:tc>
          <w:tcPr>
            <w:tcW w:w="1562" w:type="dxa"/>
            <w:tcBorders>
              <w:top w:val="single" w:sz="4" w:space="0" w:color="auto"/>
              <w:left w:val="single" w:sz="4" w:space="0" w:color="auto"/>
              <w:bottom w:val="single" w:sz="4" w:space="0" w:color="auto"/>
              <w:right w:val="single" w:sz="4" w:space="0" w:color="auto"/>
            </w:tcBorders>
            <w:noWrap/>
            <w:vAlign w:val="center"/>
            <w:hideMark/>
          </w:tcPr>
          <w:p w:rsidR="00BD0C3C" w:rsidRPr="000B216A" w:rsidRDefault="00BD0C3C">
            <w:pPr>
              <w:spacing w:line="320" w:lineRule="exact"/>
              <w:jc w:val="right"/>
              <w:rPr>
                <w:b/>
                <w:sz w:val="28"/>
                <w:szCs w:val="28"/>
                <w:lang w:eastAsia="en-US"/>
              </w:rPr>
            </w:pPr>
            <w:r w:rsidRPr="000B216A">
              <w:rPr>
                <w:b/>
                <w:sz w:val="28"/>
                <w:szCs w:val="28"/>
                <w:lang w:eastAsia="en-US"/>
              </w:rPr>
              <w:t>39</w:t>
            </w:r>
          </w:p>
        </w:tc>
        <w:tc>
          <w:tcPr>
            <w:tcW w:w="1486" w:type="dxa"/>
            <w:tcBorders>
              <w:top w:val="single" w:sz="4" w:space="0" w:color="auto"/>
              <w:left w:val="single" w:sz="4" w:space="0" w:color="auto"/>
              <w:bottom w:val="single" w:sz="4" w:space="0" w:color="auto"/>
              <w:right w:val="single" w:sz="4" w:space="0" w:color="auto"/>
            </w:tcBorders>
            <w:noWrap/>
            <w:vAlign w:val="center"/>
            <w:hideMark/>
          </w:tcPr>
          <w:p w:rsidR="00BD0C3C" w:rsidRPr="000B216A" w:rsidRDefault="00BD0C3C">
            <w:pPr>
              <w:spacing w:line="320" w:lineRule="exact"/>
              <w:jc w:val="right"/>
              <w:rPr>
                <w:b/>
                <w:sz w:val="28"/>
                <w:szCs w:val="28"/>
                <w:lang w:eastAsia="en-US"/>
              </w:rPr>
            </w:pPr>
            <w:r w:rsidRPr="000B216A">
              <w:rPr>
                <w:b/>
                <w:sz w:val="28"/>
                <w:szCs w:val="28"/>
                <w:lang w:eastAsia="en-US"/>
              </w:rPr>
              <w:t>56</w:t>
            </w:r>
          </w:p>
        </w:tc>
        <w:tc>
          <w:tcPr>
            <w:tcW w:w="1788" w:type="dxa"/>
            <w:tcBorders>
              <w:top w:val="single" w:sz="4" w:space="0" w:color="auto"/>
              <w:left w:val="single" w:sz="4" w:space="0" w:color="auto"/>
              <w:bottom w:val="single" w:sz="4" w:space="0" w:color="auto"/>
              <w:right w:val="single" w:sz="4" w:space="0" w:color="auto"/>
            </w:tcBorders>
            <w:noWrap/>
            <w:vAlign w:val="center"/>
            <w:hideMark/>
          </w:tcPr>
          <w:p w:rsidR="00BD0C3C" w:rsidRPr="000B216A" w:rsidRDefault="00BD0C3C">
            <w:pPr>
              <w:spacing w:line="320" w:lineRule="exact"/>
              <w:jc w:val="right"/>
              <w:rPr>
                <w:b/>
                <w:sz w:val="28"/>
                <w:szCs w:val="28"/>
                <w:lang w:eastAsia="en-US"/>
              </w:rPr>
            </w:pPr>
            <w:r w:rsidRPr="000B216A">
              <w:rPr>
                <w:b/>
                <w:sz w:val="28"/>
                <w:szCs w:val="28"/>
                <w:lang w:eastAsia="en-US"/>
              </w:rPr>
              <w:t>1,44</w:t>
            </w:r>
          </w:p>
        </w:tc>
      </w:tr>
    </w:tbl>
    <w:p w:rsidR="00BD0C3C" w:rsidRDefault="00BD0C3C" w:rsidP="00BD0C3C">
      <w:pPr>
        <w:spacing w:line="340" w:lineRule="exact"/>
        <w:ind w:firstLine="567"/>
        <w:jc w:val="both"/>
        <w:rPr>
          <w:sz w:val="28"/>
          <w:szCs w:val="28"/>
        </w:rPr>
      </w:pPr>
      <w:r>
        <w:rPr>
          <w:noProof/>
        </w:rPr>
        <w:drawing>
          <wp:inline distT="0" distB="0" distL="0" distR="0" wp14:anchorId="5D873289" wp14:editId="78FCA2DB">
            <wp:extent cx="3507441" cy="2510118"/>
            <wp:effectExtent l="0" t="0" r="0" b="5080"/>
            <wp:docPr id="19" name="Диагра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BD0C3C">
        <w:rPr>
          <w:noProof/>
        </w:rPr>
        <w:t xml:space="preserve"> </w:t>
      </w:r>
      <w:r>
        <w:rPr>
          <w:noProof/>
        </w:rPr>
        <w:drawing>
          <wp:inline distT="0" distB="0" distL="0" distR="0" wp14:anchorId="107F24B7" wp14:editId="1CB4796F">
            <wp:extent cx="3507441" cy="2510118"/>
            <wp:effectExtent l="0" t="0" r="0" b="5080"/>
            <wp:docPr id="20" name="Диагра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D0C3C" w:rsidRDefault="00BD0C3C" w:rsidP="00BD0C3C">
      <w:pPr>
        <w:spacing w:line="360" w:lineRule="exact"/>
        <w:ind w:firstLine="567"/>
        <w:jc w:val="both"/>
        <w:rPr>
          <w:sz w:val="28"/>
          <w:szCs w:val="28"/>
        </w:rPr>
      </w:pPr>
    </w:p>
    <w:p w:rsidR="00BD0C3C" w:rsidRDefault="00BD0C3C" w:rsidP="00BD0C3C">
      <w:pPr>
        <w:spacing w:line="360" w:lineRule="exact"/>
        <w:ind w:firstLine="567"/>
        <w:jc w:val="both"/>
        <w:rPr>
          <w:sz w:val="28"/>
          <w:szCs w:val="28"/>
        </w:rPr>
      </w:pPr>
    </w:p>
    <w:p w:rsidR="00BD0C3C" w:rsidRDefault="00BD0C3C" w:rsidP="00BD0C3C">
      <w:pPr>
        <w:spacing w:line="360" w:lineRule="exact"/>
        <w:ind w:firstLine="567"/>
        <w:jc w:val="both"/>
        <w:rPr>
          <w:sz w:val="28"/>
          <w:szCs w:val="28"/>
        </w:rPr>
      </w:pPr>
    </w:p>
    <w:p w:rsidR="00BD0C3C" w:rsidRDefault="00BD0C3C" w:rsidP="00BD0C3C">
      <w:pPr>
        <w:spacing w:line="360" w:lineRule="exact"/>
        <w:ind w:firstLine="567"/>
        <w:jc w:val="both"/>
        <w:rPr>
          <w:sz w:val="28"/>
          <w:szCs w:val="28"/>
        </w:rPr>
      </w:pPr>
      <w:r>
        <w:rPr>
          <w:noProof/>
        </w:rPr>
        <w:lastRenderedPageBreak/>
        <w:drawing>
          <wp:anchor distT="0" distB="0" distL="114300" distR="114300" simplePos="0" relativeHeight="251688960" behindDoc="0" locked="0" layoutInCell="1" allowOverlap="1" wp14:anchorId="773555B4" wp14:editId="5425E143">
            <wp:simplePos x="0" y="0"/>
            <wp:positionH relativeFrom="column">
              <wp:posOffset>1309370</wp:posOffset>
            </wp:positionH>
            <wp:positionV relativeFrom="paragraph">
              <wp:posOffset>-580390</wp:posOffset>
            </wp:positionV>
            <wp:extent cx="3507105" cy="2509520"/>
            <wp:effectExtent l="0" t="0" r="0" b="5080"/>
            <wp:wrapNone/>
            <wp:docPr id="18" name="Диагра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rsidR="00BD0C3C" w:rsidRDefault="00BD0C3C" w:rsidP="00BD0C3C">
      <w:pPr>
        <w:spacing w:line="360" w:lineRule="exact"/>
        <w:ind w:firstLine="567"/>
        <w:jc w:val="both"/>
        <w:rPr>
          <w:sz w:val="28"/>
          <w:szCs w:val="28"/>
        </w:rPr>
      </w:pPr>
    </w:p>
    <w:p w:rsidR="00BD0C3C" w:rsidRDefault="00BD0C3C" w:rsidP="00BD0C3C">
      <w:pPr>
        <w:spacing w:line="360" w:lineRule="exact"/>
        <w:ind w:firstLine="567"/>
        <w:jc w:val="both"/>
        <w:rPr>
          <w:sz w:val="28"/>
          <w:szCs w:val="28"/>
        </w:rPr>
      </w:pPr>
    </w:p>
    <w:p w:rsidR="00BD0C3C" w:rsidRDefault="00BD0C3C" w:rsidP="00BD0C3C">
      <w:pPr>
        <w:spacing w:line="360" w:lineRule="exact"/>
        <w:ind w:firstLine="567"/>
        <w:jc w:val="both"/>
        <w:rPr>
          <w:sz w:val="28"/>
          <w:szCs w:val="28"/>
        </w:rPr>
      </w:pPr>
    </w:p>
    <w:p w:rsidR="00BD0C3C" w:rsidRDefault="00BD0C3C" w:rsidP="00BD0C3C">
      <w:pPr>
        <w:spacing w:line="360" w:lineRule="exact"/>
        <w:ind w:firstLine="567"/>
        <w:jc w:val="both"/>
        <w:rPr>
          <w:sz w:val="28"/>
          <w:szCs w:val="28"/>
        </w:rPr>
      </w:pPr>
    </w:p>
    <w:p w:rsidR="00BD0C3C" w:rsidRDefault="00BD0C3C" w:rsidP="00BD0C3C">
      <w:pPr>
        <w:spacing w:line="360" w:lineRule="exact"/>
        <w:ind w:firstLine="567"/>
        <w:jc w:val="both"/>
        <w:rPr>
          <w:sz w:val="28"/>
          <w:szCs w:val="28"/>
        </w:rPr>
      </w:pPr>
    </w:p>
    <w:p w:rsidR="00BD0C3C" w:rsidRDefault="00BD0C3C" w:rsidP="00BD0C3C">
      <w:pPr>
        <w:spacing w:line="360" w:lineRule="exact"/>
        <w:ind w:firstLine="567"/>
        <w:jc w:val="both"/>
        <w:rPr>
          <w:sz w:val="28"/>
          <w:szCs w:val="28"/>
        </w:rPr>
      </w:pPr>
    </w:p>
    <w:p w:rsidR="00BD0C3C" w:rsidRDefault="00BD0C3C" w:rsidP="00BD0C3C">
      <w:pPr>
        <w:spacing w:line="360" w:lineRule="exact"/>
        <w:ind w:firstLine="567"/>
        <w:jc w:val="both"/>
        <w:rPr>
          <w:sz w:val="28"/>
          <w:szCs w:val="28"/>
        </w:rPr>
      </w:pPr>
    </w:p>
    <w:p w:rsidR="00BD0C3C" w:rsidRDefault="00BD0C3C" w:rsidP="00BD0C3C">
      <w:pPr>
        <w:spacing w:line="360" w:lineRule="exact"/>
        <w:ind w:firstLine="567"/>
        <w:jc w:val="both"/>
        <w:rPr>
          <w:sz w:val="28"/>
          <w:szCs w:val="28"/>
        </w:rPr>
      </w:pPr>
    </w:p>
    <w:p w:rsidR="00BD0C3C" w:rsidRDefault="00BD0C3C" w:rsidP="00BD0C3C">
      <w:pPr>
        <w:spacing w:line="360" w:lineRule="exact"/>
        <w:ind w:firstLine="567"/>
        <w:jc w:val="both"/>
        <w:rPr>
          <w:sz w:val="28"/>
          <w:szCs w:val="28"/>
        </w:rPr>
      </w:pPr>
      <w:r>
        <w:rPr>
          <w:sz w:val="28"/>
          <w:szCs w:val="28"/>
        </w:rPr>
        <w:t xml:space="preserve">Прокуратурите в системата на Сливенската окръжна прокуратура са щатно обезпечени. </w:t>
      </w:r>
    </w:p>
    <w:p w:rsidR="00BD0C3C" w:rsidRDefault="00BD0C3C" w:rsidP="00BD0C3C">
      <w:pPr>
        <w:spacing w:line="360" w:lineRule="exact"/>
        <w:ind w:firstLine="567"/>
        <w:jc w:val="both"/>
        <w:rPr>
          <w:sz w:val="28"/>
          <w:szCs w:val="28"/>
        </w:rPr>
      </w:pPr>
      <w:r>
        <w:rPr>
          <w:sz w:val="28"/>
          <w:szCs w:val="28"/>
        </w:rPr>
        <w:t xml:space="preserve">Съобразно констатациите за общата натовареност в Районна прокуратура – Сливен, към 31.12.2024 г. наличния щат за прокурори и съдебни служители е оптимален, при условие, че е запълнен. В Районна прокуратура – Сливен текучеството при магистратите е голямо и проблемът с незапълнения щат се дължи на забавянето във времето на провежданите конкурси. Няма проблеми по отношение обезпечеността с разследващите органи. </w:t>
      </w:r>
    </w:p>
    <w:p w:rsidR="001E6789" w:rsidRDefault="001E6789" w:rsidP="00BD0C3C">
      <w:pPr>
        <w:spacing w:line="360" w:lineRule="exact"/>
        <w:ind w:firstLine="567"/>
        <w:jc w:val="both"/>
        <w:rPr>
          <w:sz w:val="28"/>
          <w:szCs w:val="28"/>
        </w:rPr>
      </w:pPr>
    </w:p>
    <w:p w:rsidR="00BD0C3C" w:rsidRPr="001E6789" w:rsidRDefault="00BD0C3C" w:rsidP="00BD0C3C">
      <w:pPr>
        <w:spacing w:line="360" w:lineRule="exact"/>
        <w:ind w:firstLine="567"/>
        <w:jc w:val="both"/>
        <w:rPr>
          <w:b/>
          <w:sz w:val="28"/>
          <w:szCs w:val="28"/>
        </w:rPr>
      </w:pPr>
      <w:r w:rsidRPr="001E6789">
        <w:rPr>
          <w:b/>
          <w:sz w:val="28"/>
          <w:szCs w:val="28"/>
        </w:rPr>
        <w:t>Квалификация на прокурори и служители.</w:t>
      </w:r>
    </w:p>
    <w:p w:rsidR="00BD0C3C" w:rsidRDefault="00BD0C3C" w:rsidP="00BD0C3C">
      <w:pPr>
        <w:spacing w:line="360" w:lineRule="exact"/>
        <w:ind w:firstLine="567"/>
        <w:jc w:val="both"/>
        <w:rPr>
          <w:sz w:val="28"/>
          <w:szCs w:val="28"/>
        </w:rPr>
      </w:pPr>
      <w:r>
        <w:rPr>
          <w:sz w:val="28"/>
          <w:szCs w:val="28"/>
        </w:rPr>
        <w:t xml:space="preserve">Съобразно плана на Окръжна прокуратура – Сливен и Районна прокуратура – Сливен, през отчетната година регулярно са провеждани съвещания съобразени с актуални служебни проблеми. Осигурявано е участието на прокурори и следователи във всички форми на обучение, </w:t>
      </w:r>
      <w:proofErr w:type="spellStart"/>
      <w:r>
        <w:rPr>
          <w:sz w:val="28"/>
          <w:szCs w:val="28"/>
        </w:rPr>
        <w:t>разпоредени</w:t>
      </w:r>
      <w:proofErr w:type="spellEnd"/>
      <w:r>
        <w:rPr>
          <w:sz w:val="28"/>
          <w:szCs w:val="28"/>
        </w:rPr>
        <w:t xml:space="preserve"> и организирани от ВКП и НИП по различни вътрешни и международни проекти. </w:t>
      </w:r>
    </w:p>
    <w:p w:rsidR="00BD0C3C" w:rsidRDefault="00BD0C3C" w:rsidP="00BD0C3C">
      <w:pPr>
        <w:spacing w:line="360" w:lineRule="exact"/>
        <w:ind w:firstLine="567"/>
        <w:jc w:val="both"/>
        <w:rPr>
          <w:sz w:val="28"/>
          <w:szCs w:val="28"/>
        </w:rPr>
      </w:pPr>
      <w:r>
        <w:rPr>
          <w:sz w:val="28"/>
          <w:szCs w:val="28"/>
        </w:rPr>
        <w:t>През 2024 г. прокурорите от ОП-Сливен са взели участвали в 8 обучителни семинара, а 5 следователи в 7 обучителни семинара. През 2024 г. служителите от ОП – Сливен са участвали в 16 обучителни семинара.</w:t>
      </w:r>
      <w:r>
        <w:rPr>
          <w:color w:val="FF0000"/>
          <w:sz w:val="28"/>
          <w:szCs w:val="28"/>
        </w:rPr>
        <w:t xml:space="preserve"> </w:t>
      </w:r>
      <w:r>
        <w:rPr>
          <w:sz w:val="28"/>
          <w:szCs w:val="28"/>
        </w:rPr>
        <w:t xml:space="preserve">За отчетната година прокурорите и служителите при РП – Сливен са взели участие общо в 11 обучителни мероприятия, организирани извън РП – Сливен и ОП – Сливен. </w:t>
      </w:r>
    </w:p>
    <w:p w:rsidR="00BD0C3C" w:rsidRDefault="001E6789" w:rsidP="00BD0C3C">
      <w:pPr>
        <w:spacing w:line="360" w:lineRule="exact"/>
        <w:ind w:firstLine="567"/>
        <w:jc w:val="both"/>
        <w:rPr>
          <w:sz w:val="28"/>
          <w:szCs w:val="28"/>
        </w:rPr>
      </w:pPr>
      <w:r>
        <w:rPr>
          <w:sz w:val="28"/>
          <w:szCs w:val="28"/>
        </w:rPr>
        <w:t>Прокурор</w:t>
      </w:r>
      <w:r w:rsidR="00BD0C3C">
        <w:rPr>
          <w:sz w:val="28"/>
          <w:szCs w:val="28"/>
        </w:rPr>
        <w:t xml:space="preserve"> В. Калайджиева от ОП - Сливен е взела участие в семинар</w:t>
      </w:r>
      <w:r>
        <w:rPr>
          <w:sz w:val="28"/>
          <w:szCs w:val="28"/>
        </w:rPr>
        <w:t>,</w:t>
      </w:r>
      <w:r w:rsidR="00BD0C3C">
        <w:rPr>
          <w:sz w:val="28"/>
          <w:szCs w:val="28"/>
        </w:rPr>
        <w:t xml:space="preserve"> като лектор пред студентите от Центъра по юридически науки при БСУ</w:t>
      </w:r>
      <w:r>
        <w:rPr>
          <w:sz w:val="28"/>
          <w:szCs w:val="28"/>
        </w:rPr>
        <w:t>,</w:t>
      </w:r>
      <w:r w:rsidR="00BD0C3C">
        <w:rPr>
          <w:sz w:val="28"/>
          <w:szCs w:val="28"/>
        </w:rPr>
        <w:t xml:space="preserve"> на тема „Наркотиците – лесният начин да загубиш свободата си. Престъпления, извършени от </w:t>
      </w:r>
      <w:proofErr w:type="spellStart"/>
      <w:r w:rsidR="00BD0C3C">
        <w:rPr>
          <w:sz w:val="28"/>
          <w:szCs w:val="28"/>
        </w:rPr>
        <w:t>наркозависими</w:t>
      </w:r>
      <w:proofErr w:type="spellEnd"/>
      <w:r w:rsidR="00BD0C3C">
        <w:rPr>
          <w:sz w:val="28"/>
          <w:szCs w:val="28"/>
        </w:rPr>
        <w:t xml:space="preserve"> лица“</w:t>
      </w:r>
      <w:r>
        <w:rPr>
          <w:sz w:val="28"/>
          <w:szCs w:val="28"/>
        </w:rPr>
        <w:t>.</w:t>
      </w:r>
    </w:p>
    <w:p w:rsidR="001E6789" w:rsidRDefault="001E6789" w:rsidP="00BD0C3C">
      <w:pPr>
        <w:spacing w:line="360" w:lineRule="exact"/>
        <w:ind w:firstLine="567"/>
        <w:jc w:val="both"/>
        <w:rPr>
          <w:sz w:val="28"/>
          <w:szCs w:val="28"/>
        </w:rPr>
      </w:pPr>
    </w:p>
    <w:p w:rsidR="008D3C23" w:rsidRDefault="008D3C23" w:rsidP="00BD0C3C">
      <w:pPr>
        <w:spacing w:line="360" w:lineRule="exact"/>
        <w:ind w:firstLine="567"/>
        <w:jc w:val="both"/>
        <w:rPr>
          <w:b/>
          <w:sz w:val="28"/>
          <w:szCs w:val="28"/>
          <w:lang w:val="en-US"/>
        </w:rPr>
      </w:pPr>
    </w:p>
    <w:p w:rsidR="00BD0C3C" w:rsidRPr="001E6789" w:rsidRDefault="00BD0C3C" w:rsidP="00BD0C3C">
      <w:pPr>
        <w:spacing w:line="360" w:lineRule="exact"/>
        <w:ind w:firstLine="567"/>
        <w:jc w:val="both"/>
        <w:rPr>
          <w:b/>
          <w:sz w:val="28"/>
          <w:szCs w:val="28"/>
        </w:rPr>
      </w:pPr>
      <w:r w:rsidRPr="001E6789">
        <w:rPr>
          <w:b/>
          <w:sz w:val="28"/>
          <w:szCs w:val="28"/>
        </w:rPr>
        <w:lastRenderedPageBreak/>
        <w:t xml:space="preserve">Проверки и ревизии. Образувани дисциплинарни и наказателни производства срещу магистрати. Наложени наказания на прокурори. </w:t>
      </w:r>
    </w:p>
    <w:p w:rsidR="00BD0C3C" w:rsidRDefault="00BD0C3C" w:rsidP="00BD0C3C">
      <w:pPr>
        <w:spacing w:line="360" w:lineRule="exact"/>
        <w:ind w:firstLine="567"/>
        <w:jc w:val="both"/>
        <w:rPr>
          <w:sz w:val="28"/>
          <w:szCs w:val="28"/>
        </w:rPr>
      </w:pPr>
      <w:r>
        <w:rPr>
          <w:sz w:val="28"/>
          <w:szCs w:val="28"/>
        </w:rPr>
        <w:t>В изпълнение на Плана за дейността на прокуратурите от системата на ОП-Сливен, въведен в действие със Заповед № РД-04-13/02.</w:t>
      </w:r>
      <w:proofErr w:type="spellStart"/>
      <w:r>
        <w:rPr>
          <w:sz w:val="28"/>
          <w:szCs w:val="28"/>
        </w:rPr>
        <w:t>02</w:t>
      </w:r>
      <w:proofErr w:type="spellEnd"/>
      <w:r>
        <w:rPr>
          <w:sz w:val="28"/>
          <w:szCs w:val="28"/>
        </w:rPr>
        <w:t>.2024 г., изм. и доп. със Заповеди №</w:t>
      </w:r>
      <w:r w:rsidR="00E373B1">
        <w:rPr>
          <w:sz w:val="28"/>
          <w:szCs w:val="28"/>
        </w:rPr>
        <w:t xml:space="preserve"> </w:t>
      </w:r>
      <w:r>
        <w:rPr>
          <w:sz w:val="28"/>
          <w:szCs w:val="28"/>
        </w:rPr>
        <w:t>04-27/</w:t>
      </w:r>
      <w:r w:rsidR="00E373B1">
        <w:rPr>
          <w:sz w:val="28"/>
          <w:szCs w:val="28"/>
        </w:rPr>
        <w:t xml:space="preserve"> </w:t>
      </w:r>
      <w:r>
        <w:rPr>
          <w:sz w:val="28"/>
          <w:szCs w:val="28"/>
        </w:rPr>
        <w:t>12.03.2024 г. на административен ръководител – окръжен прокурор на ОП-Сливен са извършени следните проверки в Районна прокуратура – Сливен:</w:t>
      </w:r>
    </w:p>
    <w:p w:rsidR="00BD0C3C" w:rsidRDefault="00BD0C3C" w:rsidP="00BD0C3C">
      <w:pPr>
        <w:spacing w:line="360" w:lineRule="exact"/>
        <w:ind w:firstLine="567"/>
        <w:jc w:val="both"/>
        <w:rPr>
          <w:sz w:val="28"/>
          <w:szCs w:val="28"/>
        </w:rPr>
      </w:pPr>
      <w:r>
        <w:rPr>
          <w:sz w:val="28"/>
          <w:szCs w:val="28"/>
        </w:rPr>
        <w:t>-</w:t>
      </w:r>
      <w:r>
        <w:rPr>
          <w:sz w:val="28"/>
          <w:szCs w:val="28"/>
        </w:rPr>
        <w:tab/>
        <w:t>комплексна ревизия на дейността на Районна прокуратура - Сливен и териториалните отделения в гр. Котел и гр. Нова Загора за 2023 г.</w:t>
      </w:r>
    </w:p>
    <w:p w:rsidR="00BD0C3C" w:rsidRDefault="00BD0C3C" w:rsidP="00BD0C3C">
      <w:pPr>
        <w:spacing w:line="360" w:lineRule="exact"/>
        <w:ind w:firstLine="567"/>
        <w:jc w:val="both"/>
        <w:rPr>
          <w:sz w:val="28"/>
          <w:szCs w:val="28"/>
        </w:rPr>
      </w:pPr>
      <w:r>
        <w:rPr>
          <w:sz w:val="28"/>
          <w:szCs w:val="28"/>
        </w:rPr>
        <w:t>-</w:t>
      </w:r>
      <w:r>
        <w:rPr>
          <w:sz w:val="28"/>
          <w:szCs w:val="28"/>
        </w:rPr>
        <w:tab/>
        <w:t xml:space="preserve">три проверки на </w:t>
      </w:r>
      <w:proofErr w:type="spellStart"/>
      <w:r>
        <w:rPr>
          <w:sz w:val="28"/>
          <w:szCs w:val="28"/>
        </w:rPr>
        <w:t>срочността</w:t>
      </w:r>
      <w:proofErr w:type="spellEnd"/>
      <w:r>
        <w:rPr>
          <w:sz w:val="28"/>
          <w:szCs w:val="28"/>
        </w:rPr>
        <w:t xml:space="preserve"> на назначените проверки, на основание чл. 145 ал.2 от ЗСВ;</w:t>
      </w:r>
    </w:p>
    <w:p w:rsidR="00BD0C3C" w:rsidRDefault="00BD0C3C" w:rsidP="00BD0C3C">
      <w:pPr>
        <w:spacing w:line="360" w:lineRule="exact"/>
        <w:ind w:firstLine="567"/>
        <w:jc w:val="both"/>
        <w:rPr>
          <w:sz w:val="28"/>
          <w:szCs w:val="28"/>
        </w:rPr>
      </w:pPr>
      <w:r>
        <w:rPr>
          <w:sz w:val="28"/>
          <w:szCs w:val="28"/>
        </w:rPr>
        <w:t>- една проверка на всички неприключени досъдебни производства на Районна прокуратура – Сливен</w:t>
      </w:r>
      <w:r w:rsidR="001E6789">
        <w:rPr>
          <w:sz w:val="28"/>
          <w:szCs w:val="28"/>
        </w:rPr>
        <w:t>,</w:t>
      </w:r>
      <w:r>
        <w:rPr>
          <w:sz w:val="28"/>
          <w:szCs w:val="28"/>
        </w:rPr>
        <w:t xml:space="preserve"> с изтекъл 5 и повече години срок на разследване;</w:t>
      </w:r>
    </w:p>
    <w:p w:rsidR="00BD0C3C" w:rsidRDefault="00BD0C3C" w:rsidP="00BD0C3C">
      <w:pPr>
        <w:spacing w:line="360" w:lineRule="exact"/>
        <w:ind w:firstLine="567"/>
        <w:jc w:val="both"/>
        <w:rPr>
          <w:sz w:val="28"/>
          <w:szCs w:val="28"/>
        </w:rPr>
      </w:pPr>
      <w:r>
        <w:rPr>
          <w:sz w:val="28"/>
          <w:szCs w:val="28"/>
        </w:rPr>
        <w:t>- една проверка на спрените досъдебни производства на основание чл. 244 ал.1 т.3 от НПК;</w:t>
      </w:r>
    </w:p>
    <w:p w:rsidR="00BD0C3C" w:rsidRDefault="00BD0C3C" w:rsidP="00BD0C3C">
      <w:pPr>
        <w:spacing w:line="360" w:lineRule="exact"/>
        <w:ind w:firstLine="567"/>
        <w:jc w:val="both"/>
        <w:rPr>
          <w:sz w:val="28"/>
          <w:szCs w:val="28"/>
        </w:rPr>
      </w:pPr>
      <w:r>
        <w:rPr>
          <w:sz w:val="28"/>
          <w:szCs w:val="28"/>
        </w:rPr>
        <w:t>- една проверка по досъдебните производства, по които е постъпило искане за връщане на веществени доказателства,</w:t>
      </w:r>
      <w:r w:rsidR="001E6789">
        <w:rPr>
          <w:sz w:val="28"/>
          <w:szCs w:val="28"/>
        </w:rPr>
        <w:t xml:space="preserve"> с цел установяване</w:t>
      </w:r>
      <w:r>
        <w:rPr>
          <w:sz w:val="28"/>
          <w:szCs w:val="28"/>
        </w:rPr>
        <w:t xml:space="preserve"> дали наблюдаващите прокурори се произнасят с постановления</w:t>
      </w:r>
      <w:r w:rsidR="001E6789">
        <w:rPr>
          <w:sz w:val="28"/>
          <w:szCs w:val="28"/>
        </w:rPr>
        <w:t>,</w:t>
      </w:r>
      <w:r>
        <w:rPr>
          <w:sz w:val="28"/>
          <w:szCs w:val="28"/>
        </w:rPr>
        <w:t xml:space="preserve"> в съответствие с разп</w:t>
      </w:r>
      <w:r w:rsidR="001E6789">
        <w:rPr>
          <w:sz w:val="28"/>
          <w:szCs w:val="28"/>
        </w:rPr>
        <w:t>оредбите на чл. 199 ал.1 от НПК;</w:t>
      </w:r>
    </w:p>
    <w:p w:rsidR="00BD0C3C" w:rsidRDefault="00BD0C3C" w:rsidP="00BD0C3C">
      <w:pPr>
        <w:spacing w:line="360" w:lineRule="exact"/>
        <w:ind w:firstLine="567"/>
        <w:jc w:val="both"/>
        <w:rPr>
          <w:sz w:val="28"/>
          <w:szCs w:val="28"/>
        </w:rPr>
      </w:pPr>
      <w:r>
        <w:rPr>
          <w:sz w:val="28"/>
          <w:szCs w:val="28"/>
        </w:rPr>
        <w:t>- една проверка по прилагането на чл. 83а-е от ЗАНН;</w:t>
      </w:r>
    </w:p>
    <w:p w:rsidR="00BD0C3C" w:rsidRDefault="00BD0C3C" w:rsidP="00BD0C3C">
      <w:pPr>
        <w:spacing w:line="360" w:lineRule="exact"/>
        <w:ind w:firstLine="567"/>
        <w:jc w:val="both"/>
        <w:rPr>
          <w:sz w:val="28"/>
          <w:szCs w:val="28"/>
        </w:rPr>
      </w:pPr>
      <w:r>
        <w:rPr>
          <w:sz w:val="28"/>
          <w:szCs w:val="28"/>
        </w:rPr>
        <w:t>- комплексна проверка по гражданско-съдебния надзор, относно дейността на Районна прокуратура – Сливен по надзора</w:t>
      </w:r>
      <w:r w:rsidR="001E6789">
        <w:rPr>
          <w:sz w:val="28"/>
          <w:szCs w:val="28"/>
        </w:rPr>
        <w:t>;</w:t>
      </w:r>
    </w:p>
    <w:p w:rsidR="00BD0C3C" w:rsidRDefault="00BD0C3C" w:rsidP="00BD0C3C">
      <w:pPr>
        <w:spacing w:line="360" w:lineRule="exact"/>
        <w:ind w:firstLine="567"/>
        <w:jc w:val="both"/>
        <w:rPr>
          <w:sz w:val="28"/>
          <w:szCs w:val="28"/>
        </w:rPr>
      </w:pPr>
      <w:r>
        <w:rPr>
          <w:sz w:val="28"/>
          <w:szCs w:val="28"/>
        </w:rPr>
        <w:t>- две проверки на работата на Районна прокуратура – Сливен</w:t>
      </w:r>
      <w:r w:rsidR="001E6789">
        <w:rPr>
          <w:sz w:val="28"/>
          <w:szCs w:val="28"/>
        </w:rPr>
        <w:t>,</w:t>
      </w:r>
      <w:r>
        <w:rPr>
          <w:sz w:val="28"/>
          <w:szCs w:val="28"/>
        </w:rPr>
        <w:t xml:space="preserve"> относно спазване указанието за организация на работата на ПРБ по преписки и досъдебни производства, образувани за трафик на хора;</w:t>
      </w:r>
    </w:p>
    <w:p w:rsidR="00BD0C3C" w:rsidRDefault="00BD0C3C" w:rsidP="00BD0C3C">
      <w:pPr>
        <w:spacing w:line="360" w:lineRule="exact"/>
        <w:ind w:firstLine="567"/>
        <w:jc w:val="both"/>
        <w:rPr>
          <w:sz w:val="28"/>
          <w:szCs w:val="28"/>
        </w:rPr>
      </w:pPr>
      <w:r>
        <w:rPr>
          <w:sz w:val="28"/>
          <w:szCs w:val="28"/>
        </w:rPr>
        <w:t>- една проверка на дейността на Районна прокуратура – Сливен по преписки и досъдебни производства, образувани във връзка с осъществено домашно насилие, както и за неизпълнение на заповед за защита от домашно насилие;</w:t>
      </w:r>
    </w:p>
    <w:p w:rsidR="00BD0C3C" w:rsidRDefault="00BD0C3C" w:rsidP="00BD0C3C">
      <w:pPr>
        <w:spacing w:line="360" w:lineRule="exact"/>
        <w:ind w:firstLine="567"/>
        <w:jc w:val="both"/>
        <w:rPr>
          <w:sz w:val="28"/>
          <w:szCs w:val="28"/>
        </w:rPr>
      </w:pPr>
      <w:r>
        <w:rPr>
          <w:sz w:val="28"/>
          <w:szCs w:val="28"/>
        </w:rPr>
        <w:t>- една проверка относно обоснованост и законосъобразност на прокурорските актове, постановени от Районна прокуратура – Сливен по делата и преписките срещу непълнолетни обвиняеми лица;</w:t>
      </w:r>
    </w:p>
    <w:p w:rsidR="00BD0C3C" w:rsidRDefault="00BD0C3C" w:rsidP="00BD0C3C">
      <w:pPr>
        <w:spacing w:line="360" w:lineRule="exact"/>
        <w:ind w:firstLine="567"/>
        <w:jc w:val="both"/>
        <w:rPr>
          <w:sz w:val="28"/>
          <w:szCs w:val="28"/>
        </w:rPr>
      </w:pPr>
      <w:r>
        <w:rPr>
          <w:sz w:val="28"/>
          <w:szCs w:val="28"/>
        </w:rPr>
        <w:t>- една проверка на досъдебни производства, по които са допуснати съществени процесуални нарушения, поради което прокурорът е упражнил правомощията си по чл.242, ал.2, чл.357, ал.1, т.5, чл.363, ал.1, т.5 от НПК и е върнал делото на разследващия орган</w:t>
      </w:r>
      <w:r w:rsidR="001E6789">
        <w:rPr>
          <w:sz w:val="28"/>
          <w:szCs w:val="28"/>
        </w:rPr>
        <w:t>,</w:t>
      </w:r>
      <w:r>
        <w:rPr>
          <w:sz w:val="28"/>
          <w:szCs w:val="28"/>
        </w:rPr>
        <w:t xml:space="preserve"> с указание да ги отстрани или ги е отстранил сам;</w:t>
      </w:r>
    </w:p>
    <w:p w:rsidR="001E6789" w:rsidRDefault="00BD0C3C" w:rsidP="00BD0C3C">
      <w:pPr>
        <w:spacing w:line="360" w:lineRule="exact"/>
        <w:ind w:firstLine="567"/>
        <w:jc w:val="both"/>
        <w:rPr>
          <w:sz w:val="28"/>
          <w:szCs w:val="28"/>
        </w:rPr>
      </w:pPr>
      <w:r>
        <w:rPr>
          <w:sz w:val="28"/>
          <w:szCs w:val="28"/>
        </w:rPr>
        <w:lastRenderedPageBreak/>
        <w:t>- една проверка на дейността по привеждане в изпълнение на наложените наказания „лишаване от свобода“ и „</w:t>
      </w:r>
      <w:proofErr w:type="spellStart"/>
      <w:r>
        <w:rPr>
          <w:sz w:val="28"/>
          <w:szCs w:val="28"/>
        </w:rPr>
        <w:t>пробация</w:t>
      </w:r>
      <w:proofErr w:type="spellEnd"/>
      <w:r>
        <w:rPr>
          <w:sz w:val="28"/>
          <w:szCs w:val="28"/>
        </w:rPr>
        <w:t>“ и своевременното прилагане на разпоредбите на чл.306 ал.1 т.1 и т.3 от НПК и чл.24, 25 и 68 от НК</w:t>
      </w:r>
      <w:r w:rsidR="001E6789">
        <w:rPr>
          <w:sz w:val="28"/>
          <w:szCs w:val="28"/>
        </w:rPr>
        <w:t>;</w:t>
      </w:r>
    </w:p>
    <w:p w:rsidR="001E6789" w:rsidRDefault="00BD0C3C" w:rsidP="00BD0C3C">
      <w:pPr>
        <w:spacing w:line="360" w:lineRule="exact"/>
        <w:ind w:firstLine="567"/>
        <w:jc w:val="both"/>
        <w:rPr>
          <w:sz w:val="28"/>
          <w:szCs w:val="28"/>
        </w:rPr>
      </w:pPr>
      <w:r>
        <w:rPr>
          <w:sz w:val="28"/>
          <w:szCs w:val="28"/>
        </w:rPr>
        <w:t>- една проверка на дейността по привеждане в изпълнение на съдебните актове с наложено наказание „лишаване от право да се управлява МПС“</w:t>
      </w:r>
      <w:r w:rsidR="001E6789">
        <w:rPr>
          <w:sz w:val="28"/>
          <w:szCs w:val="28"/>
        </w:rPr>
        <w:t xml:space="preserve"> по смисъла на чл.37 т.7 от НК;</w:t>
      </w:r>
    </w:p>
    <w:p w:rsidR="00BD0C3C" w:rsidRDefault="00BD0C3C" w:rsidP="00BD0C3C">
      <w:pPr>
        <w:spacing w:line="360" w:lineRule="exact"/>
        <w:ind w:firstLine="567"/>
        <w:jc w:val="both"/>
        <w:rPr>
          <w:sz w:val="28"/>
          <w:szCs w:val="28"/>
        </w:rPr>
      </w:pPr>
      <w:r>
        <w:rPr>
          <w:sz w:val="28"/>
          <w:szCs w:val="28"/>
        </w:rPr>
        <w:t xml:space="preserve">- една проверка на </w:t>
      </w:r>
      <w:proofErr w:type="spellStart"/>
      <w:r>
        <w:rPr>
          <w:sz w:val="28"/>
          <w:szCs w:val="28"/>
        </w:rPr>
        <w:t>срочността</w:t>
      </w:r>
      <w:proofErr w:type="spellEnd"/>
      <w:r>
        <w:rPr>
          <w:sz w:val="28"/>
          <w:szCs w:val="28"/>
        </w:rPr>
        <w:t xml:space="preserve"> на привеждане на съдебните актове в изпълнение;</w:t>
      </w:r>
    </w:p>
    <w:p w:rsidR="00BD0C3C" w:rsidRPr="001E6789" w:rsidRDefault="00BD0C3C" w:rsidP="00BD0C3C">
      <w:pPr>
        <w:spacing w:line="360" w:lineRule="exact"/>
        <w:ind w:firstLine="567"/>
        <w:jc w:val="both"/>
        <w:rPr>
          <w:sz w:val="28"/>
          <w:szCs w:val="28"/>
          <w:u w:val="single"/>
        </w:rPr>
      </w:pPr>
      <w:r w:rsidRPr="001E6789">
        <w:rPr>
          <w:sz w:val="28"/>
          <w:szCs w:val="28"/>
          <w:u w:val="single"/>
        </w:rPr>
        <w:t>В изпълнение на Плана за дейността на прокуратурите от системата на ОП-Сливен, през отчетната 2024 г. са извършени и:</w:t>
      </w:r>
    </w:p>
    <w:p w:rsidR="00BD0C3C" w:rsidRDefault="00BD0C3C" w:rsidP="00BD0C3C">
      <w:pPr>
        <w:spacing w:line="360" w:lineRule="exact"/>
        <w:ind w:firstLine="567"/>
        <w:jc w:val="both"/>
        <w:rPr>
          <w:sz w:val="28"/>
          <w:szCs w:val="28"/>
        </w:rPr>
      </w:pPr>
      <w:r>
        <w:rPr>
          <w:sz w:val="28"/>
          <w:szCs w:val="28"/>
        </w:rPr>
        <w:t>-</w:t>
      </w:r>
      <w:r>
        <w:rPr>
          <w:sz w:val="28"/>
          <w:szCs w:val="28"/>
        </w:rPr>
        <w:tab/>
        <w:t>една проверка в ОСО при ОП-Сливен по организацията на работата по разследването на несвършените досъдебни производства, образувани преди повече от 3 години;</w:t>
      </w:r>
    </w:p>
    <w:p w:rsidR="00BD0C3C" w:rsidRDefault="00BD0C3C" w:rsidP="00BD0C3C">
      <w:pPr>
        <w:spacing w:line="360" w:lineRule="exact"/>
        <w:ind w:firstLine="567"/>
        <w:jc w:val="both"/>
        <w:rPr>
          <w:sz w:val="28"/>
          <w:szCs w:val="28"/>
        </w:rPr>
      </w:pPr>
      <w:r>
        <w:rPr>
          <w:sz w:val="28"/>
          <w:szCs w:val="28"/>
        </w:rPr>
        <w:t>-</w:t>
      </w:r>
      <w:r>
        <w:rPr>
          <w:sz w:val="28"/>
          <w:szCs w:val="28"/>
        </w:rPr>
        <w:tab/>
        <w:t xml:space="preserve">една проверка за законосъобразност в дейността на Областна </w:t>
      </w:r>
      <w:proofErr w:type="spellStart"/>
      <w:r>
        <w:rPr>
          <w:sz w:val="28"/>
          <w:szCs w:val="28"/>
        </w:rPr>
        <w:t>пробационна</w:t>
      </w:r>
      <w:proofErr w:type="spellEnd"/>
      <w:r>
        <w:rPr>
          <w:sz w:val="28"/>
          <w:szCs w:val="28"/>
        </w:rPr>
        <w:t xml:space="preserve"> служба</w:t>
      </w:r>
      <w:r w:rsidR="0091458F">
        <w:rPr>
          <w:sz w:val="28"/>
          <w:szCs w:val="28"/>
        </w:rPr>
        <w:t>,</w:t>
      </w:r>
      <w:r>
        <w:rPr>
          <w:sz w:val="28"/>
          <w:szCs w:val="28"/>
        </w:rPr>
        <w:t xml:space="preserve"> относно изпълнението на </w:t>
      </w:r>
      <w:proofErr w:type="spellStart"/>
      <w:r>
        <w:rPr>
          <w:sz w:val="28"/>
          <w:szCs w:val="28"/>
        </w:rPr>
        <w:t>пробационните</w:t>
      </w:r>
      <w:proofErr w:type="spellEnd"/>
      <w:r>
        <w:rPr>
          <w:sz w:val="28"/>
          <w:szCs w:val="28"/>
        </w:rPr>
        <w:t xml:space="preserve"> мерки по чл.42а, ал.2, т.6 от НК, чл.42а, ал.2, т.5 от НК и чл.43, ал.2 и ал.3 от НК;</w:t>
      </w:r>
    </w:p>
    <w:p w:rsidR="00BD0C3C" w:rsidRDefault="00BD0C3C" w:rsidP="00BD0C3C">
      <w:pPr>
        <w:spacing w:line="360" w:lineRule="exact"/>
        <w:ind w:firstLine="567"/>
        <w:jc w:val="both"/>
        <w:rPr>
          <w:sz w:val="28"/>
          <w:szCs w:val="28"/>
        </w:rPr>
      </w:pPr>
      <w:r>
        <w:rPr>
          <w:sz w:val="28"/>
          <w:szCs w:val="28"/>
        </w:rPr>
        <w:t>-</w:t>
      </w:r>
      <w:r>
        <w:rPr>
          <w:sz w:val="28"/>
          <w:szCs w:val="28"/>
        </w:rPr>
        <w:tab/>
        <w:t xml:space="preserve">ежемесечни проверки в </w:t>
      </w:r>
      <w:proofErr w:type="spellStart"/>
      <w:r>
        <w:rPr>
          <w:sz w:val="28"/>
          <w:szCs w:val="28"/>
        </w:rPr>
        <w:t>арестните</w:t>
      </w:r>
      <w:proofErr w:type="spellEnd"/>
      <w:r>
        <w:rPr>
          <w:sz w:val="28"/>
          <w:szCs w:val="28"/>
        </w:rPr>
        <w:t xml:space="preserve"> помещения в Затвора – Сливен към ГД „ИН“ за спазване на разпоредбите на чл.241 и сл. от ЗИНЗС, в честота поне два пъти месечно, съгласно чл.82 б.“а“ от Указанието за дейността на прокуратурата по надзора за изпълнение на наказанията и другите принудителни мерки;</w:t>
      </w:r>
    </w:p>
    <w:p w:rsidR="00BD0C3C" w:rsidRDefault="00BD0C3C" w:rsidP="00BD0C3C">
      <w:pPr>
        <w:spacing w:line="360" w:lineRule="exact"/>
        <w:ind w:firstLine="567"/>
        <w:jc w:val="both"/>
        <w:rPr>
          <w:sz w:val="28"/>
          <w:szCs w:val="28"/>
        </w:rPr>
      </w:pPr>
      <w:r>
        <w:rPr>
          <w:sz w:val="28"/>
          <w:szCs w:val="28"/>
        </w:rPr>
        <w:t>-</w:t>
      </w:r>
      <w:r>
        <w:rPr>
          <w:sz w:val="28"/>
          <w:szCs w:val="28"/>
        </w:rPr>
        <w:tab/>
        <w:t xml:space="preserve">една проверка в ГД „ИН“ Арест при Затвора – Сливен по спазване на разпоредбите на ЗИНЗС и подзаконовите нормативни актове, регламентиращи приемане на задържани лица и преместването им от един в друг арест или затвор, настаняване, охрана, конвоиране, включително и лечение, свиждане и други случаи на напускане на </w:t>
      </w:r>
      <w:proofErr w:type="spellStart"/>
      <w:r>
        <w:rPr>
          <w:sz w:val="28"/>
          <w:szCs w:val="28"/>
        </w:rPr>
        <w:t>арестните</w:t>
      </w:r>
      <w:proofErr w:type="spellEnd"/>
      <w:r>
        <w:rPr>
          <w:sz w:val="28"/>
          <w:szCs w:val="28"/>
        </w:rPr>
        <w:t xml:space="preserve"> помещения;</w:t>
      </w:r>
    </w:p>
    <w:p w:rsidR="00BD0C3C" w:rsidRDefault="00BD0C3C" w:rsidP="00BD0C3C">
      <w:pPr>
        <w:spacing w:line="360" w:lineRule="exact"/>
        <w:ind w:firstLine="567"/>
        <w:jc w:val="both"/>
        <w:rPr>
          <w:sz w:val="28"/>
          <w:szCs w:val="28"/>
        </w:rPr>
      </w:pPr>
      <w:r>
        <w:rPr>
          <w:sz w:val="28"/>
          <w:szCs w:val="28"/>
        </w:rPr>
        <w:t>- една проверка в Затвора – Сливен за законосъобразност в дейността на затворническата администрация по налагане на дисциплинарни наказания по смисъла на чл.101 и сл. от ЗИНЗС;</w:t>
      </w:r>
    </w:p>
    <w:p w:rsidR="00BD0C3C" w:rsidRDefault="00BD0C3C" w:rsidP="00BD0C3C">
      <w:pPr>
        <w:spacing w:line="360" w:lineRule="exact"/>
        <w:ind w:firstLine="567"/>
        <w:jc w:val="both"/>
        <w:rPr>
          <w:sz w:val="28"/>
          <w:szCs w:val="28"/>
        </w:rPr>
      </w:pPr>
      <w:r>
        <w:rPr>
          <w:sz w:val="28"/>
          <w:szCs w:val="28"/>
        </w:rPr>
        <w:t>-</w:t>
      </w:r>
      <w:r>
        <w:rPr>
          <w:sz w:val="28"/>
          <w:szCs w:val="28"/>
        </w:rPr>
        <w:tab/>
        <w:t>проверени за законосъобразност са 38 акта – заповеди/договори на областния управител за разпореждане с имоти – частна държавна собственост.</w:t>
      </w:r>
    </w:p>
    <w:p w:rsidR="00BD0C3C" w:rsidRDefault="00BD0C3C" w:rsidP="00BD0C3C">
      <w:pPr>
        <w:spacing w:line="360" w:lineRule="exact"/>
        <w:ind w:firstLine="567"/>
        <w:jc w:val="both"/>
        <w:rPr>
          <w:sz w:val="28"/>
          <w:szCs w:val="28"/>
        </w:rPr>
      </w:pPr>
      <w:r>
        <w:rPr>
          <w:sz w:val="28"/>
          <w:szCs w:val="28"/>
        </w:rPr>
        <w:t xml:space="preserve">Всички доклади и справки по извършените ревизии и проверки са изготвени в срок, резултатите от проверките и ревизиите са обсъдени на проведените месечни заседания в ОП - Сливен с прокурорите от Сливенския съдебен район. Констатациите и препоръките, отразени в доклада на Окръжна прокуратура – Сливен за резултатите от извършената </w:t>
      </w:r>
      <w:r>
        <w:rPr>
          <w:sz w:val="28"/>
          <w:szCs w:val="28"/>
        </w:rPr>
        <w:lastRenderedPageBreak/>
        <w:t xml:space="preserve">комплексна годишна ревизия на Районна прокуратура - Сливен са били обсъдени на проведено общо събрание на прокурорите Районна прокуратура - Сливен. По констатациите и препоръките няма постъпили в Окръжна прокуратура - Сливен възражения. </w:t>
      </w:r>
    </w:p>
    <w:p w:rsidR="00BD0C3C" w:rsidRDefault="00BD0C3C" w:rsidP="00BD0C3C">
      <w:pPr>
        <w:spacing w:line="360" w:lineRule="exact"/>
        <w:ind w:firstLine="567"/>
        <w:jc w:val="both"/>
        <w:rPr>
          <w:sz w:val="28"/>
          <w:szCs w:val="28"/>
        </w:rPr>
      </w:pPr>
      <w:r>
        <w:rPr>
          <w:sz w:val="28"/>
          <w:szCs w:val="28"/>
        </w:rPr>
        <w:t>През 2024 г. е извършвана една проверка от Националното бюро за контрол на специалните разузнавателни средства, при която не са констатирани пропуски в работата при прилагане на Закона за специалните разузнавателни средства.</w:t>
      </w:r>
    </w:p>
    <w:p w:rsidR="00BD0C3C" w:rsidRPr="0091458F" w:rsidRDefault="00BD0C3C" w:rsidP="00BD0C3C">
      <w:pPr>
        <w:spacing w:line="360" w:lineRule="exact"/>
        <w:ind w:firstLine="567"/>
        <w:jc w:val="both"/>
        <w:rPr>
          <w:sz w:val="28"/>
          <w:szCs w:val="28"/>
          <w:u w:val="single"/>
        </w:rPr>
      </w:pPr>
      <w:r w:rsidRPr="0091458F">
        <w:rPr>
          <w:sz w:val="28"/>
          <w:szCs w:val="28"/>
          <w:u w:val="single"/>
        </w:rPr>
        <w:t>През отчетния период от Апелативна прокуратура – Бургас са извършени, както следва:</w:t>
      </w:r>
    </w:p>
    <w:p w:rsidR="00BD0C3C" w:rsidRDefault="00BD0C3C" w:rsidP="00BD0C3C">
      <w:pPr>
        <w:spacing w:line="360" w:lineRule="exact"/>
        <w:ind w:firstLine="567"/>
        <w:jc w:val="both"/>
        <w:rPr>
          <w:sz w:val="28"/>
          <w:szCs w:val="28"/>
        </w:rPr>
      </w:pPr>
      <w:r>
        <w:rPr>
          <w:sz w:val="28"/>
          <w:szCs w:val="28"/>
        </w:rPr>
        <w:t>-</w:t>
      </w:r>
      <w:r>
        <w:rPr>
          <w:sz w:val="28"/>
          <w:szCs w:val="28"/>
        </w:rPr>
        <w:tab/>
        <w:t>комплексна ревизия на дейността на Окръжна прокуратура – Сливен за 2023 г.;</w:t>
      </w:r>
    </w:p>
    <w:p w:rsidR="00BD0C3C" w:rsidRDefault="00BD0C3C" w:rsidP="00BD0C3C">
      <w:pPr>
        <w:spacing w:line="360" w:lineRule="exact"/>
        <w:ind w:firstLine="567"/>
        <w:jc w:val="both"/>
        <w:rPr>
          <w:sz w:val="28"/>
          <w:szCs w:val="28"/>
        </w:rPr>
      </w:pPr>
      <w:r>
        <w:rPr>
          <w:sz w:val="28"/>
          <w:szCs w:val="28"/>
        </w:rPr>
        <w:t>- проверка по дейността на ОП - Сливен във връзка с обезпечаването и отнемането на средства, предмети и облаги от престъпления, свързани с изпирането на пари;</w:t>
      </w:r>
    </w:p>
    <w:p w:rsidR="00BD0C3C" w:rsidRDefault="00BD0C3C" w:rsidP="00BD0C3C">
      <w:pPr>
        <w:spacing w:line="360" w:lineRule="exact"/>
        <w:ind w:firstLine="567"/>
        <w:jc w:val="both"/>
        <w:rPr>
          <w:sz w:val="28"/>
          <w:szCs w:val="28"/>
        </w:rPr>
      </w:pPr>
      <w:r>
        <w:rPr>
          <w:sz w:val="28"/>
          <w:szCs w:val="28"/>
        </w:rPr>
        <w:t>-</w:t>
      </w:r>
      <w:r>
        <w:rPr>
          <w:sz w:val="28"/>
          <w:szCs w:val="28"/>
        </w:rPr>
        <w:tab/>
        <w:t>проверка в дейността по прилагане на „Инструкцията за поддръжка и използване на електронният регистър на лица с неприключили наказателни производства” и на „Инструкцията за взаимодействието между Прокуратурата на Република България и Министерството на вътрешните работи при разследването на две или повече досъдебни производства, образувани и водени срещу едно и също лице“;</w:t>
      </w:r>
    </w:p>
    <w:p w:rsidR="00BD0C3C" w:rsidRDefault="00BD0C3C" w:rsidP="00BD0C3C">
      <w:pPr>
        <w:spacing w:line="360" w:lineRule="exact"/>
        <w:ind w:firstLine="567"/>
        <w:jc w:val="both"/>
        <w:rPr>
          <w:sz w:val="28"/>
          <w:szCs w:val="28"/>
        </w:rPr>
      </w:pPr>
      <w:r>
        <w:rPr>
          <w:sz w:val="28"/>
          <w:szCs w:val="28"/>
        </w:rPr>
        <w:t>- извънпланова проверка на дейността на ОП – Сливен по преписки и досъдебни производства с предмет „трафик на хора“;</w:t>
      </w:r>
    </w:p>
    <w:p w:rsidR="00BD0C3C" w:rsidRDefault="00BD0C3C" w:rsidP="00BD0C3C">
      <w:pPr>
        <w:spacing w:line="360" w:lineRule="exact"/>
        <w:ind w:firstLine="567"/>
        <w:jc w:val="both"/>
        <w:rPr>
          <w:sz w:val="28"/>
          <w:szCs w:val="28"/>
        </w:rPr>
      </w:pPr>
      <w:r>
        <w:rPr>
          <w:sz w:val="28"/>
          <w:szCs w:val="28"/>
        </w:rPr>
        <w:t>- тематична проверка за сроковете, в които се провежда разследването на дела, по които съдът е прекратил съдебното производство и е върнал делото на прокурора за отстраняване на допуснати нарушения;</w:t>
      </w:r>
    </w:p>
    <w:p w:rsidR="00BD0C3C" w:rsidRDefault="00BD0C3C" w:rsidP="00BD0C3C">
      <w:pPr>
        <w:spacing w:line="360" w:lineRule="exact"/>
        <w:ind w:firstLine="567"/>
        <w:jc w:val="both"/>
        <w:rPr>
          <w:sz w:val="28"/>
          <w:szCs w:val="28"/>
        </w:rPr>
      </w:pPr>
      <w:r>
        <w:rPr>
          <w:sz w:val="28"/>
          <w:szCs w:val="28"/>
        </w:rPr>
        <w:t>- тематична проверка на дейността на приключените и решени през първото шестмесечие на 2024 г. преписки с предмет на разследване - престъ</w:t>
      </w:r>
      <w:r w:rsidR="0091458F">
        <w:rPr>
          <w:sz w:val="28"/>
          <w:szCs w:val="28"/>
        </w:rPr>
        <w:t>пления против данъчната система;</w:t>
      </w:r>
    </w:p>
    <w:p w:rsidR="00BD0C3C" w:rsidRDefault="00BD0C3C" w:rsidP="00BD0C3C">
      <w:pPr>
        <w:spacing w:line="360" w:lineRule="exact"/>
        <w:ind w:firstLine="567"/>
        <w:jc w:val="both"/>
        <w:rPr>
          <w:sz w:val="28"/>
          <w:szCs w:val="28"/>
        </w:rPr>
      </w:pPr>
      <w:r>
        <w:rPr>
          <w:sz w:val="28"/>
          <w:szCs w:val="28"/>
        </w:rPr>
        <w:t xml:space="preserve">- тематична проверка на дейността на прокуратурите  по </w:t>
      </w:r>
      <w:proofErr w:type="spellStart"/>
      <w:r>
        <w:rPr>
          <w:sz w:val="28"/>
          <w:szCs w:val="28"/>
        </w:rPr>
        <w:t>срочността</w:t>
      </w:r>
      <w:proofErr w:type="spellEnd"/>
      <w:r>
        <w:rPr>
          <w:sz w:val="28"/>
          <w:szCs w:val="28"/>
        </w:rPr>
        <w:t xml:space="preserve"> в действията при привеждане на съдебните актове в изпълнение;</w:t>
      </w:r>
    </w:p>
    <w:p w:rsidR="00BD0C3C" w:rsidRDefault="00BD0C3C" w:rsidP="00BD0C3C">
      <w:pPr>
        <w:spacing w:line="360" w:lineRule="exact"/>
        <w:ind w:firstLine="567"/>
        <w:jc w:val="both"/>
        <w:rPr>
          <w:sz w:val="28"/>
          <w:szCs w:val="28"/>
        </w:rPr>
      </w:pPr>
      <w:r>
        <w:rPr>
          <w:sz w:val="28"/>
          <w:szCs w:val="28"/>
        </w:rPr>
        <w:t>- планова проверка на спрените досъдебни производства с правно основание чл.244, ал.1, т. 3 от НПК;</w:t>
      </w:r>
    </w:p>
    <w:p w:rsidR="00BD0C3C" w:rsidRDefault="00BD0C3C" w:rsidP="00BD0C3C">
      <w:pPr>
        <w:spacing w:line="360" w:lineRule="exact"/>
        <w:ind w:firstLine="567"/>
        <w:jc w:val="both"/>
        <w:rPr>
          <w:sz w:val="28"/>
          <w:szCs w:val="28"/>
        </w:rPr>
      </w:pPr>
      <w:r>
        <w:rPr>
          <w:sz w:val="28"/>
          <w:szCs w:val="28"/>
        </w:rPr>
        <w:t xml:space="preserve">- планова проверка на дейността на ОП - Сливен, по привеждане в изпълнение на наложените наказания лишаване от свобода и </w:t>
      </w:r>
      <w:proofErr w:type="spellStart"/>
      <w:r>
        <w:rPr>
          <w:sz w:val="28"/>
          <w:szCs w:val="28"/>
        </w:rPr>
        <w:t>пробация</w:t>
      </w:r>
      <w:proofErr w:type="spellEnd"/>
      <w:r>
        <w:rPr>
          <w:sz w:val="28"/>
          <w:szCs w:val="28"/>
        </w:rPr>
        <w:t xml:space="preserve"> и своевременното прилагане на разпоредбите на чл.306, ал.1, т.1 и т.3 от НПК и чл.24, чл.25 и чл.68 от НК.</w:t>
      </w:r>
    </w:p>
    <w:p w:rsidR="00BD0C3C" w:rsidRDefault="00BD0C3C" w:rsidP="00BD0C3C">
      <w:pPr>
        <w:spacing w:line="360" w:lineRule="exact"/>
        <w:ind w:firstLine="567"/>
        <w:jc w:val="both"/>
        <w:rPr>
          <w:sz w:val="28"/>
          <w:szCs w:val="28"/>
        </w:rPr>
      </w:pPr>
      <w:r>
        <w:rPr>
          <w:sz w:val="28"/>
          <w:szCs w:val="28"/>
        </w:rPr>
        <w:t xml:space="preserve">- тематична проверка по УПО на осъдените лица и участието на </w:t>
      </w:r>
      <w:r>
        <w:rPr>
          <w:sz w:val="28"/>
          <w:szCs w:val="28"/>
        </w:rPr>
        <w:lastRenderedPageBreak/>
        <w:t>прокурорите в съд. производства по чл.437-442 НПК;</w:t>
      </w:r>
    </w:p>
    <w:p w:rsidR="00BD0C3C" w:rsidRDefault="00BD0C3C" w:rsidP="00BD0C3C">
      <w:pPr>
        <w:spacing w:line="360" w:lineRule="exact"/>
        <w:ind w:firstLine="567"/>
        <w:jc w:val="both"/>
        <w:rPr>
          <w:sz w:val="28"/>
          <w:szCs w:val="28"/>
        </w:rPr>
      </w:pPr>
      <w:r>
        <w:rPr>
          <w:sz w:val="28"/>
          <w:szCs w:val="28"/>
        </w:rPr>
        <w:t>- планова тематична проверка по наказателно съдебния надзор с предмет прилагането на чл.83а-е от ЗАНН за всички приключени през периода декември 2023г. - м. ноември 2024г.</w:t>
      </w:r>
    </w:p>
    <w:p w:rsidR="00BD0C3C" w:rsidRDefault="00BD0C3C" w:rsidP="00BD0C3C">
      <w:pPr>
        <w:spacing w:line="360" w:lineRule="exact"/>
        <w:ind w:firstLine="567"/>
        <w:jc w:val="both"/>
        <w:rPr>
          <w:sz w:val="28"/>
          <w:szCs w:val="28"/>
        </w:rPr>
      </w:pPr>
      <w:r>
        <w:rPr>
          <w:sz w:val="28"/>
          <w:szCs w:val="28"/>
        </w:rPr>
        <w:t>- проверка на досъдебни производства, по които са допуснати съществени процесуални нарушения, поради което прокурорът е упражнил правомощията си по чл.242, ал.2, чл.357, ал.1, т.5, чл.363, ал.1, т.5 от НПК и е върнал делото на разследващия орган с указание да ги отстрани или ги е отстранил сам;</w:t>
      </w:r>
    </w:p>
    <w:p w:rsidR="00BD0C3C" w:rsidRDefault="00BD0C3C" w:rsidP="00BD0C3C">
      <w:pPr>
        <w:spacing w:line="360" w:lineRule="exact"/>
        <w:ind w:firstLine="567"/>
        <w:jc w:val="both"/>
        <w:rPr>
          <w:sz w:val="28"/>
          <w:szCs w:val="28"/>
        </w:rPr>
      </w:pPr>
      <w:r>
        <w:rPr>
          <w:sz w:val="28"/>
          <w:szCs w:val="28"/>
        </w:rPr>
        <w:t>През 2024г. в ОП – Сливен няма образувани дисциплинарни преписки, които да налагат образуване на дисциплинарно производство или обръщане на внимание по чл. 327 от ЗСВ.</w:t>
      </w:r>
    </w:p>
    <w:p w:rsidR="00750301" w:rsidRDefault="00750301" w:rsidP="00BD0C3C">
      <w:pPr>
        <w:pStyle w:val="a5"/>
        <w:spacing w:line="340" w:lineRule="exact"/>
        <w:ind w:firstLine="720"/>
        <w:jc w:val="center"/>
        <w:rPr>
          <w:b/>
          <w:sz w:val="28"/>
          <w:szCs w:val="28"/>
          <w:lang w:val="en-US"/>
        </w:rPr>
      </w:pPr>
    </w:p>
    <w:p w:rsidR="00BD0C3C" w:rsidRDefault="00BD0C3C" w:rsidP="00BD0C3C">
      <w:pPr>
        <w:pStyle w:val="a5"/>
        <w:spacing w:line="340" w:lineRule="exact"/>
        <w:ind w:firstLine="720"/>
        <w:jc w:val="center"/>
        <w:rPr>
          <w:b/>
          <w:sz w:val="28"/>
          <w:szCs w:val="28"/>
        </w:rPr>
      </w:pPr>
      <w:r>
        <w:rPr>
          <w:b/>
          <w:sz w:val="28"/>
          <w:szCs w:val="28"/>
        </w:rPr>
        <w:t>VІ</w:t>
      </w:r>
      <w:r w:rsidR="008D3C23">
        <w:rPr>
          <w:b/>
          <w:sz w:val="28"/>
          <w:szCs w:val="28"/>
          <w:lang w:val="en-US"/>
        </w:rPr>
        <w:t>I</w:t>
      </w:r>
      <w:r>
        <w:rPr>
          <w:b/>
          <w:sz w:val="28"/>
          <w:szCs w:val="28"/>
        </w:rPr>
        <w:t>. НАТОВАРЕНОСТ НА ПРОКУРАТУРИТЕ В СЛИВЕНСКИ СЪДЕБЕН РАЙОН И НА СЛЕДСТВЕН ОТДЕЛ</w:t>
      </w:r>
    </w:p>
    <w:p w:rsidR="00BD0C3C" w:rsidRDefault="00BD0C3C" w:rsidP="00BD0C3C">
      <w:pPr>
        <w:jc w:val="both"/>
        <w:rPr>
          <w:b/>
          <w:sz w:val="28"/>
          <w:szCs w:val="28"/>
        </w:rPr>
      </w:pPr>
    </w:p>
    <w:p w:rsidR="00BD0C3C" w:rsidRDefault="00BD0C3C" w:rsidP="00BD0C3C">
      <w:pPr>
        <w:ind w:firstLine="708"/>
        <w:jc w:val="both"/>
        <w:rPr>
          <w:sz w:val="28"/>
          <w:szCs w:val="28"/>
        </w:rPr>
      </w:pPr>
      <w:r>
        <w:rPr>
          <w:b/>
          <w:sz w:val="28"/>
          <w:szCs w:val="28"/>
        </w:rPr>
        <w:t>1. Обем на прокурорската дейност</w:t>
      </w:r>
      <w:r>
        <w:rPr>
          <w:sz w:val="28"/>
          <w:szCs w:val="28"/>
        </w:rPr>
        <w:t xml:space="preserve"> - представена в табличен и графичен вид по съответните показатели и прокуратури, както и общо за региона.</w:t>
      </w:r>
    </w:p>
    <w:p w:rsidR="00BD0C3C" w:rsidRDefault="00BD0C3C" w:rsidP="00BD0C3C">
      <w:pPr>
        <w:ind w:firstLine="708"/>
        <w:jc w:val="both"/>
        <w:rPr>
          <w:sz w:val="28"/>
          <w:szCs w:val="28"/>
        </w:rPr>
      </w:pPr>
    </w:p>
    <w:tbl>
      <w:tblPr>
        <w:tblW w:w="9077" w:type="dxa"/>
        <w:jc w:val="center"/>
        <w:tblInd w:w="47" w:type="dxa"/>
        <w:tblCellMar>
          <w:left w:w="70" w:type="dxa"/>
          <w:right w:w="70" w:type="dxa"/>
        </w:tblCellMar>
        <w:tblLook w:val="04A0" w:firstRow="1" w:lastRow="0" w:firstColumn="1" w:lastColumn="0" w:noHBand="0" w:noVBand="1"/>
      </w:tblPr>
      <w:tblGrid>
        <w:gridCol w:w="1690"/>
        <w:gridCol w:w="1857"/>
        <w:gridCol w:w="1438"/>
        <w:gridCol w:w="1842"/>
        <w:gridCol w:w="2250"/>
      </w:tblGrid>
      <w:tr w:rsidR="00BD0C3C" w:rsidTr="00BD0C3C">
        <w:trPr>
          <w:trHeight w:val="370"/>
          <w:jc w:val="center"/>
        </w:trPr>
        <w:tc>
          <w:tcPr>
            <w:tcW w:w="1690" w:type="dxa"/>
            <w:vMerge w:val="restart"/>
            <w:tcBorders>
              <w:top w:val="double" w:sz="6" w:space="0" w:color="auto"/>
              <w:left w:val="double" w:sz="6" w:space="0" w:color="auto"/>
              <w:bottom w:val="double" w:sz="6" w:space="0" w:color="000000"/>
              <w:right w:val="single" w:sz="8" w:space="0" w:color="000000"/>
            </w:tcBorders>
            <w:shd w:val="clear" w:color="auto" w:fill="F2F2F2"/>
            <w:vAlign w:val="center"/>
            <w:hideMark/>
          </w:tcPr>
          <w:p w:rsidR="00BD0C3C" w:rsidRDefault="00BD0C3C">
            <w:pPr>
              <w:spacing w:line="276" w:lineRule="auto"/>
              <w:jc w:val="center"/>
              <w:rPr>
                <w:color w:val="000000"/>
                <w:sz w:val="28"/>
                <w:szCs w:val="28"/>
                <w:lang w:eastAsia="en-US"/>
              </w:rPr>
            </w:pPr>
            <w:r>
              <w:rPr>
                <w:color w:val="000000"/>
                <w:sz w:val="28"/>
                <w:szCs w:val="28"/>
                <w:lang w:eastAsia="en-US"/>
              </w:rPr>
              <w:t>Прокуратура</w:t>
            </w:r>
          </w:p>
        </w:tc>
        <w:tc>
          <w:tcPr>
            <w:tcW w:w="1857" w:type="dxa"/>
            <w:vMerge w:val="restart"/>
            <w:tcBorders>
              <w:top w:val="double" w:sz="6" w:space="0" w:color="auto"/>
              <w:left w:val="single" w:sz="8" w:space="0" w:color="000000"/>
              <w:bottom w:val="double" w:sz="6" w:space="0" w:color="000000"/>
              <w:right w:val="single" w:sz="8" w:space="0" w:color="000000"/>
            </w:tcBorders>
            <w:shd w:val="clear" w:color="auto" w:fill="F2F2F2"/>
            <w:vAlign w:val="center"/>
            <w:hideMark/>
          </w:tcPr>
          <w:p w:rsidR="00BD0C3C" w:rsidRDefault="00BD0C3C">
            <w:pPr>
              <w:spacing w:line="276" w:lineRule="auto"/>
              <w:jc w:val="center"/>
              <w:rPr>
                <w:color w:val="000000"/>
                <w:sz w:val="28"/>
                <w:szCs w:val="28"/>
                <w:lang w:eastAsia="en-US"/>
              </w:rPr>
            </w:pPr>
            <w:r>
              <w:rPr>
                <w:color w:val="000000"/>
                <w:sz w:val="28"/>
                <w:szCs w:val="28"/>
                <w:lang w:eastAsia="en-US"/>
              </w:rPr>
              <w:t>Общо наблюдавани ДП</w:t>
            </w:r>
          </w:p>
        </w:tc>
        <w:tc>
          <w:tcPr>
            <w:tcW w:w="1438" w:type="dxa"/>
            <w:vMerge w:val="restart"/>
            <w:tcBorders>
              <w:top w:val="double" w:sz="6" w:space="0" w:color="auto"/>
              <w:left w:val="single" w:sz="8" w:space="0" w:color="000000"/>
              <w:bottom w:val="double" w:sz="6" w:space="0" w:color="000000"/>
              <w:right w:val="single" w:sz="8" w:space="0" w:color="000000"/>
            </w:tcBorders>
            <w:shd w:val="clear" w:color="auto" w:fill="F2F2F2"/>
            <w:vAlign w:val="center"/>
            <w:hideMark/>
          </w:tcPr>
          <w:p w:rsidR="00BD0C3C" w:rsidRDefault="00BD0C3C">
            <w:pPr>
              <w:spacing w:line="276" w:lineRule="auto"/>
              <w:jc w:val="center"/>
              <w:rPr>
                <w:color w:val="000000"/>
                <w:sz w:val="28"/>
                <w:szCs w:val="28"/>
                <w:lang w:eastAsia="en-US"/>
              </w:rPr>
            </w:pPr>
            <w:r>
              <w:rPr>
                <w:color w:val="000000"/>
                <w:sz w:val="28"/>
                <w:szCs w:val="28"/>
                <w:lang w:eastAsia="en-US"/>
              </w:rPr>
              <w:t>Общо решени ДП</w:t>
            </w:r>
          </w:p>
        </w:tc>
        <w:tc>
          <w:tcPr>
            <w:tcW w:w="1842" w:type="dxa"/>
            <w:vMerge w:val="restart"/>
            <w:tcBorders>
              <w:top w:val="double" w:sz="6" w:space="0" w:color="auto"/>
              <w:left w:val="single" w:sz="8" w:space="0" w:color="000000"/>
              <w:bottom w:val="double" w:sz="6" w:space="0" w:color="000000"/>
              <w:right w:val="single" w:sz="8" w:space="0" w:color="000000"/>
            </w:tcBorders>
            <w:shd w:val="clear" w:color="auto" w:fill="F2F2F2"/>
            <w:vAlign w:val="center"/>
            <w:hideMark/>
          </w:tcPr>
          <w:p w:rsidR="00BD0C3C" w:rsidRDefault="00BD0C3C">
            <w:pPr>
              <w:spacing w:line="276" w:lineRule="auto"/>
              <w:jc w:val="center"/>
              <w:rPr>
                <w:color w:val="000000"/>
                <w:sz w:val="28"/>
                <w:szCs w:val="28"/>
                <w:lang w:eastAsia="en-US"/>
              </w:rPr>
            </w:pPr>
            <w:r>
              <w:rPr>
                <w:color w:val="000000"/>
                <w:sz w:val="28"/>
                <w:szCs w:val="28"/>
                <w:lang w:eastAsia="en-US"/>
              </w:rPr>
              <w:t>Общо участия в съд. заседания/дни</w:t>
            </w:r>
          </w:p>
        </w:tc>
        <w:tc>
          <w:tcPr>
            <w:tcW w:w="2250" w:type="dxa"/>
            <w:vMerge w:val="restart"/>
            <w:tcBorders>
              <w:top w:val="double" w:sz="6" w:space="0" w:color="auto"/>
              <w:left w:val="single" w:sz="8" w:space="0" w:color="000000"/>
              <w:bottom w:val="double" w:sz="6" w:space="0" w:color="000000"/>
              <w:right w:val="double" w:sz="6" w:space="0" w:color="auto"/>
            </w:tcBorders>
            <w:shd w:val="clear" w:color="auto" w:fill="F2F2F2"/>
            <w:vAlign w:val="center"/>
            <w:hideMark/>
          </w:tcPr>
          <w:p w:rsidR="00BD0C3C" w:rsidRDefault="00BD0C3C">
            <w:pPr>
              <w:spacing w:line="276" w:lineRule="auto"/>
              <w:jc w:val="center"/>
              <w:rPr>
                <w:color w:val="000000"/>
                <w:sz w:val="28"/>
                <w:szCs w:val="28"/>
                <w:lang w:eastAsia="en-US"/>
              </w:rPr>
            </w:pPr>
            <w:r>
              <w:rPr>
                <w:color w:val="000000"/>
                <w:sz w:val="28"/>
                <w:szCs w:val="28"/>
                <w:lang w:eastAsia="en-US"/>
              </w:rPr>
              <w:t>Прокурорски актове внесени в съда</w:t>
            </w:r>
          </w:p>
        </w:tc>
      </w:tr>
      <w:tr w:rsidR="00BD0C3C" w:rsidTr="00BD0C3C">
        <w:trPr>
          <w:trHeight w:val="334"/>
          <w:jc w:val="center"/>
        </w:trPr>
        <w:tc>
          <w:tcPr>
            <w:tcW w:w="0" w:type="auto"/>
            <w:vMerge/>
            <w:tcBorders>
              <w:top w:val="double" w:sz="6" w:space="0" w:color="auto"/>
              <w:left w:val="double" w:sz="6" w:space="0" w:color="auto"/>
              <w:bottom w:val="double" w:sz="6" w:space="0" w:color="000000"/>
              <w:right w:val="single" w:sz="8" w:space="0" w:color="000000"/>
            </w:tcBorders>
            <w:vAlign w:val="center"/>
            <w:hideMark/>
          </w:tcPr>
          <w:p w:rsidR="00BD0C3C" w:rsidRDefault="00BD0C3C">
            <w:pPr>
              <w:widowControl/>
              <w:autoSpaceDE/>
              <w:autoSpaceDN/>
              <w:adjustRightInd/>
              <w:rPr>
                <w:color w:val="000000"/>
                <w:sz w:val="28"/>
                <w:szCs w:val="28"/>
                <w:lang w:eastAsia="en-US"/>
              </w:rPr>
            </w:pPr>
          </w:p>
        </w:tc>
        <w:tc>
          <w:tcPr>
            <w:tcW w:w="0" w:type="auto"/>
            <w:vMerge/>
            <w:tcBorders>
              <w:top w:val="double" w:sz="6" w:space="0" w:color="auto"/>
              <w:left w:val="single" w:sz="8" w:space="0" w:color="000000"/>
              <w:bottom w:val="double" w:sz="6" w:space="0" w:color="000000"/>
              <w:right w:val="single" w:sz="8" w:space="0" w:color="000000"/>
            </w:tcBorders>
            <w:vAlign w:val="center"/>
            <w:hideMark/>
          </w:tcPr>
          <w:p w:rsidR="00BD0C3C" w:rsidRDefault="00BD0C3C">
            <w:pPr>
              <w:widowControl/>
              <w:autoSpaceDE/>
              <w:autoSpaceDN/>
              <w:adjustRightInd/>
              <w:rPr>
                <w:color w:val="000000"/>
                <w:sz w:val="28"/>
                <w:szCs w:val="28"/>
                <w:lang w:eastAsia="en-US"/>
              </w:rPr>
            </w:pPr>
          </w:p>
        </w:tc>
        <w:tc>
          <w:tcPr>
            <w:tcW w:w="0" w:type="auto"/>
            <w:vMerge/>
            <w:tcBorders>
              <w:top w:val="double" w:sz="6" w:space="0" w:color="auto"/>
              <w:left w:val="single" w:sz="8" w:space="0" w:color="000000"/>
              <w:bottom w:val="double" w:sz="6" w:space="0" w:color="000000"/>
              <w:right w:val="single" w:sz="8" w:space="0" w:color="000000"/>
            </w:tcBorders>
            <w:vAlign w:val="center"/>
            <w:hideMark/>
          </w:tcPr>
          <w:p w:rsidR="00BD0C3C" w:rsidRDefault="00BD0C3C">
            <w:pPr>
              <w:widowControl/>
              <w:autoSpaceDE/>
              <w:autoSpaceDN/>
              <w:adjustRightInd/>
              <w:rPr>
                <w:color w:val="000000"/>
                <w:sz w:val="28"/>
                <w:szCs w:val="28"/>
                <w:lang w:eastAsia="en-US"/>
              </w:rPr>
            </w:pPr>
          </w:p>
        </w:tc>
        <w:tc>
          <w:tcPr>
            <w:tcW w:w="0" w:type="auto"/>
            <w:vMerge/>
            <w:tcBorders>
              <w:top w:val="double" w:sz="6" w:space="0" w:color="auto"/>
              <w:left w:val="single" w:sz="8" w:space="0" w:color="000000"/>
              <w:bottom w:val="double" w:sz="6" w:space="0" w:color="000000"/>
              <w:right w:val="single" w:sz="8" w:space="0" w:color="000000"/>
            </w:tcBorders>
            <w:vAlign w:val="center"/>
            <w:hideMark/>
          </w:tcPr>
          <w:p w:rsidR="00BD0C3C" w:rsidRDefault="00BD0C3C">
            <w:pPr>
              <w:widowControl/>
              <w:autoSpaceDE/>
              <w:autoSpaceDN/>
              <w:adjustRightInd/>
              <w:rPr>
                <w:color w:val="000000"/>
                <w:sz w:val="28"/>
                <w:szCs w:val="28"/>
                <w:lang w:eastAsia="en-US"/>
              </w:rPr>
            </w:pPr>
          </w:p>
        </w:tc>
        <w:tc>
          <w:tcPr>
            <w:tcW w:w="0" w:type="auto"/>
            <w:vMerge/>
            <w:tcBorders>
              <w:top w:val="double" w:sz="6" w:space="0" w:color="auto"/>
              <w:left w:val="single" w:sz="8" w:space="0" w:color="000000"/>
              <w:bottom w:val="double" w:sz="6" w:space="0" w:color="000000"/>
              <w:right w:val="double" w:sz="6" w:space="0" w:color="auto"/>
            </w:tcBorders>
            <w:vAlign w:val="center"/>
            <w:hideMark/>
          </w:tcPr>
          <w:p w:rsidR="00BD0C3C" w:rsidRDefault="00BD0C3C">
            <w:pPr>
              <w:widowControl/>
              <w:autoSpaceDE/>
              <w:autoSpaceDN/>
              <w:adjustRightInd/>
              <w:rPr>
                <w:color w:val="000000"/>
                <w:sz w:val="28"/>
                <w:szCs w:val="28"/>
                <w:lang w:eastAsia="en-US"/>
              </w:rPr>
            </w:pPr>
          </w:p>
        </w:tc>
      </w:tr>
      <w:tr w:rsidR="00BD0C3C" w:rsidTr="00BD0C3C">
        <w:trPr>
          <w:trHeight w:val="343"/>
          <w:jc w:val="center"/>
        </w:trPr>
        <w:tc>
          <w:tcPr>
            <w:tcW w:w="1690" w:type="dxa"/>
            <w:tcBorders>
              <w:top w:val="nil"/>
              <w:left w:val="double" w:sz="6" w:space="0" w:color="auto"/>
              <w:bottom w:val="single" w:sz="8" w:space="0" w:color="000000"/>
              <w:right w:val="single" w:sz="8" w:space="0" w:color="000000"/>
            </w:tcBorders>
            <w:shd w:val="clear" w:color="auto" w:fill="F2F2F2"/>
            <w:vAlign w:val="center"/>
            <w:hideMark/>
          </w:tcPr>
          <w:p w:rsidR="00BD0C3C" w:rsidRDefault="00BD0C3C">
            <w:pPr>
              <w:spacing w:line="276" w:lineRule="auto"/>
              <w:rPr>
                <w:color w:val="000000"/>
                <w:sz w:val="28"/>
                <w:szCs w:val="28"/>
                <w:lang w:eastAsia="en-US"/>
              </w:rPr>
            </w:pPr>
            <w:bookmarkStart w:id="21" w:name="_Hlk158039897"/>
            <w:bookmarkStart w:id="22" w:name="_Hlk189562238"/>
            <w:r>
              <w:rPr>
                <w:color w:val="000000"/>
                <w:sz w:val="28"/>
                <w:szCs w:val="28"/>
                <w:lang w:val="en-US" w:eastAsia="en-US"/>
              </w:rPr>
              <w:t>O</w:t>
            </w:r>
            <w:r>
              <w:rPr>
                <w:color w:val="000000"/>
                <w:sz w:val="28"/>
                <w:szCs w:val="28"/>
                <w:lang w:eastAsia="en-US"/>
              </w:rPr>
              <w:t>П - Сливен</w:t>
            </w:r>
          </w:p>
        </w:tc>
        <w:tc>
          <w:tcPr>
            <w:tcW w:w="1857" w:type="dxa"/>
            <w:tcBorders>
              <w:top w:val="single" w:sz="4" w:space="0" w:color="auto"/>
              <w:left w:val="single" w:sz="4" w:space="0" w:color="auto"/>
              <w:bottom w:val="single" w:sz="4" w:space="0" w:color="auto"/>
              <w:right w:val="single" w:sz="4" w:space="0" w:color="auto"/>
            </w:tcBorders>
            <w:noWrap/>
            <w:vAlign w:val="center"/>
            <w:hideMark/>
          </w:tcPr>
          <w:p w:rsidR="00BD0C3C" w:rsidRDefault="00BD0C3C">
            <w:pPr>
              <w:spacing w:line="276" w:lineRule="auto"/>
              <w:jc w:val="right"/>
              <w:rPr>
                <w:sz w:val="28"/>
                <w:szCs w:val="28"/>
                <w:lang w:eastAsia="en-US"/>
              </w:rPr>
            </w:pPr>
            <w:r>
              <w:rPr>
                <w:sz w:val="28"/>
                <w:szCs w:val="28"/>
                <w:lang w:val="en-US" w:eastAsia="en-US"/>
              </w:rPr>
              <w:t>39</w:t>
            </w:r>
            <w:r>
              <w:rPr>
                <w:sz w:val="28"/>
                <w:szCs w:val="28"/>
                <w:lang w:eastAsia="en-US"/>
              </w:rPr>
              <w:t>9</w:t>
            </w:r>
          </w:p>
        </w:tc>
        <w:tc>
          <w:tcPr>
            <w:tcW w:w="1438" w:type="dxa"/>
            <w:tcBorders>
              <w:top w:val="single" w:sz="4" w:space="0" w:color="auto"/>
              <w:left w:val="nil"/>
              <w:bottom w:val="single" w:sz="4" w:space="0" w:color="auto"/>
              <w:right w:val="single" w:sz="4" w:space="0" w:color="auto"/>
            </w:tcBorders>
            <w:noWrap/>
            <w:vAlign w:val="center"/>
            <w:hideMark/>
          </w:tcPr>
          <w:p w:rsidR="00BD0C3C" w:rsidRDefault="00BD0C3C">
            <w:pPr>
              <w:spacing w:line="276" w:lineRule="auto"/>
              <w:jc w:val="right"/>
              <w:rPr>
                <w:sz w:val="28"/>
                <w:szCs w:val="28"/>
                <w:lang w:eastAsia="en-US"/>
              </w:rPr>
            </w:pPr>
            <w:r>
              <w:rPr>
                <w:sz w:val="28"/>
                <w:szCs w:val="28"/>
                <w:lang w:val="en-US" w:eastAsia="en-US"/>
              </w:rPr>
              <w:t>2</w:t>
            </w:r>
            <w:r>
              <w:rPr>
                <w:sz w:val="28"/>
                <w:szCs w:val="28"/>
                <w:lang w:eastAsia="en-US"/>
              </w:rPr>
              <w:t>69</w:t>
            </w:r>
          </w:p>
        </w:tc>
        <w:tc>
          <w:tcPr>
            <w:tcW w:w="1842" w:type="dxa"/>
            <w:tcBorders>
              <w:top w:val="single" w:sz="8" w:space="0" w:color="auto"/>
              <w:left w:val="nil"/>
              <w:bottom w:val="single" w:sz="8" w:space="0" w:color="auto"/>
              <w:right w:val="single" w:sz="8" w:space="0" w:color="auto"/>
            </w:tcBorders>
            <w:noWrap/>
            <w:vAlign w:val="center"/>
            <w:hideMark/>
          </w:tcPr>
          <w:p w:rsidR="00BD0C3C" w:rsidRDefault="00065E7B" w:rsidP="00514E11">
            <w:pPr>
              <w:spacing w:line="276" w:lineRule="auto"/>
              <w:jc w:val="right"/>
              <w:rPr>
                <w:sz w:val="28"/>
                <w:szCs w:val="28"/>
                <w:lang w:eastAsia="en-US"/>
              </w:rPr>
            </w:pPr>
            <w:r>
              <w:rPr>
                <w:sz w:val="28"/>
                <w:szCs w:val="28"/>
                <w:lang w:eastAsia="en-US"/>
              </w:rPr>
              <w:t>11</w:t>
            </w:r>
            <w:r w:rsidR="00514E11">
              <w:rPr>
                <w:sz w:val="28"/>
                <w:szCs w:val="28"/>
                <w:lang w:eastAsia="en-US"/>
              </w:rPr>
              <w:t>48</w:t>
            </w:r>
          </w:p>
        </w:tc>
        <w:tc>
          <w:tcPr>
            <w:tcW w:w="2250" w:type="dxa"/>
            <w:tcBorders>
              <w:top w:val="single" w:sz="8" w:space="0" w:color="auto"/>
              <w:left w:val="nil"/>
              <w:bottom w:val="single" w:sz="8" w:space="0" w:color="auto"/>
              <w:right w:val="single" w:sz="8" w:space="0" w:color="auto"/>
            </w:tcBorders>
            <w:noWrap/>
            <w:vAlign w:val="center"/>
            <w:hideMark/>
          </w:tcPr>
          <w:p w:rsidR="00BD0C3C" w:rsidRDefault="00BD0C3C">
            <w:pPr>
              <w:spacing w:line="276" w:lineRule="auto"/>
              <w:jc w:val="right"/>
              <w:rPr>
                <w:sz w:val="28"/>
                <w:szCs w:val="28"/>
                <w:lang w:eastAsia="en-US"/>
              </w:rPr>
            </w:pPr>
            <w:r>
              <w:rPr>
                <w:sz w:val="28"/>
                <w:szCs w:val="28"/>
                <w:lang w:eastAsia="en-US"/>
              </w:rPr>
              <w:t>81</w:t>
            </w:r>
          </w:p>
        </w:tc>
      </w:tr>
      <w:tr w:rsidR="00BD0C3C" w:rsidTr="00BD0C3C">
        <w:trPr>
          <w:trHeight w:val="260"/>
          <w:jc w:val="center"/>
        </w:trPr>
        <w:tc>
          <w:tcPr>
            <w:tcW w:w="1690" w:type="dxa"/>
            <w:tcBorders>
              <w:top w:val="nil"/>
              <w:left w:val="double" w:sz="6" w:space="0" w:color="auto"/>
              <w:bottom w:val="single" w:sz="8" w:space="0" w:color="000000"/>
              <w:right w:val="single" w:sz="8" w:space="0" w:color="000000"/>
            </w:tcBorders>
            <w:shd w:val="clear" w:color="auto" w:fill="F2F2F2"/>
            <w:vAlign w:val="center"/>
            <w:hideMark/>
          </w:tcPr>
          <w:p w:rsidR="00BD0C3C" w:rsidRDefault="00BD0C3C">
            <w:pPr>
              <w:spacing w:line="276" w:lineRule="auto"/>
              <w:rPr>
                <w:color w:val="000000"/>
                <w:sz w:val="28"/>
                <w:szCs w:val="28"/>
                <w:lang w:eastAsia="en-US"/>
              </w:rPr>
            </w:pPr>
            <w:r>
              <w:rPr>
                <w:color w:val="000000"/>
                <w:sz w:val="28"/>
                <w:szCs w:val="28"/>
                <w:lang w:eastAsia="en-US"/>
              </w:rPr>
              <w:t>РП - Сливен</w:t>
            </w:r>
          </w:p>
        </w:tc>
        <w:tc>
          <w:tcPr>
            <w:tcW w:w="1857" w:type="dxa"/>
            <w:tcBorders>
              <w:top w:val="nil"/>
              <w:left w:val="single" w:sz="4" w:space="0" w:color="auto"/>
              <w:bottom w:val="single" w:sz="4" w:space="0" w:color="auto"/>
              <w:right w:val="single" w:sz="4" w:space="0" w:color="auto"/>
            </w:tcBorders>
            <w:noWrap/>
            <w:vAlign w:val="center"/>
            <w:hideMark/>
          </w:tcPr>
          <w:p w:rsidR="00BD0C3C" w:rsidRDefault="00BD0C3C">
            <w:pPr>
              <w:spacing w:line="276" w:lineRule="auto"/>
              <w:jc w:val="right"/>
              <w:rPr>
                <w:sz w:val="28"/>
                <w:szCs w:val="28"/>
                <w:lang w:val="en-US" w:eastAsia="en-US"/>
              </w:rPr>
            </w:pPr>
            <w:r>
              <w:rPr>
                <w:sz w:val="28"/>
                <w:szCs w:val="28"/>
                <w:lang w:eastAsia="en-US"/>
              </w:rPr>
              <w:t>3550</w:t>
            </w:r>
          </w:p>
        </w:tc>
        <w:tc>
          <w:tcPr>
            <w:tcW w:w="1438" w:type="dxa"/>
            <w:tcBorders>
              <w:top w:val="nil"/>
              <w:left w:val="nil"/>
              <w:bottom w:val="single" w:sz="4" w:space="0" w:color="auto"/>
              <w:right w:val="single" w:sz="4" w:space="0" w:color="auto"/>
            </w:tcBorders>
            <w:noWrap/>
            <w:vAlign w:val="center"/>
            <w:hideMark/>
          </w:tcPr>
          <w:p w:rsidR="00BD0C3C" w:rsidRDefault="00BD0C3C">
            <w:pPr>
              <w:spacing w:line="276" w:lineRule="auto"/>
              <w:jc w:val="right"/>
              <w:rPr>
                <w:sz w:val="28"/>
                <w:szCs w:val="28"/>
                <w:lang w:eastAsia="en-US"/>
              </w:rPr>
            </w:pPr>
            <w:r>
              <w:rPr>
                <w:sz w:val="28"/>
                <w:szCs w:val="28"/>
                <w:lang w:eastAsia="en-US"/>
              </w:rPr>
              <w:t>2691</w:t>
            </w:r>
          </w:p>
        </w:tc>
        <w:tc>
          <w:tcPr>
            <w:tcW w:w="1842" w:type="dxa"/>
            <w:tcBorders>
              <w:top w:val="nil"/>
              <w:left w:val="nil"/>
              <w:bottom w:val="single" w:sz="8" w:space="0" w:color="auto"/>
              <w:right w:val="single" w:sz="8" w:space="0" w:color="auto"/>
            </w:tcBorders>
            <w:noWrap/>
            <w:vAlign w:val="center"/>
            <w:hideMark/>
          </w:tcPr>
          <w:p w:rsidR="00BD0C3C" w:rsidRDefault="00BD0C3C">
            <w:pPr>
              <w:spacing w:line="276" w:lineRule="auto"/>
              <w:jc w:val="right"/>
              <w:rPr>
                <w:sz w:val="28"/>
                <w:szCs w:val="28"/>
                <w:lang w:eastAsia="en-US"/>
              </w:rPr>
            </w:pPr>
            <w:r>
              <w:rPr>
                <w:sz w:val="28"/>
                <w:szCs w:val="28"/>
                <w:lang w:val="en-US" w:eastAsia="en-US"/>
              </w:rPr>
              <w:t>22</w:t>
            </w:r>
            <w:r>
              <w:rPr>
                <w:sz w:val="28"/>
                <w:szCs w:val="28"/>
                <w:lang w:eastAsia="en-US"/>
              </w:rPr>
              <w:t>40</w:t>
            </w:r>
          </w:p>
        </w:tc>
        <w:tc>
          <w:tcPr>
            <w:tcW w:w="2250" w:type="dxa"/>
            <w:tcBorders>
              <w:top w:val="nil"/>
              <w:left w:val="nil"/>
              <w:bottom w:val="single" w:sz="8" w:space="0" w:color="auto"/>
              <w:right w:val="single" w:sz="8" w:space="0" w:color="auto"/>
            </w:tcBorders>
            <w:noWrap/>
            <w:vAlign w:val="center"/>
            <w:hideMark/>
          </w:tcPr>
          <w:p w:rsidR="00BD0C3C" w:rsidRDefault="00BD0C3C">
            <w:pPr>
              <w:spacing w:line="276" w:lineRule="auto"/>
              <w:jc w:val="right"/>
              <w:rPr>
                <w:sz w:val="28"/>
                <w:szCs w:val="28"/>
                <w:lang w:val="en-US" w:eastAsia="en-US"/>
              </w:rPr>
            </w:pPr>
            <w:r>
              <w:rPr>
                <w:sz w:val="28"/>
                <w:szCs w:val="28"/>
                <w:lang w:eastAsia="en-US"/>
              </w:rPr>
              <w:t>868</w:t>
            </w:r>
          </w:p>
        </w:tc>
      </w:tr>
      <w:bookmarkEnd w:id="21"/>
      <w:tr w:rsidR="00BD0C3C" w:rsidRPr="000B216A" w:rsidTr="00BD0C3C">
        <w:trPr>
          <w:trHeight w:val="273"/>
          <w:jc w:val="center"/>
        </w:trPr>
        <w:tc>
          <w:tcPr>
            <w:tcW w:w="1690" w:type="dxa"/>
            <w:tcBorders>
              <w:top w:val="nil"/>
              <w:left w:val="double" w:sz="6" w:space="0" w:color="auto"/>
              <w:bottom w:val="double" w:sz="6" w:space="0" w:color="auto"/>
              <w:right w:val="single" w:sz="8" w:space="0" w:color="000000"/>
            </w:tcBorders>
            <w:shd w:val="clear" w:color="auto" w:fill="F2F2F2"/>
            <w:vAlign w:val="center"/>
            <w:hideMark/>
          </w:tcPr>
          <w:p w:rsidR="00BD0C3C" w:rsidRPr="000B216A" w:rsidRDefault="00BD0C3C">
            <w:pPr>
              <w:spacing w:line="276" w:lineRule="auto"/>
              <w:rPr>
                <w:b/>
                <w:bCs/>
                <w:iCs/>
                <w:color w:val="000000"/>
                <w:sz w:val="28"/>
                <w:szCs w:val="28"/>
                <w:lang w:eastAsia="en-US"/>
              </w:rPr>
            </w:pPr>
            <w:r w:rsidRPr="000B216A">
              <w:rPr>
                <w:b/>
                <w:bCs/>
                <w:iCs/>
                <w:color w:val="000000"/>
                <w:sz w:val="28"/>
                <w:szCs w:val="28"/>
                <w:lang w:eastAsia="en-US"/>
              </w:rPr>
              <w:t>ОБЩО за региона</w:t>
            </w:r>
          </w:p>
        </w:tc>
        <w:tc>
          <w:tcPr>
            <w:tcW w:w="1857" w:type="dxa"/>
            <w:tcBorders>
              <w:top w:val="nil"/>
              <w:left w:val="nil"/>
              <w:bottom w:val="single" w:sz="8" w:space="0" w:color="auto"/>
              <w:right w:val="single" w:sz="8" w:space="0" w:color="auto"/>
            </w:tcBorders>
            <w:noWrap/>
            <w:vAlign w:val="center"/>
            <w:hideMark/>
          </w:tcPr>
          <w:p w:rsidR="00BD0C3C" w:rsidRPr="000B216A" w:rsidRDefault="00BD0C3C">
            <w:pPr>
              <w:spacing w:line="276" w:lineRule="auto"/>
              <w:jc w:val="right"/>
              <w:rPr>
                <w:b/>
                <w:sz w:val="28"/>
                <w:szCs w:val="28"/>
                <w:lang w:eastAsia="en-US"/>
              </w:rPr>
            </w:pPr>
            <w:r w:rsidRPr="000B216A">
              <w:rPr>
                <w:b/>
                <w:sz w:val="28"/>
                <w:szCs w:val="28"/>
                <w:lang w:eastAsia="en-US"/>
              </w:rPr>
              <w:t>3949</w:t>
            </w:r>
          </w:p>
        </w:tc>
        <w:tc>
          <w:tcPr>
            <w:tcW w:w="1438" w:type="dxa"/>
            <w:tcBorders>
              <w:top w:val="nil"/>
              <w:left w:val="nil"/>
              <w:bottom w:val="single" w:sz="8" w:space="0" w:color="auto"/>
              <w:right w:val="single" w:sz="8" w:space="0" w:color="auto"/>
            </w:tcBorders>
            <w:noWrap/>
            <w:vAlign w:val="center"/>
            <w:hideMark/>
          </w:tcPr>
          <w:p w:rsidR="00BD0C3C" w:rsidRPr="000B216A" w:rsidRDefault="00BD0C3C">
            <w:pPr>
              <w:spacing w:line="276" w:lineRule="auto"/>
              <w:jc w:val="right"/>
              <w:rPr>
                <w:b/>
                <w:sz w:val="28"/>
                <w:szCs w:val="28"/>
                <w:lang w:eastAsia="en-US"/>
              </w:rPr>
            </w:pPr>
            <w:r w:rsidRPr="000B216A">
              <w:rPr>
                <w:b/>
                <w:sz w:val="28"/>
                <w:szCs w:val="28"/>
                <w:lang w:eastAsia="en-US"/>
              </w:rPr>
              <w:t>2960</w:t>
            </w:r>
          </w:p>
        </w:tc>
        <w:tc>
          <w:tcPr>
            <w:tcW w:w="1842" w:type="dxa"/>
            <w:tcBorders>
              <w:top w:val="nil"/>
              <w:left w:val="nil"/>
              <w:bottom w:val="single" w:sz="8" w:space="0" w:color="auto"/>
              <w:right w:val="single" w:sz="8" w:space="0" w:color="auto"/>
            </w:tcBorders>
            <w:noWrap/>
            <w:vAlign w:val="center"/>
            <w:hideMark/>
          </w:tcPr>
          <w:p w:rsidR="00BD0C3C" w:rsidRPr="000B216A" w:rsidRDefault="00BD0C3C" w:rsidP="00514E11">
            <w:pPr>
              <w:spacing w:line="276" w:lineRule="auto"/>
              <w:jc w:val="right"/>
              <w:rPr>
                <w:b/>
                <w:sz w:val="28"/>
                <w:szCs w:val="28"/>
                <w:lang w:eastAsia="en-US"/>
              </w:rPr>
            </w:pPr>
            <w:r w:rsidRPr="000B216A">
              <w:rPr>
                <w:b/>
                <w:sz w:val="28"/>
                <w:szCs w:val="28"/>
                <w:lang w:val="en-US" w:eastAsia="en-US"/>
              </w:rPr>
              <w:t>3</w:t>
            </w:r>
            <w:r w:rsidR="00065E7B">
              <w:rPr>
                <w:b/>
                <w:sz w:val="28"/>
                <w:szCs w:val="28"/>
                <w:lang w:eastAsia="en-US"/>
              </w:rPr>
              <w:t>3</w:t>
            </w:r>
            <w:r w:rsidR="00514E11">
              <w:rPr>
                <w:b/>
                <w:sz w:val="28"/>
                <w:szCs w:val="28"/>
                <w:lang w:eastAsia="en-US"/>
              </w:rPr>
              <w:t>88</w:t>
            </w:r>
          </w:p>
        </w:tc>
        <w:tc>
          <w:tcPr>
            <w:tcW w:w="2250" w:type="dxa"/>
            <w:tcBorders>
              <w:top w:val="nil"/>
              <w:left w:val="nil"/>
              <w:bottom w:val="single" w:sz="8" w:space="0" w:color="auto"/>
              <w:right w:val="single" w:sz="8" w:space="0" w:color="auto"/>
            </w:tcBorders>
            <w:noWrap/>
            <w:vAlign w:val="center"/>
            <w:hideMark/>
          </w:tcPr>
          <w:p w:rsidR="00BD0C3C" w:rsidRPr="000B216A" w:rsidRDefault="00BD0C3C">
            <w:pPr>
              <w:spacing w:line="276" w:lineRule="auto"/>
              <w:jc w:val="right"/>
              <w:rPr>
                <w:b/>
                <w:sz w:val="28"/>
                <w:szCs w:val="28"/>
                <w:lang w:val="en-US" w:eastAsia="en-US"/>
              </w:rPr>
            </w:pPr>
            <w:r w:rsidRPr="000B216A">
              <w:rPr>
                <w:b/>
                <w:sz w:val="28"/>
                <w:szCs w:val="28"/>
                <w:lang w:eastAsia="en-US"/>
              </w:rPr>
              <w:t>949</w:t>
            </w:r>
          </w:p>
        </w:tc>
      </w:tr>
    </w:tbl>
    <w:bookmarkEnd w:id="22"/>
    <w:p w:rsidR="00BD0C3C" w:rsidRDefault="000825E5" w:rsidP="00BD0C3C">
      <w:pPr>
        <w:jc w:val="center"/>
        <w:rPr>
          <w:sz w:val="28"/>
          <w:szCs w:val="28"/>
        </w:rPr>
      </w:pPr>
      <w:r>
        <w:rPr>
          <w:noProof/>
        </w:rPr>
        <w:drawing>
          <wp:inline distT="0" distB="0" distL="0" distR="0" wp14:anchorId="5FEF1FB1" wp14:editId="739FAF93">
            <wp:extent cx="4599295" cy="2524836"/>
            <wp:effectExtent l="0" t="0" r="0" b="8890"/>
            <wp:docPr id="5" name="Ди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D0C3C" w:rsidRDefault="00BD0C3C" w:rsidP="00BD0C3C">
      <w:pPr>
        <w:spacing w:after="120" w:line="360" w:lineRule="exact"/>
        <w:ind w:firstLine="708"/>
        <w:jc w:val="both"/>
        <w:rPr>
          <w:sz w:val="28"/>
          <w:szCs w:val="28"/>
        </w:rPr>
      </w:pPr>
      <w:r>
        <w:rPr>
          <w:sz w:val="28"/>
          <w:szCs w:val="28"/>
        </w:rPr>
        <w:lastRenderedPageBreak/>
        <w:t xml:space="preserve">За 2024 г. средната натовареност на един прокурор от прокуратурите в съдебния район на Окръжна прокуратура - Сливен, която се получава от общия обем на прокурорска дейност, разделен на реално работилите прокурори в прокуратурите е </w:t>
      </w:r>
      <w:r w:rsidR="00514E11">
        <w:rPr>
          <w:sz w:val="28"/>
          <w:szCs w:val="28"/>
        </w:rPr>
        <w:t>1139,9</w:t>
      </w:r>
      <w:r>
        <w:rPr>
          <w:sz w:val="28"/>
          <w:szCs w:val="28"/>
        </w:rPr>
        <w:t>. За сравнение, през 2023 г. средната натовареност на един прокурор, изчислен по същите показатели е била 1023,5, а за 20</w:t>
      </w:r>
      <w:r>
        <w:rPr>
          <w:sz w:val="28"/>
          <w:szCs w:val="28"/>
          <w:lang w:val="en-US"/>
        </w:rPr>
        <w:t>2</w:t>
      </w:r>
      <w:r>
        <w:rPr>
          <w:sz w:val="28"/>
          <w:szCs w:val="28"/>
        </w:rPr>
        <w:t>2 г. – 1067</w:t>
      </w:r>
      <w:r>
        <w:rPr>
          <w:sz w:val="28"/>
          <w:szCs w:val="28"/>
          <w:lang w:val="en-US"/>
        </w:rPr>
        <w:t>,</w:t>
      </w:r>
      <w:r>
        <w:rPr>
          <w:sz w:val="28"/>
          <w:szCs w:val="28"/>
        </w:rPr>
        <w:t>9. Увеличението в средната натовареност спрямо отчетната 2023 г. е с</w:t>
      </w:r>
      <w:r>
        <w:rPr>
          <w:color w:val="FF0000"/>
          <w:sz w:val="28"/>
          <w:szCs w:val="28"/>
        </w:rPr>
        <w:t xml:space="preserve"> </w:t>
      </w:r>
      <w:r w:rsidR="00065E7B">
        <w:rPr>
          <w:sz w:val="28"/>
          <w:szCs w:val="28"/>
        </w:rPr>
        <w:t>11,4</w:t>
      </w:r>
      <w:r>
        <w:rPr>
          <w:sz w:val="28"/>
          <w:szCs w:val="28"/>
        </w:rPr>
        <w:t xml:space="preserve">%, а спрямо отчетената 2022 г. с </w:t>
      </w:r>
      <w:r w:rsidR="00065E7B">
        <w:rPr>
          <w:sz w:val="28"/>
          <w:szCs w:val="28"/>
        </w:rPr>
        <w:t>6,7</w:t>
      </w:r>
      <w:r w:rsidR="00514E11">
        <w:rPr>
          <w:sz w:val="28"/>
          <w:szCs w:val="28"/>
        </w:rPr>
        <w:t>4</w:t>
      </w:r>
      <w:r>
        <w:rPr>
          <w:sz w:val="28"/>
          <w:szCs w:val="28"/>
        </w:rPr>
        <w:t xml:space="preserve">% </w:t>
      </w:r>
    </w:p>
    <w:p w:rsidR="00BD0C3C" w:rsidRDefault="00BD0C3C" w:rsidP="00BD0C3C">
      <w:pPr>
        <w:spacing w:after="120" w:line="360" w:lineRule="exact"/>
        <w:ind w:firstLine="708"/>
        <w:jc w:val="both"/>
        <w:rPr>
          <w:color w:val="FF0000"/>
          <w:sz w:val="28"/>
          <w:szCs w:val="28"/>
        </w:rPr>
      </w:pPr>
      <w:r>
        <w:rPr>
          <w:sz w:val="28"/>
          <w:szCs w:val="28"/>
        </w:rPr>
        <w:t xml:space="preserve">За Окръжна прокуратура - Сливен през 2024 г. средната натовареност на един прокурор е била </w:t>
      </w:r>
      <w:r w:rsidR="00065E7B">
        <w:rPr>
          <w:sz w:val="28"/>
          <w:szCs w:val="28"/>
        </w:rPr>
        <w:t>64</w:t>
      </w:r>
      <w:r w:rsidR="00514E11">
        <w:rPr>
          <w:sz w:val="28"/>
          <w:szCs w:val="28"/>
        </w:rPr>
        <w:t>6,2</w:t>
      </w:r>
      <w:r>
        <w:rPr>
          <w:sz w:val="28"/>
          <w:szCs w:val="28"/>
        </w:rPr>
        <w:t xml:space="preserve"> при 602</w:t>
      </w:r>
      <w:r>
        <w:rPr>
          <w:sz w:val="28"/>
          <w:szCs w:val="28"/>
          <w:lang w:val="en-US"/>
        </w:rPr>
        <w:t>,</w:t>
      </w:r>
      <w:r>
        <w:rPr>
          <w:sz w:val="28"/>
          <w:szCs w:val="28"/>
        </w:rPr>
        <w:t>2 за 2023 г. и 561,6 за 2022 г. Броят на реално работилите прокурори през отчетната 202</w:t>
      </w:r>
      <w:r w:rsidR="0091458F">
        <w:rPr>
          <w:sz w:val="28"/>
          <w:szCs w:val="28"/>
        </w:rPr>
        <w:t>4</w:t>
      </w:r>
      <w:r>
        <w:rPr>
          <w:sz w:val="28"/>
          <w:szCs w:val="28"/>
        </w:rPr>
        <w:t xml:space="preserve"> г. е бил 10 при 10</w:t>
      </w:r>
      <w:r>
        <w:rPr>
          <w:sz w:val="28"/>
          <w:szCs w:val="28"/>
          <w:lang w:val="en-US"/>
        </w:rPr>
        <w:t>,</w:t>
      </w:r>
      <w:r>
        <w:rPr>
          <w:sz w:val="28"/>
          <w:szCs w:val="28"/>
        </w:rPr>
        <w:t>3 и 9</w:t>
      </w:r>
      <w:r>
        <w:rPr>
          <w:sz w:val="28"/>
          <w:szCs w:val="28"/>
          <w:lang w:val="en-US"/>
        </w:rPr>
        <w:t>,</w:t>
      </w:r>
      <w:r>
        <w:rPr>
          <w:sz w:val="28"/>
          <w:szCs w:val="28"/>
        </w:rPr>
        <w:t>33 за предходните две години. Отчита се увеличение на натовареността спрямо 2023 г. с</w:t>
      </w:r>
      <w:r>
        <w:rPr>
          <w:color w:val="FF0000"/>
          <w:sz w:val="28"/>
          <w:szCs w:val="28"/>
        </w:rPr>
        <w:t xml:space="preserve"> </w:t>
      </w:r>
      <w:r w:rsidR="00514E11">
        <w:rPr>
          <w:sz w:val="28"/>
          <w:szCs w:val="28"/>
        </w:rPr>
        <w:t>7,3</w:t>
      </w:r>
      <w:r>
        <w:rPr>
          <w:sz w:val="28"/>
          <w:szCs w:val="28"/>
        </w:rPr>
        <w:t xml:space="preserve">% и по-осезателно спрямо 2022 г. с </w:t>
      </w:r>
      <w:r w:rsidR="00065E7B">
        <w:rPr>
          <w:sz w:val="28"/>
          <w:szCs w:val="28"/>
        </w:rPr>
        <w:t>15,</w:t>
      </w:r>
      <w:r w:rsidR="00514E11">
        <w:rPr>
          <w:sz w:val="28"/>
          <w:szCs w:val="28"/>
        </w:rPr>
        <w:t>06</w:t>
      </w:r>
      <w:r>
        <w:rPr>
          <w:sz w:val="28"/>
          <w:szCs w:val="28"/>
        </w:rPr>
        <w:t xml:space="preserve"> %,</w:t>
      </w:r>
      <w:r>
        <w:rPr>
          <w:color w:val="FF0000"/>
          <w:sz w:val="28"/>
          <w:szCs w:val="28"/>
        </w:rPr>
        <w:t xml:space="preserve"> </w:t>
      </w:r>
      <w:r>
        <w:rPr>
          <w:sz w:val="28"/>
          <w:szCs w:val="28"/>
        </w:rPr>
        <w:t>като следва да се посочи, че</w:t>
      </w:r>
      <w:bookmarkStart w:id="23" w:name="_GoBack"/>
      <w:bookmarkEnd w:id="23"/>
      <w:r>
        <w:rPr>
          <w:sz w:val="28"/>
          <w:szCs w:val="28"/>
        </w:rPr>
        <w:t xml:space="preserve"> данните се отнасят за приблизително еднакъв брой на работилите прокурори през последните три години.</w:t>
      </w:r>
    </w:p>
    <w:p w:rsidR="00BD0C3C" w:rsidRDefault="00BD0C3C" w:rsidP="00BD0C3C">
      <w:pPr>
        <w:spacing w:after="120" w:line="360" w:lineRule="exact"/>
        <w:ind w:firstLine="708"/>
        <w:jc w:val="both"/>
        <w:rPr>
          <w:color w:val="FF0000"/>
          <w:sz w:val="28"/>
          <w:szCs w:val="28"/>
        </w:rPr>
      </w:pPr>
      <w:r>
        <w:rPr>
          <w:sz w:val="28"/>
          <w:szCs w:val="28"/>
        </w:rPr>
        <w:t>За Районна прокуратура - Сливен през 2024 г. средната натовареност на един прокурор е била 1444</w:t>
      </w:r>
      <w:r>
        <w:rPr>
          <w:sz w:val="28"/>
          <w:szCs w:val="28"/>
          <w:lang w:val="en-US"/>
        </w:rPr>
        <w:t>,</w:t>
      </w:r>
      <w:r w:rsidR="00F87CF4">
        <w:rPr>
          <w:sz w:val="28"/>
          <w:szCs w:val="28"/>
        </w:rPr>
        <w:t>3</w:t>
      </w:r>
      <w:r>
        <w:rPr>
          <w:sz w:val="28"/>
          <w:szCs w:val="28"/>
        </w:rPr>
        <w:t xml:space="preserve"> при 1285</w:t>
      </w:r>
      <w:r>
        <w:rPr>
          <w:sz w:val="28"/>
          <w:szCs w:val="28"/>
          <w:lang w:val="en-US"/>
        </w:rPr>
        <w:t>,</w:t>
      </w:r>
      <w:r>
        <w:rPr>
          <w:sz w:val="28"/>
          <w:szCs w:val="28"/>
        </w:rPr>
        <w:t>2 за 2023 г. и 1375,2 за 2022 г. Броят на реално работилите прокурори през отчетната година е 16</w:t>
      </w:r>
      <w:r>
        <w:rPr>
          <w:sz w:val="28"/>
          <w:szCs w:val="28"/>
          <w:lang w:val="en-US"/>
        </w:rPr>
        <w:t>,</w:t>
      </w:r>
      <w:r>
        <w:rPr>
          <w:sz w:val="28"/>
          <w:szCs w:val="28"/>
        </w:rPr>
        <w:t>22 при 16</w:t>
      </w:r>
      <w:r>
        <w:rPr>
          <w:sz w:val="28"/>
          <w:szCs w:val="28"/>
          <w:lang w:val="en-US"/>
        </w:rPr>
        <w:t>,</w:t>
      </w:r>
      <w:r>
        <w:rPr>
          <w:sz w:val="28"/>
          <w:szCs w:val="28"/>
        </w:rPr>
        <w:t>58 за 2023 г. и 15</w:t>
      </w:r>
      <w:r>
        <w:rPr>
          <w:sz w:val="28"/>
          <w:szCs w:val="28"/>
          <w:lang w:val="en-US"/>
        </w:rPr>
        <w:t>,</w:t>
      </w:r>
      <w:r>
        <w:rPr>
          <w:sz w:val="28"/>
          <w:szCs w:val="28"/>
        </w:rPr>
        <w:t>37 за 2022 г. Налице е съществено увеличение спрямо 2023 г. с</w:t>
      </w:r>
      <w:r>
        <w:rPr>
          <w:color w:val="FF0000"/>
          <w:sz w:val="28"/>
          <w:szCs w:val="28"/>
        </w:rPr>
        <w:t xml:space="preserve"> </w:t>
      </w:r>
      <w:r>
        <w:rPr>
          <w:sz w:val="28"/>
          <w:szCs w:val="28"/>
        </w:rPr>
        <w:t>12,3</w:t>
      </w:r>
      <w:r w:rsidR="00F87CF4">
        <w:rPr>
          <w:sz w:val="28"/>
          <w:szCs w:val="28"/>
        </w:rPr>
        <w:t>8</w:t>
      </w:r>
      <w:r>
        <w:rPr>
          <w:sz w:val="28"/>
          <w:szCs w:val="28"/>
        </w:rPr>
        <w:t xml:space="preserve"> % и по-слабо изразе</w:t>
      </w:r>
      <w:r w:rsidR="00F87CF4">
        <w:rPr>
          <w:sz w:val="28"/>
          <w:szCs w:val="28"/>
        </w:rPr>
        <w:t>но увеличение спрямо 2022 г. с 5,02</w:t>
      </w:r>
      <w:r>
        <w:rPr>
          <w:sz w:val="28"/>
          <w:szCs w:val="28"/>
        </w:rPr>
        <w:t>%, отново като при ОП – Сливен при</w:t>
      </w:r>
      <w:r>
        <w:rPr>
          <w:color w:val="FF0000"/>
          <w:sz w:val="28"/>
          <w:szCs w:val="28"/>
        </w:rPr>
        <w:t xml:space="preserve"> </w:t>
      </w:r>
      <w:r>
        <w:rPr>
          <w:sz w:val="28"/>
          <w:szCs w:val="28"/>
        </w:rPr>
        <w:t>приблизително еднакъв брой на работилите прокурори през последните три години</w:t>
      </w:r>
      <w:r>
        <w:rPr>
          <w:color w:val="FF0000"/>
          <w:sz w:val="28"/>
          <w:szCs w:val="28"/>
        </w:rPr>
        <w:t>.</w:t>
      </w:r>
    </w:p>
    <w:p w:rsidR="00BD0C3C" w:rsidRDefault="00BD0C3C" w:rsidP="00BD0C3C">
      <w:pPr>
        <w:spacing w:after="120" w:line="360" w:lineRule="exact"/>
        <w:ind w:firstLine="708"/>
        <w:jc w:val="both"/>
        <w:rPr>
          <w:sz w:val="28"/>
          <w:szCs w:val="28"/>
        </w:rPr>
      </w:pPr>
      <w:r>
        <w:rPr>
          <w:sz w:val="28"/>
          <w:szCs w:val="28"/>
        </w:rPr>
        <w:t xml:space="preserve">Обобщеният извод е, че в средната натовареност и обема на работа на прокуратурите в съдебния район се наблюдава тенденция за увеличаване в периода 2022 г. - 2024 г. </w:t>
      </w:r>
    </w:p>
    <w:p w:rsidR="00BD0C3C" w:rsidRDefault="00BD0C3C" w:rsidP="00BD0C3C">
      <w:pPr>
        <w:spacing w:after="120" w:line="360" w:lineRule="exact"/>
        <w:ind w:firstLine="708"/>
        <w:jc w:val="both"/>
        <w:rPr>
          <w:b/>
          <w:sz w:val="28"/>
          <w:szCs w:val="28"/>
        </w:rPr>
      </w:pPr>
      <w:r>
        <w:rPr>
          <w:b/>
          <w:sz w:val="28"/>
          <w:szCs w:val="28"/>
        </w:rPr>
        <w:t>2. Средна натовареност на следователите</w:t>
      </w:r>
    </w:p>
    <w:p w:rsidR="00BD0C3C" w:rsidRDefault="00BD0C3C" w:rsidP="00BD0C3C">
      <w:pPr>
        <w:spacing w:after="120" w:line="360" w:lineRule="exact"/>
        <w:ind w:firstLine="709"/>
        <w:jc w:val="both"/>
        <w:rPr>
          <w:sz w:val="28"/>
          <w:szCs w:val="28"/>
        </w:rPr>
      </w:pPr>
      <w:r>
        <w:rPr>
          <w:sz w:val="28"/>
          <w:szCs w:val="28"/>
        </w:rPr>
        <w:t>Средната годишна натовареност на следователите в Окръжен следствен отдел към Окръжна прокуратура Сливен през 2024 г., която обхваща броя на разследваните дела, на изпълнените делегации и международни поръчки, разделен на реално работилите следователи е 49 при 81,8 за 2023 г. и 65 за 2022 г. През отчетна година са работили 6 следователи при 4</w:t>
      </w:r>
      <w:r>
        <w:rPr>
          <w:sz w:val="28"/>
          <w:szCs w:val="28"/>
          <w:lang w:val="en-US"/>
        </w:rPr>
        <w:t>,</w:t>
      </w:r>
      <w:r>
        <w:rPr>
          <w:sz w:val="28"/>
          <w:szCs w:val="28"/>
        </w:rPr>
        <w:t>5 за 2023 г. и 4</w:t>
      </w:r>
      <w:r>
        <w:rPr>
          <w:sz w:val="28"/>
          <w:szCs w:val="28"/>
          <w:lang w:val="en-US"/>
        </w:rPr>
        <w:t>,</w:t>
      </w:r>
      <w:r>
        <w:rPr>
          <w:sz w:val="28"/>
          <w:szCs w:val="28"/>
        </w:rPr>
        <w:t xml:space="preserve">08 следователи за 2022 г. На практика, през 2024 г. е запазен обемът на следователската дейност през тригодишния период, при повишена </w:t>
      </w:r>
      <w:proofErr w:type="spellStart"/>
      <w:r>
        <w:rPr>
          <w:sz w:val="28"/>
          <w:szCs w:val="28"/>
        </w:rPr>
        <w:t>срочност</w:t>
      </w:r>
      <w:proofErr w:type="spellEnd"/>
      <w:r>
        <w:rPr>
          <w:sz w:val="28"/>
          <w:szCs w:val="28"/>
        </w:rPr>
        <w:t>, като намаляването на общата натовареност е в пряка зависимост от броя на работилите следователи през всяка от годините.</w:t>
      </w:r>
    </w:p>
    <w:p w:rsidR="00BD0C3C" w:rsidRDefault="00BD0C3C" w:rsidP="00BD0C3C"/>
    <w:p w:rsidR="00B93FA6" w:rsidRPr="008D3C23" w:rsidRDefault="00B93FA6" w:rsidP="00B93FA6">
      <w:pPr>
        <w:pStyle w:val="a5"/>
        <w:spacing w:before="240" w:after="240" w:line="360" w:lineRule="exact"/>
        <w:jc w:val="center"/>
        <w:rPr>
          <w:b/>
          <w:sz w:val="32"/>
          <w:szCs w:val="32"/>
          <w:lang w:val="en-US"/>
        </w:rPr>
      </w:pPr>
      <w:r w:rsidRPr="006A3323">
        <w:rPr>
          <w:b/>
          <w:sz w:val="32"/>
          <w:szCs w:val="32"/>
        </w:rPr>
        <w:lastRenderedPageBreak/>
        <w:t xml:space="preserve">Р А З Д Е Л      </w:t>
      </w:r>
      <w:r w:rsidR="008D3C23">
        <w:rPr>
          <w:b/>
          <w:sz w:val="32"/>
          <w:szCs w:val="32"/>
          <w:lang w:val="en-US"/>
        </w:rPr>
        <w:t>III</w:t>
      </w:r>
    </w:p>
    <w:p w:rsidR="00B93FA6" w:rsidRDefault="00B93FA6" w:rsidP="00B93FA6">
      <w:pPr>
        <w:pStyle w:val="a5"/>
        <w:spacing w:before="240" w:after="0" w:line="360" w:lineRule="exact"/>
        <w:ind w:firstLine="720"/>
        <w:jc w:val="center"/>
        <w:rPr>
          <w:b/>
          <w:sz w:val="28"/>
          <w:szCs w:val="28"/>
        </w:rPr>
      </w:pPr>
      <w:r>
        <w:rPr>
          <w:b/>
          <w:sz w:val="28"/>
          <w:szCs w:val="28"/>
        </w:rPr>
        <w:t>ПРИОРИТЕТИ В ДЕЙНОСТТА НА ПРОКУРАТУРИТЕ ОТ СЛИВЕНСКИ СЪДЕБЕН РАЙОН</w:t>
      </w:r>
    </w:p>
    <w:p w:rsidR="00B93FA6" w:rsidRDefault="00B93FA6" w:rsidP="00B93FA6">
      <w:pPr>
        <w:pStyle w:val="a5"/>
        <w:spacing w:after="0" w:line="360" w:lineRule="exact"/>
        <w:ind w:firstLine="720"/>
        <w:jc w:val="both"/>
        <w:rPr>
          <w:sz w:val="28"/>
          <w:szCs w:val="28"/>
        </w:rPr>
      </w:pPr>
    </w:p>
    <w:p w:rsidR="00B93FA6" w:rsidRDefault="00B93FA6" w:rsidP="00B93FA6">
      <w:pPr>
        <w:pStyle w:val="a5"/>
        <w:spacing w:after="0" w:line="360" w:lineRule="exact"/>
        <w:ind w:firstLine="720"/>
        <w:jc w:val="both"/>
        <w:rPr>
          <w:sz w:val="28"/>
          <w:szCs w:val="28"/>
        </w:rPr>
      </w:pPr>
      <w:r>
        <w:rPr>
          <w:sz w:val="28"/>
          <w:szCs w:val="28"/>
        </w:rPr>
        <w:t>Резултатите от дейността на Окръжна прокуратура – Сливен, Районна прокуратура - Сливен и на разследващите органи, отчетени и анализирани в настоящия доклад, са обективен израз на степента на реализация на приоритетите през 2024 г., очертани в предходния отчетен доклад.</w:t>
      </w:r>
    </w:p>
    <w:p w:rsidR="00B93FA6" w:rsidRDefault="00B93FA6" w:rsidP="00B93FA6">
      <w:pPr>
        <w:pStyle w:val="a5"/>
        <w:spacing w:after="0" w:line="360" w:lineRule="exact"/>
        <w:ind w:firstLine="720"/>
        <w:jc w:val="both"/>
        <w:rPr>
          <w:sz w:val="28"/>
          <w:szCs w:val="28"/>
        </w:rPr>
      </w:pPr>
      <w:r>
        <w:rPr>
          <w:sz w:val="28"/>
          <w:szCs w:val="28"/>
        </w:rPr>
        <w:t xml:space="preserve">През 2024 г., както и през предходните години, продължиха усилията на прокурорите от Окръжна прокуратура - Сливен и Районна прокуратура - Сливен и на следователите от ОСО при ОП – Сливен за законосъобразното осъществяване на конституционните им правомощия, при стриктно спазване на правата на гражданите. Организацията на работа създадена в прокуратурата и високото ниво на подготвеност на магистратите допринесоха за качественото и срочно изпълнение на служебните им задължения, в резултат на което са запазени постигнатите много добри резултати през последните години по отделните направления на дейност. </w:t>
      </w:r>
    </w:p>
    <w:p w:rsidR="00B93FA6" w:rsidRDefault="00B93FA6" w:rsidP="00B93FA6">
      <w:pPr>
        <w:pStyle w:val="a5"/>
        <w:spacing w:after="0" w:line="360" w:lineRule="exact"/>
        <w:ind w:firstLine="720"/>
        <w:jc w:val="both"/>
        <w:rPr>
          <w:sz w:val="28"/>
          <w:szCs w:val="28"/>
        </w:rPr>
      </w:pPr>
      <w:r>
        <w:rPr>
          <w:sz w:val="28"/>
          <w:szCs w:val="28"/>
        </w:rPr>
        <w:t>През отчетната година продължи процесът на обучението на магистратите и съдебните служители, както присъствено, така и в дистанционни форми на обучение, с цел повишаване професионалната им подготовка и създаването на предпоставки, позволяващи качествено и ефективно изпълнение на служебните им задължения и провеждане на наказателните производства в съответствие със стандартите за ефективно разследване.</w:t>
      </w:r>
    </w:p>
    <w:p w:rsidR="00B93FA6" w:rsidRDefault="00B93FA6" w:rsidP="00B93FA6">
      <w:pPr>
        <w:pStyle w:val="a5"/>
        <w:spacing w:after="0" w:line="360" w:lineRule="exact"/>
        <w:ind w:firstLine="720"/>
        <w:jc w:val="both"/>
        <w:rPr>
          <w:sz w:val="28"/>
          <w:szCs w:val="28"/>
        </w:rPr>
      </w:pPr>
      <w:r>
        <w:rPr>
          <w:sz w:val="28"/>
          <w:szCs w:val="28"/>
        </w:rPr>
        <w:t xml:space="preserve">Както и през предходните години взаимодействието на прокуратурата с оперативните служби и с разследващите органи на МВР по разкриване и наказателно преследване на извършителите на престъпления беше осъществявано на високо ниво. Продължи и съвместното провеждане на специализирани полицейски акции за разкриване и наказателно преследване на извършителите на престъпления, свързани с посегателства срещу собствеността и личността на гражданите и такива свързани с държане и разпространение на наркотични вещества, и особено в районите на учебните заведения, разположени на територията на област Сливен. Целенасочени усилия от страна на прокурорите и разследващите органи бяха положени и по отношение на ефективното провеждане на наказателните производства за престъпления с причинена смърт, в това число специално и при транспортните престъпления. Такива </w:t>
      </w:r>
      <w:r>
        <w:rPr>
          <w:sz w:val="28"/>
          <w:szCs w:val="28"/>
        </w:rPr>
        <w:lastRenderedPageBreak/>
        <w:t>усилия бяха положени и по отношение на разследванията за престъпленията свързани с домашно насилие.</w:t>
      </w:r>
    </w:p>
    <w:p w:rsidR="00B93FA6" w:rsidRDefault="00B93FA6" w:rsidP="00B93FA6">
      <w:pPr>
        <w:pStyle w:val="a5"/>
        <w:spacing w:after="0" w:line="360" w:lineRule="exact"/>
        <w:ind w:firstLine="720"/>
        <w:jc w:val="both"/>
        <w:rPr>
          <w:sz w:val="28"/>
          <w:szCs w:val="28"/>
        </w:rPr>
      </w:pPr>
      <w:r>
        <w:rPr>
          <w:sz w:val="28"/>
          <w:szCs w:val="28"/>
        </w:rPr>
        <w:t>Продължиха усилията за по-пълноценно използване на професионалния капацитет на следователите, посредством оптимизиране на тяхната натовареност, чрез възлагане на разследвания по досъдебни производства с фактическа и правна сложност.</w:t>
      </w:r>
    </w:p>
    <w:p w:rsidR="00B93FA6" w:rsidRDefault="00B93FA6" w:rsidP="00B93FA6">
      <w:pPr>
        <w:pStyle w:val="a5"/>
        <w:spacing w:after="0" w:line="360" w:lineRule="exact"/>
        <w:ind w:firstLine="720"/>
        <w:jc w:val="both"/>
        <w:rPr>
          <w:sz w:val="28"/>
          <w:szCs w:val="28"/>
        </w:rPr>
      </w:pPr>
      <w:r>
        <w:rPr>
          <w:sz w:val="28"/>
          <w:szCs w:val="28"/>
        </w:rPr>
        <w:t>През отчетната година се поддържаше високо ниво на международноправно сътрудничество, в това число и чрез оптимизиране на взаимодействието с Европейската прокуратура.</w:t>
      </w:r>
    </w:p>
    <w:p w:rsidR="00B93FA6" w:rsidRDefault="00B93FA6" w:rsidP="00B93FA6">
      <w:pPr>
        <w:pStyle w:val="a5"/>
        <w:spacing w:after="0" w:line="360" w:lineRule="exact"/>
        <w:ind w:firstLine="720"/>
        <w:jc w:val="both"/>
        <w:rPr>
          <w:sz w:val="28"/>
          <w:szCs w:val="28"/>
        </w:rPr>
      </w:pPr>
      <w:r>
        <w:rPr>
          <w:sz w:val="28"/>
          <w:szCs w:val="28"/>
        </w:rPr>
        <w:t xml:space="preserve">Продължиха ефективно да се реализират и механизмите за взаимодействие между прокуратурата и КОНПИ, в съответствие с приетите подзаконови нормативни актове. </w:t>
      </w:r>
    </w:p>
    <w:p w:rsidR="00B93FA6" w:rsidRDefault="00B93FA6" w:rsidP="00B93FA6">
      <w:pPr>
        <w:pStyle w:val="a5"/>
        <w:spacing w:after="0" w:line="360" w:lineRule="exact"/>
        <w:ind w:firstLine="720"/>
        <w:jc w:val="both"/>
        <w:rPr>
          <w:sz w:val="28"/>
          <w:szCs w:val="28"/>
        </w:rPr>
      </w:pPr>
      <w:r>
        <w:rPr>
          <w:sz w:val="28"/>
          <w:szCs w:val="28"/>
        </w:rPr>
        <w:t xml:space="preserve">Запазено бе високото ниво на </w:t>
      </w:r>
      <w:proofErr w:type="spellStart"/>
      <w:r>
        <w:rPr>
          <w:sz w:val="28"/>
          <w:szCs w:val="28"/>
        </w:rPr>
        <w:t>срочност</w:t>
      </w:r>
      <w:proofErr w:type="spellEnd"/>
      <w:r>
        <w:rPr>
          <w:sz w:val="28"/>
          <w:szCs w:val="28"/>
        </w:rPr>
        <w:t xml:space="preserve"> на проверките, на разследванията по досъдебните производства, както и на </w:t>
      </w:r>
      <w:proofErr w:type="spellStart"/>
      <w:r>
        <w:rPr>
          <w:sz w:val="28"/>
          <w:szCs w:val="28"/>
        </w:rPr>
        <w:t>произнасянията</w:t>
      </w:r>
      <w:proofErr w:type="spellEnd"/>
      <w:r>
        <w:rPr>
          <w:sz w:val="28"/>
          <w:szCs w:val="28"/>
        </w:rPr>
        <w:t xml:space="preserve"> от прокурорите по всички видове надзори. </w:t>
      </w:r>
    </w:p>
    <w:p w:rsidR="00B93FA6" w:rsidRDefault="00B93FA6" w:rsidP="00B93FA6">
      <w:pPr>
        <w:pStyle w:val="a5"/>
        <w:spacing w:after="0" w:line="360" w:lineRule="exact"/>
        <w:ind w:firstLine="720"/>
        <w:jc w:val="both"/>
        <w:rPr>
          <w:sz w:val="28"/>
          <w:szCs w:val="28"/>
        </w:rPr>
      </w:pPr>
      <w:r>
        <w:rPr>
          <w:sz w:val="28"/>
          <w:szCs w:val="28"/>
        </w:rPr>
        <w:t>Периодично са провеждани работни съвещания на прокурорския състав, с цел подобряване на прокурорската дейност и обосноваността и законосъобразността на прокурорските актове,</w:t>
      </w:r>
      <w:r>
        <w:t xml:space="preserve"> </w:t>
      </w:r>
      <w:r>
        <w:rPr>
          <w:sz w:val="28"/>
          <w:szCs w:val="28"/>
        </w:rPr>
        <w:t>на които съвещания са докладвани и обсъждани причините за отмяна на прокурорските актове и за връщането на делата от съда и са набелязвани мерки за преодоляване на тези слабости.</w:t>
      </w:r>
    </w:p>
    <w:p w:rsidR="00B93FA6" w:rsidRDefault="00B93FA6" w:rsidP="00B93FA6">
      <w:pPr>
        <w:pStyle w:val="a5"/>
        <w:spacing w:after="0" w:line="360" w:lineRule="exact"/>
        <w:ind w:firstLine="720"/>
        <w:jc w:val="both"/>
        <w:rPr>
          <w:b/>
          <w:sz w:val="28"/>
          <w:szCs w:val="28"/>
        </w:rPr>
      </w:pPr>
      <w:r>
        <w:rPr>
          <w:b/>
          <w:sz w:val="28"/>
          <w:szCs w:val="28"/>
        </w:rPr>
        <w:t>Приоритети в дейността на Окръжна прокуратура – Сливен през 2025 година:</w:t>
      </w:r>
    </w:p>
    <w:p w:rsidR="00B93FA6" w:rsidRDefault="00B93FA6" w:rsidP="00B93FA6">
      <w:pPr>
        <w:pStyle w:val="a5"/>
        <w:spacing w:before="120" w:after="0" w:line="360" w:lineRule="exact"/>
        <w:ind w:firstLine="720"/>
        <w:jc w:val="both"/>
        <w:rPr>
          <w:sz w:val="28"/>
          <w:szCs w:val="28"/>
        </w:rPr>
      </w:pPr>
      <w:r>
        <w:rPr>
          <w:sz w:val="28"/>
          <w:szCs w:val="28"/>
        </w:rPr>
        <w:t>1. Надграждане на постигнатото по отношение на ефективността на надзора, упражняван от наблюдаващите прокурори върху работата на разследващите органи, с цел ефективно разследване по досъдебните производства, при стриктно спазване на правата на гражданите. Продължаване на усилията за ефективно използване на професионалния капацитет на следователите, чрез оптимизиране на тяхната натовареност.</w:t>
      </w:r>
    </w:p>
    <w:p w:rsidR="00B93FA6" w:rsidRDefault="00B93FA6" w:rsidP="00B93FA6">
      <w:pPr>
        <w:pStyle w:val="a5"/>
        <w:spacing w:after="0" w:line="360" w:lineRule="exact"/>
        <w:ind w:firstLine="720"/>
        <w:jc w:val="both"/>
        <w:rPr>
          <w:sz w:val="28"/>
          <w:szCs w:val="28"/>
        </w:rPr>
      </w:pPr>
      <w:r>
        <w:rPr>
          <w:sz w:val="28"/>
          <w:szCs w:val="28"/>
        </w:rPr>
        <w:t xml:space="preserve">2. Продължаване на </w:t>
      </w:r>
      <w:r>
        <w:rPr>
          <w:iCs/>
          <w:sz w:val="28"/>
          <w:szCs w:val="28"/>
        </w:rPr>
        <w:t>периодичния контрол, осъществяван</w:t>
      </w:r>
      <w:r>
        <w:rPr>
          <w:i/>
          <w:iCs/>
          <w:sz w:val="28"/>
          <w:szCs w:val="28"/>
        </w:rPr>
        <w:t xml:space="preserve"> </w:t>
      </w:r>
      <w:r>
        <w:rPr>
          <w:sz w:val="28"/>
          <w:szCs w:val="28"/>
        </w:rPr>
        <w:t>от административните ръководители, в изпълнение на задълженията им, произтичащи от разпоредбата на чл.140 ал.3 от ЗСВ, с цел предотвратяване на неоснователно забавяне на проверките по преписките и на разследванията по досъдебните производства. Целенасочени усилия за своевременно приключване на разследванията по досъдебни производства с променена компетентност след закриване на специализираните прокуратури.</w:t>
      </w:r>
    </w:p>
    <w:p w:rsidR="00B93FA6" w:rsidRDefault="00B93FA6" w:rsidP="00B93FA6">
      <w:pPr>
        <w:pStyle w:val="a5"/>
        <w:spacing w:after="0" w:line="360" w:lineRule="exact"/>
        <w:ind w:firstLine="720"/>
        <w:jc w:val="both"/>
        <w:rPr>
          <w:sz w:val="28"/>
          <w:szCs w:val="28"/>
        </w:rPr>
      </w:pPr>
      <w:r>
        <w:rPr>
          <w:sz w:val="28"/>
          <w:szCs w:val="28"/>
        </w:rPr>
        <w:t xml:space="preserve">3. Ефективно и срочно провеждане на разследванията по досъдебни </w:t>
      </w:r>
      <w:r>
        <w:rPr>
          <w:sz w:val="28"/>
          <w:szCs w:val="28"/>
        </w:rPr>
        <w:lastRenderedPageBreak/>
        <w:t>производства за престъпления с причинена смърт, в това число специално и при транспортни престъпления, за корупционни престъпления, за организирана престъпност, домашно насилие, трафик на хора и пране на пари.</w:t>
      </w:r>
    </w:p>
    <w:p w:rsidR="00B93FA6" w:rsidRDefault="00B93FA6" w:rsidP="00B93FA6">
      <w:pPr>
        <w:pStyle w:val="a5"/>
        <w:spacing w:after="0" w:line="360" w:lineRule="exact"/>
        <w:ind w:firstLine="720"/>
        <w:jc w:val="both"/>
        <w:rPr>
          <w:sz w:val="28"/>
          <w:szCs w:val="28"/>
        </w:rPr>
      </w:pPr>
      <w:r>
        <w:rPr>
          <w:sz w:val="28"/>
          <w:szCs w:val="28"/>
        </w:rPr>
        <w:t>4. Поддържане на високо ниво на ефективно международноправно сътрудничество и на взаимодействие с Европейската прокуратура.</w:t>
      </w:r>
    </w:p>
    <w:p w:rsidR="00B93FA6" w:rsidRDefault="00B93FA6" w:rsidP="00B93FA6">
      <w:pPr>
        <w:pStyle w:val="a5"/>
        <w:spacing w:after="0" w:line="360" w:lineRule="exact"/>
        <w:ind w:firstLine="720"/>
        <w:jc w:val="both"/>
        <w:rPr>
          <w:sz w:val="28"/>
          <w:szCs w:val="28"/>
        </w:rPr>
      </w:pPr>
      <w:r>
        <w:rPr>
          <w:sz w:val="28"/>
          <w:szCs w:val="28"/>
        </w:rPr>
        <w:t xml:space="preserve">5. Продължаване на аналитичната дейност по </w:t>
      </w:r>
      <w:proofErr w:type="spellStart"/>
      <w:r>
        <w:rPr>
          <w:sz w:val="28"/>
          <w:szCs w:val="28"/>
        </w:rPr>
        <w:t>наказателносъдебния</w:t>
      </w:r>
      <w:proofErr w:type="spellEnd"/>
      <w:r>
        <w:rPr>
          <w:sz w:val="28"/>
          <w:szCs w:val="28"/>
        </w:rPr>
        <w:t xml:space="preserve"> надзор, с оглед установяване на причините за връщане на делата от съда на прокуратурата и на причините за постановените оправдателни съдебни актове, с цел подобряване качеството на работата и на постановените прокурорски актове.</w:t>
      </w:r>
    </w:p>
    <w:p w:rsidR="00B93FA6" w:rsidRDefault="00B93FA6" w:rsidP="00B93FA6">
      <w:pPr>
        <w:pStyle w:val="a5"/>
        <w:spacing w:after="0" w:line="360" w:lineRule="exact"/>
        <w:ind w:firstLine="720"/>
        <w:jc w:val="both"/>
        <w:rPr>
          <w:sz w:val="28"/>
          <w:szCs w:val="28"/>
        </w:rPr>
      </w:pPr>
      <w:r>
        <w:rPr>
          <w:sz w:val="28"/>
          <w:szCs w:val="28"/>
        </w:rPr>
        <w:t>6. Повишаване квалификацията на прокурорите и следователите, гарантиращо провеждане на разследванията по досъдебните производства  в съответствие с европейските стандарти, чрез участие в обучителни семинари, организирани от Националния институт на правосъдието и външни доставчици на обучения по важни за правоприлагането теми.</w:t>
      </w:r>
    </w:p>
    <w:p w:rsidR="00B93FA6" w:rsidRDefault="00B93FA6" w:rsidP="00B93FA6">
      <w:pPr>
        <w:pStyle w:val="a5"/>
        <w:spacing w:after="0" w:line="360" w:lineRule="exact"/>
        <w:ind w:firstLine="720"/>
        <w:jc w:val="both"/>
        <w:rPr>
          <w:sz w:val="28"/>
          <w:szCs w:val="28"/>
        </w:rPr>
      </w:pPr>
      <w:r>
        <w:rPr>
          <w:sz w:val="28"/>
          <w:szCs w:val="28"/>
        </w:rPr>
        <w:t>7. Прозрачност, отчетност и публичност в работата на прокуратурата в рамките на допустимото от закона, с акцент ефективността на упражняването на правомощията на прокурорите и следователите и резултатите от тяхната дейност.</w:t>
      </w:r>
    </w:p>
    <w:p w:rsidR="00A576FE" w:rsidRDefault="00A576FE" w:rsidP="00A576FE">
      <w:pPr>
        <w:pStyle w:val="a5"/>
        <w:spacing w:before="120" w:after="0" w:line="360" w:lineRule="exact"/>
        <w:ind w:firstLine="720"/>
        <w:jc w:val="both"/>
        <w:rPr>
          <w:sz w:val="28"/>
          <w:szCs w:val="28"/>
        </w:rPr>
      </w:pPr>
    </w:p>
    <w:p w:rsidR="00A576FE" w:rsidRDefault="00A576FE" w:rsidP="00A576FE">
      <w:pPr>
        <w:pStyle w:val="a5"/>
        <w:spacing w:after="0" w:line="360" w:lineRule="exact"/>
        <w:ind w:firstLine="720"/>
        <w:jc w:val="both"/>
        <w:rPr>
          <w:sz w:val="28"/>
          <w:szCs w:val="28"/>
        </w:rPr>
      </w:pPr>
    </w:p>
    <w:p w:rsidR="00E70184" w:rsidRDefault="00E70184" w:rsidP="00E70184">
      <w:pPr>
        <w:tabs>
          <w:tab w:val="left" w:pos="4536"/>
        </w:tabs>
        <w:spacing w:line="400" w:lineRule="exact"/>
        <w:ind w:right="-828"/>
        <w:jc w:val="both"/>
        <w:rPr>
          <w:b/>
          <w:sz w:val="28"/>
          <w:szCs w:val="28"/>
        </w:rPr>
      </w:pPr>
      <w:r>
        <w:rPr>
          <w:b/>
          <w:sz w:val="28"/>
          <w:szCs w:val="28"/>
        </w:rPr>
        <w:t xml:space="preserve"> </w:t>
      </w:r>
      <w:r>
        <w:rPr>
          <w:b/>
          <w:sz w:val="28"/>
          <w:szCs w:val="28"/>
        </w:rPr>
        <w:tab/>
        <w:t>АДМ. РЪКОВОДИТЕЛ –</w:t>
      </w:r>
    </w:p>
    <w:p w:rsidR="00E70184" w:rsidRPr="00BE2D74" w:rsidRDefault="00E70184" w:rsidP="00E70184">
      <w:pPr>
        <w:tabs>
          <w:tab w:val="left" w:pos="4536"/>
        </w:tabs>
        <w:spacing w:line="400" w:lineRule="exact"/>
        <w:ind w:right="-828"/>
        <w:jc w:val="both"/>
        <w:rPr>
          <w:sz w:val="28"/>
          <w:szCs w:val="28"/>
        </w:rPr>
      </w:pPr>
      <w:r>
        <w:rPr>
          <w:b/>
          <w:sz w:val="28"/>
          <w:szCs w:val="28"/>
        </w:rPr>
        <w:t xml:space="preserve"> </w:t>
      </w:r>
      <w:r>
        <w:rPr>
          <w:b/>
          <w:sz w:val="28"/>
          <w:szCs w:val="28"/>
        </w:rPr>
        <w:tab/>
      </w:r>
      <w:r w:rsidRPr="009D3D77">
        <w:rPr>
          <w:b/>
          <w:sz w:val="28"/>
          <w:szCs w:val="28"/>
        </w:rPr>
        <w:t xml:space="preserve">ОКРЪЖЕН ПРОКУРОР: </w:t>
      </w:r>
      <w:r w:rsidRPr="00BE2D74">
        <w:rPr>
          <w:sz w:val="28"/>
          <w:szCs w:val="28"/>
        </w:rPr>
        <w:t>……</w:t>
      </w:r>
      <w:r>
        <w:rPr>
          <w:sz w:val="28"/>
          <w:szCs w:val="28"/>
        </w:rPr>
        <w:t>…..</w:t>
      </w:r>
      <w:r w:rsidRPr="00BE2D74">
        <w:rPr>
          <w:sz w:val="28"/>
          <w:szCs w:val="28"/>
        </w:rPr>
        <w:t>………..</w:t>
      </w:r>
    </w:p>
    <w:p w:rsidR="00E70184" w:rsidRPr="009D3D77" w:rsidRDefault="00E70184" w:rsidP="00E70184">
      <w:pPr>
        <w:tabs>
          <w:tab w:val="left" w:pos="0"/>
        </w:tabs>
        <w:spacing w:line="400" w:lineRule="exact"/>
        <w:ind w:right="-1417"/>
        <w:jc w:val="both"/>
        <w:rPr>
          <w:sz w:val="28"/>
          <w:szCs w:val="28"/>
        </w:rPr>
      </w:pPr>
      <w:r w:rsidRPr="009D3D77">
        <w:rPr>
          <w:sz w:val="28"/>
          <w:szCs w:val="28"/>
        </w:rPr>
        <w:t xml:space="preserve"> </w:t>
      </w:r>
      <w:r w:rsidRPr="009D3D77">
        <w:rPr>
          <w:b/>
          <w:sz w:val="28"/>
          <w:szCs w:val="28"/>
        </w:rPr>
        <w:tab/>
      </w:r>
      <w:r w:rsidRPr="009D3D77">
        <w:rPr>
          <w:b/>
          <w:sz w:val="28"/>
          <w:szCs w:val="28"/>
        </w:rPr>
        <w:tab/>
      </w:r>
      <w:r w:rsidRPr="009D3D77">
        <w:rPr>
          <w:b/>
          <w:sz w:val="28"/>
          <w:szCs w:val="28"/>
        </w:rPr>
        <w:tab/>
      </w:r>
      <w:r w:rsidRPr="009D3D77">
        <w:rPr>
          <w:b/>
          <w:sz w:val="28"/>
          <w:szCs w:val="28"/>
        </w:rPr>
        <w:tab/>
      </w:r>
      <w:r w:rsidRPr="009D3D77">
        <w:rPr>
          <w:b/>
          <w:sz w:val="28"/>
          <w:szCs w:val="28"/>
        </w:rPr>
        <w:tab/>
      </w:r>
      <w:r w:rsidRPr="009D3D77">
        <w:rPr>
          <w:b/>
          <w:sz w:val="28"/>
          <w:szCs w:val="28"/>
        </w:rPr>
        <w:tab/>
      </w:r>
      <w:r w:rsidRPr="009D3D77">
        <w:rPr>
          <w:b/>
          <w:sz w:val="28"/>
          <w:szCs w:val="28"/>
        </w:rPr>
        <w:tab/>
      </w:r>
      <w:r w:rsidRPr="009D3D77">
        <w:rPr>
          <w:b/>
          <w:sz w:val="28"/>
          <w:szCs w:val="28"/>
        </w:rPr>
        <w:tab/>
      </w:r>
      <w:r w:rsidRPr="009D3D77">
        <w:rPr>
          <w:b/>
          <w:sz w:val="28"/>
          <w:szCs w:val="28"/>
        </w:rPr>
        <w:tab/>
      </w:r>
      <w:r w:rsidRPr="009D3D77">
        <w:rPr>
          <w:b/>
          <w:sz w:val="28"/>
          <w:szCs w:val="28"/>
        </w:rPr>
        <w:tab/>
      </w:r>
      <w:r>
        <w:rPr>
          <w:sz w:val="28"/>
          <w:szCs w:val="28"/>
        </w:rPr>
        <w:t xml:space="preserve">         </w:t>
      </w:r>
      <w:r w:rsidRPr="009D3D77">
        <w:rPr>
          <w:sz w:val="28"/>
          <w:szCs w:val="28"/>
        </w:rPr>
        <w:t xml:space="preserve"> /</w:t>
      </w:r>
      <w:r>
        <w:rPr>
          <w:sz w:val="28"/>
          <w:szCs w:val="28"/>
        </w:rPr>
        <w:t xml:space="preserve">В. </w:t>
      </w:r>
      <w:proofErr w:type="spellStart"/>
      <w:r>
        <w:rPr>
          <w:sz w:val="28"/>
          <w:szCs w:val="28"/>
        </w:rPr>
        <w:t>Гангалов</w:t>
      </w:r>
      <w:proofErr w:type="spellEnd"/>
      <w:r w:rsidRPr="009D3D77">
        <w:rPr>
          <w:sz w:val="28"/>
          <w:szCs w:val="28"/>
        </w:rPr>
        <w:t xml:space="preserve">/ </w:t>
      </w:r>
    </w:p>
    <w:p w:rsidR="00A576FE" w:rsidRDefault="00A576FE" w:rsidP="00A576FE"/>
    <w:p w:rsidR="000578C5" w:rsidRPr="00D6343F" w:rsidRDefault="000578C5" w:rsidP="00A576FE">
      <w:pPr>
        <w:pStyle w:val="a5"/>
        <w:spacing w:before="240" w:after="240" w:line="360" w:lineRule="exact"/>
        <w:jc w:val="center"/>
        <w:rPr>
          <w:sz w:val="28"/>
          <w:szCs w:val="28"/>
        </w:rPr>
      </w:pPr>
    </w:p>
    <w:sectPr w:rsidR="000578C5" w:rsidRPr="00D6343F" w:rsidSect="008567FF">
      <w:footerReference w:type="default" r:id="rId3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5FB" w:rsidRDefault="00BB25FB" w:rsidP="0021361A">
      <w:r>
        <w:separator/>
      </w:r>
    </w:p>
  </w:endnote>
  <w:endnote w:type="continuationSeparator" w:id="0">
    <w:p w:rsidR="00BB25FB" w:rsidRDefault="00BB25FB" w:rsidP="0021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361442"/>
      <w:docPartObj>
        <w:docPartGallery w:val="Page Numbers (Bottom of Page)"/>
        <w:docPartUnique/>
      </w:docPartObj>
    </w:sdtPr>
    <w:sdtEndPr/>
    <w:sdtContent>
      <w:p w:rsidR="005A4706" w:rsidRDefault="005A4706">
        <w:pPr>
          <w:pStyle w:val="aa"/>
          <w:jc w:val="right"/>
        </w:pPr>
        <w:r>
          <w:fldChar w:fldCharType="begin"/>
        </w:r>
        <w:r>
          <w:instrText>PAGE   \* MERGEFORMAT</w:instrText>
        </w:r>
        <w:r>
          <w:fldChar w:fldCharType="separate"/>
        </w:r>
        <w:r w:rsidR="00514E11">
          <w:rPr>
            <w:noProof/>
          </w:rPr>
          <w:t>52</w:t>
        </w:r>
        <w:r>
          <w:fldChar w:fldCharType="end"/>
        </w:r>
      </w:p>
    </w:sdtContent>
  </w:sdt>
  <w:p w:rsidR="005A4706" w:rsidRDefault="005A470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5FB" w:rsidRDefault="00BB25FB" w:rsidP="0021361A">
      <w:r>
        <w:separator/>
      </w:r>
    </w:p>
  </w:footnote>
  <w:footnote w:type="continuationSeparator" w:id="0">
    <w:p w:rsidR="00BB25FB" w:rsidRDefault="00BB25FB" w:rsidP="00213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10.75pt" o:bullet="t">
        <v:imagedata r:id="rId1" o:title="msoCD89"/>
      </v:shape>
    </w:pict>
  </w:numPicBullet>
  <w:abstractNum w:abstractNumId="0">
    <w:nsid w:val="09F11903"/>
    <w:multiLevelType w:val="hybridMultilevel"/>
    <w:tmpl w:val="A0206ACC"/>
    <w:lvl w:ilvl="0" w:tplc="04090009">
      <w:start w:val="1"/>
      <w:numFmt w:val="bullet"/>
      <w:lvlText w:val=""/>
      <w:lvlJc w:val="left"/>
      <w:pPr>
        <w:ind w:left="8920" w:hanging="360"/>
      </w:pPr>
      <w:rPr>
        <w:rFonts w:ascii="Wingdings" w:hAnsi="Wingdings" w:hint="default"/>
      </w:rPr>
    </w:lvl>
    <w:lvl w:ilvl="1" w:tplc="04020003" w:tentative="1">
      <w:start w:val="1"/>
      <w:numFmt w:val="bullet"/>
      <w:lvlText w:val="o"/>
      <w:lvlJc w:val="left"/>
      <w:pPr>
        <w:ind w:left="9640" w:hanging="360"/>
      </w:pPr>
      <w:rPr>
        <w:rFonts w:ascii="Courier New" w:hAnsi="Courier New" w:cs="Courier New" w:hint="default"/>
      </w:rPr>
    </w:lvl>
    <w:lvl w:ilvl="2" w:tplc="04020005" w:tentative="1">
      <w:start w:val="1"/>
      <w:numFmt w:val="bullet"/>
      <w:lvlText w:val=""/>
      <w:lvlJc w:val="left"/>
      <w:pPr>
        <w:ind w:left="10360" w:hanging="360"/>
      </w:pPr>
      <w:rPr>
        <w:rFonts w:ascii="Wingdings" w:hAnsi="Wingdings" w:hint="default"/>
      </w:rPr>
    </w:lvl>
    <w:lvl w:ilvl="3" w:tplc="04020001" w:tentative="1">
      <w:start w:val="1"/>
      <w:numFmt w:val="bullet"/>
      <w:lvlText w:val=""/>
      <w:lvlJc w:val="left"/>
      <w:pPr>
        <w:ind w:left="11080" w:hanging="360"/>
      </w:pPr>
      <w:rPr>
        <w:rFonts w:ascii="Symbol" w:hAnsi="Symbol" w:hint="default"/>
      </w:rPr>
    </w:lvl>
    <w:lvl w:ilvl="4" w:tplc="04020003" w:tentative="1">
      <w:start w:val="1"/>
      <w:numFmt w:val="bullet"/>
      <w:lvlText w:val="o"/>
      <w:lvlJc w:val="left"/>
      <w:pPr>
        <w:ind w:left="11800" w:hanging="360"/>
      </w:pPr>
      <w:rPr>
        <w:rFonts w:ascii="Courier New" w:hAnsi="Courier New" w:cs="Courier New" w:hint="default"/>
      </w:rPr>
    </w:lvl>
    <w:lvl w:ilvl="5" w:tplc="04020005" w:tentative="1">
      <w:start w:val="1"/>
      <w:numFmt w:val="bullet"/>
      <w:lvlText w:val=""/>
      <w:lvlJc w:val="left"/>
      <w:pPr>
        <w:ind w:left="12520" w:hanging="360"/>
      </w:pPr>
      <w:rPr>
        <w:rFonts w:ascii="Wingdings" w:hAnsi="Wingdings" w:hint="default"/>
      </w:rPr>
    </w:lvl>
    <w:lvl w:ilvl="6" w:tplc="04020001" w:tentative="1">
      <w:start w:val="1"/>
      <w:numFmt w:val="bullet"/>
      <w:lvlText w:val=""/>
      <w:lvlJc w:val="left"/>
      <w:pPr>
        <w:ind w:left="13240" w:hanging="360"/>
      </w:pPr>
      <w:rPr>
        <w:rFonts w:ascii="Symbol" w:hAnsi="Symbol" w:hint="default"/>
      </w:rPr>
    </w:lvl>
    <w:lvl w:ilvl="7" w:tplc="04020003" w:tentative="1">
      <w:start w:val="1"/>
      <w:numFmt w:val="bullet"/>
      <w:lvlText w:val="o"/>
      <w:lvlJc w:val="left"/>
      <w:pPr>
        <w:ind w:left="13960" w:hanging="360"/>
      </w:pPr>
      <w:rPr>
        <w:rFonts w:ascii="Courier New" w:hAnsi="Courier New" w:cs="Courier New" w:hint="default"/>
      </w:rPr>
    </w:lvl>
    <w:lvl w:ilvl="8" w:tplc="04020005" w:tentative="1">
      <w:start w:val="1"/>
      <w:numFmt w:val="bullet"/>
      <w:lvlText w:val=""/>
      <w:lvlJc w:val="left"/>
      <w:pPr>
        <w:ind w:left="14680" w:hanging="360"/>
      </w:pPr>
      <w:rPr>
        <w:rFonts w:ascii="Wingdings" w:hAnsi="Wingdings" w:hint="default"/>
      </w:rPr>
    </w:lvl>
  </w:abstractNum>
  <w:abstractNum w:abstractNumId="1">
    <w:nsid w:val="103F7BFA"/>
    <w:multiLevelType w:val="hybridMultilevel"/>
    <w:tmpl w:val="E46C9B7A"/>
    <w:lvl w:ilvl="0" w:tplc="04090009">
      <w:start w:val="1"/>
      <w:numFmt w:val="bullet"/>
      <w:lvlText w:val=""/>
      <w:lvlJc w:val="left"/>
      <w:pPr>
        <w:ind w:left="8920" w:hanging="360"/>
      </w:pPr>
      <w:rPr>
        <w:rFonts w:ascii="Wingdings" w:hAnsi="Wingdings" w:hint="default"/>
      </w:rPr>
    </w:lvl>
    <w:lvl w:ilvl="1" w:tplc="04020003" w:tentative="1">
      <w:start w:val="1"/>
      <w:numFmt w:val="bullet"/>
      <w:lvlText w:val="o"/>
      <w:lvlJc w:val="left"/>
      <w:pPr>
        <w:ind w:left="9640" w:hanging="360"/>
      </w:pPr>
      <w:rPr>
        <w:rFonts w:ascii="Courier New" w:hAnsi="Courier New" w:cs="Courier New" w:hint="default"/>
      </w:rPr>
    </w:lvl>
    <w:lvl w:ilvl="2" w:tplc="04020005" w:tentative="1">
      <w:start w:val="1"/>
      <w:numFmt w:val="bullet"/>
      <w:lvlText w:val=""/>
      <w:lvlJc w:val="left"/>
      <w:pPr>
        <w:ind w:left="10360" w:hanging="360"/>
      </w:pPr>
      <w:rPr>
        <w:rFonts w:ascii="Wingdings" w:hAnsi="Wingdings" w:hint="default"/>
      </w:rPr>
    </w:lvl>
    <w:lvl w:ilvl="3" w:tplc="04020001" w:tentative="1">
      <w:start w:val="1"/>
      <w:numFmt w:val="bullet"/>
      <w:lvlText w:val=""/>
      <w:lvlJc w:val="left"/>
      <w:pPr>
        <w:ind w:left="11080" w:hanging="360"/>
      </w:pPr>
      <w:rPr>
        <w:rFonts w:ascii="Symbol" w:hAnsi="Symbol" w:hint="default"/>
      </w:rPr>
    </w:lvl>
    <w:lvl w:ilvl="4" w:tplc="04020003" w:tentative="1">
      <w:start w:val="1"/>
      <w:numFmt w:val="bullet"/>
      <w:lvlText w:val="o"/>
      <w:lvlJc w:val="left"/>
      <w:pPr>
        <w:ind w:left="11800" w:hanging="360"/>
      </w:pPr>
      <w:rPr>
        <w:rFonts w:ascii="Courier New" w:hAnsi="Courier New" w:cs="Courier New" w:hint="default"/>
      </w:rPr>
    </w:lvl>
    <w:lvl w:ilvl="5" w:tplc="04020005" w:tentative="1">
      <w:start w:val="1"/>
      <w:numFmt w:val="bullet"/>
      <w:lvlText w:val=""/>
      <w:lvlJc w:val="left"/>
      <w:pPr>
        <w:ind w:left="12520" w:hanging="360"/>
      </w:pPr>
      <w:rPr>
        <w:rFonts w:ascii="Wingdings" w:hAnsi="Wingdings" w:hint="default"/>
      </w:rPr>
    </w:lvl>
    <w:lvl w:ilvl="6" w:tplc="04020001" w:tentative="1">
      <w:start w:val="1"/>
      <w:numFmt w:val="bullet"/>
      <w:lvlText w:val=""/>
      <w:lvlJc w:val="left"/>
      <w:pPr>
        <w:ind w:left="13240" w:hanging="360"/>
      </w:pPr>
      <w:rPr>
        <w:rFonts w:ascii="Symbol" w:hAnsi="Symbol" w:hint="default"/>
      </w:rPr>
    </w:lvl>
    <w:lvl w:ilvl="7" w:tplc="04020003" w:tentative="1">
      <w:start w:val="1"/>
      <w:numFmt w:val="bullet"/>
      <w:lvlText w:val="o"/>
      <w:lvlJc w:val="left"/>
      <w:pPr>
        <w:ind w:left="13960" w:hanging="360"/>
      </w:pPr>
      <w:rPr>
        <w:rFonts w:ascii="Courier New" w:hAnsi="Courier New" w:cs="Courier New" w:hint="default"/>
      </w:rPr>
    </w:lvl>
    <w:lvl w:ilvl="8" w:tplc="04020005" w:tentative="1">
      <w:start w:val="1"/>
      <w:numFmt w:val="bullet"/>
      <w:lvlText w:val=""/>
      <w:lvlJc w:val="left"/>
      <w:pPr>
        <w:ind w:left="14680" w:hanging="360"/>
      </w:pPr>
      <w:rPr>
        <w:rFonts w:ascii="Wingdings" w:hAnsi="Wingdings" w:hint="default"/>
      </w:rPr>
    </w:lvl>
  </w:abstractNum>
  <w:abstractNum w:abstractNumId="2">
    <w:nsid w:val="141B0909"/>
    <w:multiLevelType w:val="hybridMultilevel"/>
    <w:tmpl w:val="9708B5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94D3301"/>
    <w:multiLevelType w:val="hybridMultilevel"/>
    <w:tmpl w:val="68EEF76C"/>
    <w:lvl w:ilvl="0" w:tplc="FF888C72">
      <w:numFmt w:val="bullet"/>
      <w:lvlText w:val="-"/>
      <w:lvlJc w:val="left"/>
      <w:pPr>
        <w:ind w:left="1137" w:hanging="360"/>
      </w:pPr>
      <w:rPr>
        <w:rFonts w:ascii="Times New Roman" w:eastAsia="Times New Roman" w:hAnsi="Times New Roman" w:cs="Times New Roman" w:hint="default"/>
      </w:rPr>
    </w:lvl>
    <w:lvl w:ilvl="1" w:tplc="04020003">
      <w:start w:val="1"/>
      <w:numFmt w:val="bullet"/>
      <w:lvlText w:val="o"/>
      <w:lvlJc w:val="left"/>
      <w:pPr>
        <w:ind w:left="1857" w:hanging="360"/>
      </w:pPr>
      <w:rPr>
        <w:rFonts w:ascii="Courier New" w:hAnsi="Courier New" w:cs="Courier New" w:hint="default"/>
      </w:rPr>
    </w:lvl>
    <w:lvl w:ilvl="2" w:tplc="04020005">
      <w:start w:val="1"/>
      <w:numFmt w:val="bullet"/>
      <w:lvlText w:val=""/>
      <w:lvlJc w:val="left"/>
      <w:pPr>
        <w:ind w:left="2577" w:hanging="360"/>
      </w:pPr>
      <w:rPr>
        <w:rFonts w:ascii="Wingdings" w:hAnsi="Wingdings" w:hint="default"/>
      </w:rPr>
    </w:lvl>
    <w:lvl w:ilvl="3" w:tplc="04020001">
      <w:start w:val="1"/>
      <w:numFmt w:val="bullet"/>
      <w:lvlText w:val=""/>
      <w:lvlJc w:val="left"/>
      <w:pPr>
        <w:ind w:left="3297" w:hanging="360"/>
      </w:pPr>
      <w:rPr>
        <w:rFonts w:ascii="Symbol" w:hAnsi="Symbol" w:hint="default"/>
      </w:rPr>
    </w:lvl>
    <w:lvl w:ilvl="4" w:tplc="04020003">
      <w:start w:val="1"/>
      <w:numFmt w:val="bullet"/>
      <w:lvlText w:val="o"/>
      <w:lvlJc w:val="left"/>
      <w:pPr>
        <w:ind w:left="4017" w:hanging="360"/>
      </w:pPr>
      <w:rPr>
        <w:rFonts w:ascii="Courier New" w:hAnsi="Courier New" w:cs="Courier New" w:hint="default"/>
      </w:rPr>
    </w:lvl>
    <w:lvl w:ilvl="5" w:tplc="04020005">
      <w:start w:val="1"/>
      <w:numFmt w:val="bullet"/>
      <w:lvlText w:val=""/>
      <w:lvlJc w:val="left"/>
      <w:pPr>
        <w:ind w:left="4737" w:hanging="360"/>
      </w:pPr>
      <w:rPr>
        <w:rFonts w:ascii="Wingdings" w:hAnsi="Wingdings" w:hint="default"/>
      </w:rPr>
    </w:lvl>
    <w:lvl w:ilvl="6" w:tplc="04020001">
      <w:start w:val="1"/>
      <w:numFmt w:val="bullet"/>
      <w:lvlText w:val=""/>
      <w:lvlJc w:val="left"/>
      <w:pPr>
        <w:ind w:left="5457" w:hanging="360"/>
      </w:pPr>
      <w:rPr>
        <w:rFonts w:ascii="Symbol" w:hAnsi="Symbol" w:hint="default"/>
      </w:rPr>
    </w:lvl>
    <w:lvl w:ilvl="7" w:tplc="04020003">
      <w:start w:val="1"/>
      <w:numFmt w:val="bullet"/>
      <w:lvlText w:val="o"/>
      <w:lvlJc w:val="left"/>
      <w:pPr>
        <w:ind w:left="6177" w:hanging="360"/>
      </w:pPr>
      <w:rPr>
        <w:rFonts w:ascii="Courier New" w:hAnsi="Courier New" w:cs="Courier New" w:hint="default"/>
      </w:rPr>
    </w:lvl>
    <w:lvl w:ilvl="8" w:tplc="04020005">
      <w:start w:val="1"/>
      <w:numFmt w:val="bullet"/>
      <w:lvlText w:val=""/>
      <w:lvlJc w:val="left"/>
      <w:pPr>
        <w:ind w:left="6897" w:hanging="360"/>
      </w:pPr>
      <w:rPr>
        <w:rFonts w:ascii="Wingdings" w:hAnsi="Wingdings" w:hint="default"/>
      </w:rPr>
    </w:lvl>
  </w:abstractNum>
  <w:abstractNum w:abstractNumId="4">
    <w:nsid w:val="4883150A"/>
    <w:multiLevelType w:val="hybridMultilevel"/>
    <w:tmpl w:val="C71C1BC2"/>
    <w:lvl w:ilvl="0" w:tplc="04090007">
      <w:start w:val="1"/>
      <w:numFmt w:val="bullet"/>
      <w:lvlText w:val=""/>
      <w:lvlPicBulletId w:val="0"/>
      <w:lvlJc w:val="left"/>
      <w:pPr>
        <w:ind w:left="2217" w:hanging="360"/>
      </w:pPr>
      <w:rPr>
        <w:rFonts w:ascii="Symbol" w:hAnsi="Symbol" w:hint="default"/>
      </w:rPr>
    </w:lvl>
    <w:lvl w:ilvl="1" w:tplc="04020003" w:tentative="1">
      <w:start w:val="1"/>
      <w:numFmt w:val="bullet"/>
      <w:lvlText w:val="o"/>
      <w:lvlJc w:val="left"/>
      <w:pPr>
        <w:ind w:left="2937" w:hanging="360"/>
      </w:pPr>
      <w:rPr>
        <w:rFonts w:ascii="Courier New" w:hAnsi="Courier New" w:cs="Courier New" w:hint="default"/>
      </w:rPr>
    </w:lvl>
    <w:lvl w:ilvl="2" w:tplc="04020005" w:tentative="1">
      <w:start w:val="1"/>
      <w:numFmt w:val="bullet"/>
      <w:lvlText w:val=""/>
      <w:lvlJc w:val="left"/>
      <w:pPr>
        <w:ind w:left="3657" w:hanging="360"/>
      </w:pPr>
      <w:rPr>
        <w:rFonts w:ascii="Wingdings" w:hAnsi="Wingdings" w:hint="default"/>
      </w:rPr>
    </w:lvl>
    <w:lvl w:ilvl="3" w:tplc="04020001" w:tentative="1">
      <w:start w:val="1"/>
      <w:numFmt w:val="bullet"/>
      <w:lvlText w:val=""/>
      <w:lvlJc w:val="left"/>
      <w:pPr>
        <w:ind w:left="4377" w:hanging="360"/>
      </w:pPr>
      <w:rPr>
        <w:rFonts w:ascii="Symbol" w:hAnsi="Symbol" w:hint="default"/>
      </w:rPr>
    </w:lvl>
    <w:lvl w:ilvl="4" w:tplc="04020003" w:tentative="1">
      <w:start w:val="1"/>
      <w:numFmt w:val="bullet"/>
      <w:lvlText w:val="o"/>
      <w:lvlJc w:val="left"/>
      <w:pPr>
        <w:ind w:left="5097" w:hanging="360"/>
      </w:pPr>
      <w:rPr>
        <w:rFonts w:ascii="Courier New" w:hAnsi="Courier New" w:cs="Courier New" w:hint="default"/>
      </w:rPr>
    </w:lvl>
    <w:lvl w:ilvl="5" w:tplc="04020005" w:tentative="1">
      <w:start w:val="1"/>
      <w:numFmt w:val="bullet"/>
      <w:lvlText w:val=""/>
      <w:lvlJc w:val="left"/>
      <w:pPr>
        <w:ind w:left="5817" w:hanging="360"/>
      </w:pPr>
      <w:rPr>
        <w:rFonts w:ascii="Wingdings" w:hAnsi="Wingdings" w:hint="default"/>
      </w:rPr>
    </w:lvl>
    <w:lvl w:ilvl="6" w:tplc="04020001" w:tentative="1">
      <w:start w:val="1"/>
      <w:numFmt w:val="bullet"/>
      <w:lvlText w:val=""/>
      <w:lvlJc w:val="left"/>
      <w:pPr>
        <w:ind w:left="6537" w:hanging="360"/>
      </w:pPr>
      <w:rPr>
        <w:rFonts w:ascii="Symbol" w:hAnsi="Symbol" w:hint="default"/>
      </w:rPr>
    </w:lvl>
    <w:lvl w:ilvl="7" w:tplc="04020003" w:tentative="1">
      <w:start w:val="1"/>
      <w:numFmt w:val="bullet"/>
      <w:lvlText w:val="o"/>
      <w:lvlJc w:val="left"/>
      <w:pPr>
        <w:ind w:left="7257" w:hanging="360"/>
      </w:pPr>
      <w:rPr>
        <w:rFonts w:ascii="Courier New" w:hAnsi="Courier New" w:cs="Courier New" w:hint="default"/>
      </w:rPr>
    </w:lvl>
    <w:lvl w:ilvl="8" w:tplc="04020005" w:tentative="1">
      <w:start w:val="1"/>
      <w:numFmt w:val="bullet"/>
      <w:lvlText w:val=""/>
      <w:lvlJc w:val="left"/>
      <w:pPr>
        <w:ind w:left="7977" w:hanging="360"/>
      </w:pPr>
      <w:rPr>
        <w:rFonts w:ascii="Wingdings" w:hAnsi="Wingdings" w:hint="default"/>
      </w:rPr>
    </w:lvl>
  </w:abstractNum>
  <w:abstractNum w:abstractNumId="5">
    <w:nsid w:val="48873952"/>
    <w:multiLevelType w:val="hybridMultilevel"/>
    <w:tmpl w:val="B7E696F8"/>
    <w:lvl w:ilvl="0" w:tplc="D11A7A34">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4FCD28DF"/>
    <w:multiLevelType w:val="hybridMultilevel"/>
    <w:tmpl w:val="5B3EC0CE"/>
    <w:lvl w:ilvl="0" w:tplc="0409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7">
    <w:nsid w:val="5877062A"/>
    <w:multiLevelType w:val="hybridMultilevel"/>
    <w:tmpl w:val="51824124"/>
    <w:lvl w:ilvl="0" w:tplc="04090009">
      <w:start w:val="1"/>
      <w:numFmt w:val="bullet"/>
      <w:lvlText w:val=""/>
      <w:lvlJc w:val="left"/>
      <w:pPr>
        <w:ind w:left="1065" w:hanging="360"/>
      </w:pPr>
      <w:rPr>
        <w:rFonts w:ascii="Wingdings" w:hAnsi="Wingdings"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8">
    <w:nsid w:val="6FAE258F"/>
    <w:multiLevelType w:val="hybridMultilevel"/>
    <w:tmpl w:val="5EFEAF1A"/>
    <w:lvl w:ilvl="0" w:tplc="46A8EA70">
      <w:start w:val="1"/>
      <w:numFmt w:val="decimal"/>
      <w:lvlText w:val="%1."/>
      <w:lvlJc w:val="left"/>
      <w:pPr>
        <w:ind w:left="1353" w:hanging="360"/>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num w:numId="1">
    <w:abstractNumId w:val="4"/>
  </w:num>
  <w:num w:numId="2">
    <w:abstractNumId w:val="8"/>
  </w:num>
  <w:num w:numId="3">
    <w:abstractNumId w:val="6"/>
  </w:num>
  <w:num w:numId="4">
    <w:abstractNumId w:val="0"/>
  </w:num>
  <w:num w:numId="5">
    <w:abstractNumId w:val="1"/>
  </w:num>
  <w:num w:numId="6">
    <w:abstractNumId w:val="7"/>
  </w:num>
  <w:num w:numId="7">
    <w:abstractNumId w:val="2"/>
  </w:num>
  <w:num w:numId="8">
    <w:abstractNumId w:val="5"/>
  </w:num>
  <w:num w:numId="9">
    <w:abstractNumId w:val="4"/>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DAA"/>
    <w:rsid w:val="00004BA1"/>
    <w:rsid w:val="000059E4"/>
    <w:rsid w:val="00005AD7"/>
    <w:rsid w:val="000073F7"/>
    <w:rsid w:val="00007AA6"/>
    <w:rsid w:val="00011D7A"/>
    <w:rsid w:val="0001267F"/>
    <w:rsid w:val="000142E8"/>
    <w:rsid w:val="000162E9"/>
    <w:rsid w:val="00021CC4"/>
    <w:rsid w:val="00023C21"/>
    <w:rsid w:val="000250B0"/>
    <w:rsid w:val="0002550D"/>
    <w:rsid w:val="0002679C"/>
    <w:rsid w:val="0002692B"/>
    <w:rsid w:val="0003164B"/>
    <w:rsid w:val="00033D6C"/>
    <w:rsid w:val="000360B7"/>
    <w:rsid w:val="00053823"/>
    <w:rsid w:val="00054501"/>
    <w:rsid w:val="0005653E"/>
    <w:rsid w:val="00057335"/>
    <w:rsid w:val="000578C5"/>
    <w:rsid w:val="00062603"/>
    <w:rsid w:val="00065E7B"/>
    <w:rsid w:val="00067274"/>
    <w:rsid w:val="0007186B"/>
    <w:rsid w:val="000738D5"/>
    <w:rsid w:val="000761D8"/>
    <w:rsid w:val="0007649B"/>
    <w:rsid w:val="00080D87"/>
    <w:rsid w:val="00081962"/>
    <w:rsid w:val="000825E5"/>
    <w:rsid w:val="00082C1F"/>
    <w:rsid w:val="000837CA"/>
    <w:rsid w:val="00085DDF"/>
    <w:rsid w:val="0009154B"/>
    <w:rsid w:val="00093D7F"/>
    <w:rsid w:val="000979F2"/>
    <w:rsid w:val="000A0D42"/>
    <w:rsid w:val="000A16F6"/>
    <w:rsid w:val="000A3010"/>
    <w:rsid w:val="000A54C1"/>
    <w:rsid w:val="000A78AB"/>
    <w:rsid w:val="000B1631"/>
    <w:rsid w:val="000B216A"/>
    <w:rsid w:val="000B7200"/>
    <w:rsid w:val="000C20B7"/>
    <w:rsid w:val="000C3D4C"/>
    <w:rsid w:val="000C64E3"/>
    <w:rsid w:val="000D049A"/>
    <w:rsid w:val="000D04C8"/>
    <w:rsid w:val="000E2B30"/>
    <w:rsid w:val="000E31C8"/>
    <w:rsid w:val="000E375B"/>
    <w:rsid w:val="000E5965"/>
    <w:rsid w:val="000E5F87"/>
    <w:rsid w:val="000F1348"/>
    <w:rsid w:val="000F70BC"/>
    <w:rsid w:val="00100464"/>
    <w:rsid w:val="001034B5"/>
    <w:rsid w:val="00106193"/>
    <w:rsid w:val="0010648C"/>
    <w:rsid w:val="00107F4F"/>
    <w:rsid w:val="00122F6C"/>
    <w:rsid w:val="001243FC"/>
    <w:rsid w:val="001253C3"/>
    <w:rsid w:val="00126768"/>
    <w:rsid w:val="0013070B"/>
    <w:rsid w:val="001340EB"/>
    <w:rsid w:val="001408CB"/>
    <w:rsid w:val="00142230"/>
    <w:rsid w:val="001466D3"/>
    <w:rsid w:val="001473A7"/>
    <w:rsid w:val="001555E0"/>
    <w:rsid w:val="00160D46"/>
    <w:rsid w:val="001627EF"/>
    <w:rsid w:val="00165147"/>
    <w:rsid w:val="00166400"/>
    <w:rsid w:val="001678A4"/>
    <w:rsid w:val="001748A6"/>
    <w:rsid w:val="00181E30"/>
    <w:rsid w:val="00185E1C"/>
    <w:rsid w:val="001865F5"/>
    <w:rsid w:val="00187ECB"/>
    <w:rsid w:val="00192BE1"/>
    <w:rsid w:val="001A6347"/>
    <w:rsid w:val="001B0A23"/>
    <w:rsid w:val="001B5C01"/>
    <w:rsid w:val="001B7B06"/>
    <w:rsid w:val="001B7C50"/>
    <w:rsid w:val="001C1D08"/>
    <w:rsid w:val="001C29FF"/>
    <w:rsid w:val="001C2D8D"/>
    <w:rsid w:val="001D16B5"/>
    <w:rsid w:val="001D2DC2"/>
    <w:rsid w:val="001E2217"/>
    <w:rsid w:val="001E2BE6"/>
    <w:rsid w:val="001E5409"/>
    <w:rsid w:val="001E5557"/>
    <w:rsid w:val="001E613A"/>
    <w:rsid w:val="001E6789"/>
    <w:rsid w:val="001F1776"/>
    <w:rsid w:val="001F467E"/>
    <w:rsid w:val="001F515A"/>
    <w:rsid w:val="00201C4E"/>
    <w:rsid w:val="00203DBC"/>
    <w:rsid w:val="00210615"/>
    <w:rsid w:val="00210A2E"/>
    <w:rsid w:val="0021361A"/>
    <w:rsid w:val="00215ACD"/>
    <w:rsid w:val="00216A61"/>
    <w:rsid w:val="0022046B"/>
    <w:rsid w:val="0023150F"/>
    <w:rsid w:val="002323E7"/>
    <w:rsid w:val="00233E6F"/>
    <w:rsid w:val="002347C7"/>
    <w:rsid w:val="00240007"/>
    <w:rsid w:val="00241746"/>
    <w:rsid w:val="0024290C"/>
    <w:rsid w:val="0024398B"/>
    <w:rsid w:val="00252454"/>
    <w:rsid w:val="00260717"/>
    <w:rsid w:val="00265F77"/>
    <w:rsid w:val="0026734C"/>
    <w:rsid w:val="00267E29"/>
    <w:rsid w:val="00271248"/>
    <w:rsid w:val="00271392"/>
    <w:rsid w:val="00281D9D"/>
    <w:rsid w:val="00282388"/>
    <w:rsid w:val="00282997"/>
    <w:rsid w:val="00284212"/>
    <w:rsid w:val="00294EBC"/>
    <w:rsid w:val="00296CA6"/>
    <w:rsid w:val="002A22D2"/>
    <w:rsid w:val="002A5483"/>
    <w:rsid w:val="002C3225"/>
    <w:rsid w:val="002C6034"/>
    <w:rsid w:val="002C60DC"/>
    <w:rsid w:val="002C6C58"/>
    <w:rsid w:val="002D22B6"/>
    <w:rsid w:val="002D57B4"/>
    <w:rsid w:val="002D72BB"/>
    <w:rsid w:val="002E40A0"/>
    <w:rsid w:val="002E4733"/>
    <w:rsid w:val="002F11FF"/>
    <w:rsid w:val="002F1A78"/>
    <w:rsid w:val="002F3A3F"/>
    <w:rsid w:val="002F424C"/>
    <w:rsid w:val="002F4C36"/>
    <w:rsid w:val="002F4EB7"/>
    <w:rsid w:val="00303542"/>
    <w:rsid w:val="003060A4"/>
    <w:rsid w:val="00311187"/>
    <w:rsid w:val="00314024"/>
    <w:rsid w:val="00320838"/>
    <w:rsid w:val="003244E0"/>
    <w:rsid w:val="00325348"/>
    <w:rsid w:val="00330CCF"/>
    <w:rsid w:val="00330EA5"/>
    <w:rsid w:val="003314D5"/>
    <w:rsid w:val="0033348F"/>
    <w:rsid w:val="0033388E"/>
    <w:rsid w:val="00333B37"/>
    <w:rsid w:val="00341B54"/>
    <w:rsid w:val="00346403"/>
    <w:rsid w:val="00347405"/>
    <w:rsid w:val="00347FFB"/>
    <w:rsid w:val="00350FE9"/>
    <w:rsid w:val="0035589E"/>
    <w:rsid w:val="0036464B"/>
    <w:rsid w:val="00366F81"/>
    <w:rsid w:val="003701EB"/>
    <w:rsid w:val="00375342"/>
    <w:rsid w:val="0038057D"/>
    <w:rsid w:val="0038558B"/>
    <w:rsid w:val="0039070F"/>
    <w:rsid w:val="00397839"/>
    <w:rsid w:val="003A29D8"/>
    <w:rsid w:val="003A5906"/>
    <w:rsid w:val="003A5B48"/>
    <w:rsid w:val="003A6066"/>
    <w:rsid w:val="003B4B34"/>
    <w:rsid w:val="003B68A8"/>
    <w:rsid w:val="003C1CAE"/>
    <w:rsid w:val="003C2678"/>
    <w:rsid w:val="003C406C"/>
    <w:rsid w:val="003C455C"/>
    <w:rsid w:val="003C617B"/>
    <w:rsid w:val="003C7BB2"/>
    <w:rsid w:val="003D0403"/>
    <w:rsid w:val="003D66D9"/>
    <w:rsid w:val="003D7D33"/>
    <w:rsid w:val="003E1054"/>
    <w:rsid w:val="003E2182"/>
    <w:rsid w:val="003F2539"/>
    <w:rsid w:val="003F58B6"/>
    <w:rsid w:val="00403EDD"/>
    <w:rsid w:val="004049E4"/>
    <w:rsid w:val="004059FB"/>
    <w:rsid w:val="004109F3"/>
    <w:rsid w:val="004144B7"/>
    <w:rsid w:val="004155DF"/>
    <w:rsid w:val="0041642A"/>
    <w:rsid w:val="004170EE"/>
    <w:rsid w:val="0042113D"/>
    <w:rsid w:val="00423FD4"/>
    <w:rsid w:val="00432710"/>
    <w:rsid w:val="0043461E"/>
    <w:rsid w:val="00437D0D"/>
    <w:rsid w:val="00454927"/>
    <w:rsid w:val="004560A8"/>
    <w:rsid w:val="0046007A"/>
    <w:rsid w:val="00462B94"/>
    <w:rsid w:val="00465C78"/>
    <w:rsid w:val="00475FD6"/>
    <w:rsid w:val="004760F4"/>
    <w:rsid w:val="00480015"/>
    <w:rsid w:val="00481448"/>
    <w:rsid w:val="00481878"/>
    <w:rsid w:val="00481BFB"/>
    <w:rsid w:val="00482166"/>
    <w:rsid w:val="00485C41"/>
    <w:rsid w:val="004A0CA3"/>
    <w:rsid w:val="004A226C"/>
    <w:rsid w:val="004A36D6"/>
    <w:rsid w:val="004B2EAF"/>
    <w:rsid w:val="004B4175"/>
    <w:rsid w:val="004B4C27"/>
    <w:rsid w:val="004B7DB0"/>
    <w:rsid w:val="004C1699"/>
    <w:rsid w:val="004C1907"/>
    <w:rsid w:val="004C2F99"/>
    <w:rsid w:val="004C4BDE"/>
    <w:rsid w:val="004C7835"/>
    <w:rsid w:val="004D49F0"/>
    <w:rsid w:val="004D4BCE"/>
    <w:rsid w:val="004E1AA9"/>
    <w:rsid w:val="004E5006"/>
    <w:rsid w:val="004E7418"/>
    <w:rsid w:val="004F2803"/>
    <w:rsid w:val="004F35A7"/>
    <w:rsid w:val="004F6696"/>
    <w:rsid w:val="00500DA9"/>
    <w:rsid w:val="005015EC"/>
    <w:rsid w:val="00502EDF"/>
    <w:rsid w:val="00503806"/>
    <w:rsid w:val="005102C9"/>
    <w:rsid w:val="00513A3D"/>
    <w:rsid w:val="00513A98"/>
    <w:rsid w:val="005146F8"/>
    <w:rsid w:val="00514E11"/>
    <w:rsid w:val="005173F2"/>
    <w:rsid w:val="005241F7"/>
    <w:rsid w:val="0052424C"/>
    <w:rsid w:val="0052751D"/>
    <w:rsid w:val="005301E1"/>
    <w:rsid w:val="00536426"/>
    <w:rsid w:val="00546AFE"/>
    <w:rsid w:val="0054725C"/>
    <w:rsid w:val="005523B9"/>
    <w:rsid w:val="005603D7"/>
    <w:rsid w:val="00571556"/>
    <w:rsid w:val="00573E83"/>
    <w:rsid w:val="005752F6"/>
    <w:rsid w:val="00580E47"/>
    <w:rsid w:val="00582DEC"/>
    <w:rsid w:val="005842A4"/>
    <w:rsid w:val="005849DE"/>
    <w:rsid w:val="00586E5F"/>
    <w:rsid w:val="005A0539"/>
    <w:rsid w:val="005A4331"/>
    <w:rsid w:val="005A4706"/>
    <w:rsid w:val="005A6468"/>
    <w:rsid w:val="005B6AFD"/>
    <w:rsid w:val="005C4EF4"/>
    <w:rsid w:val="005C5531"/>
    <w:rsid w:val="005C5532"/>
    <w:rsid w:val="005D179F"/>
    <w:rsid w:val="005D2315"/>
    <w:rsid w:val="005D2C99"/>
    <w:rsid w:val="005D7C18"/>
    <w:rsid w:val="005E369A"/>
    <w:rsid w:val="00602638"/>
    <w:rsid w:val="0060447A"/>
    <w:rsid w:val="00610671"/>
    <w:rsid w:val="00610A0D"/>
    <w:rsid w:val="00612729"/>
    <w:rsid w:val="00613FB8"/>
    <w:rsid w:val="00624769"/>
    <w:rsid w:val="00627164"/>
    <w:rsid w:val="0063135E"/>
    <w:rsid w:val="00641DAE"/>
    <w:rsid w:val="006510A0"/>
    <w:rsid w:val="0065173D"/>
    <w:rsid w:val="006543C3"/>
    <w:rsid w:val="00660595"/>
    <w:rsid w:val="006623BC"/>
    <w:rsid w:val="006635B8"/>
    <w:rsid w:val="006659BB"/>
    <w:rsid w:val="00671651"/>
    <w:rsid w:val="00684657"/>
    <w:rsid w:val="00684C6A"/>
    <w:rsid w:val="006865F9"/>
    <w:rsid w:val="00687276"/>
    <w:rsid w:val="00693B6E"/>
    <w:rsid w:val="006945D8"/>
    <w:rsid w:val="00697A00"/>
    <w:rsid w:val="006A2411"/>
    <w:rsid w:val="006A3323"/>
    <w:rsid w:val="006A6A6A"/>
    <w:rsid w:val="006C18C4"/>
    <w:rsid w:val="006C3DE3"/>
    <w:rsid w:val="006C4905"/>
    <w:rsid w:val="006C6063"/>
    <w:rsid w:val="006D23BD"/>
    <w:rsid w:val="006D29A0"/>
    <w:rsid w:val="006D418C"/>
    <w:rsid w:val="006D5679"/>
    <w:rsid w:val="006E0996"/>
    <w:rsid w:val="006E3349"/>
    <w:rsid w:val="006E38FA"/>
    <w:rsid w:val="006F4226"/>
    <w:rsid w:val="006F4AED"/>
    <w:rsid w:val="006F4DF7"/>
    <w:rsid w:val="00702952"/>
    <w:rsid w:val="007055B9"/>
    <w:rsid w:val="00707872"/>
    <w:rsid w:val="00721AF1"/>
    <w:rsid w:val="00723F88"/>
    <w:rsid w:val="0072429E"/>
    <w:rsid w:val="00727341"/>
    <w:rsid w:val="00727798"/>
    <w:rsid w:val="00732079"/>
    <w:rsid w:val="00737095"/>
    <w:rsid w:val="007401D2"/>
    <w:rsid w:val="0074256A"/>
    <w:rsid w:val="00744114"/>
    <w:rsid w:val="00750301"/>
    <w:rsid w:val="007537FC"/>
    <w:rsid w:val="00756645"/>
    <w:rsid w:val="00766020"/>
    <w:rsid w:val="00770AC3"/>
    <w:rsid w:val="00775D81"/>
    <w:rsid w:val="00777373"/>
    <w:rsid w:val="007779C0"/>
    <w:rsid w:val="007813C2"/>
    <w:rsid w:val="00786B41"/>
    <w:rsid w:val="00787A36"/>
    <w:rsid w:val="00793AEE"/>
    <w:rsid w:val="007A2BA2"/>
    <w:rsid w:val="007A6CD3"/>
    <w:rsid w:val="007B22B8"/>
    <w:rsid w:val="007B3C86"/>
    <w:rsid w:val="007B6CDC"/>
    <w:rsid w:val="007C0289"/>
    <w:rsid w:val="007C1CBA"/>
    <w:rsid w:val="007C4C44"/>
    <w:rsid w:val="007E1582"/>
    <w:rsid w:val="007E5F0D"/>
    <w:rsid w:val="007E61EE"/>
    <w:rsid w:val="007F134C"/>
    <w:rsid w:val="007F46C6"/>
    <w:rsid w:val="007F6618"/>
    <w:rsid w:val="007F6CAE"/>
    <w:rsid w:val="00803416"/>
    <w:rsid w:val="00803717"/>
    <w:rsid w:val="00810265"/>
    <w:rsid w:val="008131BF"/>
    <w:rsid w:val="008136F8"/>
    <w:rsid w:val="00817A26"/>
    <w:rsid w:val="00821EF9"/>
    <w:rsid w:val="008332A7"/>
    <w:rsid w:val="008358FF"/>
    <w:rsid w:val="0084211D"/>
    <w:rsid w:val="008425A4"/>
    <w:rsid w:val="00846697"/>
    <w:rsid w:val="0084763F"/>
    <w:rsid w:val="00852F09"/>
    <w:rsid w:val="0085371C"/>
    <w:rsid w:val="008549DF"/>
    <w:rsid w:val="008567FF"/>
    <w:rsid w:val="008602FF"/>
    <w:rsid w:val="00872BF9"/>
    <w:rsid w:val="00872C82"/>
    <w:rsid w:val="00873CC6"/>
    <w:rsid w:val="0087490B"/>
    <w:rsid w:val="00876BC5"/>
    <w:rsid w:val="008844D5"/>
    <w:rsid w:val="008935B8"/>
    <w:rsid w:val="008970BA"/>
    <w:rsid w:val="008B0540"/>
    <w:rsid w:val="008B0569"/>
    <w:rsid w:val="008B2126"/>
    <w:rsid w:val="008B7E8C"/>
    <w:rsid w:val="008B7F77"/>
    <w:rsid w:val="008C48A4"/>
    <w:rsid w:val="008C5334"/>
    <w:rsid w:val="008D08F6"/>
    <w:rsid w:val="008D28B8"/>
    <w:rsid w:val="008D3C23"/>
    <w:rsid w:val="008D73B2"/>
    <w:rsid w:val="008E10A6"/>
    <w:rsid w:val="008E1549"/>
    <w:rsid w:val="008E395B"/>
    <w:rsid w:val="008E3BB0"/>
    <w:rsid w:val="008E6B54"/>
    <w:rsid w:val="008F34AF"/>
    <w:rsid w:val="008F3661"/>
    <w:rsid w:val="008F43F7"/>
    <w:rsid w:val="008F61DD"/>
    <w:rsid w:val="008F7289"/>
    <w:rsid w:val="009022A2"/>
    <w:rsid w:val="00904EA5"/>
    <w:rsid w:val="009054BD"/>
    <w:rsid w:val="009109D0"/>
    <w:rsid w:val="0091404A"/>
    <w:rsid w:val="0091458F"/>
    <w:rsid w:val="00920EF4"/>
    <w:rsid w:val="00923AFD"/>
    <w:rsid w:val="00924B87"/>
    <w:rsid w:val="00927EEA"/>
    <w:rsid w:val="00930624"/>
    <w:rsid w:val="009317C5"/>
    <w:rsid w:val="00932D59"/>
    <w:rsid w:val="00935BE9"/>
    <w:rsid w:val="009409DD"/>
    <w:rsid w:val="0094162C"/>
    <w:rsid w:val="00943919"/>
    <w:rsid w:val="00951CAA"/>
    <w:rsid w:val="00954C7B"/>
    <w:rsid w:val="00964590"/>
    <w:rsid w:val="00966C68"/>
    <w:rsid w:val="00972DBA"/>
    <w:rsid w:val="009739A0"/>
    <w:rsid w:val="00981254"/>
    <w:rsid w:val="009830B8"/>
    <w:rsid w:val="00983201"/>
    <w:rsid w:val="0098419C"/>
    <w:rsid w:val="00984324"/>
    <w:rsid w:val="009865A4"/>
    <w:rsid w:val="009A422D"/>
    <w:rsid w:val="009B1DAA"/>
    <w:rsid w:val="009B375C"/>
    <w:rsid w:val="009B5DC9"/>
    <w:rsid w:val="009B6831"/>
    <w:rsid w:val="009B7208"/>
    <w:rsid w:val="009C0220"/>
    <w:rsid w:val="009C2264"/>
    <w:rsid w:val="009C328A"/>
    <w:rsid w:val="009C73E0"/>
    <w:rsid w:val="009D034B"/>
    <w:rsid w:val="009D3341"/>
    <w:rsid w:val="009D5071"/>
    <w:rsid w:val="009D6049"/>
    <w:rsid w:val="009D7E47"/>
    <w:rsid w:val="009E308D"/>
    <w:rsid w:val="009E57FA"/>
    <w:rsid w:val="009F04C6"/>
    <w:rsid w:val="009F0935"/>
    <w:rsid w:val="009F2522"/>
    <w:rsid w:val="009F2682"/>
    <w:rsid w:val="009F7089"/>
    <w:rsid w:val="00A027E0"/>
    <w:rsid w:val="00A07538"/>
    <w:rsid w:val="00A1352D"/>
    <w:rsid w:val="00A16DBA"/>
    <w:rsid w:val="00A17113"/>
    <w:rsid w:val="00A17DB0"/>
    <w:rsid w:val="00A17E62"/>
    <w:rsid w:val="00A20494"/>
    <w:rsid w:val="00A20884"/>
    <w:rsid w:val="00A32742"/>
    <w:rsid w:val="00A34911"/>
    <w:rsid w:val="00A352F5"/>
    <w:rsid w:val="00A35DDA"/>
    <w:rsid w:val="00A37ACF"/>
    <w:rsid w:val="00A576FE"/>
    <w:rsid w:val="00A61414"/>
    <w:rsid w:val="00A61760"/>
    <w:rsid w:val="00A62B17"/>
    <w:rsid w:val="00A658A8"/>
    <w:rsid w:val="00A67877"/>
    <w:rsid w:val="00A7110D"/>
    <w:rsid w:val="00A7314B"/>
    <w:rsid w:val="00A8213F"/>
    <w:rsid w:val="00A83D03"/>
    <w:rsid w:val="00A877EC"/>
    <w:rsid w:val="00AA6C9E"/>
    <w:rsid w:val="00AA7979"/>
    <w:rsid w:val="00AB2ACE"/>
    <w:rsid w:val="00AB2B8B"/>
    <w:rsid w:val="00AC1440"/>
    <w:rsid w:val="00AC510A"/>
    <w:rsid w:val="00AC7389"/>
    <w:rsid w:val="00AD4A64"/>
    <w:rsid w:val="00AE305D"/>
    <w:rsid w:val="00AE3088"/>
    <w:rsid w:val="00AF21AE"/>
    <w:rsid w:val="00AF2B67"/>
    <w:rsid w:val="00AF47F5"/>
    <w:rsid w:val="00AF636E"/>
    <w:rsid w:val="00B01CC8"/>
    <w:rsid w:val="00B04644"/>
    <w:rsid w:val="00B0537C"/>
    <w:rsid w:val="00B05768"/>
    <w:rsid w:val="00B07B27"/>
    <w:rsid w:val="00B1011B"/>
    <w:rsid w:val="00B10E80"/>
    <w:rsid w:val="00B1428C"/>
    <w:rsid w:val="00B1497A"/>
    <w:rsid w:val="00B15441"/>
    <w:rsid w:val="00B16DE8"/>
    <w:rsid w:val="00B22865"/>
    <w:rsid w:val="00B23B9F"/>
    <w:rsid w:val="00B23F88"/>
    <w:rsid w:val="00B25817"/>
    <w:rsid w:val="00B25A26"/>
    <w:rsid w:val="00B25B5F"/>
    <w:rsid w:val="00B261BC"/>
    <w:rsid w:val="00B27AF2"/>
    <w:rsid w:val="00B32049"/>
    <w:rsid w:val="00B33A46"/>
    <w:rsid w:val="00B34090"/>
    <w:rsid w:val="00B37E49"/>
    <w:rsid w:val="00B416EA"/>
    <w:rsid w:val="00B424D9"/>
    <w:rsid w:val="00B42FCC"/>
    <w:rsid w:val="00B455E2"/>
    <w:rsid w:val="00B50898"/>
    <w:rsid w:val="00B53AFE"/>
    <w:rsid w:val="00B55A72"/>
    <w:rsid w:val="00B61465"/>
    <w:rsid w:val="00B6416E"/>
    <w:rsid w:val="00B6483C"/>
    <w:rsid w:val="00B743B6"/>
    <w:rsid w:val="00B819FE"/>
    <w:rsid w:val="00B82E08"/>
    <w:rsid w:val="00B93FA6"/>
    <w:rsid w:val="00BA0936"/>
    <w:rsid w:val="00BA34FE"/>
    <w:rsid w:val="00BB1782"/>
    <w:rsid w:val="00BB25FB"/>
    <w:rsid w:val="00BB5136"/>
    <w:rsid w:val="00BB5898"/>
    <w:rsid w:val="00BB7812"/>
    <w:rsid w:val="00BC0F03"/>
    <w:rsid w:val="00BC1F97"/>
    <w:rsid w:val="00BC333A"/>
    <w:rsid w:val="00BC5B28"/>
    <w:rsid w:val="00BC6136"/>
    <w:rsid w:val="00BC6471"/>
    <w:rsid w:val="00BD0C3C"/>
    <w:rsid w:val="00BD4001"/>
    <w:rsid w:val="00BD4075"/>
    <w:rsid w:val="00BD7B70"/>
    <w:rsid w:val="00BE6184"/>
    <w:rsid w:val="00BF188F"/>
    <w:rsid w:val="00BF18DA"/>
    <w:rsid w:val="00BF3157"/>
    <w:rsid w:val="00BF3B06"/>
    <w:rsid w:val="00C0267E"/>
    <w:rsid w:val="00C02E8D"/>
    <w:rsid w:val="00C125C8"/>
    <w:rsid w:val="00C13982"/>
    <w:rsid w:val="00C14991"/>
    <w:rsid w:val="00C152B5"/>
    <w:rsid w:val="00C15477"/>
    <w:rsid w:val="00C1621C"/>
    <w:rsid w:val="00C17702"/>
    <w:rsid w:val="00C217E2"/>
    <w:rsid w:val="00C23886"/>
    <w:rsid w:val="00C31503"/>
    <w:rsid w:val="00C32BDC"/>
    <w:rsid w:val="00C35243"/>
    <w:rsid w:val="00C35624"/>
    <w:rsid w:val="00C45577"/>
    <w:rsid w:val="00C474A7"/>
    <w:rsid w:val="00C520B5"/>
    <w:rsid w:val="00C539A2"/>
    <w:rsid w:val="00C552C6"/>
    <w:rsid w:val="00C65CA7"/>
    <w:rsid w:val="00C70CD1"/>
    <w:rsid w:val="00C70E39"/>
    <w:rsid w:val="00C71F62"/>
    <w:rsid w:val="00C7289B"/>
    <w:rsid w:val="00C73E0D"/>
    <w:rsid w:val="00C7459A"/>
    <w:rsid w:val="00C74D8B"/>
    <w:rsid w:val="00C7773E"/>
    <w:rsid w:val="00C810EA"/>
    <w:rsid w:val="00C87E05"/>
    <w:rsid w:val="00C94470"/>
    <w:rsid w:val="00CA5295"/>
    <w:rsid w:val="00CA6A2E"/>
    <w:rsid w:val="00CB004E"/>
    <w:rsid w:val="00CB254E"/>
    <w:rsid w:val="00CC0007"/>
    <w:rsid w:val="00CC1F5F"/>
    <w:rsid w:val="00CC4E87"/>
    <w:rsid w:val="00CC7995"/>
    <w:rsid w:val="00CC7C8C"/>
    <w:rsid w:val="00CD16CD"/>
    <w:rsid w:val="00CD7134"/>
    <w:rsid w:val="00CD74B0"/>
    <w:rsid w:val="00CE664F"/>
    <w:rsid w:val="00CF1193"/>
    <w:rsid w:val="00CF3208"/>
    <w:rsid w:val="00CF5A79"/>
    <w:rsid w:val="00CF653B"/>
    <w:rsid w:val="00D01A7A"/>
    <w:rsid w:val="00D02DF1"/>
    <w:rsid w:val="00D057A0"/>
    <w:rsid w:val="00D13C62"/>
    <w:rsid w:val="00D147EF"/>
    <w:rsid w:val="00D15E13"/>
    <w:rsid w:val="00D204F3"/>
    <w:rsid w:val="00D23052"/>
    <w:rsid w:val="00D27E12"/>
    <w:rsid w:val="00D33724"/>
    <w:rsid w:val="00D3523D"/>
    <w:rsid w:val="00D377B0"/>
    <w:rsid w:val="00D42663"/>
    <w:rsid w:val="00D43A27"/>
    <w:rsid w:val="00D45C18"/>
    <w:rsid w:val="00D468C8"/>
    <w:rsid w:val="00D50DE7"/>
    <w:rsid w:val="00D51A5E"/>
    <w:rsid w:val="00D546FA"/>
    <w:rsid w:val="00D56106"/>
    <w:rsid w:val="00D60578"/>
    <w:rsid w:val="00D6343F"/>
    <w:rsid w:val="00D72467"/>
    <w:rsid w:val="00D75CBB"/>
    <w:rsid w:val="00D763E1"/>
    <w:rsid w:val="00D91441"/>
    <w:rsid w:val="00D9696E"/>
    <w:rsid w:val="00DA042F"/>
    <w:rsid w:val="00DA3756"/>
    <w:rsid w:val="00DA3937"/>
    <w:rsid w:val="00DA4083"/>
    <w:rsid w:val="00DB1609"/>
    <w:rsid w:val="00DB1DB1"/>
    <w:rsid w:val="00DB2F86"/>
    <w:rsid w:val="00DB716E"/>
    <w:rsid w:val="00DB7B4C"/>
    <w:rsid w:val="00DC50CD"/>
    <w:rsid w:val="00DD79D2"/>
    <w:rsid w:val="00DE17CE"/>
    <w:rsid w:val="00DE1AF9"/>
    <w:rsid w:val="00DE2684"/>
    <w:rsid w:val="00DE309E"/>
    <w:rsid w:val="00DE5262"/>
    <w:rsid w:val="00DE5BC7"/>
    <w:rsid w:val="00DE67BF"/>
    <w:rsid w:val="00DE703B"/>
    <w:rsid w:val="00DF6B84"/>
    <w:rsid w:val="00E009F5"/>
    <w:rsid w:val="00E01126"/>
    <w:rsid w:val="00E02B3B"/>
    <w:rsid w:val="00E03132"/>
    <w:rsid w:val="00E04347"/>
    <w:rsid w:val="00E0604C"/>
    <w:rsid w:val="00E13510"/>
    <w:rsid w:val="00E14255"/>
    <w:rsid w:val="00E22875"/>
    <w:rsid w:val="00E228D4"/>
    <w:rsid w:val="00E23DBE"/>
    <w:rsid w:val="00E2689C"/>
    <w:rsid w:val="00E26FD7"/>
    <w:rsid w:val="00E27D29"/>
    <w:rsid w:val="00E31585"/>
    <w:rsid w:val="00E3256F"/>
    <w:rsid w:val="00E35616"/>
    <w:rsid w:val="00E3728E"/>
    <w:rsid w:val="00E373B1"/>
    <w:rsid w:val="00E42264"/>
    <w:rsid w:val="00E43E3A"/>
    <w:rsid w:val="00E45559"/>
    <w:rsid w:val="00E46163"/>
    <w:rsid w:val="00E52144"/>
    <w:rsid w:val="00E5352B"/>
    <w:rsid w:val="00E574EC"/>
    <w:rsid w:val="00E62BE7"/>
    <w:rsid w:val="00E65C0C"/>
    <w:rsid w:val="00E66831"/>
    <w:rsid w:val="00E70184"/>
    <w:rsid w:val="00E7046C"/>
    <w:rsid w:val="00E760E0"/>
    <w:rsid w:val="00E823F5"/>
    <w:rsid w:val="00E830A6"/>
    <w:rsid w:val="00E91CC1"/>
    <w:rsid w:val="00EA0BCC"/>
    <w:rsid w:val="00EA6189"/>
    <w:rsid w:val="00EB0276"/>
    <w:rsid w:val="00EB3E41"/>
    <w:rsid w:val="00EB59A3"/>
    <w:rsid w:val="00EC168D"/>
    <w:rsid w:val="00EC224A"/>
    <w:rsid w:val="00EC3C82"/>
    <w:rsid w:val="00EC687B"/>
    <w:rsid w:val="00EC6B31"/>
    <w:rsid w:val="00ED105B"/>
    <w:rsid w:val="00ED191A"/>
    <w:rsid w:val="00ED4950"/>
    <w:rsid w:val="00ED6030"/>
    <w:rsid w:val="00ED7FA0"/>
    <w:rsid w:val="00EE77FD"/>
    <w:rsid w:val="00EF2393"/>
    <w:rsid w:val="00EF4067"/>
    <w:rsid w:val="00EF440A"/>
    <w:rsid w:val="00EF5221"/>
    <w:rsid w:val="00EF65C3"/>
    <w:rsid w:val="00F02582"/>
    <w:rsid w:val="00F03957"/>
    <w:rsid w:val="00F11C19"/>
    <w:rsid w:val="00F127D2"/>
    <w:rsid w:val="00F13CAA"/>
    <w:rsid w:val="00F15466"/>
    <w:rsid w:val="00F16C55"/>
    <w:rsid w:val="00F222B7"/>
    <w:rsid w:val="00F24916"/>
    <w:rsid w:val="00F31365"/>
    <w:rsid w:val="00F32BDA"/>
    <w:rsid w:val="00F3573E"/>
    <w:rsid w:val="00F40A69"/>
    <w:rsid w:val="00F4284A"/>
    <w:rsid w:val="00F42B1E"/>
    <w:rsid w:val="00F438CB"/>
    <w:rsid w:val="00F44BF2"/>
    <w:rsid w:val="00F45CFF"/>
    <w:rsid w:val="00F500BD"/>
    <w:rsid w:val="00F5089B"/>
    <w:rsid w:val="00F60BD1"/>
    <w:rsid w:val="00F6106F"/>
    <w:rsid w:val="00F65153"/>
    <w:rsid w:val="00F709BB"/>
    <w:rsid w:val="00F73BBA"/>
    <w:rsid w:val="00F843EE"/>
    <w:rsid w:val="00F87CF4"/>
    <w:rsid w:val="00F9413C"/>
    <w:rsid w:val="00F95E4C"/>
    <w:rsid w:val="00F97AFD"/>
    <w:rsid w:val="00FA200A"/>
    <w:rsid w:val="00FA23AF"/>
    <w:rsid w:val="00FA7187"/>
    <w:rsid w:val="00FB103B"/>
    <w:rsid w:val="00FB3020"/>
    <w:rsid w:val="00FB4B31"/>
    <w:rsid w:val="00FB58D0"/>
    <w:rsid w:val="00FB6F6C"/>
    <w:rsid w:val="00FB7FA4"/>
    <w:rsid w:val="00FC0040"/>
    <w:rsid w:val="00FC402F"/>
    <w:rsid w:val="00FC61F3"/>
    <w:rsid w:val="00FC74C4"/>
    <w:rsid w:val="00FC7748"/>
    <w:rsid w:val="00FD1A97"/>
    <w:rsid w:val="00FE094D"/>
    <w:rsid w:val="00FE2A42"/>
    <w:rsid w:val="00FE56C4"/>
    <w:rsid w:val="00FE5E99"/>
    <w:rsid w:val="00FE69D9"/>
    <w:rsid w:val="00FE6F44"/>
    <w:rsid w:val="00FF6E9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DAA"/>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style>
  <w:style w:type="paragraph" w:styleId="1">
    <w:name w:val="heading 1"/>
    <w:basedOn w:val="a"/>
    <w:next w:val="a"/>
    <w:link w:val="10"/>
    <w:uiPriority w:val="9"/>
    <w:qFormat/>
    <w:rsid w:val="00475FD6"/>
    <w:pPr>
      <w:keepNext/>
      <w:keepLines/>
      <w:spacing w:before="480"/>
      <w:outlineLvl w:val="0"/>
    </w:pPr>
    <w:rPr>
      <w:rFonts w:ascii="Cambria" w:eastAsia="SimSu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1440"/>
    <w:rPr>
      <w:rFonts w:ascii="Tahoma" w:hAnsi="Tahoma" w:cs="Tahoma"/>
      <w:sz w:val="16"/>
      <w:szCs w:val="16"/>
    </w:rPr>
  </w:style>
  <w:style w:type="character" w:customStyle="1" w:styleId="a4">
    <w:name w:val="Изнесен текст Знак"/>
    <w:basedOn w:val="a0"/>
    <w:link w:val="a3"/>
    <w:uiPriority w:val="99"/>
    <w:semiHidden/>
    <w:rsid w:val="00AC1440"/>
    <w:rPr>
      <w:rFonts w:ascii="Tahoma" w:eastAsia="Times New Roman" w:hAnsi="Tahoma" w:cs="Tahoma"/>
      <w:sz w:val="16"/>
      <w:szCs w:val="16"/>
      <w:lang w:eastAsia="bg-BG"/>
    </w:rPr>
  </w:style>
  <w:style w:type="paragraph" w:styleId="a5">
    <w:name w:val="Body Text"/>
    <w:basedOn w:val="a"/>
    <w:link w:val="a6"/>
    <w:uiPriority w:val="99"/>
    <w:rsid w:val="00057335"/>
    <w:pPr>
      <w:spacing w:after="120"/>
    </w:pPr>
  </w:style>
  <w:style w:type="character" w:customStyle="1" w:styleId="a6">
    <w:name w:val="Основен текст Знак"/>
    <w:basedOn w:val="a0"/>
    <w:link w:val="a5"/>
    <w:uiPriority w:val="99"/>
    <w:rsid w:val="00057335"/>
    <w:rPr>
      <w:rFonts w:ascii="Times New Roman" w:eastAsia="Times New Roman" w:hAnsi="Times New Roman" w:cs="Times New Roman"/>
      <w:sz w:val="20"/>
      <w:szCs w:val="20"/>
      <w:lang w:eastAsia="bg-BG"/>
    </w:rPr>
  </w:style>
  <w:style w:type="paragraph" w:styleId="a7">
    <w:name w:val="List Paragraph"/>
    <w:basedOn w:val="a"/>
    <w:uiPriority w:val="34"/>
    <w:qFormat/>
    <w:rsid w:val="00057335"/>
    <w:pPr>
      <w:ind w:left="720"/>
      <w:contextualSpacing/>
    </w:pPr>
  </w:style>
  <w:style w:type="paragraph" w:styleId="a8">
    <w:name w:val="header"/>
    <w:basedOn w:val="a"/>
    <w:link w:val="a9"/>
    <w:unhideWhenUsed/>
    <w:rsid w:val="0021361A"/>
    <w:pPr>
      <w:tabs>
        <w:tab w:val="center" w:pos="4536"/>
        <w:tab w:val="right" w:pos="9072"/>
      </w:tabs>
    </w:pPr>
  </w:style>
  <w:style w:type="character" w:customStyle="1" w:styleId="a9">
    <w:name w:val="Горен колонтитул Знак"/>
    <w:basedOn w:val="a0"/>
    <w:link w:val="a8"/>
    <w:rsid w:val="0021361A"/>
    <w:rPr>
      <w:rFonts w:ascii="Times New Roman" w:eastAsia="Times New Roman" w:hAnsi="Times New Roman" w:cs="Times New Roman"/>
      <w:sz w:val="20"/>
      <w:szCs w:val="20"/>
      <w:lang w:eastAsia="bg-BG"/>
    </w:rPr>
  </w:style>
  <w:style w:type="paragraph" w:styleId="aa">
    <w:name w:val="footer"/>
    <w:basedOn w:val="a"/>
    <w:link w:val="ab"/>
    <w:uiPriority w:val="99"/>
    <w:unhideWhenUsed/>
    <w:rsid w:val="0021361A"/>
    <w:pPr>
      <w:tabs>
        <w:tab w:val="center" w:pos="4536"/>
        <w:tab w:val="right" w:pos="9072"/>
      </w:tabs>
    </w:pPr>
  </w:style>
  <w:style w:type="character" w:customStyle="1" w:styleId="ab">
    <w:name w:val="Долен колонтитул Знак"/>
    <w:basedOn w:val="a0"/>
    <w:link w:val="aa"/>
    <w:uiPriority w:val="99"/>
    <w:rsid w:val="0021361A"/>
    <w:rPr>
      <w:rFonts w:ascii="Times New Roman" w:eastAsia="Times New Roman" w:hAnsi="Times New Roman" w:cs="Times New Roman"/>
      <w:sz w:val="20"/>
      <w:szCs w:val="20"/>
      <w:lang w:eastAsia="bg-BG"/>
    </w:rPr>
  </w:style>
  <w:style w:type="paragraph" w:styleId="ac">
    <w:name w:val="Body Text Indent"/>
    <w:basedOn w:val="a"/>
    <w:link w:val="ad"/>
    <w:unhideWhenUsed/>
    <w:rsid w:val="005D179F"/>
    <w:pPr>
      <w:spacing w:after="120"/>
      <w:ind w:left="283"/>
    </w:pPr>
  </w:style>
  <w:style w:type="character" w:customStyle="1" w:styleId="ad">
    <w:name w:val="Основен текст с отстъп Знак"/>
    <w:basedOn w:val="a0"/>
    <w:link w:val="ac"/>
    <w:rsid w:val="005D179F"/>
    <w:rPr>
      <w:rFonts w:ascii="Times New Roman" w:eastAsia="Times New Roman" w:hAnsi="Times New Roman" w:cs="Times New Roman"/>
      <w:sz w:val="20"/>
      <w:szCs w:val="20"/>
      <w:lang w:eastAsia="bg-BG"/>
    </w:rPr>
  </w:style>
  <w:style w:type="character" w:customStyle="1" w:styleId="10">
    <w:name w:val="Заглавие 1 Знак"/>
    <w:basedOn w:val="a0"/>
    <w:link w:val="1"/>
    <w:uiPriority w:val="9"/>
    <w:rsid w:val="00475FD6"/>
    <w:rPr>
      <w:rFonts w:ascii="Cambria" w:eastAsia="SimSun" w:hAnsi="Cambria" w:cs="Times New Roman"/>
      <w:b/>
      <w:bCs/>
      <w:color w:val="365F91"/>
      <w:sz w:val="28"/>
      <w:szCs w:val="28"/>
      <w:lang w:eastAsia="bg-BG"/>
    </w:rPr>
  </w:style>
  <w:style w:type="paragraph" w:styleId="2">
    <w:name w:val="Body Text 2"/>
    <w:basedOn w:val="a"/>
    <w:link w:val="20"/>
    <w:uiPriority w:val="99"/>
    <w:semiHidden/>
    <w:unhideWhenUsed/>
    <w:rsid w:val="00475FD6"/>
    <w:pPr>
      <w:spacing w:after="120" w:line="480" w:lineRule="auto"/>
    </w:pPr>
  </w:style>
  <w:style w:type="character" w:customStyle="1" w:styleId="20">
    <w:name w:val="Основен текст 2 Знак"/>
    <w:basedOn w:val="a0"/>
    <w:link w:val="2"/>
    <w:uiPriority w:val="99"/>
    <w:semiHidden/>
    <w:rsid w:val="00475FD6"/>
    <w:rPr>
      <w:rFonts w:ascii="Times New Roman" w:eastAsia="Times New Roman" w:hAnsi="Times New Roman" w:cs="Times New Roman"/>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DAA"/>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style>
  <w:style w:type="paragraph" w:styleId="1">
    <w:name w:val="heading 1"/>
    <w:basedOn w:val="a"/>
    <w:next w:val="a"/>
    <w:link w:val="10"/>
    <w:uiPriority w:val="9"/>
    <w:qFormat/>
    <w:rsid w:val="00475FD6"/>
    <w:pPr>
      <w:keepNext/>
      <w:keepLines/>
      <w:spacing w:before="480"/>
      <w:outlineLvl w:val="0"/>
    </w:pPr>
    <w:rPr>
      <w:rFonts w:ascii="Cambria" w:eastAsia="SimSu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1440"/>
    <w:rPr>
      <w:rFonts w:ascii="Tahoma" w:hAnsi="Tahoma" w:cs="Tahoma"/>
      <w:sz w:val="16"/>
      <w:szCs w:val="16"/>
    </w:rPr>
  </w:style>
  <w:style w:type="character" w:customStyle="1" w:styleId="a4">
    <w:name w:val="Изнесен текст Знак"/>
    <w:basedOn w:val="a0"/>
    <w:link w:val="a3"/>
    <w:uiPriority w:val="99"/>
    <w:semiHidden/>
    <w:rsid w:val="00AC1440"/>
    <w:rPr>
      <w:rFonts w:ascii="Tahoma" w:eastAsia="Times New Roman" w:hAnsi="Tahoma" w:cs="Tahoma"/>
      <w:sz w:val="16"/>
      <w:szCs w:val="16"/>
      <w:lang w:eastAsia="bg-BG"/>
    </w:rPr>
  </w:style>
  <w:style w:type="paragraph" w:styleId="a5">
    <w:name w:val="Body Text"/>
    <w:basedOn w:val="a"/>
    <w:link w:val="a6"/>
    <w:uiPriority w:val="99"/>
    <w:rsid w:val="00057335"/>
    <w:pPr>
      <w:spacing w:after="120"/>
    </w:pPr>
  </w:style>
  <w:style w:type="character" w:customStyle="1" w:styleId="a6">
    <w:name w:val="Основен текст Знак"/>
    <w:basedOn w:val="a0"/>
    <w:link w:val="a5"/>
    <w:uiPriority w:val="99"/>
    <w:rsid w:val="00057335"/>
    <w:rPr>
      <w:rFonts w:ascii="Times New Roman" w:eastAsia="Times New Roman" w:hAnsi="Times New Roman" w:cs="Times New Roman"/>
      <w:sz w:val="20"/>
      <w:szCs w:val="20"/>
      <w:lang w:eastAsia="bg-BG"/>
    </w:rPr>
  </w:style>
  <w:style w:type="paragraph" w:styleId="a7">
    <w:name w:val="List Paragraph"/>
    <w:basedOn w:val="a"/>
    <w:uiPriority w:val="34"/>
    <w:qFormat/>
    <w:rsid w:val="00057335"/>
    <w:pPr>
      <w:ind w:left="720"/>
      <w:contextualSpacing/>
    </w:pPr>
  </w:style>
  <w:style w:type="paragraph" w:styleId="a8">
    <w:name w:val="header"/>
    <w:basedOn w:val="a"/>
    <w:link w:val="a9"/>
    <w:unhideWhenUsed/>
    <w:rsid w:val="0021361A"/>
    <w:pPr>
      <w:tabs>
        <w:tab w:val="center" w:pos="4536"/>
        <w:tab w:val="right" w:pos="9072"/>
      </w:tabs>
    </w:pPr>
  </w:style>
  <w:style w:type="character" w:customStyle="1" w:styleId="a9">
    <w:name w:val="Горен колонтитул Знак"/>
    <w:basedOn w:val="a0"/>
    <w:link w:val="a8"/>
    <w:rsid w:val="0021361A"/>
    <w:rPr>
      <w:rFonts w:ascii="Times New Roman" w:eastAsia="Times New Roman" w:hAnsi="Times New Roman" w:cs="Times New Roman"/>
      <w:sz w:val="20"/>
      <w:szCs w:val="20"/>
      <w:lang w:eastAsia="bg-BG"/>
    </w:rPr>
  </w:style>
  <w:style w:type="paragraph" w:styleId="aa">
    <w:name w:val="footer"/>
    <w:basedOn w:val="a"/>
    <w:link w:val="ab"/>
    <w:uiPriority w:val="99"/>
    <w:unhideWhenUsed/>
    <w:rsid w:val="0021361A"/>
    <w:pPr>
      <w:tabs>
        <w:tab w:val="center" w:pos="4536"/>
        <w:tab w:val="right" w:pos="9072"/>
      </w:tabs>
    </w:pPr>
  </w:style>
  <w:style w:type="character" w:customStyle="1" w:styleId="ab">
    <w:name w:val="Долен колонтитул Знак"/>
    <w:basedOn w:val="a0"/>
    <w:link w:val="aa"/>
    <w:uiPriority w:val="99"/>
    <w:rsid w:val="0021361A"/>
    <w:rPr>
      <w:rFonts w:ascii="Times New Roman" w:eastAsia="Times New Roman" w:hAnsi="Times New Roman" w:cs="Times New Roman"/>
      <w:sz w:val="20"/>
      <w:szCs w:val="20"/>
      <w:lang w:eastAsia="bg-BG"/>
    </w:rPr>
  </w:style>
  <w:style w:type="paragraph" w:styleId="ac">
    <w:name w:val="Body Text Indent"/>
    <w:basedOn w:val="a"/>
    <w:link w:val="ad"/>
    <w:unhideWhenUsed/>
    <w:rsid w:val="005D179F"/>
    <w:pPr>
      <w:spacing w:after="120"/>
      <w:ind w:left="283"/>
    </w:pPr>
  </w:style>
  <w:style w:type="character" w:customStyle="1" w:styleId="ad">
    <w:name w:val="Основен текст с отстъп Знак"/>
    <w:basedOn w:val="a0"/>
    <w:link w:val="ac"/>
    <w:rsid w:val="005D179F"/>
    <w:rPr>
      <w:rFonts w:ascii="Times New Roman" w:eastAsia="Times New Roman" w:hAnsi="Times New Roman" w:cs="Times New Roman"/>
      <w:sz w:val="20"/>
      <w:szCs w:val="20"/>
      <w:lang w:eastAsia="bg-BG"/>
    </w:rPr>
  </w:style>
  <w:style w:type="character" w:customStyle="1" w:styleId="10">
    <w:name w:val="Заглавие 1 Знак"/>
    <w:basedOn w:val="a0"/>
    <w:link w:val="1"/>
    <w:uiPriority w:val="9"/>
    <w:rsid w:val="00475FD6"/>
    <w:rPr>
      <w:rFonts w:ascii="Cambria" w:eastAsia="SimSun" w:hAnsi="Cambria" w:cs="Times New Roman"/>
      <w:b/>
      <w:bCs/>
      <w:color w:val="365F91"/>
      <w:sz w:val="28"/>
      <w:szCs w:val="28"/>
      <w:lang w:eastAsia="bg-BG"/>
    </w:rPr>
  </w:style>
  <w:style w:type="paragraph" w:styleId="2">
    <w:name w:val="Body Text 2"/>
    <w:basedOn w:val="a"/>
    <w:link w:val="20"/>
    <w:uiPriority w:val="99"/>
    <w:semiHidden/>
    <w:unhideWhenUsed/>
    <w:rsid w:val="00475FD6"/>
    <w:pPr>
      <w:spacing w:after="120" w:line="480" w:lineRule="auto"/>
    </w:pPr>
  </w:style>
  <w:style w:type="character" w:customStyle="1" w:styleId="20">
    <w:name w:val="Основен текст 2 Знак"/>
    <w:basedOn w:val="a0"/>
    <w:link w:val="2"/>
    <w:uiPriority w:val="99"/>
    <w:semiHidden/>
    <w:rsid w:val="00475FD6"/>
    <w:rPr>
      <w:rFonts w:ascii="Times New Roman" w:eastAsia="Times New Roman" w:hAnsi="Times New Roman" w:cs="Times New Roman"/>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5918">
      <w:bodyDiv w:val="1"/>
      <w:marLeft w:val="0"/>
      <w:marRight w:val="0"/>
      <w:marTop w:val="0"/>
      <w:marBottom w:val="0"/>
      <w:divBdr>
        <w:top w:val="none" w:sz="0" w:space="0" w:color="auto"/>
        <w:left w:val="none" w:sz="0" w:space="0" w:color="auto"/>
        <w:bottom w:val="none" w:sz="0" w:space="0" w:color="auto"/>
        <w:right w:val="none" w:sz="0" w:space="0" w:color="auto"/>
      </w:divBdr>
    </w:div>
    <w:div w:id="34938580">
      <w:bodyDiv w:val="1"/>
      <w:marLeft w:val="0"/>
      <w:marRight w:val="0"/>
      <w:marTop w:val="0"/>
      <w:marBottom w:val="0"/>
      <w:divBdr>
        <w:top w:val="none" w:sz="0" w:space="0" w:color="auto"/>
        <w:left w:val="none" w:sz="0" w:space="0" w:color="auto"/>
        <w:bottom w:val="none" w:sz="0" w:space="0" w:color="auto"/>
        <w:right w:val="none" w:sz="0" w:space="0" w:color="auto"/>
      </w:divBdr>
    </w:div>
    <w:div w:id="119963023">
      <w:bodyDiv w:val="1"/>
      <w:marLeft w:val="0"/>
      <w:marRight w:val="0"/>
      <w:marTop w:val="0"/>
      <w:marBottom w:val="0"/>
      <w:divBdr>
        <w:top w:val="none" w:sz="0" w:space="0" w:color="auto"/>
        <w:left w:val="none" w:sz="0" w:space="0" w:color="auto"/>
        <w:bottom w:val="none" w:sz="0" w:space="0" w:color="auto"/>
        <w:right w:val="none" w:sz="0" w:space="0" w:color="auto"/>
      </w:divBdr>
    </w:div>
    <w:div w:id="125859453">
      <w:bodyDiv w:val="1"/>
      <w:marLeft w:val="0"/>
      <w:marRight w:val="0"/>
      <w:marTop w:val="0"/>
      <w:marBottom w:val="0"/>
      <w:divBdr>
        <w:top w:val="none" w:sz="0" w:space="0" w:color="auto"/>
        <w:left w:val="none" w:sz="0" w:space="0" w:color="auto"/>
        <w:bottom w:val="none" w:sz="0" w:space="0" w:color="auto"/>
        <w:right w:val="none" w:sz="0" w:space="0" w:color="auto"/>
      </w:divBdr>
    </w:div>
    <w:div w:id="207571756">
      <w:bodyDiv w:val="1"/>
      <w:marLeft w:val="0"/>
      <w:marRight w:val="0"/>
      <w:marTop w:val="0"/>
      <w:marBottom w:val="0"/>
      <w:divBdr>
        <w:top w:val="none" w:sz="0" w:space="0" w:color="auto"/>
        <w:left w:val="none" w:sz="0" w:space="0" w:color="auto"/>
        <w:bottom w:val="none" w:sz="0" w:space="0" w:color="auto"/>
        <w:right w:val="none" w:sz="0" w:space="0" w:color="auto"/>
      </w:divBdr>
    </w:div>
    <w:div w:id="224609201">
      <w:bodyDiv w:val="1"/>
      <w:marLeft w:val="0"/>
      <w:marRight w:val="0"/>
      <w:marTop w:val="0"/>
      <w:marBottom w:val="0"/>
      <w:divBdr>
        <w:top w:val="none" w:sz="0" w:space="0" w:color="auto"/>
        <w:left w:val="none" w:sz="0" w:space="0" w:color="auto"/>
        <w:bottom w:val="none" w:sz="0" w:space="0" w:color="auto"/>
        <w:right w:val="none" w:sz="0" w:space="0" w:color="auto"/>
      </w:divBdr>
    </w:div>
    <w:div w:id="306328485">
      <w:bodyDiv w:val="1"/>
      <w:marLeft w:val="0"/>
      <w:marRight w:val="0"/>
      <w:marTop w:val="0"/>
      <w:marBottom w:val="0"/>
      <w:divBdr>
        <w:top w:val="none" w:sz="0" w:space="0" w:color="auto"/>
        <w:left w:val="none" w:sz="0" w:space="0" w:color="auto"/>
        <w:bottom w:val="none" w:sz="0" w:space="0" w:color="auto"/>
        <w:right w:val="none" w:sz="0" w:space="0" w:color="auto"/>
      </w:divBdr>
    </w:div>
    <w:div w:id="323706011">
      <w:bodyDiv w:val="1"/>
      <w:marLeft w:val="0"/>
      <w:marRight w:val="0"/>
      <w:marTop w:val="0"/>
      <w:marBottom w:val="0"/>
      <w:divBdr>
        <w:top w:val="none" w:sz="0" w:space="0" w:color="auto"/>
        <w:left w:val="none" w:sz="0" w:space="0" w:color="auto"/>
        <w:bottom w:val="none" w:sz="0" w:space="0" w:color="auto"/>
        <w:right w:val="none" w:sz="0" w:space="0" w:color="auto"/>
      </w:divBdr>
    </w:div>
    <w:div w:id="401418134">
      <w:bodyDiv w:val="1"/>
      <w:marLeft w:val="0"/>
      <w:marRight w:val="0"/>
      <w:marTop w:val="0"/>
      <w:marBottom w:val="0"/>
      <w:divBdr>
        <w:top w:val="none" w:sz="0" w:space="0" w:color="auto"/>
        <w:left w:val="none" w:sz="0" w:space="0" w:color="auto"/>
        <w:bottom w:val="none" w:sz="0" w:space="0" w:color="auto"/>
        <w:right w:val="none" w:sz="0" w:space="0" w:color="auto"/>
      </w:divBdr>
    </w:div>
    <w:div w:id="523832557">
      <w:bodyDiv w:val="1"/>
      <w:marLeft w:val="0"/>
      <w:marRight w:val="0"/>
      <w:marTop w:val="0"/>
      <w:marBottom w:val="0"/>
      <w:divBdr>
        <w:top w:val="none" w:sz="0" w:space="0" w:color="auto"/>
        <w:left w:val="none" w:sz="0" w:space="0" w:color="auto"/>
        <w:bottom w:val="none" w:sz="0" w:space="0" w:color="auto"/>
        <w:right w:val="none" w:sz="0" w:space="0" w:color="auto"/>
      </w:divBdr>
    </w:div>
    <w:div w:id="592057055">
      <w:bodyDiv w:val="1"/>
      <w:marLeft w:val="0"/>
      <w:marRight w:val="0"/>
      <w:marTop w:val="0"/>
      <w:marBottom w:val="0"/>
      <w:divBdr>
        <w:top w:val="none" w:sz="0" w:space="0" w:color="auto"/>
        <w:left w:val="none" w:sz="0" w:space="0" w:color="auto"/>
        <w:bottom w:val="none" w:sz="0" w:space="0" w:color="auto"/>
        <w:right w:val="none" w:sz="0" w:space="0" w:color="auto"/>
      </w:divBdr>
    </w:div>
    <w:div w:id="601456532">
      <w:bodyDiv w:val="1"/>
      <w:marLeft w:val="0"/>
      <w:marRight w:val="0"/>
      <w:marTop w:val="0"/>
      <w:marBottom w:val="0"/>
      <w:divBdr>
        <w:top w:val="none" w:sz="0" w:space="0" w:color="auto"/>
        <w:left w:val="none" w:sz="0" w:space="0" w:color="auto"/>
        <w:bottom w:val="none" w:sz="0" w:space="0" w:color="auto"/>
        <w:right w:val="none" w:sz="0" w:space="0" w:color="auto"/>
      </w:divBdr>
    </w:div>
    <w:div w:id="661398672">
      <w:bodyDiv w:val="1"/>
      <w:marLeft w:val="0"/>
      <w:marRight w:val="0"/>
      <w:marTop w:val="0"/>
      <w:marBottom w:val="0"/>
      <w:divBdr>
        <w:top w:val="none" w:sz="0" w:space="0" w:color="auto"/>
        <w:left w:val="none" w:sz="0" w:space="0" w:color="auto"/>
        <w:bottom w:val="none" w:sz="0" w:space="0" w:color="auto"/>
        <w:right w:val="none" w:sz="0" w:space="0" w:color="auto"/>
      </w:divBdr>
    </w:div>
    <w:div w:id="670524294">
      <w:bodyDiv w:val="1"/>
      <w:marLeft w:val="0"/>
      <w:marRight w:val="0"/>
      <w:marTop w:val="0"/>
      <w:marBottom w:val="0"/>
      <w:divBdr>
        <w:top w:val="none" w:sz="0" w:space="0" w:color="auto"/>
        <w:left w:val="none" w:sz="0" w:space="0" w:color="auto"/>
        <w:bottom w:val="none" w:sz="0" w:space="0" w:color="auto"/>
        <w:right w:val="none" w:sz="0" w:space="0" w:color="auto"/>
      </w:divBdr>
    </w:div>
    <w:div w:id="787091837">
      <w:bodyDiv w:val="1"/>
      <w:marLeft w:val="0"/>
      <w:marRight w:val="0"/>
      <w:marTop w:val="0"/>
      <w:marBottom w:val="0"/>
      <w:divBdr>
        <w:top w:val="none" w:sz="0" w:space="0" w:color="auto"/>
        <w:left w:val="none" w:sz="0" w:space="0" w:color="auto"/>
        <w:bottom w:val="none" w:sz="0" w:space="0" w:color="auto"/>
        <w:right w:val="none" w:sz="0" w:space="0" w:color="auto"/>
      </w:divBdr>
    </w:div>
    <w:div w:id="857813232">
      <w:bodyDiv w:val="1"/>
      <w:marLeft w:val="0"/>
      <w:marRight w:val="0"/>
      <w:marTop w:val="0"/>
      <w:marBottom w:val="0"/>
      <w:divBdr>
        <w:top w:val="none" w:sz="0" w:space="0" w:color="auto"/>
        <w:left w:val="none" w:sz="0" w:space="0" w:color="auto"/>
        <w:bottom w:val="none" w:sz="0" w:space="0" w:color="auto"/>
        <w:right w:val="none" w:sz="0" w:space="0" w:color="auto"/>
      </w:divBdr>
    </w:div>
    <w:div w:id="1014846572">
      <w:bodyDiv w:val="1"/>
      <w:marLeft w:val="0"/>
      <w:marRight w:val="0"/>
      <w:marTop w:val="0"/>
      <w:marBottom w:val="0"/>
      <w:divBdr>
        <w:top w:val="none" w:sz="0" w:space="0" w:color="auto"/>
        <w:left w:val="none" w:sz="0" w:space="0" w:color="auto"/>
        <w:bottom w:val="none" w:sz="0" w:space="0" w:color="auto"/>
        <w:right w:val="none" w:sz="0" w:space="0" w:color="auto"/>
      </w:divBdr>
    </w:div>
    <w:div w:id="1069378103">
      <w:bodyDiv w:val="1"/>
      <w:marLeft w:val="0"/>
      <w:marRight w:val="0"/>
      <w:marTop w:val="0"/>
      <w:marBottom w:val="0"/>
      <w:divBdr>
        <w:top w:val="none" w:sz="0" w:space="0" w:color="auto"/>
        <w:left w:val="none" w:sz="0" w:space="0" w:color="auto"/>
        <w:bottom w:val="none" w:sz="0" w:space="0" w:color="auto"/>
        <w:right w:val="none" w:sz="0" w:space="0" w:color="auto"/>
      </w:divBdr>
    </w:div>
    <w:div w:id="1081216048">
      <w:bodyDiv w:val="1"/>
      <w:marLeft w:val="0"/>
      <w:marRight w:val="0"/>
      <w:marTop w:val="0"/>
      <w:marBottom w:val="0"/>
      <w:divBdr>
        <w:top w:val="none" w:sz="0" w:space="0" w:color="auto"/>
        <w:left w:val="none" w:sz="0" w:space="0" w:color="auto"/>
        <w:bottom w:val="none" w:sz="0" w:space="0" w:color="auto"/>
        <w:right w:val="none" w:sz="0" w:space="0" w:color="auto"/>
      </w:divBdr>
    </w:div>
    <w:div w:id="1111585219">
      <w:bodyDiv w:val="1"/>
      <w:marLeft w:val="0"/>
      <w:marRight w:val="0"/>
      <w:marTop w:val="0"/>
      <w:marBottom w:val="0"/>
      <w:divBdr>
        <w:top w:val="none" w:sz="0" w:space="0" w:color="auto"/>
        <w:left w:val="none" w:sz="0" w:space="0" w:color="auto"/>
        <w:bottom w:val="none" w:sz="0" w:space="0" w:color="auto"/>
        <w:right w:val="none" w:sz="0" w:space="0" w:color="auto"/>
      </w:divBdr>
    </w:div>
    <w:div w:id="1186401297">
      <w:bodyDiv w:val="1"/>
      <w:marLeft w:val="0"/>
      <w:marRight w:val="0"/>
      <w:marTop w:val="0"/>
      <w:marBottom w:val="0"/>
      <w:divBdr>
        <w:top w:val="none" w:sz="0" w:space="0" w:color="auto"/>
        <w:left w:val="none" w:sz="0" w:space="0" w:color="auto"/>
        <w:bottom w:val="none" w:sz="0" w:space="0" w:color="auto"/>
        <w:right w:val="none" w:sz="0" w:space="0" w:color="auto"/>
      </w:divBdr>
    </w:div>
    <w:div w:id="1230193271">
      <w:bodyDiv w:val="1"/>
      <w:marLeft w:val="0"/>
      <w:marRight w:val="0"/>
      <w:marTop w:val="0"/>
      <w:marBottom w:val="0"/>
      <w:divBdr>
        <w:top w:val="none" w:sz="0" w:space="0" w:color="auto"/>
        <w:left w:val="none" w:sz="0" w:space="0" w:color="auto"/>
        <w:bottom w:val="none" w:sz="0" w:space="0" w:color="auto"/>
        <w:right w:val="none" w:sz="0" w:space="0" w:color="auto"/>
      </w:divBdr>
    </w:div>
    <w:div w:id="1344239667">
      <w:bodyDiv w:val="1"/>
      <w:marLeft w:val="0"/>
      <w:marRight w:val="0"/>
      <w:marTop w:val="0"/>
      <w:marBottom w:val="0"/>
      <w:divBdr>
        <w:top w:val="none" w:sz="0" w:space="0" w:color="auto"/>
        <w:left w:val="none" w:sz="0" w:space="0" w:color="auto"/>
        <w:bottom w:val="none" w:sz="0" w:space="0" w:color="auto"/>
        <w:right w:val="none" w:sz="0" w:space="0" w:color="auto"/>
      </w:divBdr>
    </w:div>
    <w:div w:id="1344629923">
      <w:bodyDiv w:val="1"/>
      <w:marLeft w:val="0"/>
      <w:marRight w:val="0"/>
      <w:marTop w:val="0"/>
      <w:marBottom w:val="0"/>
      <w:divBdr>
        <w:top w:val="none" w:sz="0" w:space="0" w:color="auto"/>
        <w:left w:val="none" w:sz="0" w:space="0" w:color="auto"/>
        <w:bottom w:val="none" w:sz="0" w:space="0" w:color="auto"/>
        <w:right w:val="none" w:sz="0" w:space="0" w:color="auto"/>
      </w:divBdr>
    </w:div>
    <w:div w:id="1372342466">
      <w:bodyDiv w:val="1"/>
      <w:marLeft w:val="0"/>
      <w:marRight w:val="0"/>
      <w:marTop w:val="0"/>
      <w:marBottom w:val="0"/>
      <w:divBdr>
        <w:top w:val="none" w:sz="0" w:space="0" w:color="auto"/>
        <w:left w:val="none" w:sz="0" w:space="0" w:color="auto"/>
        <w:bottom w:val="none" w:sz="0" w:space="0" w:color="auto"/>
        <w:right w:val="none" w:sz="0" w:space="0" w:color="auto"/>
      </w:divBdr>
    </w:div>
    <w:div w:id="1377924362">
      <w:bodyDiv w:val="1"/>
      <w:marLeft w:val="0"/>
      <w:marRight w:val="0"/>
      <w:marTop w:val="0"/>
      <w:marBottom w:val="0"/>
      <w:divBdr>
        <w:top w:val="none" w:sz="0" w:space="0" w:color="auto"/>
        <w:left w:val="none" w:sz="0" w:space="0" w:color="auto"/>
        <w:bottom w:val="none" w:sz="0" w:space="0" w:color="auto"/>
        <w:right w:val="none" w:sz="0" w:space="0" w:color="auto"/>
      </w:divBdr>
    </w:div>
    <w:div w:id="1399136978">
      <w:bodyDiv w:val="1"/>
      <w:marLeft w:val="0"/>
      <w:marRight w:val="0"/>
      <w:marTop w:val="0"/>
      <w:marBottom w:val="0"/>
      <w:divBdr>
        <w:top w:val="none" w:sz="0" w:space="0" w:color="auto"/>
        <w:left w:val="none" w:sz="0" w:space="0" w:color="auto"/>
        <w:bottom w:val="none" w:sz="0" w:space="0" w:color="auto"/>
        <w:right w:val="none" w:sz="0" w:space="0" w:color="auto"/>
      </w:divBdr>
    </w:div>
    <w:div w:id="1418550355">
      <w:bodyDiv w:val="1"/>
      <w:marLeft w:val="0"/>
      <w:marRight w:val="0"/>
      <w:marTop w:val="0"/>
      <w:marBottom w:val="0"/>
      <w:divBdr>
        <w:top w:val="none" w:sz="0" w:space="0" w:color="auto"/>
        <w:left w:val="none" w:sz="0" w:space="0" w:color="auto"/>
        <w:bottom w:val="none" w:sz="0" w:space="0" w:color="auto"/>
        <w:right w:val="none" w:sz="0" w:space="0" w:color="auto"/>
      </w:divBdr>
    </w:div>
    <w:div w:id="1421176039">
      <w:bodyDiv w:val="1"/>
      <w:marLeft w:val="0"/>
      <w:marRight w:val="0"/>
      <w:marTop w:val="0"/>
      <w:marBottom w:val="0"/>
      <w:divBdr>
        <w:top w:val="none" w:sz="0" w:space="0" w:color="auto"/>
        <w:left w:val="none" w:sz="0" w:space="0" w:color="auto"/>
        <w:bottom w:val="none" w:sz="0" w:space="0" w:color="auto"/>
        <w:right w:val="none" w:sz="0" w:space="0" w:color="auto"/>
      </w:divBdr>
    </w:div>
    <w:div w:id="1440444895">
      <w:bodyDiv w:val="1"/>
      <w:marLeft w:val="0"/>
      <w:marRight w:val="0"/>
      <w:marTop w:val="0"/>
      <w:marBottom w:val="0"/>
      <w:divBdr>
        <w:top w:val="none" w:sz="0" w:space="0" w:color="auto"/>
        <w:left w:val="none" w:sz="0" w:space="0" w:color="auto"/>
        <w:bottom w:val="none" w:sz="0" w:space="0" w:color="auto"/>
        <w:right w:val="none" w:sz="0" w:space="0" w:color="auto"/>
      </w:divBdr>
    </w:div>
    <w:div w:id="1588727079">
      <w:bodyDiv w:val="1"/>
      <w:marLeft w:val="0"/>
      <w:marRight w:val="0"/>
      <w:marTop w:val="0"/>
      <w:marBottom w:val="0"/>
      <w:divBdr>
        <w:top w:val="none" w:sz="0" w:space="0" w:color="auto"/>
        <w:left w:val="none" w:sz="0" w:space="0" w:color="auto"/>
        <w:bottom w:val="none" w:sz="0" w:space="0" w:color="auto"/>
        <w:right w:val="none" w:sz="0" w:space="0" w:color="auto"/>
      </w:divBdr>
    </w:div>
    <w:div w:id="1644844410">
      <w:bodyDiv w:val="1"/>
      <w:marLeft w:val="0"/>
      <w:marRight w:val="0"/>
      <w:marTop w:val="0"/>
      <w:marBottom w:val="0"/>
      <w:divBdr>
        <w:top w:val="none" w:sz="0" w:space="0" w:color="auto"/>
        <w:left w:val="none" w:sz="0" w:space="0" w:color="auto"/>
        <w:bottom w:val="none" w:sz="0" w:space="0" w:color="auto"/>
        <w:right w:val="none" w:sz="0" w:space="0" w:color="auto"/>
      </w:divBdr>
    </w:div>
    <w:div w:id="1707945222">
      <w:bodyDiv w:val="1"/>
      <w:marLeft w:val="0"/>
      <w:marRight w:val="0"/>
      <w:marTop w:val="0"/>
      <w:marBottom w:val="0"/>
      <w:divBdr>
        <w:top w:val="none" w:sz="0" w:space="0" w:color="auto"/>
        <w:left w:val="none" w:sz="0" w:space="0" w:color="auto"/>
        <w:bottom w:val="none" w:sz="0" w:space="0" w:color="auto"/>
        <w:right w:val="none" w:sz="0" w:space="0" w:color="auto"/>
      </w:divBdr>
    </w:div>
    <w:div w:id="1783527905">
      <w:bodyDiv w:val="1"/>
      <w:marLeft w:val="0"/>
      <w:marRight w:val="0"/>
      <w:marTop w:val="0"/>
      <w:marBottom w:val="0"/>
      <w:divBdr>
        <w:top w:val="none" w:sz="0" w:space="0" w:color="auto"/>
        <w:left w:val="none" w:sz="0" w:space="0" w:color="auto"/>
        <w:bottom w:val="none" w:sz="0" w:space="0" w:color="auto"/>
        <w:right w:val="none" w:sz="0" w:space="0" w:color="auto"/>
      </w:divBdr>
    </w:div>
    <w:div w:id="1796172122">
      <w:bodyDiv w:val="1"/>
      <w:marLeft w:val="0"/>
      <w:marRight w:val="0"/>
      <w:marTop w:val="0"/>
      <w:marBottom w:val="0"/>
      <w:divBdr>
        <w:top w:val="none" w:sz="0" w:space="0" w:color="auto"/>
        <w:left w:val="none" w:sz="0" w:space="0" w:color="auto"/>
        <w:bottom w:val="none" w:sz="0" w:space="0" w:color="auto"/>
        <w:right w:val="none" w:sz="0" w:space="0" w:color="auto"/>
      </w:divBdr>
    </w:div>
    <w:div w:id="1857184849">
      <w:bodyDiv w:val="1"/>
      <w:marLeft w:val="0"/>
      <w:marRight w:val="0"/>
      <w:marTop w:val="0"/>
      <w:marBottom w:val="0"/>
      <w:divBdr>
        <w:top w:val="none" w:sz="0" w:space="0" w:color="auto"/>
        <w:left w:val="none" w:sz="0" w:space="0" w:color="auto"/>
        <w:bottom w:val="none" w:sz="0" w:space="0" w:color="auto"/>
        <w:right w:val="none" w:sz="0" w:space="0" w:color="auto"/>
      </w:divBdr>
    </w:div>
    <w:div w:id="1963025836">
      <w:bodyDiv w:val="1"/>
      <w:marLeft w:val="0"/>
      <w:marRight w:val="0"/>
      <w:marTop w:val="0"/>
      <w:marBottom w:val="0"/>
      <w:divBdr>
        <w:top w:val="none" w:sz="0" w:space="0" w:color="auto"/>
        <w:left w:val="none" w:sz="0" w:space="0" w:color="auto"/>
        <w:bottom w:val="none" w:sz="0" w:space="0" w:color="auto"/>
        <w:right w:val="none" w:sz="0" w:space="0" w:color="auto"/>
      </w:divBdr>
    </w:div>
    <w:div w:id="2011787162">
      <w:bodyDiv w:val="1"/>
      <w:marLeft w:val="0"/>
      <w:marRight w:val="0"/>
      <w:marTop w:val="0"/>
      <w:marBottom w:val="0"/>
      <w:divBdr>
        <w:top w:val="none" w:sz="0" w:space="0" w:color="auto"/>
        <w:left w:val="none" w:sz="0" w:space="0" w:color="auto"/>
        <w:bottom w:val="none" w:sz="0" w:space="0" w:color="auto"/>
        <w:right w:val="none" w:sz="0" w:space="0" w:color="auto"/>
      </w:divBdr>
    </w:div>
    <w:div w:id="2088452206">
      <w:bodyDiv w:val="1"/>
      <w:marLeft w:val="0"/>
      <w:marRight w:val="0"/>
      <w:marTop w:val="0"/>
      <w:marBottom w:val="0"/>
      <w:divBdr>
        <w:top w:val="none" w:sz="0" w:space="0" w:color="auto"/>
        <w:left w:val="none" w:sz="0" w:space="0" w:color="auto"/>
        <w:bottom w:val="none" w:sz="0" w:space="0" w:color="auto"/>
        <w:right w:val="none" w:sz="0" w:space="0" w:color="auto"/>
      </w:divBdr>
    </w:div>
    <w:div w:id="2099323839">
      <w:bodyDiv w:val="1"/>
      <w:marLeft w:val="0"/>
      <w:marRight w:val="0"/>
      <w:marTop w:val="0"/>
      <w:marBottom w:val="0"/>
      <w:divBdr>
        <w:top w:val="none" w:sz="0" w:space="0" w:color="auto"/>
        <w:left w:val="none" w:sz="0" w:space="0" w:color="auto"/>
        <w:bottom w:val="none" w:sz="0" w:space="0" w:color="auto"/>
        <w:right w:val="none" w:sz="0" w:space="0" w:color="auto"/>
      </w:divBdr>
    </w:div>
    <w:div w:id="212553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3.xml"/><Relationship Id="rId28" Type="http://schemas.openxmlformats.org/officeDocument/2006/relationships/chart" Target="charts/chart16.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chart" Target="charts/chart12.xml"/><Relationship Id="rId27" Type="http://schemas.openxmlformats.org/officeDocument/2006/relationships/chart" Target="charts/chart15.xml"/><Relationship Id="rId30" Type="http://schemas.openxmlformats.org/officeDocument/2006/relationships/chart" Target="charts/chart18.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D:\OP-2024\&#1058;&#1040;&#1041;&#1051;&#1048;&#1062;&#1048;\&#1043;&#1086;&#1076;&#1080;&#1096;&#1085;&#1080;\&#1044;&#1054;&#1050;&#1051;&#1040;&#1044;\Diagrami\vili,beleva202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OP-2024\&#1058;&#1040;&#1041;&#1051;&#1048;&#1062;&#1048;\&#1043;&#1086;&#1076;&#1080;&#1096;&#1085;&#1080;\&#1044;&#1054;&#1050;&#1051;&#1040;&#1044;\Diagrami\vili,beleva2024.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OP-2024\&#1058;&#1040;&#1041;&#1051;&#1048;&#1062;&#1048;\&#1043;&#1086;&#1076;&#1080;&#1096;&#1085;&#1080;\&#1044;&#1054;&#1050;&#1051;&#1040;&#1044;\Diagrami\&#1087;&#1088;&#1080;&#1089;&#1098;&#1076;&#1080;202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OP-2024\&#1058;&#1040;&#1041;&#1051;&#1048;&#1062;&#1048;\&#1043;&#1086;&#1076;&#1080;&#1096;&#1085;&#1080;\&#1044;&#1054;&#1050;&#1051;&#1040;&#1044;\Diagrami\&#1087;&#1088;&#1080;&#1089;&#1098;&#1076;&#1080;2024.xlsx" TargetMode="Externa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4.xml.rels><?xml version="1.0" encoding="UTF-8" standalone="yes"?>
<Relationships xmlns="http://schemas.openxmlformats.org/package/2006/relationships"><Relationship Id="rId1" Type="http://schemas.openxmlformats.org/officeDocument/2006/relationships/oleObject" Target="file:///D:\OP-2024\&#1058;&#1040;&#1041;&#1051;&#1048;&#1062;&#1048;\&#1043;&#1086;&#1076;&#1080;&#1096;&#1085;&#1080;\&#1044;&#1054;&#1050;&#1051;&#1040;&#1044;\Diagrami\vili,beleva2024.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OP-2024\&#1058;&#1040;&#1041;&#1051;&#1048;&#1062;&#1048;\&#1043;&#1086;&#1076;&#1080;&#1096;&#1085;&#1080;\&#1044;&#1054;&#1050;&#1051;&#1040;&#1044;\Diagrami\vili,beleva2024.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OP-2024\&#1058;&#1040;&#1041;&#1051;&#1048;&#1062;&#1048;\&#1043;&#1086;&#1076;&#1080;&#1096;&#1085;&#1080;\&#1044;&#1054;&#1050;&#1051;&#1040;&#1044;\Diagrami\vili,beleva2024.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OP-2024\&#1058;&#1040;&#1041;&#1051;&#1048;&#1062;&#1048;\&#1043;&#1086;&#1076;&#1080;&#1096;&#1085;&#1080;\&#1044;&#1054;&#1050;&#1051;&#1040;&#1044;\Diagrami\vili,beleva2024.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OP-2024\&#1058;&#1040;&#1041;&#1051;&#1048;&#1062;&#1048;\&#1043;&#1086;&#1076;&#1080;&#1096;&#1085;&#1080;\&#1044;&#1054;&#1050;&#1051;&#1040;&#1044;\Diagrami\vili,beleva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OP-2024\&#1058;&#1040;&#1041;&#1051;&#1048;&#1062;&#1048;\&#1043;&#1086;&#1076;&#1080;&#1096;&#1085;&#1080;\&#1044;&#1054;&#1050;&#1051;&#1040;&#1044;\Diagrami\vili,beleva202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OP-2024\&#1058;&#1040;&#1041;&#1051;&#1048;&#1062;&#1048;\&#1043;&#1086;&#1076;&#1080;&#1096;&#1085;&#1080;\&#1044;&#1054;&#1050;&#1051;&#1040;&#1044;\Diagrami\vili,beleva202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OP-2024\&#1058;&#1040;&#1041;&#1051;&#1048;&#1062;&#1048;\&#1043;&#1086;&#1076;&#1080;&#1096;&#1085;&#1080;\&#1044;&#1054;&#1050;&#1051;&#1040;&#1044;\Diagrami\vili,beleva202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OP-2024\&#1058;&#1040;&#1041;&#1051;&#1048;&#1062;&#1048;\&#1043;&#1086;&#1076;&#1080;&#1096;&#1085;&#1080;\&#1044;&#1054;&#1050;&#1051;&#1040;&#1044;\Diagrami\vili,beleva202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OP-2024\&#1058;&#1040;&#1041;&#1051;&#1048;&#1062;&#1048;\&#1043;&#1086;&#1076;&#1080;&#1096;&#1085;&#1080;\&#1044;&#1054;&#1050;&#1051;&#1040;&#1044;\Diagrami\vili,beleva202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OP-2024\&#1058;&#1040;&#1041;&#1051;&#1048;&#1062;&#1048;\&#1043;&#1086;&#1076;&#1080;&#1096;&#1085;&#1080;\&#1044;&#1054;&#1050;&#1051;&#1040;&#1044;\Diagrami\vili,beleva202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OP-2024\&#1058;&#1040;&#1041;&#1051;&#1048;&#1062;&#1048;\&#1043;&#1086;&#1076;&#1080;&#1096;&#1085;&#1080;\&#1044;&#1054;&#1050;&#1051;&#1040;&#1044;\Diagrami\vili,beleva202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OP-2024\&#1058;&#1040;&#1041;&#1051;&#1048;&#1062;&#1048;\&#1043;&#1086;&#1076;&#1080;&#1096;&#1085;&#1080;\&#1044;&#1054;&#1050;&#1051;&#1040;&#1044;\Diagrami\vili,beleva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400"/>
              <a:t>БЪРЗИ ПРОИЗВОДСТВА</a:t>
            </a:r>
          </a:p>
        </c:rich>
      </c:tx>
      <c:layout>
        <c:manualLayout>
          <c:xMode val="edge"/>
          <c:yMode val="edge"/>
          <c:x val="0.3118286357417937"/>
          <c:y val="0"/>
        </c:manualLayout>
      </c:layout>
      <c:overlay val="1"/>
    </c:title>
    <c:autoTitleDeleted val="0"/>
    <c:view3D>
      <c:rotX val="15"/>
      <c:rotY val="20"/>
      <c:rAngAx val="1"/>
    </c:view3D>
    <c:floor>
      <c:thickness val="0"/>
    </c:floor>
    <c:sideWall>
      <c:thickness val="0"/>
      <c:spPr>
        <a:gradFill>
          <a:gsLst>
            <a:gs pos="0">
              <a:schemeClr val="bg1">
                <a:lumMod val="75000"/>
              </a:schemeClr>
            </a:gs>
            <a:gs pos="39999">
              <a:schemeClr val="bg1">
                <a:lumMod val="85000"/>
              </a:schemeClr>
            </a:gs>
            <a:gs pos="70000">
              <a:schemeClr val="bg1">
                <a:lumMod val="95000"/>
              </a:schemeClr>
            </a:gs>
            <a:gs pos="100000">
              <a:schemeClr val="bg1"/>
            </a:gs>
          </a:gsLst>
          <a:lin ang="5400000" scaled="0"/>
        </a:gradFill>
      </c:spPr>
    </c:sideWall>
    <c:backWall>
      <c:thickness val="0"/>
      <c:spPr>
        <a:gradFill>
          <a:gsLst>
            <a:gs pos="0">
              <a:schemeClr val="bg1">
                <a:lumMod val="75000"/>
              </a:schemeClr>
            </a:gs>
            <a:gs pos="39999">
              <a:schemeClr val="bg1">
                <a:lumMod val="85000"/>
              </a:schemeClr>
            </a:gs>
            <a:gs pos="70000">
              <a:schemeClr val="bg1">
                <a:lumMod val="95000"/>
              </a:schemeClr>
            </a:gs>
            <a:gs pos="100000">
              <a:schemeClr val="bg1"/>
            </a:gs>
          </a:gsLst>
          <a:lin ang="5400000" scaled="0"/>
        </a:gradFill>
      </c:spPr>
    </c:backWall>
    <c:plotArea>
      <c:layout>
        <c:manualLayout>
          <c:layoutTarget val="inner"/>
          <c:xMode val="edge"/>
          <c:yMode val="edge"/>
          <c:x val="2.8006100699022349E-2"/>
          <c:y val="0.13750466920382631"/>
          <c:w val="0.92298322307768854"/>
          <c:h val="0.62414619394064075"/>
        </c:manualLayout>
      </c:layout>
      <c:bar3DChart>
        <c:barDir val="col"/>
        <c:grouping val="clustered"/>
        <c:varyColors val="0"/>
        <c:ser>
          <c:idx val="0"/>
          <c:order val="0"/>
          <c:tx>
            <c:strRef>
              <c:f>Лист2!$A$38</c:f>
              <c:strCache>
                <c:ptCount val="1"/>
                <c:pt idx="0">
                  <c:v>2022</c:v>
                </c:pt>
              </c:strCache>
            </c:strRef>
          </c:tx>
          <c:spPr>
            <a:solidFill>
              <a:srgbClr val="8EDC90"/>
            </a:solidFill>
          </c:spPr>
          <c:invertIfNegative val="0"/>
          <c:dLbls>
            <c:dLbl>
              <c:idx val="1"/>
              <c:layout>
                <c:manualLayout>
                  <c:x val="-6.0479527861901625E-2"/>
                  <c:y val="0.10648589937355156"/>
                </c:manualLayout>
              </c:layout>
              <c:showLegendKey val="0"/>
              <c:showVal val="1"/>
              <c:showCatName val="0"/>
              <c:showSerName val="0"/>
              <c:showPercent val="0"/>
              <c:showBubbleSize val="0"/>
            </c:dLbl>
            <c:dLbl>
              <c:idx val="2"/>
              <c:layout>
                <c:manualLayout>
                  <c:x val="-3.201857357394805E-2"/>
                  <c:y val="2.500084894615025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Лист2!$B$37:$D$37</c:f>
              <c:strCache>
                <c:ptCount val="3"/>
                <c:pt idx="0">
                  <c:v>ОП-Сливен</c:v>
                </c:pt>
                <c:pt idx="1">
                  <c:v>РП-Сливен</c:v>
                </c:pt>
                <c:pt idx="2">
                  <c:v>ОБЩО</c:v>
                </c:pt>
              </c:strCache>
            </c:strRef>
          </c:cat>
          <c:val>
            <c:numRef>
              <c:f>Лист2!$B$38:$D$38</c:f>
              <c:numCache>
                <c:formatCode>General</c:formatCode>
                <c:ptCount val="3"/>
                <c:pt idx="0">
                  <c:v>3</c:v>
                </c:pt>
                <c:pt idx="1">
                  <c:v>341</c:v>
                </c:pt>
                <c:pt idx="2">
                  <c:v>344</c:v>
                </c:pt>
              </c:numCache>
            </c:numRef>
          </c:val>
        </c:ser>
        <c:ser>
          <c:idx val="1"/>
          <c:order val="1"/>
          <c:tx>
            <c:strRef>
              <c:f>Лист2!$A$39</c:f>
              <c:strCache>
                <c:ptCount val="1"/>
                <c:pt idx="0">
                  <c:v>2023</c:v>
                </c:pt>
              </c:strCache>
            </c:strRef>
          </c:tx>
          <c:spPr>
            <a:solidFill>
              <a:srgbClr val="C00000"/>
            </a:solidFill>
          </c:spPr>
          <c:invertIfNegative val="0"/>
          <c:dLbls>
            <c:dLbl>
              <c:idx val="1"/>
              <c:layout>
                <c:manualLayout>
                  <c:x val="8.3333333333333332E-3"/>
                  <c:y val="-4.6296296296296294E-3"/>
                </c:manualLayout>
              </c:layout>
              <c:showLegendKey val="0"/>
              <c:showVal val="1"/>
              <c:showCatName val="0"/>
              <c:showSerName val="0"/>
              <c:showPercent val="0"/>
              <c:showBubbleSize val="0"/>
            </c:dLbl>
            <c:dLbl>
              <c:idx val="2"/>
              <c:layout>
                <c:manualLayout>
                  <c:x val="3.9957387004268862E-3"/>
                  <c:y val="6.2502122365375593E-3"/>
                </c:manualLayout>
              </c:layout>
              <c:showLegendKey val="0"/>
              <c:showVal val="1"/>
              <c:showCatName val="0"/>
              <c:showSerName val="0"/>
              <c:showPercent val="0"/>
              <c:showBubbleSize val="0"/>
            </c:dLbl>
            <c:dLbl>
              <c:idx val="3"/>
              <c:layout>
                <c:manualLayout>
                  <c:x val="1.6666666666666666E-2"/>
                  <c:y val="-9.2592592592592587E-3"/>
                </c:manualLayout>
              </c:layout>
              <c:showLegendKey val="0"/>
              <c:showVal val="1"/>
              <c:showCatName val="0"/>
              <c:showSerName val="0"/>
              <c:showPercent val="0"/>
              <c:showBubbleSize val="0"/>
            </c:dLbl>
            <c:dLbl>
              <c:idx val="4"/>
              <c:layout>
                <c:manualLayout>
                  <c:x val="1.1111111111111112E-2"/>
                  <c:y val="-9.2592592592592587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Лист2!$B$37:$D$37</c:f>
              <c:strCache>
                <c:ptCount val="3"/>
                <c:pt idx="0">
                  <c:v>ОП-Сливен</c:v>
                </c:pt>
                <c:pt idx="1">
                  <c:v>РП-Сливен</c:v>
                </c:pt>
                <c:pt idx="2">
                  <c:v>ОБЩО</c:v>
                </c:pt>
              </c:strCache>
            </c:strRef>
          </c:cat>
          <c:val>
            <c:numRef>
              <c:f>Лист2!$B$39:$D$39</c:f>
              <c:numCache>
                <c:formatCode>General</c:formatCode>
                <c:ptCount val="3"/>
                <c:pt idx="0">
                  <c:v>2</c:v>
                </c:pt>
                <c:pt idx="1">
                  <c:v>251</c:v>
                </c:pt>
                <c:pt idx="2">
                  <c:v>253</c:v>
                </c:pt>
              </c:numCache>
            </c:numRef>
          </c:val>
        </c:ser>
        <c:ser>
          <c:idx val="2"/>
          <c:order val="2"/>
          <c:tx>
            <c:strRef>
              <c:f>Лист2!$A$40</c:f>
              <c:strCache>
                <c:ptCount val="1"/>
                <c:pt idx="0">
                  <c:v>2024</c:v>
                </c:pt>
              </c:strCache>
            </c:strRef>
          </c:tx>
          <c:spPr>
            <a:solidFill>
              <a:schemeClr val="accent6">
                <a:lumMod val="60000"/>
                <a:lumOff val="40000"/>
              </a:schemeClr>
            </a:solidFill>
          </c:spPr>
          <c:invertIfNegative val="0"/>
          <c:dLbls>
            <c:dLbl>
              <c:idx val="1"/>
              <c:layout>
                <c:manualLayout>
                  <c:x val="1.7104865450558542E-2"/>
                  <c:y val="-9.2591726785998148E-3"/>
                </c:manualLayout>
              </c:layout>
              <c:showLegendKey val="0"/>
              <c:showVal val="1"/>
              <c:showCatName val="0"/>
              <c:showSerName val="0"/>
              <c:showPercent val="0"/>
              <c:showBubbleSize val="0"/>
            </c:dLbl>
            <c:dLbl>
              <c:idx val="2"/>
              <c:layout>
                <c:manualLayout>
                  <c:x val="1.9444444444444445E-2"/>
                  <c:y val="0"/>
                </c:manualLayout>
              </c:layout>
              <c:showLegendKey val="0"/>
              <c:showVal val="1"/>
              <c:showCatName val="0"/>
              <c:showSerName val="0"/>
              <c:showPercent val="0"/>
              <c:showBubbleSize val="0"/>
            </c:dLbl>
            <c:dLbl>
              <c:idx val="3"/>
              <c:layout>
                <c:manualLayout>
                  <c:x val="2.7777777777777776E-2"/>
                  <c:y val="0"/>
                </c:manualLayout>
              </c:layout>
              <c:showLegendKey val="0"/>
              <c:showVal val="1"/>
              <c:showCatName val="0"/>
              <c:showSerName val="0"/>
              <c:showPercent val="0"/>
              <c:showBubbleSize val="0"/>
            </c:dLbl>
            <c:dLbl>
              <c:idx val="4"/>
              <c:layout>
                <c:manualLayout>
                  <c:x val="4.1666666666666664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Лист2!$B$37:$D$37</c:f>
              <c:strCache>
                <c:ptCount val="3"/>
                <c:pt idx="0">
                  <c:v>ОП-Сливен</c:v>
                </c:pt>
                <c:pt idx="1">
                  <c:v>РП-Сливен</c:v>
                </c:pt>
                <c:pt idx="2">
                  <c:v>ОБЩО</c:v>
                </c:pt>
              </c:strCache>
            </c:strRef>
          </c:cat>
          <c:val>
            <c:numRef>
              <c:f>Лист2!$B$40:$D$40</c:f>
              <c:numCache>
                <c:formatCode>General</c:formatCode>
                <c:ptCount val="3"/>
                <c:pt idx="0">
                  <c:v>1</c:v>
                </c:pt>
                <c:pt idx="1">
                  <c:v>264</c:v>
                </c:pt>
                <c:pt idx="2">
                  <c:v>265</c:v>
                </c:pt>
              </c:numCache>
            </c:numRef>
          </c:val>
        </c:ser>
        <c:dLbls>
          <c:showLegendKey val="0"/>
          <c:showVal val="1"/>
          <c:showCatName val="0"/>
          <c:showSerName val="0"/>
          <c:showPercent val="0"/>
          <c:showBubbleSize val="0"/>
        </c:dLbls>
        <c:gapWidth val="150"/>
        <c:shape val="cylinder"/>
        <c:axId val="222221824"/>
        <c:axId val="214610432"/>
        <c:axId val="0"/>
      </c:bar3DChart>
      <c:catAx>
        <c:axId val="222221824"/>
        <c:scaling>
          <c:orientation val="minMax"/>
        </c:scaling>
        <c:delete val="0"/>
        <c:axPos val="b"/>
        <c:majorTickMark val="out"/>
        <c:minorTickMark val="none"/>
        <c:tickLblPos val="nextTo"/>
        <c:crossAx val="214610432"/>
        <c:crosses val="autoZero"/>
        <c:auto val="1"/>
        <c:lblAlgn val="ctr"/>
        <c:lblOffset val="100"/>
        <c:noMultiLvlLbl val="0"/>
      </c:catAx>
      <c:valAx>
        <c:axId val="214610432"/>
        <c:scaling>
          <c:orientation val="minMax"/>
        </c:scaling>
        <c:delete val="1"/>
        <c:axPos val="l"/>
        <c:numFmt formatCode="General" sourceLinked="1"/>
        <c:majorTickMark val="out"/>
        <c:minorTickMark val="none"/>
        <c:tickLblPos val="nextTo"/>
        <c:crossAx val="222221824"/>
        <c:crosses val="autoZero"/>
        <c:crossBetween val="between"/>
      </c:valAx>
    </c:plotArea>
    <c:legend>
      <c:legendPos val="b"/>
      <c:layout>
        <c:manualLayout>
          <c:xMode val="edge"/>
          <c:yMode val="edge"/>
          <c:x val="0.30299072628695062"/>
          <c:y val="0.86822731677404408"/>
          <c:w val="0.39401827177550131"/>
          <c:h val="0.11302204651634332"/>
        </c:manualLayout>
      </c:layout>
      <c:overlay val="0"/>
    </c:legend>
    <c:plotVisOnly val="1"/>
    <c:dispBlanksAs val="gap"/>
    <c:showDLblsOverMax val="0"/>
  </c:chart>
  <c:spPr>
    <a:no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9670886857624603E-2"/>
          <c:y val="0"/>
          <c:w val="0.63214800157334228"/>
          <c:h val="0.61714473452746821"/>
        </c:manualLayout>
      </c:layout>
      <c:bar3DChart>
        <c:barDir val="col"/>
        <c:grouping val="standard"/>
        <c:varyColors val="0"/>
        <c:ser>
          <c:idx val="0"/>
          <c:order val="0"/>
          <c:tx>
            <c:strRef>
              <c:f>Лист1!$B$14</c:f>
              <c:strCache>
                <c:ptCount val="1"/>
                <c:pt idx="0">
                  <c:v>Върнати дела</c:v>
                </c:pt>
              </c:strCache>
            </c:strRef>
          </c:tx>
          <c:spPr>
            <a:solidFill>
              <a:srgbClr val="C00000"/>
            </a:solidFill>
            <a:ln>
              <a:solidFill>
                <a:srgbClr val="C00000"/>
              </a:solidFill>
            </a:ln>
          </c:spPr>
          <c:invertIfNegative val="0"/>
          <c:cat>
            <c:strRef>
              <c:f>Лист1!$A$15:$A$17</c:f>
              <c:strCache>
                <c:ptCount val="3"/>
                <c:pt idx="0">
                  <c:v>ОП-Сливен</c:v>
                </c:pt>
                <c:pt idx="1">
                  <c:v>РП-Сливен</c:v>
                </c:pt>
                <c:pt idx="2">
                  <c:v>Общо за региона</c:v>
                </c:pt>
              </c:strCache>
            </c:strRef>
          </c:cat>
          <c:val>
            <c:numRef>
              <c:f>Лист1!$B$15:$B$17</c:f>
              <c:numCache>
                <c:formatCode>General</c:formatCode>
                <c:ptCount val="3"/>
                <c:pt idx="0">
                  <c:v>5</c:v>
                </c:pt>
                <c:pt idx="1">
                  <c:v>13</c:v>
                </c:pt>
                <c:pt idx="2">
                  <c:v>12</c:v>
                </c:pt>
              </c:numCache>
            </c:numRef>
          </c:val>
        </c:ser>
        <c:ser>
          <c:idx val="1"/>
          <c:order val="1"/>
          <c:tx>
            <c:strRef>
              <c:f>Лист1!$C$14</c:f>
              <c:strCache>
                <c:ptCount val="1"/>
                <c:pt idx="0">
                  <c:v>Внесени в съда дела</c:v>
                </c:pt>
              </c:strCache>
            </c:strRef>
          </c:tx>
          <c:spPr>
            <a:solidFill>
              <a:schemeClr val="accent6">
                <a:lumMod val="40000"/>
                <a:lumOff val="60000"/>
              </a:schemeClr>
            </a:solidFill>
            <a:ln>
              <a:solidFill>
                <a:schemeClr val="accent6">
                  <a:lumMod val="40000"/>
                  <a:lumOff val="60000"/>
                </a:schemeClr>
              </a:solidFill>
            </a:ln>
          </c:spPr>
          <c:invertIfNegative val="0"/>
          <c:dLbls>
            <c:dLbl>
              <c:idx val="1"/>
              <c:layout>
                <c:manualLayout>
                  <c:x val="1.1366011062619061E-2"/>
                  <c:y val="-3.276005811169993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Лист1!$A$15:$A$17</c:f>
              <c:strCache>
                <c:ptCount val="3"/>
                <c:pt idx="0">
                  <c:v>ОП-Сливен</c:v>
                </c:pt>
                <c:pt idx="1">
                  <c:v>РП-Сливен</c:v>
                </c:pt>
                <c:pt idx="2">
                  <c:v>Общо за региона</c:v>
                </c:pt>
              </c:strCache>
            </c:strRef>
          </c:cat>
          <c:val>
            <c:numRef>
              <c:f>Лист1!$C$15:$C$17</c:f>
              <c:numCache>
                <c:formatCode>General</c:formatCode>
                <c:ptCount val="3"/>
                <c:pt idx="0">
                  <c:v>81</c:v>
                </c:pt>
                <c:pt idx="1">
                  <c:v>866</c:v>
                </c:pt>
                <c:pt idx="2">
                  <c:v>947</c:v>
                </c:pt>
              </c:numCache>
            </c:numRef>
          </c:val>
        </c:ser>
        <c:dLbls>
          <c:showLegendKey val="0"/>
          <c:showVal val="1"/>
          <c:showCatName val="0"/>
          <c:showSerName val="0"/>
          <c:showPercent val="0"/>
          <c:showBubbleSize val="0"/>
        </c:dLbls>
        <c:gapWidth val="150"/>
        <c:shape val="cylinder"/>
        <c:axId val="247279104"/>
        <c:axId val="247380736"/>
        <c:axId val="221771648"/>
      </c:bar3DChart>
      <c:catAx>
        <c:axId val="247279104"/>
        <c:scaling>
          <c:orientation val="minMax"/>
        </c:scaling>
        <c:delete val="0"/>
        <c:axPos val="b"/>
        <c:majorTickMark val="out"/>
        <c:minorTickMark val="none"/>
        <c:tickLblPos val="nextTo"/>
        <c:crossAx val="247380736"/>
        <c:crosses val="autoZero"/>
        <c:auto val="1"/>
        <c:lblAlgn val="ctr"/>
        <c:lblOffset val="100"/>
        <c:noMultiLvlLbl val="0"/>
      </c:catAx>
      <c:valAx>
        <c:axId val="247380736"/>
        <c:scaling>
          <c:orientation val="minMax"/>
        </c:scaling>
        <c:delete val="1"/>
        <c:axPos val="l"/>
        <c:numFmt formatCode="General" sourceLinked="1"/>
        <c:majorTickMark val="out"/>
        <c:minorTickMark val="none"/>
        <c:tickLblPos val="nextTo"/>
        <c:crossAx val="247279104"/>
        <c:crosses val="autoZero"/>
        <c:crossBetween val="between"/>
      </c:valAx>
      <c:serAx>
        <c:axId val="221771648"/>
        <c:scaling>
          <c:orientation val="minMax"/>
        </c:scaling>
        <c:delete val="1"/>
        <c:axPos val="b"/>
        <c:majorTickMark val="out"/>
        <c:minorTickMark val="none"/>
        <c:tickLblPos val="nextTo"/>
        <c:crossAx val="247380736"/>
        <c:crosses val="autoZero"/>
      </c:serAx>
    </c:plotArea>
    <c:legend>
      <c:legendPos val="r"/>
      <c:overlay val="0"/>
    </c:legend>
    <c:plotVisOnly val="1"/>
    <c:dispBlanksAs val="gap"/>
    <c:showDLblsOverMax val="0"/>
  </c:chart>
  <c:spPr>
    <a:noFill/>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6.5266950340375732E-2"/>
          <c:y val="0.14033417864887901"/>
          <c:w val="0.88971139236088004"/>
          <c:h val="0.71882799279488874"/>
        </c:manualLayout>
      </c:layout>
      <c:bar3DChart>
        <c:barDir val="col"/>
        <c:grouping val="clustered"/>
        <c:varyColors val="0"/>
        <c:ser>
          <c:idx val="1"/>
          <c:order val="0"/>
          <c:tx>
            <c:v>2022 година</c:v>
          </c:tx>
          <c:spPr>
            <a:solidFill>
              <a:srgbClr val="00B050"/>
            </a:solidFill>
          </c:spPr>
          <c:invertIfNegative val="0"/>
          <c:dLbls>
            <c:dLbl>
              <c:idx val="0"/>
              <c:layout>
                <c:manualLayout>
                  <c:x val="2.4242158159909447E-2"/>
                  <c:y val="-0.13363750025110752"/>
                </c:manualLayout>
              </c:layout>
              <c:showLegendKey val="0"/>
              <c:showVal val="1"/>
              <c:showCatName val="0"/>
              <c:showSerName val="0"/>
              <c:showPercent val="0"/>
              <c:showBubbleSize val="0"/>
            </c:dLbl>
            <c:showLegendKey val="0"/>
            <c:showVal val="1"/>
            <c:showCatName val="0"/>
            <c:showSerName val="0"/>
            <c:showPercent val="0"/>
            <c:showBubbleSize val="0"/>
            <c:showLeaderLines val="0"/>
          </c:dLbls>
          <c:val>
            <c:numLit>
              <c:formatCode>General</c:formatCode>
              <c:ptCount val="1"/>
              <c:pt idx="0">
                <c:v>0</c:v>
              </c:pt>
            </c:numLit>
          </c:val>
        </c:ser>
        <c:ser>
          <c:idx val="2"/>
          <c:order val="1"/>
          <c:tx>
            <c:v>2023 година</c:v>
          </c:tx>
          <c:spPr>
            <a:solidFill>
              <a:srgbClr val="FF3300"/>
            </a:solidFill>
          </c:spPr>
          <c:invertIfNegative val="0"/>
          <c:dLbls>
            <c:dLbl>
              <c:idx val="0"/>
              <c:layout>
                <c:manualLayout>
                  <c:x val="6.9264088151914149E-2"/>
                  <c:y val="-4.859528070949109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Lit>
              <c:formatCode>General</c:formatCode>
              <c:ptCount val="1"/>
              <c:pt idx="0">
                <c:v>4</c:v>
              </c:pt>
            </c:numLit>
          </c:cat>
          <c:val>
            <c:numLit>
              <c:formatCode>General</c:formatCode>
              <c:ptCount val="1"/>
              <c:pt idx="0">
                <c:v>7</c:v>
              </c:pt>
            </c:numLit>
          </c:val>
        </c:ser>
        <c:ser>
          <c:idx val="0"/>
          <c:order val="2"/>
          <c:tx>
            <c:v>2024 година</c:v>
          </c:tx>
          <c:spPr>
            <a:solidFill>
              <a:srgbClr val="FFC000"/>
            </a:solidFill>
            <a:ln>
              <a:solidFill>
                <a:srgbClr val="FFC000"/>
              </a:solidFill>
            </a:ln>
          </c:spPr>
          <c:invertIfNegative val="0"/>
          <c:dLbls>
            <c:dLbl>
              <c:idx val="0"/>
              <c:layout>
                <c:manualLayout>
                  <c:x val="7.2727292559509854E-2"/>
                  <c:y val="-6.074410088686387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val>
            <c:numLit>
              <c:formatCode>General</c:formatCode>
              <c:ptCount val="1"/>
              <c:pt idx="0">
                <c:v>4</c:v>
              </c:pt>
            </c:numLit>
          </c:val>
        </c:ser>
        <c:dLbls>
          <c:showLegendKey val="0"/>
          <c:showVal val="1"/>
          <c:showCatName val="0"/>
          <c:showSerName val="0"/>
          <c:showPercent val="0"/>
          <c:showBubbleSize val="0"/>
        </c:dLbls>
        <c:gapWidth val="75"/>
        <c:shape val="cylinder"/>
        <c:axId val="248098816"/>
        <c:axId val="247972416"/>
        <c:axId val="0"/>
      </c:bar3DChart>
      <c:catAx>
        <c:axId val="248098816"/>
        <c:scaling>
          <c:orientation val="minMax"/>
        </c:scaling>
        <c:delete val="1"/>
        <c:axPos val="b"/>
        <c:numFmt formatCode="General" sourceLinked="1"/>
        <c:majorTickMark val="none"/>
        <c:minorTickMark val="none"/>
        <c:tickLblPos val="nextTo"/>
        <c:crossAx val="247972416"/>
        <c:crosses val="autoZero"/>
        <c:auto val="1"/>
        <c:lblAlgn val="ctr"/>
        <c:lblOffset val="100"/>
        <c:noMultiLvlLbl val="0"/>
      </c:catAx>
      <c:valAx>
        <c:axId val="247972416"/>
        <c:scaling>
          <c:orientation val="minMax"/>
        </c:scaling>
        <c:delete val="0"/>
        <c:axPos val="l"/>
        <c:numFmt formatCode="General" sourceLinked="1"/>
        <c:majorTickMark val="none"/>
        <c:minorTickMark val="none"/>
        <c:tickLblPos val="nextTo"/>
        <c:crossAx val="248098816"/>
        <c:crosses val="autoZero"/>
        <c:crossBetween val="between"/>
      </c:valAx>
    </c:plotArea>
    <c:legend>
      <c:legendPos val="b"/>
      <c:overlay val="0"/>
      <c:spPr>
        <a:noFill/>
      </c:spPr>
    </c:legend>
    <c:plotVisOnly val="1"/>
    <c:dispBlanksAs val="gap"/>
    <c:showDLblsOverMax val="0"/>
  </c:chart>
  <c:spPr>
    <a:noFill/>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7.9073682786430122E-2"/>
          <c:y val="0.16418641449723093"/>
          <c:w val="0.94771240851542915"/>
          <c:h val="0.45876379956322255"/>
        </c:manualLayout>
      </c:layout>
      <c:bar3DChart>
        <c:barDir val="col"/>
        <c:grouping val="standard"/>
        <c:varyColors val="0"/>
        <c:ser>
          <c:idx val="1"/>
          <c:order val="0"/>
          <c:tx>
            <c:v>2022 година</c:v>
          </c:tx>
          <c:spPr>
            <a:solidFill>
              <a:srgbClr val="00B050"/>
            </a:solidFill>
          </c:spPr>
          <c:invertIfNegative val="0"/>
          <c:dLbls>
            <c:dLbl>
              <c:idx val="0"/>
              <c:layout>
                <c:manualLayout>
                  <c:x val="-7.1584193909368776E-3"/>
                  <c:y val="-3.827751196172248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val>
            <c:numLit>
              <c:formatCode>General</c:formatCode>
              <c:ptCount val="1"/>
              <c:pt idx="0">
                <c:v>98.92</c:v>
              </c:pt>
            </c:numLit>
          </c:val>
        </c:ser>
        <c:ser>
          <c:idx val="2"/>
          <c:order val="1"/>
          <c:tx>
            <c:v>2023 година</c:v>
          </c:tx>
          <c:invertIfNegative val="0"/>
          <c:dPt>
            <c:idx val="0"/>
            <c:invertIfNegative val="0"/>
            <c:bubble3D val="0"/>
            <c:spPr>
              <a:solidFill>
                <a:srgbClr val="FF0000"/>
              </a:solidFill>
            </c:spPr>
          </c:dPt>
          <c:dLbls>
            <c:dLbl>
              <c:idx val="0"/>
              <c:layout>
                <c:manualLayout>
                  <c:x val="-1.6702978578852713E-2"/>
                  <c:y val="-1.913875598086124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val>
            <c:numLit>
              <c:formatCode>General</c:formatCode>
              <c:ptCount val="1"/>
              <c:pt idx="0">
                <c:v>98.27</c:v>
              </c:pt>
            </c:numLit>
          </c:val>
        </c:ser>
        <c:ser>
          <c:idx val="0"/>
          <c:order val="2"/>
          <c:tx>
            <c:v>2024 година</c:v>
          </c:tx>
          <c:spPr>
            <a:solidFill>
              <a:srgbClr val="FFCC00"/>
            </a:solidFill>
            <a:ln>
              <a:solidFill>
                <a:srgbClr val="FFCC00"/>
              </a:solidFill>
            </a:ln>
          </c:spPr>
          <c:invertIfNegative val="0"/>
          <c:dLbls>
            <c:dLbl>
              <c:idx val="0"/>
              <c:layout/>
              <c:tx>
                <c:rich>
                  <a:bodyPr/>
                  <a:lstStyle/>
                  <a:p>
                    <a:r>
                      <a:rPr lang="en-US"/>
                      <a:t>98,</a:t>
                    </a:r>
                    <a:r>
                      <a:rPr lang="bg-BG"/>
                      <a:t>13</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val>
            <c:numLit>
              <c:formatCode>General</c:formatCode>
              <c:ptCount val="1"/>
              <c:pt idx="0">
                <c:v>98.63</c:v>
              </c:pt>
            </c:numLit>
          </c:val>
        </c:ser>
        <c:dLbls>
          <c:showLegendKey val="0"/>
          <c:showVal val="1"/>
          <c:showCatName val="0"/>
          <c:showSerName val="0"/>
          <c:showPercent val="0"/>
          <c:showBubbleSize val="0"/>
        </c:dLbls>
        <c:gapWidth val="150"/>
        <c:shape val="cylinder"/>
        <c:axId val="248100352"/>
        <c:axId val="247974144"/>
        <c:axId val="221772288"/>
      </c:bar3DChart>
      <c:catAx>
        <c:axId val="248100352"/>
        <c:scaling>
          <c:orientation val="minMax"/>
        </c:scaling>
        <c:delete val="1"/>
        <c:axPos val="b"/>
        <c:majorTickMark val="none"/>
        <c:minorTickMark val="none"/>
        <c:tickLblPos val="nextTo"/>
        <c:crossAx val="247974144"/>
        <c:crosses val="autoZero"/>
        <c:auto val="1"/>
        <c:lblAlgn val="ctr"/>
        <c:lblOffset val="100"/>
        <c:noMultiLvlLbl val="0"/>
      </c:catAx>
      <c:valAx>
        <c:axId val="247974144"/>
        <c:scaling>
          <c:orientation val="minMax"/>
          <c:max val="1"/>
          <c:min val="0"/>
        </c:scaling>
        <c:delete val="0"/>
        <c:axPos val="l"/>
        <c:majorGridlines/>
        <c:numFmt formatCode="0%" sourceLinked="0"/>
        <c:majorTickMark val="out"/>
        <c:minorTickMark val="none"/>
        <c:tickLblPos val="nextTo"/>
        <c:crossAx val="248100352"/>
        <c:crosses val="autoZero"/>
        <c:crossBetween val="between"/>
      </c:valAx>
      <c:serAx>
        <c:axId val="221772288"/>
        <c:scaling>
          <c:orientation val="minMax"/>
        </c:scaling>
        <c:delete val="0"/>
        <c:axPos val="b"/>
        <c:majorTickMark val="out"/>
        <c:minorTickMark val="none"/>
        <c:tickLblPos val="nextTo"/>
        <c:crossAx val="247974144"/>
        <c:crosses val="autoZero"/>
      </c:serAx>
    </c:plotArea>
    <c:plotVisOnly val="1"/>
    <c:dispBlanksAs val="gap"/>
    <c:showDLblsOverMax val="0"/>
  </c:chart>
  <c:spPr>
    <a:noFill/>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8.1816856226305051E-2"/>
          <c:y val="0.18686492313460817"/>
          <c:w val="0.94771240851542915"/>
          <c:h val="0.45876379956322255"/>
        </c:manualLayout>
      </c:layout>
      <c:bar3DChart>
        <c:barDir val="col"/>
        <c:grouping val="standard"/>
        <c:varyColors val="0"/>
        <c:ser>
          <c:idx val="1"/>
          <c:order val="0"/>
          <c:tx>
            <c:v>2022 година</c:v>
          </c:tx>
          <c:spPr>
            <a:solidFill>
              <a:srgbClr val="00B050"/>
            </a:solidFill>
          </c:spPr>
          <c:invertIfNegative val="0"/>
          <c:cat>
            <c:numLit>
              <c:formatCode>General</c:formatCode>
              <c:ptCount val="1"/>
              <c:pt idx="0">
                <c:v>92.99</c:v>
              </c:pt>
            </c:numLit>
          </c:cat>
          <c:val>
            <c:numLit>
              <c:formatCode>General</c:formatCode>
              <c:ptCount val="1"/>
              <c:pt idx="0">
                <c:v>92.99</c:v>
              </c:pt>
            </c:numLit>
          </c:val>
        </c:ser>
        <c:ser>
          <c:idx val="2"/>
          <c:order val="1"/>
          <c:tx>
            <c:v>2023 година</c:v>
          </c:tx>
          <c:spPr>
            <a:solidFill>
              <a:srgbClr val="FF3300"/>
            </a:solidFill>
          </c:spPr>
          <c:invertIfNegative val="0"/>
          <c:cat>
            <c:numLit>
              <c:formatCode>General</c:formatCode>
              <c:ptCount val="1"/>
              <c:pt idx="0">
                <c:v>92.99</c:v>
              </c:pt>
            </c:numLit>
          </c:cat>
          <c:val>
            <c:numLit>
              <c:formatCode>General</c:formatCode>
              <c:ptCount val="1"/>
              <c:pt idx="0">
                <c:v>92.49</c:v>
              </c:pt>
            </c:numLit>
          </c:val>
        </c:ser>
        <c:ser>
          <c:idx val="0"/>
          <c:order val="2"/>
          <c:tx>
            <c:v>2024 година</c:v>
          </c:tx>
          <c:invertIfNegative val="0"/>
          <c:dPt>
            <c:idx val="0"/>
            <c:invertIfNegative val="0"/>
            <c:bubble3D val="0"/>
            <c:spPr>
              <a:solidFill>
                <a:srgbClr val="FFCC00"/>
              </a:solidFill>
            </c:spPr>
          </c:dPt>
          <c:dLbls>
            <c:dLbl>
              <c:idx val="0"/>
              <c:layout>
                <c:manualLayout>
                  <c:x val="0"/>
                  <c:y val="-1.7827530573513061E-2"/>
                </c:manualLayout>
              </c:layout>
              <c:tx>
                <c:rich>
                  <a:bodyPr/>
                  <a:lstStyle/>
                  <a:p>
                    <a:r>
                      <a:rPr lang="en-US"/>
                      <a:t>9</a:t>
                    </a:r>
                    <a:r>
                      <a:rPr lang="bg-BG"/>
                      <a:t>4,2</a:t>
                    </a:r>
                    <a:r>
                      <a:rPr lang="en-US"/>
                      <a:t>9</a:t>
                    </a:r>
                  </a:p>
                </c:rich>
              </c:tx>
              <c:showLegendKey val="0"/>
              <c:showVal val="1"/>
              <c:showCatName val="0"/>
              <c:showSerName val="0"/>
              <c:showPercent val="0"/>
              <c:showBubbleSize val="0"/>
            </c:dLbl>
            <c:showLegendKey val="0"/>
            <c:showVal val="1"/>
            <c:showCatName val="0"/>
            <c:showSerName val="0"/>
            <c:showPercent val="0"/>
            <c:showBubbleSize val="0"/>
            <c:showLeaderLines val="0"/>
          </c:dLbls>
          <c:val>
            <c:numLit>
              <c:formatCode>General</c:formatCode>
              <c:ptCount val="1"/>
              <c:pt idx="0">
                <c:v>92.99</c:v>
              </c:pt>
            </c:numLit>
          </c:val>
        </c:ser>
        <c:dLbls>
          <c:showLegendKey val="0"/>
          <c:showVal val="1"/>
          <c:showCatName val="0"/>
          <c:showSerName val="0"/>
          <c:showPercent val="0"/>
          <c:showBubbleSize val="0"/>
        </c:dLbls>
        <c:gapWidth val="293"/>
        <c:gapDepth val="364"/>
        <c:shape val="cylinder"/>
        <c:axId val="248100864"/>
        <c:axId val="247975872"/>
        <c:axId val="221769728"/>
      </c:bar3DChart>
      <c:catAx>
        <c:axId val="248100864"/>
        <c:scaling>
          <c:orientation val="minMax"/>
        </c:scaling>
        <c:delete val="1"/>
        <c:axPos val="b"/>
        <c:numFmt formatCode="General" sourceLinked="1"/>
        <c:majorTickMark val="none"/>
        <c:minorTickMark val="none"/>
        <c:tickLblPos val="nextTo"/>
        <c:crossAx val="247975872"/>
        <c:crosses val="autoZero"/>
        <c:auto val="1"/>
        <c:lblAlgn val="ctr"/>
        <c:lblOffset val="100"/>
        <c:noMultiLvlLbl val="0"/>
      </c:catAx>
      <c:valAx>
        <c:axId val="247975872"/>
        <c:scaling>
          <c:orientation val="minMax"/>
          <c:max val="1"/>
          <c:min val="0"/>
        </c:scaling>
        <c:delete val="0"/>
        <c:axPos val="l"/>
        <c:majorGridlines/>
        <c:numFmt formatCode="0%" sourceLinked="0"/>
        <c:majorTickMark val="out"/>
        <c:minorTickMark val="none"/>
        <c:tickLblPos val="nextTo"/>
        <c:spPr>
          <a:ln w="9525">
            <a:noFill/>
          </a:ln>
        </c:spPr>
        <c:crossAx val="248100864"/>
        <c:crosses val="autoZero"/>
        <c:crossBetween val="between"/>
      </c:valAx>
      <c:serAx>
        <c:axId val="221769728"/>
        <c:scaling>
          <c:orientation val="minMax"/>
        </c:scaling>
        <c:delete val="0"/>
        <c:axPos val="b"/>
        <c:majorTickMark val="out"/>
        <c:minorTickMark val="none"/>
        <c:tickLblPos val="nextTo"/>
        <c:crossAx val="247975872"/>
        <c:crosses val="autoZero"/>
      </c:serAx>
      <c:spPr>
        <a:noFill/>
        <a:ln>
          <a:noFill/>
        </a:ln>
      </c:spPr>
    </c:plotArea>
    <c:plotVisOnly val="1"/>
    <c:dispBlanksAs val="gap"/>
    <c:showDLblsOverMax val="0"/>
  </c:chart>
  <c:spPr>
    <a:noFill/>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5.4930055074431883E-2"/>
          <c:y val="0.14435727355504271"/>
          <c:w val="0.52696391770998363"/>
          <c:h val="0.80573642130982426"/>
        </c:manualLayout>
      </c:layout>
      <c:pie3DChart>
        <c:varyColors val="1"/>
        <c:ser>
          <c:idx val="0"/>
          <c:order val="0"/>
          <c:explosion val="25"/>
          <c:dPt>
            <c:idx val="7"/>
            <c:bubble3D val="0"/>
            <c:spPr>
              <a:solidFill>
                <a:schemeClr val="accent3">
                  <a:lumMod val="40000"/>
                  <a:lumOff val="60000"/>
                  <a:alpha val="70000"/>
                </a:schemeClr>
              </a:solidFill>
            </c:spPr>
          </c:dPt>
          <c:dLbls>
            <c:dLbl>
              <c:idx val="0"/>
              <c:layout>
                <c:manualLayout>
                  <c:x val="-8.8363530958025099E-2"/>
                  <c:y val="-3.5145180558767961E-3"/>
                </c:manualLayout>
              </c:layout>
              <c:dLblPos val="bestFit"/>
              <c:showLegendKey val="0"/>
              <c:showVal val="0"/>
              <c:showCatName val="0"/>
              <c:showSerName val="0"/>
              <c:showPercent val="1"/>
              <c:showBubbleSize val="0"/>
            </c:dLbl>
            <c:dLbl>
              <c:idx val="1"/>
              <c:layout>
                <c:manualLayout>
                  <c:x val="-4.4478063540090769E-2"/>
                  <c:y val="-3.3511748981553333E-2"/>
                </c:manualLayout>
              </c:layout>
              <c:dLblPos val="bestFit"/>
              <c:showLegendKey val="0"/>
              <c:showVal val="0"/>
              <c:showCatName val="0"/>
              <c:showSerName val="0"/>
              <c:showPercent val="1"/>
              <c:showBubbleSize val="0"/>
            </c:dLbl>
            <c:dLbl>
              <c:idx val="2"/>
              <c:layout>
                <c:manualLayout>
                  <c:x val="-4.1797483332737681E-2"/>
                  <c:y val="-9.7774601316512638E-2"/>
                </c:manualLayout>
              </c:layout>
              <c:dLblPos val="bestFit"/>
              <c:showLegendKey val="0"/>
              <c:showVal val="0"/>
              <c:showCatName val="0"/>
              <c:showSerName val="0"/>
              <c:showPercent val="1"/>
              <c:showBubbleSize val="0"/>
            </c:dLbl>
            <c:dLbl>
              <c:idx val="3"/>
              <c:layout>
                <c:manualLayout>
                  <c:x val="1.2502173990732248E-2"/>
                  <c:y val="-9.110576797933681E-2"/>
                </c:manualLayout>
              </c:layout>
              <c:dLblPos val="bestFit"/>
              <c:showLegendKey val="0"/>
              <c:showVal val="0"/>
              <c:showCatName val="0"/>
              <c:showSerName val="0"/>
              <c:showPercent val="1"/>
              <c:showBubbleSize val="0"/>
            </c:dLbl>
            <c:dLbl>
              <c:idx val="4"/>
              <c:layout>
                <c:manualLayout>
                  <c:x val="4.9705806441365782E-2"/>
                  <c:y val="-6.555269062548108E-2"/>
                </c:manualLayout>
              </c:layout>
              <c:dLblPos val="bestFit"/>
              <c:showLegendKey val="0"/>
              <c:showVal val="0"/>
              <c:showCatName val="0"/>
              <c:showSerName val="0"/>
              <c:showPercent val="1"/>
              <c:showBubbleSize val="0"/>
            </c:dLbl>
            <c:dLbl>
              <c:idx val="5"/>
              <c:layout>
                <c:manualLayout>
                  <c:x val="4.5406744731795061E-2"/>
                  <c:y val="-3.4818196759959959E-2"/>
                </c:manualLayout>
              </c:layout>
              <c:dLblPos val="bestFit"/>
              <c:showLegendKey val="0"/>
              <c:showVal val="0"/>
              <c:showCatName val="0"/>
              <c:showSerName val="0"/>
              <c:showPercent val="1"/>
              <c:showBubbleSize val="0"/>
            </c:dLbl>
            <c:dLbl>
              <c:idx val="6"/>
              <c:layout>
                <c:manualLayout>
                  <c:x val="5.757283365297872E-3"/>
                  <c:y val="-1.0907723387076183E-5"/>
                </c:manualLayout>
              </c:layout>
              <c:dLblPos val="bestFit"/>
              <c:showLegendKey val="0"/>
              <c:showVal val="0"/>
              <c:showCatName val="0"/>
              <c:showSerName val="0"/>
              <c:showPercent val="1"/>
              <c:showBubbleSize val="0"/>
            </c:dLbl>
            <c:dLbl>
              <c:idx val="7"/>
              <c:layout>
                <c:manualLayout>
                  <c:x val="2.0171457387796268E-2"/>
                  <c:y val="2.2038559297978922E-2"/>
                </c:manualLayout>
              </c:layout>
              <c:dLblPos val="bestFit"/>
              <c:showLegendKey val="0"/>
              <c:showVal val="0"/>
              <c:showCatName val="0"/>
              <c:showSerName val="0"/>
              <c:showPercent val="1"/>
              <c:showBubbleSize val="0"/>
            </c:dLbl>
            <c:numFmt formatCode="0.0%" sourceLinked="0"/>
            <c:dLblPos val="outEnd"/>
            <c:showLegendKey val="0"/>
            <c:showVal val="0"/>
            <c:showCatName val="0"/>
            <c:showSerName val="0"/>
            <c:showPercent val="1"/>
            <c:showBubbleSize val="0"/>
            <c:showLeaderLines val="1"/>
          </c:dLbls>
          <c:cat>
            <c:strRef>
              <c:f>Лист3!$A$34:$A$42</c:f>
              <c:strCache>
                <c:ptCount val="9"/>
                <c:pt idx="0">
                  <c:v>Организирана престъпност</c:v>
                </c:pt>
                <c:pt idx="1">
                  <c:v>Корупционни престъпленияя</c:v>
                </c:pt>
                <c:pt idx="2">
                  <c:v>Престъпления свързани с пране на пари</c:v>
                </c:pt>
                <c:pt idx="3">
                  <c:v>Престъпленияя свързани с Еврофондове</c:v>
                </c:pt>
                <c:pt idx="4">
                  <c:v>Данъчни престъпления</c:v>
                </c:pt>
                <c:pt idx="5">
                  <c:v>Престъпления  пр/в пар. и кред. с-ма</c:v>
                </c:pt>
                <c:pt idx="6">
                  <c:v>Престъпления свъразни с наркотици</c:v>
                </c:pt>
                <c:pt idx="7">
                  <c:v>Престъпления  свързани с трафик на хора</c:v>
                </c:pt>
                <c:pt idx="8">
                  <c:v>Други</c:v>
                </c:pt>
              </c:strCache>
            </c:strRef>
          </c:cat>
          <c:val>
            <c:numRef>
              <c:f>Лист3!$B$34:$B$42</c:f>
              <c:numCache>
                <c:formatCode>General</c:formatCode>
                <c:ptCount val="9"/>
                <c:pt idx="0">
                  <c:v>5</c:v>
                </c:pt>
                <c:pt idx="1">
                  <c:v>49</c:v>
                </c:pt>
                <c:pt idx="2">
                  <c:v>9</c:v>
                </c:pt>
                <c:pt idx="3">
                  <c:v>12</c:v>
                </c:pt>
                <c:pt idx="4">
                  <c:v>31</c:v>
                </c:pt>
                <c:pt idx="5">
                  <c:v>75</c:v>
                </c:pt>
                <c:pt idx="6">
                  <c:v>273</c:v>
                </c:pt>
                <c:pt idx="7">
                  <c:v>4</c:v>
                </c:pt>
                <c:pt idx="8">
                  <c:v>3491</c:v>
                </c:pt>
              </c:numCache>
            </c:numRef>
          </c:val>
        </c:ser>
        <c:dLbls>
          <c:dLblPos val="outEnd"/>
          <c:showLegendKey val="0"/>
          <c:showVal val="1"/>
          <c:showCatName val="0"/>
          <c:showSerName val="0"/>
          <c:showPercent val="0"/>
          <c:showBubbleSize val="0"/>
          <c:showLeaderLines val="1"/>
        </c:dLbls>
      </c:pie3DChart>
    </c:plotArea>
    <c:legend>
      <c:legendPos val="r"/>
      <c:layout/>
      <c:overlay val="0"/>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200"/>
              <a:t>Съотношение магистрати и</a:t>
            </a:r>
            <a:r>
              <a:rPr lang="bg-BG" sz="1200" baseline="0"/>
              <a:t> служители</a:t>
            </a:r>
            <a:endParaRPr lang="bg-BG" sz="1200"/>
          </a:p>
        </c:rich>
      </c:tx>
      <c:layout>
        <c:manualLayout>
          <c:xMode val="edge"/>
          <c:yMode val="edge"/>
          <c:x val="0.14900350426421999"/>
          <c:y val="8.6689151665379782E-4"/>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832142294054269"/>
          <c:y val="6.62925009899933E-2"/>
          <c:w val="0.60344079914672832"/>
          <c:h val="0.57489169831856513"/>
        </c:manualLayout>
      </c:layout>
      <c:bar3DChart>
        <c:barDir val="col"/>
        <c:grouping val="standard"/>
        <c:varyColors val="0"/>
        <c:ser>
          <c:idx val="0"/>
          <c:order val="0"/>
          <c:tx>
            <c:strRef>
              <c:f>Лист1!$C$1</c:f>
              <c:strCache>
                <c:ptCount val="1"/>
                <c:pt idx="0">
                  <c:v>Магистрати</c:v>
                </c:pt>
              </c:strCache>
            </c:strRef>
          </c:tx>
          <c:spPr>
            <a:solidFill>
              <a:srgbClr val="C00000"/>
            </a:solidFill>
            <a:ln>
              <a:solidFill>
                <a:srgbClr val="C00000"/>
              </a:solidFill>
            </a:ln>
          </c:spPr>
          <c:invertIfNegative val="0"/>
          <c:dLbls>
            <c:dLbl>
              <c:idx val="0"/>
              <c:layout>
                <c:manualLayout>
                  <c:x val="3.3190956548359561E-17"/>
                  <c:y val="-6.5774198663170413E-2"/>
                </c:manualLayout>
              </c:layout>
              <c:showLegendKey val="0"/>
              <c:showVal val="1"/>
              <c:showCatName val="0"/>
              <c:showSerName val="0"/>
              <c:showPercent val="0"/>
              <c:showBubbleSize val="0"/>
            </c:dLbl>
            <c:dLbl>
              <c:idx val="1"/>
              <c:layout>
                <c:manualLayout>
                  <c:x val="-2.3129398327726682E-2"/>
                  <c:y val="-5.734112898278089E-2"/>
                </c:manualLayout>
              </c:layout>
              <c:showLegendKey val="0"/>
              <c:showVal val="1"/>
              <c:showCatName val="0"/>
              <c:showSerName val="0"/>
              <c:showPercent val="0"/>
              <c:showBubbleSize val="0"/>
            </c:dLbl>
            <c:dLbl>
              <c:idx val="4"/>
              <c:layout>
                <c:manualLayout>
                  <c:x val="-1.6559081107850424E-3"/>
                  <c:y val="-2.5445073696072532E-2"/>
                </c:manualLayout>
              </c:layout>
              <c:showLegendKey val="0"/>
              <c:showVal val="1"/>
              <c:showCatName val="0"/>
              <c:showSerName val="0"/>
              <c:showPercent val="0"/>
              <c:showBubbleSize val="0"/>
            </c:dLbl>
            <c:dLbl>
              <c:idx val="5"/>
              <c:layout>
                <c:manualLayout>
                  <c:x val="-1.7525597722099957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Лист1!$B$3:$B$5</c:f>
              <c:strCache>
                <c:ptCount val="3"/>
                <c:pt idx="0">
                  <c:v>ОП-Сливен</c:v>
                </c:pt>
                <c:pt idx="1">
                  <c:v>РП-Сливен</c:v>
                </c:pt>
                <c:pt idx="2">
                  <c:v>Общо за региона</c:v>
                </c:pt>
              </c:strCache>
            </c:strRef>
          </c:cat>
          <c:val>
            <c:numRef>
              <c:f>Лист1!$C$3:$C$5</c:f>
              <c:numCache>
                <c:formatCode>General</c:formatCode>
                <c:ptCount val="3"/>
                <c:pt idx="0">
                  <c:v>18</c:v>
                </c:pt>
                <c:pt idx="1">
                  <c:v>21</c:v>
                </c:pt>
                <c:pt idx="2">
                  <c:v>39</c:v>
                </c:pt>
              </c:numCache>
            </c:numRef>
          </c:val>
        </c:ser>
        <c:ser>
          <c:idx val="1"/>
          <c:order val="1"/>
          <c:tx>
            <c:strRef>
              <c:f>Лист1!$D$1</c:f>
              <c:strCache>
                <c:ptCount val="1"/>
                <c:pt idx="0">
                  <c:v>Служители</c:v>
                </c:pt>
              </c:strCache>
            </c:strRef>
          </c:tx>
          <c:spPr>
            <a:solidFill>
              <a:schemeClr val="accent6">
                <a:lumMod val="40000"/>
                <a:lumOff val="60000"/>
              </a:schemeClr>
            </a:solidFill>
            <a:ln>
              <a:solidFill>
                <a:schemeClr val="accent6">
                  <a:lumMod val="40000"/>
                  <a:lumOff val="60000"/>
                </a:schemeClr>
              </a:solidFill>
            </a:ln>
          </c:spPr>
          <c:invertIfNegative val="0"/>
          <c:dLbls>
            <c:dLbl>
              <c:idx val="0"/>
              <c:layout>
                <c:manualLayout>
                  <c:x val="2.1725240709679759E-2"/>
                  <c:y val="-0.11130950815858062"/>
                </c:manualLayout>
              </c:layout>
              <c:showLegendKey val="0"/>
              <c:showVal val="1"/>
              <c:showCatName val="0"/>
              <c:showSerName val="0"/>
              <c:showPercent val="0"/>
              <c:showBubbleSize val="0"/>
            </c:dLbl>
            <c:dLbl>
              <c:idx val="1"/>
              <c:layout>
                <c:manualLayout>
                  <c:x val="1.7276413202673972E-2"/>
                  <c:y val="-0.10624998506046332"/>
                </c:manualLayout>
              </c:layout>
              <c:showLegendKey val="0"/>
              <c:showVal val="1"/>
              <c:showCatName val="0"/>
              <c:showSerName val="0"/>
              <c:showPercent val="0"/>
              <c:showBubbleSize val="0"/>
            </c:dLbl>
            <c:dLbl>
              <c:idx val="2"/>
              <c:layout>
                <c:manualLayout>
                  <c:x val="1.3821139759746148E-2"/>
                  <c:y val="-2.542245311058727E-2"/>
                </c:manualLayout>
              </c:layout>
              <c:showLegendKey val="0"/>
              <c:showVal val="1"/>
              <c:showCatName val="0"/>
              <c:showSerName val="0"/>
              <c:showPercent val="0"/>
              <c:showBubbleSize val="0"/>
            </c:dLbl>
            <c:dLbl>
              <c:idx val="3"/>
              <c:layout>
                <c:manualLayout>
                  <c:x val="3.4552849399365369E-3"/>
                  <c:y val="-1.069686720765862E-2"/>
                </c:manualLayout>
              </c:layout>
              <c:showLegendKey val="0"/>
              <c:showVal val="1"/>
              <c:showCatName val="0"/>
              <c:showSerName val="0"/>
              <c:showPercent val="0"/>
              <c:showBubbleSize val="0"/>
            </c:dLbl>
            <c:dLbl>
              <c:idx val="4"/>
              <c:layout>
                <c:manualLayout>
                  <c:x val="-2.1306131735358536E-3"/>
                  <c:y val="-1.311930952350462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Лист1!$B$3:$B$5</c:f>
              <c:strCache>
                <c:ptCount val="3"/>
                <c:pt idx="0">
                  <c:v>ОП-Сливен</c:v>
                </c:pt>
                <c:pt idx="1">
                  <c:v>РП-Сливен</c:v>
                </c:pt>
                <c:pt idx="2">
                  <c:v>Общо за региона</c:v>
                </c:pt>
              </c:strCache>
            </c:strRef>
          </c:cat>
          <c:val>
            <c:numRef>
              <c:f>Лист1!$D$3:$D$5</c:f>
              <c:numCache>
                <c:formatCode>General</c:formatCode>
                <c:ptCount val="3"/>
                <c:pt idx="0">
                  <c:v>27</c:v>
                </c:pt>
                <c:pt idx="1">
                  <c:v>29</c:v>
                </c:pt>
                <c:pt idx="2">
                  <c:v>56</c:v>
                </c:pt>
              </c:numCache>
            </c:numRef>
          </c:val>
        </c:ser>
        <c:dLbls>
          <c:showLegendKey val="0"/>
          <c:showVal val="1"/>
          <c:showCatName val="0"/>
          <c:showSerName val="0"/>
          <c:showPercent val="0"/>
          <c:showBubbleSize val="0"/>
        </c:dLbls>
        <c:gapWidth val="150"/>
        <c:shape val="cylinder"/>
        <c:axId val="248534016"/>
        <c:axId val="247978752"/>
        <c:axId val="248525440"/>
      </c:bar3DChart>
      <c:catAx>
        <c:axId val="248534016"/>
        <c:scaling>
          <c:orientation val="minMax"/>
        </c:scaling>
        <c:delete val="0"/>
        <c:axPos val="b"/>
        <c:majorTickMark val="out"/>
        <c:minorTickMark val="none"/>
        <c:tickLblPos val="nextTo"/>
        <c:crossAx val="247978752"/>
        <c:crosses val="autoZero"/>
        <c:auto val="1"/>
        <c:lblAlgn val="ctr"/>
        <c:lblOffset val="100"/>
        <c:noMultiLvlLbl val="0"/>
      </c:catAx>
      <c:valAx>
        <c:axId val="247978752"/>
        <c:scaling>
          <c:orientation val="minMax"/>
        </c:scaling>
        <c:delete val="0"/>
        <c:axPos val="l"/>
        <c:numFmt formatCode="General" sourceLinked="1"/>
        <c:majorTickMark val="out"/>
        <c:minorTickMark val="none"/>
        <c:tickLblPos val="nextTo"/>
        <c:crossAx val="248534016"/>
        <c:crosses val="autoZero"/>
        <c:crossBetween val="between"/>
      </c:valAx>
      <c:serAx>
        <c:axId val="248525440"/>
        <c:scaling>
          <c:orientation val="minMax"/>
        </c:scaling>
        <c:delete val="1"/>
        <c:axPos val="b"/>
        <c:majorTickMark val="out"/>
        <c:minorTickMark val="none"/>
        <c:tickLblPos val="nextTo"/>
        <c:crossAx val="247978752"/>
        <c:crosses val="autoZero"/>
      </c:serAx>
    </c:plotArea>
    <c:legend>
      <c:legendPos val="r"/>
      <c:layout>
        <c:manualLayout>
          <c:xMode val="edge"/>
          <c:yMode val="edge"/>
          <c:x val="0.71900396899049768"/>
          <c:y val="0.55481574969782299"/>
          <c:w val="0.24116642304175609"/>
          <c:h val="0.30524939464997264"/>
        </c:manualLayout>
      </c:layout>
      <c:overlay val="0"/>
    </c:legend>
    <c:plotVisOnly val="1"/>
    <c:dispBlanksAs val="gap"/>
    <c:showDLblsOverMax val="0"/>
  </c:chart>
  <c:spPr>
    <a:gradFill flip="none" rotWithShape="1">
      <a:gsLst>
        <a:gs pos="95000">
          <a:srgbClr val="FFFFFF"/>
        </a:gs>
        <a:gs pos="0">
          <a:schemeClr val="bg1">
            <a:lumMod val="85000"/>
          </a:schemeClr>
        </a:gs>
      </a:gsLst>
      <a:lin ang="5400000" scaled="0"/>
      <a:tileRect/>
    </a:gradFill>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200"/>
              <a:t>Съотношение магистрати и</a:t>
            </a:r>
            <a:r>
              <a:rPr lang="bg-BG" sz="1200" baseline="0"/>
              <a:t> служители</a:t>
            </a:r>
            <a:endParaRPr lang="bg-BG" sz="1200"/>
          </a:p>
        </c:rich>
      </c:tx>
      <c:layout>
        <c:manualLayout>
          <c:xMode val="edge"/>
          <c:yMode val="edge"/>
          <c:x val="0.14900350426421999"/>
          <c:y val="8.6689151665379782E-4"/>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832142294054269"/>
          <c:y val="6.62925009899933E-2"/>
          <c:w val="0.60344079914672832"/>
          <c:h val="0.57489169831856513"/>
        </c:manualLayout>
      </c:layout>
      <c:bar3DChart>
        <c:barDir val="col"/>
        <c:grouping val="standard"/>
        <c:varyColors val="0"/>
        <c:ser>
          <c:idx val="0"/>
          <c:order val="0"/>
          <c:tx>
            <c:strRef>
              <c:f>Лист1!$C$1</c:f>
              <c:strCache>
                <c:ptCount val="1"/>
                <c:pt idx="0">
                  <c:v>Магистрати</c:v>
                </c:pt>
              </c:strCache>
            </c:strRef>
          </c:tx>
          <c:spPr>
            <a:solidFill>
              <a:srgbClr val="C00000"/>
            </a:solidFill>
            <a:ln>
              <a:solidFill>
                <a:srgbClr val="C00000"/>
              </a:solidFill>
            </a:ln>
          </c:spPr>
          <c:invertIfNegative val="0"/>
          <c:dLbls>
            <c:dLbl>
              <c:idx val="0"/>
              <c:layout>
                <c:manualLayout>
                  <c:x val="3.3190956548359561E-17"/>
                  <c:y val="-6.5774198663170413E-2"/>
                </c:manualLayout>
              </c:layout>
              <c:showLegendKey val="0"/>
              <c:showVal val="1"/>
              <c:showCatName val="0"/>
              <c:showSerName val="0"/>
              <c:showPercent val="0"/>
              <c:showBubbleSize val="0"/>
            </c:dLbl>
            <c:dLbl>
              <c:idx val="1"/>
              <c:layout>
                <c:manualLayout>
                  <c:x val="-2.3129398327726682E-2"/>
                  <c:y val="-5.734112898278089E-2"/>
                </c:manualLayout>
              </c:layout>
              <c:showLegendKey val="0"/>
              <c:showVal val="1"/>
              <c:showCatName val="0"/>
              <c:showSerName val="0"/>
              <c:showPercent val="0"/>
              <c:showBubbleSize val="0"/>
            </c:dLbl>
            <c:dLbl>
              <c:idx val="4"/>
              <c:layout>
                <c:manualLayout>
                  <c:x val="-1.6559081107850424E-3"/>
                  <c:y val="-2.5445073696072532E-2"/>
                </c:manualLayout>
              </c:layout>
              <c:showLegendKey val="0"/>
              <c:showVal val="1"/>
              <c:showCatName val="0"/>
              <c:showSerName val="0"/>
              <c:showPercent val="0"/>
              <c:showBubbleSize val="0"/>
            </c:dLbl>
            <c:dLbl>
              <c:idx val="5"/>
              <c:layout>
                <c:manualLayout>
                  <c:x val="-1.7525597722099957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Лист1!$B$3:$B$5</c:f>
              <c:strCache>
                <c:ptCount val="3"/>
                <c:pt idx="0">
                  <c:v>ОП-Сливен</c:v>
                </c:pt>
                <c:pt idx="1">
                  <c:v>РП-Сливен</c:v>
                </c:pt>
                <c:pt idx="2">
                  <c:v>Общо за региона</c:v>
                </c:pt>
              </c:strCache>
            </c:strRef>
          </c:cat>
          <c:val>
            <c:numRef>
              <c:f>Лист1!$C$3:$C$5</c:f>
              <c:numCache>
                <c:formatCode>General</c:formatCode>
                <c:ptCount val="3"/>
                <c:pt idx="0">
                  <c:v>18</c:v>
                </c:pt>
                <c:pt idx="1">
                  <c:v>21</c:v>
                </c:pt>
                <c:pt idx="2">
                  <c:v>39</c:v>
                </c:pt>
              </c:numCache>
            </c:numRef>
          </c:val>
        </c:ser>
        <c:ser>
          <c:idx val="1"/>
          <c:order val="1"/>
          <c:tx>
            <c:strRef>
              <c:f>Лист1!$D$1</c:f>
              <c:strCache>
                <c:ptCount val="1"/>
                <c:pt idx="0">
                  <c:v>Служители</c:v>
                </c:pt>
              </c:strCache>
            </c:strRef>
          </c:tx>
          <c:spPr>
            <a:solidFill>
              <a:schemeClr val="accent6">
                <a:lumMod val="40000"/>
                <a:lumOff val="60000"/>
              </a:schemeClr>
            </a:solidFill>
            <a:ln>
              <a:solidFill>
                <a:schemeClr val="accent6">
                  <a:lumMod val="40000"/>
                  <a:lumOff val="60000"/>
                </a:schemeClr>
              </a:solidFill>
            </a:ln>
          </c:spPr>
          <c:invertIfNegative val="0"/>
          <c:dLbls>
            <c:dLbl>
              <c:idx val="0"/>
              <c:layout>
                <c:manualLayout>
                  <c:x val="2.1725240709679759E-2"/>
                  <c:y val="-0.11130950815858062"/>
                </c:manualLayout>
              </c:layout>
              <c:showLegendKey val="0"/>
              <c:showVal val="1"/>
              <c:showCatName val="0"/>
              <c:showSerName val="0"/>
              <c:showPercent val="0"/>
              <c:showBubbleSize val="0"/>
            </c:dLbl>
            <c:dLbl>
              <c:idx val="1"/>
              <c:layout>
                <c:manualLayout>
                  <c:x val="1.7276413202673972E-2"/>
                  <c:y val="-0.10624998506046332"/>
                </c:manualLayout>
              </c:layout>
              <c:showLegendKey val="0"/>
              <c:showVal val="1"/>
              <c:showCatName val="0"/>
              <c:showSerName val="0"/>
              <c:showPercent val="0"/>
              <c:showBubbleSize val="0"/>
            </c:dLbl>
            <c:dLbl>
              <c:idx val="2"/>
              <c:layout>
                <c:manualLayout>
                  <c:x val="1.3821139759746148E-2"/>
                  <c:y val="-2.542245311058727E-2"/>
                </c:manualLayout>
              </c:layout>
              <c:showLegendKey val="0"/>
              <c:showVal val="1"/>
              <c:showCatName val="0"/>
              <c:showSerName val="0"/>
              <c:showPercent val="0"/>
              <c:showBubbleSize val="0"/>
            </c:dLbl>
            <c:dLbl>
              <c:idx val="3"/>
              <c:layout>
                <c:manualLayout>
                  <c:x val="3.4552849399365369E-3"/>
                  <c:y val="-1.069686720765862E-2"/>
                </c:manualLayout>
              </c:layout>
              <c:showLegendKey val="0"/>
              <c:showVal val="1"/>
              <c:showCatName val="0"/>
              <c:showSerName val="0"/>
              <c:showPercent val="0"/>
              <c:showBubbleSize val="0"/>
            </c:dLbl>
            <c:dLbl>
              <c:idx val="4"/>
              <c:layout>
                <c:manualLayout>
                  <c:x val="-2.1306131735358536E-3"/>
                  <c:y val="-1.311930952350462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Лист1!$B$3:$B$5</c:f>
              <c:strCache>
                <c:ptCount val="3"/>
                <c:pt idx="0">
                  <c:v>ОП-Сливен</c:v>
                </c:pt>
                <c:pt idx="1">
                  <c:v>РП-Сливен</c:v>
                </c:pt>
                <c:pt idx="2">
                  <c:v>Общо за региона</c:v>
                </c:pt>
              </c:strCache>
            </c:strRef>
          </c:cat>
          <c:val>
            <c:numRef>
              <c:f>Лист1!$D$3:$D$5</c:f>
              <c:numCache>
                <c:formatCode>General</c:formatCode>
                <c:ptCount val="3"/>
                <c:pt idx="0">
                  <c:v>27</c:v>
                </c:pt>
                <c:pt idx="1">
                  <c:v>29</c:v>
                </c:pt>
                <c:pt idx="2">
                  <c:v>56</c:v>
                </c:pt>
              </c:numCache>
            </c:numRef>
          </c:val>
        </c:ser>
        <c:dLbls>
          <c:showLegendKey val="0"/>
          <c:showVal val="1"/>
          <c:showCatName val="0"/>
          <c:showSerName val="0"/>
          <c:showPercent val="0"/>
          <c:showBubbleSize val="0"/>
        </c:dLbls>
        <c:gapWidth val="150"/>
        <c:shape val="cylinder"/>
        <c:axId val="248102400"/>
        <c:axId val="248480320"/>
        <c:axId val="248526080"/>
      </c:bar3DChart>
      <c:catAx>
        <c:axId val="248102400"/>
        <c:scaling>
          <c:orientation val="minMax"/>
        </c:scaling>
        <c:delete val="0"/>
        <c:axPos val="b"/>
        <c:majorTickMark val="out"/>
        <c:minorTickMark val="none"/>
        <c:tickLblPos val="nextTo"/>
        <c:crossAx val="248480320"/>
        <c:crosses val="autoZero"/>
        <c:auto val="1"/>
        <c:lblAlgn val="ctr"/>
        <c:lblOffset val="100"/>
        <c:noMultiLvlLbl val="0"/>
      </c:catAx>
      <c:valAx>
        <c:axId val="248480320"/>
        <c:scaling>
          <c:orientation val="minMax"/>
        </c:scaling>
        <c:delete val="0"/>
        <c:axPos val="l"/>
        <c:numFmt formatCode="General" sourceLinked="1"/>
        <c:majorTickMark val="out"/>
        <c:minorTickMark val="none"/>
        <c:tickLblPos val="nextTo"/>
        <c:crossAx val="248102400"/>
        <c:crosses val="autoZero"/>
        <c:crossBetween val="between"/>
      </c:valAx>
      <c:serAx>
        <c:axId val="248526080"/>
        <c:scaling>
          <c:orientation val="minMax"/>
        </c:scaling>
        <c:delete val="1"/>
        <c:axPos val="b"/>
        <c:majorTickMark val="out"/>
        <c:minorTickMark val="none"/>
        <c:tickLblPos val="nextTo"/>
        <c:crossAx val="248480320"/>
        <c:crosses val="autoZero"/>
      </c:serAx>
    </c:plotArea>
    <c:legend>
      <c:legendPos val="r"/>
      <c:layout>
        <c:manualLayout>
          <c:xMode val="edge"/>
          <c:yMode val="edge"/>
          <c:x val="0.71900396899049768"/>
          <c:y val="0.55481574969782299"/>
          <c:w val="0.24116642304175609"/>
          <c:h val="0.30524939464997264"/>
        </c:manualLayout>
      </c:layout>
      <c:overlay val="0"/>
    </c:legend>
    <c:plotVisOnly val="1"/>
    <c:dispBlanksAs val="gap"/>
    <c:showDLblsOverMax val="0"/>
  </c:chart>
  <c:spPr>
    <a:gradFill flip="none" rotWithShape="1">
      <a:gsLst>
        <a:gs pos="95000">
          <a:srgbClr val="FFFFFF"/>
        </a:gs>
        <a:gs pos="0">
          <a:schemeClr val="bg1">
            <a:lumMod val="85000"/>
          </a:schemeClr>
        </a:gs>
      </a:gsLst>
      <a:lin ang="5400000" scaled="0"/>
      <a:tileRect/>
    </a:gradFill>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200"/>
              <a:t>Съотношение магистрати и</a:t>
            </a:r>
            <a:r>
              <a:rPr lang="bg-BG" sz="1200" baseline="0"/>
              <a:t> служители</a:t>
            </a:r>
            <a:endParaRPr lang="bg-BG" sz="1200"/>
          </a:p>
        </c:rich>
      </c:tx>
      <c:layout>
        <c:manualLayout>
          <c:xMode val="edge"/>
          <c:yMode val="edge"/>
          <c:x val="0.14900350426421999"/>
          <c:y val="8.6689151665379782E-4"/>
        </c:manualLayout>
      </c:layout>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832142294054269"/>
          <c:y val="6.62925009899933E-2"/>
          <c:w val="0.60344079914672832"/>
          <c:h val="0.57489169831856513"/>
        </c:manualLayout>
      </c:layout>
      <c:bar3DChart>
        <c:barDir val="col"/>
        <c:grouping val="standard"/>
        <c:varyColors val="0"/>
        <c:ser>
          <c:idx val="0"/>
          <c:order val="0"/>
          <c:tx>
            <c:strRef>
              <c:f>Лист1!$C$1</c:f>
              <c:strCache>
                <c:ptCount val="1"/>
                <c:pt idx="0">
                  <c:v>Магистрати</c:v>
                </c:pt>
              </c:strCache>
            </c:strRef>
          </c:tx>
          <c:spPr>
            <a:solidFill>
              <a:srgbClr val="C00000"/>
            </a:solidFill>
            <a:ln>
              <a:solidFill>
                <a:srgbClr val="C00000"/>
              </a:solidFill>
            </a:ln>
          </c:spPr>
          <c:invertIfNegative val="0"/>
          <c:dLbls>
            <c:dLbl>
              <c:idx val="0"/>
              <c:layout>
                <c:manualLayout>
                  <c:x val="3.3190956548359561E-17"/>
                  <c:y val="-6.5774198663170413E-2"/>
                </c:manualLayout>
              </c:layout>
              <c:showLegendKey val="0"/>
              <c:showVal val="1"/>
              <c:showCatName val="0"/>
              <c:showSerName val="0"/>
              <c:showPercent val="0"/>
              <c:showBubbleSize val="0"/>
            </c:dLbl>
            <c:dLbl>
              <c:idx val="1"/>
              <c:layout>
                <c:manualLayout>
                  <c:x val="-2.3129398327726682E-2"/>
                  <c:y val="-5.734112898278089E-2"/>
                </c:manualLayout>
              </c:layout>
              <c:showLegendKey val="0"/>
              <c:showVal val="1"/>
              <c:showCatName val="0"/>
              <c:showSerName val="0"/>
              <c:showPercent val="0"/>
              <c:showBubbleSize val="0"/>
            </c:dLbl>
            <c:dLbl>
              <c:idx val="4"/>
              <c:layout>
                <c:manualLayout>
                  <c:x val="-1.6559081107850424E-3"/>
                  <c:y val="-2.5445073696072532E-2"/>
                </c:manualLayout>
              </c:layout>
              <c:showLegendKey val="0"/>
              <c:showVal val="1"/>
              <c:showCatName val="0"/>
              <c:showSerName val="0"/>
              <c:showPercent val="0"/>
              <c:showBubbleSize val="0"/>
            </c:dLbl>
            <c:dLbl>
              <c:idx val="5"/>
              <c:layout>
                <c:manualLayout>
                  <c:x val="-1.7525597722099957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Лист1!$B$3:$B$5</c:f>
              <c:strCache>
                <c:ptCount val="3"/>
                <c:pt idx="0">
                  <c:v>ОП-Сливен</c:v>
                </c:pt>
                <c:pt idx="1">
                  <c:v>РП-Сливен</c:v>
                </c:pt>
                <c:pt idx="2">
                  <c:v>Общо за региона</c:v>
                </c:pt>
              </c:strCache>
            </c:strRef>
          </c:cat>
          <c:val>
            <c:numRef>
              <c:f>Лист1!$C$3:$C$5</c:f>
              <c:numCache>
                <c:formatCode>General</c:formatCode>
                <c:ptCount val="3"/>
                <c:pt idx="0">
                  <c:v>18</c:v>
                </c:pt>
                <c:pt idx="1">
                  <c:v>21</c:v>
                </c:pt>
                <c:pt idx="2">
                  <c:v>39</c:v>
                </c:pt>
              </c:numCache>
            </c:numRef>
          </c:val>
        </c:ser>
        <c:ser>
          <c:idx val="1"/>
          <c:order val="1"/>
          <c:tx>
            <c:strRef>
              <c:f>Лист1!$D$1</c:f>
              <c:strCache>
                <c:ptCount val="1"/>
                <c:pt idx="0">
                  <c:v>Служители</c:v>
                </c:pt>
              </c:strCache>
            </c:strRef>
          </c:tx>
          <c:spPr>
            <a:solidFill>
              <a:schemeClr val="accent6">
                <a:lumMod val="40000"/>
                <a:lumOff val="60000"/>
              </a:schemeClr>
            </a:solidFill>
            <a:ln>
              <a:solidFill>
                <a:schemeClr val="accent6">
                  <a:lumMod val="40000"/>
                  <a:lumOff val="60000"/>
                </a:schemeClr>
              </a:solidFill>
            </a:ln>
          </c:spPr>
          <c:invertIfNegative val="0"/>
          <c:dLbls>
            <c:dLbl>
              <c:idx val="0"/>
              <c:layout>
                <c:manualLayout>
                  <c:x val="2.1725240709679759E-2"/>
                  <c:y val="-0.11130950815858062"/>
                </c:manualLayout>
              </c:layout>
              <c:showLegendKey val="0"/>
              <c:showVal val="1"/>
              <c:showCatName val="0"/>
              <c:showSerName val="0"/>
              <c:showPercent val="0"/>
              <c:showBubbleSize val="0"/>
            </c:dLbl>
            <c:dLbl>
              <c:idx val="1"/>
              <c:layout>
                <c:manualLayout>
                  <c:x val="1.7276413202673972E-2"/>
                  <c:y val="-0.10624998506046332"/>
                </c:manualLayout>
              </c:layout>
              <c:showLegendKey val="0"/>
              <c:showVal val="1"/>
              <c:showCatName val="0"/>
              <c:showSerName val="0"/>
              <c:showPercent val="0"/>
              <c:showBubbleSize val="0"/>
            </c:dLbl>
            <c:dLbl>
              <c:idx val="2"/>
              <c:layout>
                <c:manualLayout>
                  <c:x val="1.3821139759746148E-2"/>
                  <c:y val="-2.542245311058727E-2"/>
                </c:manualLayout>
              </c:layout>
              <c:showLegendKey val="0"/>
              <c:showVal val="1"/>
              <c:showCatName val="0"/>
              <c:showSerName val="0"/>
              <c:showPercent val="0"/>
              <c:showBubbleSize val="0"/>
            </c:dLbl>
            <c:dLbl>
              <c:idx val="3"/>
              <c:layout>
                <c:manualLayout>
                  <c:x val="3.4552849399365369E-3"/>
                  <c:y val="-1.069686720765862E-2"/>
                </c:manualLayout>
              </c:layout>
              <c:showLegendKey val="0"/>
              <c:showVal val="1"/>
              <c:showCatName val="0"/>
              <c:showSerName val="0"/>
              <c:showPercent val="0"/>
              <c:showBubbleSize val="0"/>
            </c:dLbl>
            <c:dLbl>
              <c:idx val="4"/>
              <c:layout>
                <c:manualLayout>
                  <c:x val="-2.1306131735358536E-3"/>
                  <c:y val="-1.311930952350462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Лист1!$B$3:$B$5</c:f>
              <c:strCache>
                <c:ptCount val="3"/>
                <c:pt idx="0">
                  <c:v>ОП-Сливен</c:v>
                </c:pt>
                <c:pt idx="1">
                  <c:v>РП-Сливен</c:v>
                </c:pt>
                <c:pt idx="2">
                  <c:v>Общо за региона</c:v>
                </c:pt>
              </c:strCache>
            </c:strRef>
          </c:cat>
          <c:val>
            <c:numRef>
              <c:f>Лист1!$D$3:$D$5</c:f>
              <c:numCache>
                <c:formatCode>General</c:formatCode>
                <c:ptCount val="3"/>
                <c:pt idx="0">
                  <c:v>27</c:v>
                </c:pt>
                <c:pt idx="1">
                  <c:v>29</c:v>
                </c:pt>
                <c:pt idx="2">
                  <c:v>56</c:v>
                </c:pt>
              </c:numCache>
            </c:numRef>
          </c:val>
        </c:ser>
        <c:dLbls>
          <c:showLegendKey val="0"/>
          <c:showVal val="1"/>
          <c:showCatName val="0"/>
          <c:showSerName val="0"/>
          <c:showPercent val="0"/>
          <c:showBubbleSize val="0"/>
        </c:dLbls>
        <c:gapWidth val="150"/>
        <c:shape val="cylinder"/>
        <c:axId val="248534528"/>
        <c:axId val="248482048"/>
        <c:axId val="221770368"/>
      </c:bar3DChart>
      <c:catAx>
        <c:axId val="248534528"/>
        <c:scaling>
          <c:orientation val="minMax"/>
        </c:scaling>
        <c:delete val="0"/>
        <c:axPos val="b"/>
        <c:majorTickMark val="out"/>
        <c:minorTickMark val="none"/>
        <c:tickLblPos val="nextTo"/>
        <c:crossAx val="248482048"/>
        <c:crosses val="autoZero"/>
        <c:auto val="1"/>
        <c:lblAlgn val="ctr"/>
        <c:lblOffset val="100"/>
        <c:noMultiLvlLbl val="0"/>
      </c:catAx>
      <c:valAx>
        <c:axId val="248482048"/>
        <c:scaling>
          <c:orientation val="minMax"/>
        </c:scaling>
        <c:delete val="0"/>
        <c:axPos val="l"/>
        <c:numFmt formatCode="General" sourceLinked="1"/>
        <c:majorTickMark val="out"/>
        <c:minorTickMark val="none"/>
        <c:tickLblPos val="nextTo"/>
        <c:crossAx val="248534528"/>
        <c:crosses val="autoZero"/>
        <c:crossBetween val="between"/>
      </c:valAx>
      <c:serAx>
        <c:axId val="221770368"/>
        <c:scaling>
          <c:orientation val="minMax"/>
        </c:scaling>
        <c:delete val="1"/>
        <c:axPos val="b"/>
        <c:majorTickMark val="out"/>
        <c:minorTickMark val="none"/>
        <c:tickLblPos val="nextTo"/>
        <c:crossAx val="248482048"/>
        <c:crosses val="autoZero"/>
      </c:serAx>
    </c:plotArea>
    <c:legend>
      <c:legendPos val="r"/>
      <c:layout>
        <c:manualLayout>
          <c:xMode val="edge"/>
          <c:yMode val="edge"/>
          <c:x val="0.71900396899049768"/>
          <c:y val="0.55481574969782299"/>
          <c:w val="0.24116642304175609"/>
          <c:h val="0.30524939464997264"/>
        </c:manualLayout>
      </c:layout>
      <c:overlay val="0"/>
    </c:legend>
    <c:plotVisOnly val="1"/>
    <c:dispBlanksAs val="gap"/>
    <c:showDLblsOverMax val="0"/>
  </c:chart>
  <c:spPr>
    <a:gradFill flip="none" rotWithShape="1">
      <a:gsLst>
        <a:gs pos="95000">
          <a:srgbClr val="FFFFFF"/>
        </a:gs>
        <a:gs pos="0">
          <a:schemeClr val="bg1">
            <a:lumMod val="85000"/>
          </a:schemeClr>
        </a:gs>
      </a:gsLst>
      <a:lin ang="5400000" scaled="0"/>
      <a:tileRect/>
    </a:gradFill>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0"/>
      <c:rotY val="60"/>
      <c:depthPercent val="100"/>
      <c:rAngAx val="1"/>
    </c:view3D>
    <c:floor>
      <c:thickness val="0"/>
    </c:floor>
    <c:sideWall>
      <c:thickness val="0"/>
    </c:sideWall>
    <c:backWall>
      <c:thickness val="0"/>
    </c:backWall>
    <c:plotArea>
      <c:layout/>
      <c:bar3DChart>
        <c:barDir val="col"/>
        <c:grouping val="clustered"/>
        <c:varyColors val="0"/>
        <c:ser>
          <c:idx val="1"/>
          <c:order val="0"/>
          <c:tx>
            <c:strRef>
              <c:f>Лист2!$A$18</c:f>
              <c:strCache>
                <c:ptCount val="1"/>
                <c:pt idx="0">
                  <c:v>ОП - С Л И В Е Н</c:v>
                </c:pt>
              </c:strCache>
            </c:strRef>
          </c:tx>
          <c:spPr>
            <a:solidFill>
              <a:srgbClr val="8EDC90"/>
            </a:solidFill>
          </c:spPr>
          <c:invertIfNegative val="0"/>
          <c:cat>
            <c:strRef>
              <c:f>Лист2!$B$16:$E$16</c:f>
              <c:strCache>
                <c:ptCount val="4"/>
                <c:pt idx="0">
                  <c:v>Общо наблюдавани ДП</c:v>
                </c:pt>
                <c:pt idx="1">
                  <c:v>Общо решени ДП</c:v>
                </c:pt>
                <c:pt idx="2">
                  <c:v>Общо участия в съд. заседания/дни</c:v>
                </c:pt>
                <c:pt idx="3">
                  <c:v>Прокурорски актове внесени в съда</c:v>
                </c:pt>
              </c:strCache>
            </c:strRef>
          </c:cat>
          <c:val>
            <c:numRef>
              <c:f>Лист2!$B$18:$E$18</c:f>
              <c:numCache>
                <c:formatCode>General</c:formatCode>
                <c:ptCount val="4"/>
                <c:pt idx="0">
                  <c:v>399</c:v>
                </c:pt>
                <c:pt idx="1">
                  <c:v>269</c:v>
                </c:pt>
                <c:pt idx="2">
                  <c:v>1156</c:v>
                </c:pt>
                <c:pt idx="3">
                  <c:v>81</c:v>
                </c:pt>
              </c:numCache>
            </c:numRef>
          </c:val>
        </c:ser>
        <c:ser>
          <c:idx val="2"/>
          <c:order val="1"/>
          <c:tx>
            <c:strRef>
              <c:f>Лист2!$A$19</c:f>
              <c:strCache>
                <c:ptCount val="1"/>
                <c:pt idx="0">
                  <c:v>РП - Сливен</c:v>
                </c:pt>
              </c:strCache>
            </c:strRef>
          </c:tx>
          <c:spPr>
            <a:solidFill>
              <a:schemeClr val="accent6">
                <a:lumMod val="60000"/>
                <a:lumOff val="40000"/>
              </a:schemeClr>
            </a:solidFill>
          </c:spPr>
          <c:invertIfNegative val="0"/>
          <c:cat>
            <c:strRef>
              <c:f>Лист2!$B$16:$E$16</c:f>
              <c:strCache>
                <c:ptCount val="4"/>
                <c:pt idx="0">
                  <c:v>Общо наблюдавани ДП</c:v>
                </c:pt>
                <c:pt idx="1">
                  <c:v>Общо решени ДП</c:v>
                </c:pt>
                <c:pt idx="2">
                  <c:v>Общо участия в съд. заседания/дни</c:v>
                </c:pt>
                <c:pt idx="3">
                  <c:v>Прокурорски актове внесени в съда</c:v>
                </c:pt>
              </c:strCache>
            </c:strRef>
          </c:cat>
          <c:val>
            <c:numRef>
              <c:f>Лист2!$B$19:$E$19</c:f>
              <c:numCache>
                <c:formatCode>General</c:formatCode>
                <c:ptCount val="4"/>
                <c:pt idx="0">
                  <c:v>3550</c:v>
                </c:pt>
                <c:pt idx="1">
                  <c:v>2691</c:v>
                </c:pt>
                <c:pt idx="2">
                  <c:v>2240</c:v>
                </c:pt>
                <c:pt idx="3">
                  <c:v>868</c:v>
                </c:pt>
              </c:numCache>
            </c:numRef>
          </c:val>
        </c:ser>
        <c:ser>
          <c:idx val="3"/>
          <c:order val="2"/>
          <c:tx>
            <c:strRef>
              <c:f>Лист2!$A$20</c:f>
              <c:strCache>
                <c:ptCount val="1"/>
                <c:pt idx="0">
                  <c:v>ОБЩО за региона</c:v>
                </c:pt>
              </c:strCache>
            </c:strRef>
          </c:tx>
          <c:spPr>
            <a:solidFill>
              <a:srgbClr val="C00000"/>
            </a:solidFill>
            <a:ln>
              <a:solidFill>
                <a:srgbClr val="C00000"/>
              </a:solidFill>
            </a:ln>
          </c:spPr>
          <c:invertIfNegative val="0"/>
          <c:cat>
            <c:strRef>
              <c:f>Лист2!$B$16:$E$16</c:f>
              <c:strCache>
                <c:ptCount val="4"/>
                <c:pt idx="0">
                  <c:v>Общо наблюдавани ДП</c:v>
                </c:pt>
                <c:pt idx="1">
                  <c:v>Общо решени ДП</c:v>
                </c:pt>
                <c:pt idx="2">
                  <c:v>Общо участия в съд. заседания/дни</c:v>
                </c:pt>
                <c:pt idx="3">
                  <c:v>Прокурорски актове внесени в съда</c:v>
                </c:pt>
              </c:strCache>
            </c:strRef>
          </c:cat>
          <c:val>
            <c:numRef>
              <c:f>Лист2!$B$20:$E$20</c:f>
              <c:numCache>
                <c:formatCode>General</c:formatCode>
                <c:ptCount val="4"/>
                <c:pt idx="0">
                  <c:v>3949</c:v>
                </c:pt>
                <c:pt idx="1">
                  <c:v>2960</c:v>
                </c:pt>
                <c:pt idx="2">
                  <c:v>3396</c:v>
                </c:pt>
                <c:pt idx="3">
                  <c:v>949</c:v>
                </c:pt>
              </c:numCache>
            </c:numRef>
          </c:val>
        </c:ser>
        <c:dLbls>
          <c:showLegendKey val="0"/>
          <c:showVal val="0"/>
          <c:showCatName val="0"/>
          <c:showSerName val="0"/>
          <c:showPercent val="0"/>
          <c:showBubbleSize val="0"/>
        </c:dLbls>
        <c:gapWidth val="150"/>
        <c:shape val="cylinder"/>
        <c:axId val="248535040"/>
        <c:axId val="248484928"/>
        <c:axId val="0"/>
      </c:bar3DChart>
      <c:catAx>
        <c:axId val="248535040"/>
        <c:scaling>
          <c:orientation val="minMax"/>
        </c:scaling>
        <c:delete val="0"/>
        <c:axPos val="b"/>
        <c:majorTickMark val="in"/>
        <c:minorTickMark val="cross"/>
        <c:tickLblPos val="nextTo"/>
        <c:txPr>
          <a:bodyPr rot="-1620000" vert="horz" anchor="b" anchorCtr="0"/>
          <a:lstStyle/>
          <a:p>
            <a:pPr>
              <a:defRPr/>
            </a:pPr>
            <a:endParaRPr lang="bg-BG"/>
          </a:p>
        </c:txPr>
        <c:crossAx val="248484928"/>
        <c:crosses val="autoZero"/>
        <c:auto val="0"/>
        <c:lblAlgn val="ctr"/>
        <c:lblOffset val="100"/>
        <c:tickLblSkip val="1"/>
        <c:noMultiLvlLbl val="0"/>
      </c:catAx>
      <c:valAx>
        <c:axId val="248484928"/>
        <c:scaling>
          <c:orientation val="minMax"/>
        </c:scaling>
        <c:delete val="0"/>
        <c:axPos val="l"/>
        <c:majorGridlines/>
        <c:numFmt formatCode="General" sourceLinked="1"/>
        <c:majorTickMark val="out"/>
        <c:minorTickMark val="none"/>
        <c:tickLblPos val="nextTo"/>
        <c:crossAx val="248535040"/>
        <c:crosses val="autoZero"/>
        <c:crossBetween val="between"/>
      </c:valAx>
    </c:plotArea>
    <c:legend>
      <c:legendPos val="r"/>
      <c:layout>
        <c:manualLayout>
          <c:xMode val="edge"/>
          <c:yMode val="edge"/>
          <c:x val="0.70962642169728796"/>
          <c:y val="8.2373505395158947E-2"/>
          <c:w val="0.25704024496937883"/>
          <c:h val="0.41858595800524934"/>
        </c:manualLayout>
      </c:layout>
      <c:overlay val="0"/>
    </c:legend>
    <c:plotVisOnly val="1"/>
    <c:dispBlanksAs val="gap"/>
    <c:showDLblsOverMax val="0"/>
  </c:chart>
  <c:spPr>
    <a:ln>
      <a:noFill/>
    </a:ln>
    <a:scene3d>
      <a:camera prst="orthographicFront"/>
      <a:lightRig rig="threePt" dir="t"/>
    </a:scene3d>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bg-BG" sz="1400"/>
              <a:t>ДП-разследвани по общия ред</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4.4816863374103177E-2"/>
          <c:y val="0.13887615917973481"/>
          <c:w val="0.84795454793698755"/>
          <c:h val="0.74872299283534716"/>
        </c:manualLayout>
      </c:layout>
      <c:bar3DChart>
        <c:barDir val="col"/>
        <c:grouping val="clustered"/>
        <c:varyColors val="0"/>
        <c:ser>
          <c:idx val="0"/>
          <c:order val="0"/>
          <c:tx>
            <c:strRef>
              <c:f>Лист2!$B$86</c:f>
              <c:strCache>
                <c:ptCount val="1"/>
                <c:pt idx="0">
                  <c:v>2022г.</c:v>
                </c:pt>
              </c:strCache>
            </c:strRef>
          </c:tx>
          <c:spPr>
            <a:solidFill>
              <a:srgbClr val="8EDC90"/>
            </a:solidFill>
            <a:ln>
              <a:solidFill>
                <a:srgbClr val="8EDC90"/>
              </a:solidFill>
            </a:ln>
          </c:spPr>
          <c:invertIfNegative val="0"/>
          <c:dLbls>
            <c:dLbl>
              <c:idx val="0"/>
              <c:layout>
                <c:manualLayout>
                  <c:x val="1.7682586630253908E-2"/>
                  <c:y val="-1.8106135506787174E-2"/>
                </c:manualLayout>
              </c:layout>
              <c:showLegendKey val="0"/>
              <c:showVal val="1"/>
              <c:showCatName val="0"/>
              <c:showSerName val="0"/>
              <c:showPercent val="0"/>
              <c:showBubbleSize val="0"/>
            </c:dLbl>
            <c:dLbl>
              <c:idx val="1"/>
              <c:layout>
                <c:manualLayout>
                  <c:x val="5.0521676086439336E-3"/>
                  <c:y val="-5.8843782054891915E-2"/>
                </c:manualLayout>
              </c:layout>
              <c:showLegendKey val="0"/>
              <c:showVal val="1"/>
              <c:showCatName val="0"/>
              <c:showSerName val="0"/>
              <c:showPercent val="0"/>
              <c:showBubbleSize val="0"/>
            </c:dLbl>
            <c:dLbl>
              <c:idx val="2"/>
              <c:layout>
                <c:manualLayout>
                  <c:x val="-2.1197224490283029E-3"/>
                  <c:y val="-5.4326960431744439E-2"/>
                </c:manualLayout>
              </c:layout>
              <c:showLegendKey val="0"/>
              <c:showVal val="1"/>
              <c:showCatName val="0"/>
              <c:showSerName val="0"/>
              <c:showPercent val="0"/>
              <c:showBubbleSize val="0"/>
            </c:dLbl>
            <c:dLbl>
              <c:idx val="4"/>
              <c:layout>
                <c:manualLayout>
                  <c:x val="-2.7743772564921016E-2"/>
                  <c:y val="6.7596086239831979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Лист2!$A$87:$A$89</c:f>
              <c:strCache>
                <c:ptCount val="3"/>
                <c:pt idx="0">
                  <c:v>ОП - СЛИВЕН</c:v>
                </c:pt>
                <c:pt idx="1">
                  <c:v>РП - Сливен</c:v>
                </c:pt>
                <c:pt idx="2">
                  <c:v>ОБЩО за региона</c:v>
                </c:pt>
              </c:strCache>
            </c:strRef>
          </c:cat>
          <c:val>
            <c:numRef>
              <c:f>Лист2!$B$87:$B$89</c:f>
              <c:numCache>
                <c:formatCode>General</c:formatCode>
                <c:ptCount val="3"/>
                <c:pt idx="0">
                  <c:v>412</c:v>
                </c:pt>
                <c:pt idx="1">
                  <c:v>2660</c:v>
                </c:pt>
                <c:pt idx="2">
                  <c:v>3072</c:v>
                </c:pt>
              </c:numCache>
            </c:numRef>
          </c:val>
        </c:ser>
        <c:ser>
          <c:idx val="1"/>
          <c:order val="1"/>
          <c:tx>
            <c:strRef>
              <c:f>Лист2!$C$86</c:f>
              <c:strCache>
                <c:ptCount val="1"/>
                <c:pt idx="0">
                  <c:v>2023г.</c:v>
                </c:pt>
              </c:strCache>
            </c:strRef>
          </c:tx>
          <c:spPr>
            <a:solidFill>
              <a:srgbClr val="C00000"/>
            </a:solidFill>
            <a:ln>
              <a:noFill/>
            </a:ln>
          </c:spPr>
          <c:invertIfNegative val="0"/>
          <c:dLbls>
            <c:dLbl>
              <c:idx val="0"/>
              <c:layout>
                <c:manualLayout>
                  <c:x val="1.8265177139140474E-2"/>
                  <c:y val="-3.1686182653095495E-2"/>
                </c:manualLayout>
              </c:layout>
              <c:showLegendKey val="0"/>
              <c:showVal val="1"/>
              <c:showCatName val="0"/>
              <c:showSerName val="0"/>
              <c:showPercent val="0"/>
              <c:showBubbleSize val="0"/>
            </c:dLbl>
            <c:dLbl>
              <c:idx val="1"/>
              <c:layout>
                <c:manualLayout>
                  <c:x val="2.2416706364637214E-2"/>
                  <c:y val="-1.6976306378295305E-2"/>
                </c:manualLayout>
              </c:layout>
              <c:showLegendKey val="0"/>
              <c:showVal val="1"/>
              <c:showCatName val="0"/>
              <c:showSerName val="0"/>
              <c:showPercent val="0"/>
              <c:showBubbleSize val="0"/>
            </c:dLbl>
            <c:dLbl>
              <c:idx val="2"/>
              <c:layout>
                <c:manualLayout>
                  <c:x val="2.1197622298756151E-2"/>
                  <c:y val="-2.0373634849205215E-2"/>
                </c:manualLayout>
              </c:layout>
              <c:showLegendKey val="0"/>
              <c:showVal val="1"/>
              <c:showCatName val="0"/>
              <c:showSerName val="0"/>
              <c:showPercent val="0"/>
              <c:showBubbleSize val="0"/>
            </c:dLbl>
            <c:dLbl>
              <c:idx val="3"/>
              <c:layout>
                <c:manualLayout>
                  <c:x val="4.2395329436747111E-3"/>
                  <c:y val="-1.6985131189408555E-2"/>
                </c:manualLayout>
              </c:layout>
              <c:showLegendKey val="0"/>
              <c:showVal val="1"/>
              <c:showCatName val="0"/>
              <c:showSerName val="0"/>
              <c:showPercent val="0"/>
              <c:showBubbleSize val="0"/>
            </c:dLbl>
            <c:dLbl>
              <c:idx val="4"/>
              <c:layout>
                <c:manualLayout>
                  <c:x val="4.0958613718799809E-3"/>
                  <c:y val="-2.371025869075429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Лист2!$A$87:$A$89</c:f>
              <c:strCache>
                <c:ptCount val="3"/>
                <c:pt idx="0">
                  <c:v>ОП - СЛИВЕН</c:v>
                </c:pt>
                <c:pt idx="1">
                  <c:v>РП - Сливен</c:v>
                </c:pt>
                <c:pt idx="2">
                  <c:v>ОБЩО за региона</c:v>
                </c:pt>
              </c:strCache>
            </c:strRef>
          </c:cat>
          <c:val>
            <c:numRef>
              <c:f>Лист2!$C$87:$C$89</c:f>
              <c:numCache>
                <c:formatCode>General</c:formatCode>
                <c:ptCount val="3"/>
                <c:pt idx="0">
                  <c:v>362</c:v>
                </c:pt>
                <c:pt idx="1">
                  <c:v>2869</c:v>
                </c:pt>
                <c:pt idx="2">
                  <c:v>3231</c:v>
                </c:pt>
              </c:numCache>
            </c:numRef>
          </c:val>
        </c:ser>
        <c:ser>
          <c:idx val="2"/>
          <c:order val="2"/>
          <c:tx>
            <c:strRef>
              <c:f>Лист2!$D$86</c:f>
              <c:strCache>
                <c:ptCount val="1"/>
                <c:pt idx="0">
                  <c:v>2024г.</c:v>
                </c:pt>
              </c:strCache>
            </c:strRef>
          </c:tx>
          <c:spPr>
            <a:solidFill>
              <a:schemeClr val="accent6">
                <a:lumMod val="60000"/>
                <a:lumOff val="40000"/>
              </a:schemeClr>
            </a:solidFill>
            <a:ln>
              <a:noFill/>
            </a:ln>
          </c:spPr>
          <c:invertIfNegative val="0"/>
          <c:dLbls>
            <c:dLbl>
              <c:idx val="0"/>
              <c:layout>
                <c:manualLayout>
                  <c:x val="2.8457825837461426E-2"/>
                  <c:y val="-3.0547443200246351E-2"/>
                </c:manualLayout>
              </c:layout>
              <c:showLegendKey val="0"/>
              <c:showVal val="1"/>
              <c:showCatName val="0"/>
              <c:showSerName val="0"/>
              <c:showPercent val="0"/>
              <c:showBubbleSize val="0"/>
            </c:dLbl>
            <c:dLbl>
              <c:idx val="1"/>
              <c:layout>
                <c:manualLayout>
                  <c:x val="4.0681883503777688E-2"/>
                  <c:y val="-2.1503107564722814E-2"/>
                </c:manualLayout>
              </c:layout>
              <c:showLegendKey val="0"/>
              <c:showVal val="1"/>
              <c:showCatName val="0"/>
              <c:showSerName val="0"/>
              <c:showPercent val="0"/>
              <c:showBubbleSize val="0"/>
            </c:dLbl>
            <c:dLbl>
              <c:idx val="2"/>
              <c:layout>
                <c:manualLayout>
                  <c:x val="3.6442438605721085E-2"/>
                  <c:y val="-2.2632223867266106E-2"/>
                </c:manualLayout>
              </c:layout>
              <c:showLegendKey val="0"/>
              <c:showVal val="1"/>
              <c:showCatName val="0"/>
              <c:showSerName val="0"/>
              <c:showPercent val="0"/>
              <c:showBubbleSize val="0"/>
            </c:dLbl>
            <c:dLbl>
              <c:idx val="3"/>
              <c:layout>
                <c:manualLayout>
                  <c:x val="3.179649707755975E-2"/>
                  <c:y val="-2.0382157427290264E-2"/>
                </c:manualLayout>
              </c:layout>
              <c:showLegendKey val="0"/>
              <c:showVal val="1"/>
              <c:showCatName val="0"/>
              <c:showSerName val="0"/>
              <c:showPercent val="0"/>
              <c:showBubbleSize val="0"/>
            </c:dLbl>
            <c:dLbl>
              <c:idx val="4"/>
              <c:layout>
                <c:manualLayout>
                  <c:x val="3.179649707755975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Лист2!$A$87:$A$89</c:f>
              <c:strCache>
                <c:ptCount val="3"/>
                <c:pt idx="0">
                  <c:v>ОП - СЛИВЕН</c:v>
                </c:pt>
                <c:pt idx="1">
                  <c:v>РП - Сливен</c:v>
                </c:pt>
                <c:pt idx="2">
                  <c:v>ОБЩО за региона</c:v>
                </c:pt>
              </c:strCache>
            </c:strRef>
          </c:cat>
          <c:val>
            <c:numRef>
              <c:f>Лист2!$D$87:$D$89</c:f>
              <c:numCache>
                <c:formatCode>General</c:formatCode>
                <c:ptCount val="3"/>
                <c:pt idx="0">
                  <c:v>380</c:v>
                </c:pt>
                <c:pt idx="1">
                  <c:v>2832</c:v>
                </c:pt>
                <c:pt idx="2">
                  <c:v>3212</c:v>
                </c:pt>
              </c:numCache>
            </c:numRef>
          </c:val>
        </c:ser>
        <c:dLbls>
          <c:showLegendKey val="0"/>
          <c:showVal val="1"/>
          <c:showCatName val="0"/>
          <c:showSerName val="0"/>
          <c:showPercent val="0"/>
          <c:showBubbleSize val="0"/>
        </c:dLbls>
        <c:gapWidth val="150"/>
        <c:shape val="cylinder"/>
        <c:axId val="209899008"/>
        <c:axId val="214608128"/>
        <c:axId val="0"/>
      </c:bar3DChart>
      <c:catAx>
        <c:axId val="209899008"/>
        <c:scaling>
          <c:orientation val="minMax"/>
        </c:scaling>
        <c:delete val="0"/>
        <c:axPos val="b"/>
        <c:majorTickMark val="out"/>
        <c:minorTickMark val="none"/>
        <c:tickLblPos val="nextTo"/>
        <c:crossAx val="214608128"/>
        <c:crosses val="autoZero"/>
        <c:auto val="1"/>
        <c:lblAlgn val="ctr"/>
        <c:lblOffset val="100"/>
        <c:noMultiLvlLbl val="0"/>
      </c:catAx>
      <c:valAx>
        <c:axId val="214608128"/>
        <c:scaling>
          <c:orientation val="minMax"/>
        </c:scaling>
        <c:delete val="1"/>
        <c:axPos val="l"/>
        <c:numFmt formatCode="General" sourceLinked="1"/>
        <c:majorTickMark val="out"/>
        <c:minorTickMark val="none"/>
        <c:tickLblPos val="nextTo"/>
        <c:crossAx val="20989900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Лист2!$B$64</c:f>
              <c:strCache>
                <c:ptCount val="1"/>
                <c:pt idx="0">
                  <c:v>до 8 месеца</c:v>
                </c:pt>
              </c:strCache>
            </c:strRef>
          </c:tx>
          <c:spPr>
            <a:solidFill>
              <a:srgbClr val="C00000"/>
            </a:solidFill>
          </c:spPr>
          <c:invertIfNegative val="0"/>
          <c:dLbls>
            <c:dLbl>
              <c:idx val="0"/>
              <c:layout>
                <c:manualLayout>
                  <c:x val="-1.0120476105686177E-2"/>
                  <c:y val="-0.14468330897693665"/>
                </c:manualLayout>
              </c:layout>
              <c:showLegendKey val="0"/>
              <c:showVal val="1"/>
              <c:showCatName val="0"/>
              <c:showSerName val="0"/>
              <c:showPercent val="0"/>
              <c:showBubbleSize val="0"/>
            </c:dLbl>
            <c:dLbl>
              <c:idx val="1"/>
              <c:layout>
                <c:manualLayout>
                  <c:x val="5.8038924162472375E-2"/>
                  <c:y val="-1.0063246746510077E-2"/>
                </c:manualLayout>
              </c:layout>
              <c:showLegendKey val="0"/>
              <c:showVal val="1"/>
              <c:showCatName val="0"/>
              <c:showSerName val="0"/>
              <c:showPercent val="0"/>
              <c:showBubbleSize val="0"/>
            </c:dLbl>
            <c:dLbl>
              <c:idx val="2"/>
              <c:layout>
                <c:manualLayout>
                  <c:x val="7.4621038685652313E-2"/>
                  <c:y val="5.7284802813439013E-2"/>
                </c:manualLayout>
              </c:layout>
              <c:showLegendKey val="0"/>
              <c:showVal val="1"/>
              <c:showCatName val="0"/>
              <c:showSerName val="0"/>
              <c:showPercent val="0"/>
              <c:showBubbleSize val="0"/>
            </c:dLbl>
            <c:dLbl>
              <c:idx val="3"/>
              <c:layout>
                <c:manualLayout>
                  <c:x val="-2.8184560024288028E-3"/>
                  <c:y val="-4.6296296296296294E-3"/>
                </c:manualLayout>
              </c:layout>
              <c:showLegendKey val="0"/>
              <c:showVal val="1"/>
              <c:showCatName val="0"/>
              <c:showSerName val="0"/>
              <c:showPercent val="0"/>
              <c:showBubbleSize val="0"/>
            </c:dLbl>
            <c:dLbl>
              <c:idx val="4"/>
              <c:layout>
                <c:manualLayout>
                  <c:x val="2.763758293451068E-3"/>
                  <c:y val="1.840736439515683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Лист2!$A$65:$A$67</c:f>
              <c:strCache>
                <c:ptCount val="3"/>
                <c:pt idx="0">
                  <c:v>ОП - СЛИВЕН</c:v>
                </c:pt>
                <c:pt idx="1">
                  <c:v>РП - СЛИВЕН</c:v>
                </c:pt>
                <c:pt idx="2">
                  <c:v>ОБЩО ЗА РЕГИОНА</c:v>
                </c:pt>
              </c:strCache>
            </c:strRef>
          </c:cat>
          <c:val>
            <c:numRef>
              <c:f>Лист2!$B$65:$B$67</c:f>
              <c:numCache>
                <c:formatCode>General</c:formatCode>
                <c:ptCount val="3"/>
                <c:pt idx="0">
                  <c:v>148</c:v>
                </c:pt>
                <c:pt idx="1">
                  <c:v>1184</c:v>
                </c:pt>
                <c:pt idx="2">
                  <c:v>1332</c:v>
                </c:pt>
              </c:numCache>
            </c:numRef>
          </c:val>
        </c:ser>
        <c:ser>
          <c:idx val="1"/>
          <c:order val="1"/>
          <c:tx>
            <c:strRef>
              <c:f>Лист2!$C$64</c:f>
              <c:strCache>
                <c:ptCount val="1"/>
                <c:pt idx="0">
                  <c:v>до 1 год. </c:v>
                </c:pt>
              </c:strCache>
            </c:strRef>
          </c:tx>
          <c:spPr>
            <a:solidFill>
              <a:schemeClr val="accent6">
                <a:lumMod val="60000"/>
                <a:lumOff val="40000"/>
              </a:schemeClr>
            </a:solidFill>
          </c:spPr>
          <c:invertIfNegative val="0"/>
          <c:dLbls>
            <c:dLbl>
              <c:idx val="0"/>
              <c:layout>
                <c:manualLayout>
                  <c:x val="1.6779277122696942E-2"/>
                  <c:y val="-0.12841653090881208"/>
                </c:manualLayout>
              </c:layout>
              <c:showLegendKey val="0"/>
              <c:showVal val="1"/>
              <c:showCatName val="0"/>
              <c:showSerName val="0"/>
              <c:showPercent val="0"/>
              <c:showBubbleSize val="0"/>
            </c:dLbl>
            <c:dLbl>
              <c:idx val="1"/>
              <c:layout>
                <c:manualLayout>
                  <c:x val="1.9444454116389478E-2"/>
                  <c:y val="-4.1472009392104041E-2"/>
                </c:manualLayout>
              </c:layout>
              <c:showLegendKey val="0"/>
              <c:showVal val="1"/>
              <c:showCatName val="0"/>
              <c:showSerName val="0"/>
              <c:showPercent val="0"/>
              <c:showBubbleSize val="0"/>
            </c:dLbl>
            <c:dLbl>
              <c:idx val="2"/>
              <c:layout>
                <c:manualLayout>
                  <c:x val="2.2398193590169899E-2"/>
                  <c:y val="-3.341146771093087E-2"/>
                </c:manualLayout>
              </c:layout>
              <c:showLegendKey val="0"/>
              <c:showVal val="1"/>
              <c:showCatName val="0"/>
              <c:showSerName val="0"/>
              <c:showPercent val="0"/>
              <c:showBubbleSize val="0"/>
            </c:dLbl>
            <c:dLbl>
              <c:idx val="3"/>
              <c:layout>
                <c:manualLayout>
                  <c:x val="2.2222222222222223E-2"/>
                  <c:y val="-1.8518518518518604E-2"/>
                </c:manualLayout>
              </c:layout>
              <c:showLegendKey val="0"/>
              <c:showVal val="1"/>
              <c:showCatName val="0"/>
              <c:showSerName val="0"/>
              <c:showPercent val="0"/>
              <c:showBubbleSize val="0"/>
            </c:dLbl>
            <c:dLbl>
              <c:idx val="4"/>
              <c:layout>
                <c:manualLayout>
                  <c:x val="2.5000000000000001E-2"/>
                  <c:y val="-1.388888888888888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Лист2!$A$65:$A$67</c:f>
              <c:strCache>
                <c:ptCount val="3"/>
                <c:pt idx="0">
                  <c:v>ОП - СЛИВЕН</c:v>
                </c:pt>
                <c:pt idx="1">
                  <c:v>РП - СЛИВЕН</c:v>
                </c:pt>
                <c:pt idx="2">
                  <c:v>ОБЩО ЗА РЕГИОНА</c:v>
                </c:pt>
              </c:strCache>
            </c:strRef>
          </c:cat>
          <c:val>
            <c:numRef>
              <c:f>Лист2!$C$65:$C$67</c:f>
              <c:numCache>
                <c:formatCode>General</c:formatCode>
                <c:ptCount val="3"/>
                <c:pt idx="0">
                  <c:v>15</c:v>
                </c:pt>
                <c:pt idx="1">
                  <c:v>199</c:v>
                </c:pt>
                <c:pt idx="2">
                  <c:v>214</c:v>
                </c:pt>
              </c:numCache>
            </c:numRef>
          </c:val>
        </c:ser>
        <c:ser>
          <c:idx val="2"/>
          <c:order val="2"/>
          <c:tx>
            <c:strRef>
              <c:f>Лист2!$D$64</c:f>
              <c:strCache>
                <c:ptCount val="1"/>
                <c:pt idx="0">
                  <c:v>над 1 год. </c:v>
                </c:pt>
              </c:strCache>
            </c:strRef>
          </c:tx>
          <c:spPr>
            <a:solidFill>
              <a:srgbClr val="92D050"/>
            </a:solidFill>
          </c:spPr>
          <c:invertIfNegative val="0"/>
          <c:dLbls>
            <c:dLbl>
              <c:idx val="0"/>
              <c:layout>
                <c:manualLayout>
                  <c:x val="3.3266292246330514E-2"/>
                  <c:y val="-9.9501047597067266E-2"/>
                </c:manualLayout>
              </c:layout>
              <c:showLegendKey val="0"/>
              <c:showVal val="1"/>
              <c:showCatName val="0"/>
              <c:showSerName val="0"/>
              <c:showPercent val="0"/>
              <c:showBubbleSize val="0"/>
            </c:dLbl>
            <c:dLbl>
              <c:idx val="1"/>
              <c:layout>
                <c:manualLayout>
                  <c:x val="2.8262800422089132E-2"/>
                  <c:y val="-1.3508218423896894E-2"/>
                </c:manualLayout>
              </c:layout>
              <c:showLegendKey val="0"/>
              <c:showVal val="1"/>
              <c:showCatName val="0"/>
              <c:showSerName val="0"/>
              <c:showPercent val="0"/>
              <c:showBubbleSize val="0"/>
            </c:dLbl>
            <c:dLbl>
              <c:idx val="2"/>
              <c:layout>
                <c:manualLayout>
                  <c:x val="3.3277173184493705E-2"/>
                  <c:y val="-9.5475297834063059E-3"/>
                </c:manualLayout>
              </c:layout>
              <c:showLegendKey val="0"/>
              <c:showVal val="1"/>
              <c:showCatName val="0"/>
              <c:showSerName val="0"/>
              <c:showPercent val="0"/>
              <c:showBubbleSize val="0"/>
            </c:dLbl>
            <c:dLbl>
              <c:idx val="3"/>
              <c:layout>
                <c:manualLayout>
                  <c:x val="2.5000000000000001E-2"/>
                  <c:y val="0"/>
                </c:manualLayout>
              </c:layout>
              <c:showLegendKey val="0"/>
              <c:showVal val="1"/>
              <c:showCatName val="0"/>
              <c:showSerName val="0"/>
              <c:showPercent val="0"/>
              <c:showBubbleSize val="0"/>
            </c:dLbl>
            <c:dLbl>
              <c:idx val="4"/>
              <c:layout>
                <c:manualLayout>
                  <c:x val="2.77466371399347E-2"/>
                  <c:y val="1.851815398075240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Лист2!$A$65:$A$67</c:f>
              <c:strCache>
                <c:ptCount val="3"/>
                <c:pt idx="0">
                  <c:v>ОП - СЛИВЕН</c:v>
                </c:pt>
                <c:pt idx="1">
                  <c:v>РП - СЛИВЕН</c:v>
                </c:pt>
                <c:pt idx="2">
                  <c:v>ОБЩО ЗА РЕГИОНА</c:v>
                </c:pt>
              </c:strCache>
            </c:strRef>
          </c:cat>
          <c:val>
            <c:numRef>
              <c:f>Лист2!$D$65:$D$67</c:f>
              <c:numCache>
                <c:formatCode>General</c:formatCode>
                <c:ptCount val="3"/>
                <c:pt idx="0">
                  <c:v>22</c:v>
                </c:pt>
                <c:pt idx="1">
                  <c:v>157</c:v>
                </c:pt>
                <c:pt idx="2">
                  <c:v>179</c:v>
                </c:pt>
              </c:numCache>
            </c:numRef>
          </c:val>
        </c:ser>
        <c:ser>
          <c:idx val="3"/>
          <c:order val="3"/>
          <c:tx>
            <c:strRef>
              <c:f>Лист2!$E$64</c:f>
              <c:strCache>
                <c:ptCount val="1"/>
                <c:pt idx="0">
                  <c:v>над 2 год.</c:v>
                </c:pt>
              </c:strCache>
            </c:strRef>
          </c:tx>
          <c:invertIfNegative val="0"/>
          <c:dLbls>
            <c:dLbl>
              <c:idx val="0"/>
              <c:layout>
                <c:manualLayout>
                  <c:x val="4.165571318891572E-2"/>
                  <c:y val="-2.8526440267421134E-2"/>
                </c:manualLayout>
              </c:layout>
              <c:showLegendKey val="0"/>
              <c:showVal val="1"/>
              <c:showCatName val="0"/>
              <c:showSerName val="0"/>
              <c:showPercent val="0"/>
              <c:showBubbleSize val="0"/>
            </c:dLbl>
            <c:dLbl>
              <c:idx val="1"/>
              <c:layout>
                <c:manualLayout>
                  <c:x val="4.1517742893006429E-2"/>
                  <c:y val="-4.6022034484820267E-3"/>
                </c:manualLayout>
              </c:layout>
              <c:showLegendKey val="0"/>
              <c:showVal val="1"/>
              <c:showCatName val="0"/>
              <c:showSerName val="0"/>
              <c:showPercent val="0"/>
              <c:showBubbleSize val="0"/>
            </c:dLbl>
            <c:dLbl>
              <c:idx val="2"/>
              <c:layout>
                <c:manualLayout>
                  <c:x val="4.711315653404699E-2"/>
                  <c:y val="-4.3227004924871465E-4"/>
                </c:manualLayout>
              </c:layout>
              <c:showLegendKey val="0"/>
              <c:showVal val="1"/>
              <c:showCatName val="0"/>
              <c:showSerName val="0"/>
              <c:showPercent val="0"/>
              <c:showBubbleSize val="0"/>
            </c:dLbl>
            <c:dLbl>
              <c:idx val="3"/>
              <c:layout>
                <c:manualLayout>
                  <c:x val="3.3333333333333333E-2"/>
                  <c:y val="8.4875562720133283E-17"/>
                </c:manualLayout>
              </c:layout>
              <c:showLegendKey val="0"/>
              <c:showVal val="1"/>
              <c:showCatName val="0"/>
              <c:showSerName val="0"/>
              <c:showPercent val="0"/>
              <c:showBubbleSize val="0"/>
            </c:dLbl>
            <c:dLbl>
              <c:idx val="4"/>
              <c:layout>
                <c:manualLayout>
                  <c:x val="4.7248582408184955E-2"/>
                  <c:y val="-3.6158362063544368E-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Лист2!$A$65:$A$67</c:f>
              <c:strCache>
                <c:ptCount val="3"/>
                <c:pt idx="0">
                  <c:v>ОП - СЛИВЕН</c:v>
                </c:pt>
                <c:pt idx="1">
                  <c:v>РП - СЛИВЕН</c:v>
                </c:pt>
                <c:pt idx="2">
                  <c:v>ОБЩО ЗА РЕГИОНА</c:v>
                </c:pt>
              </c:strCache>
            </c:strRef>
          </c:cat>
          <c:val>
            <c:numRef>
              <c:f>Лист2!$E$65:$E$67</c:f>
              <c:numCache>
                <c:formatCode>General</c:formatCode>
                <c:ptCount val="3"/>
                <c:pt idx="0">
                  <c:v>5</c:v>
                </c:pt>
                <c:pt idx="1">
                  <c:v>49</c:v>
                </c:pt>
                <c:pt idx="2">
                  <c:v>54</c:v>
                </c:pt>
              </c:numCache>
            </c:numRef>
          </c:val>
        </c:ser>
        <c:dLbls>
          <c:showLegendKey val="0"/>
          <c:showVal val="1"/>
          <c:showCatName val="0"/>
          <c:showSerName val="0"/>
          <c:showPercent val="0"/>
          <c:showBubbleSize val="0"/>
        </c:dLbls>
        <c:gapWidth val="150"/>
        <c:shape val="cylinder"/>
        <c:axId val="247276032"/>
        <c:axId val="214606976"/>
        <c:axId val="0"/>
      </c:bar3DChart>
      <c:catAx>
        <c:axId val="247276032"/>
        <c:scaling>
          <c:orientation val="minMax"/>
        </c:scaling>
        <c:delete val="0"/>
        <c:axPos val="b"/>
        <c:majorTickMark val="out"/>
        <c:minorTickMark val="none"/>
        <c:tickLblPos val="nextTo"/>
        <c:crossAx val="214606976"/>
        <c:crosses val="autoZero"/>
        <c:auto val="1"/>
        <c:lblAlgn val="ctr"/>
        <c:lblOffset val="100"/>
        <c:noMultiLvlLbl val="0"/>
      </c:catAx>
      <c:valAx>
        <c:axId val="214606976"/>
        <c:scaling>
          <c:orientation val="minMax"/>
        </c:scaling>
        <c:delete val="0"/>
        <c:axPos val="l"/>
        <c:majorGridlines/>
        <c:numFmt formatCode="General" sourceLinked="1"/>
        <c:majorTickMark val="out"/>
        <c:minorTickMark val="none"/>
        <c:tickLblPos val="nextTo"/>
        <c:crossAx val="247276032"/>
        <c:crosses val="autoZero"/>
        <c:crossBetween val="between"/>
      </c:valAx>
    </c:plotArea>
    <c:legend>
      <c:legendPos val="r"/>
      <c:overlay val="0"/>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4420302843864407E-2"/>
          <c:y val="0.1239954712569199"/>
          <c:w val="0.57675171938255632"/>
          <c:h val="0.7520090574861602"/>
        </c:manualLayout>
      </c:layout>
      <c:pie3DChart>
        <c:varyColors val="1"/>
        <c:ser>
          <c:idx val="0"/>
          <c:order val="0"/>
          <c:dPt>
            <c:idx val="0"/>
            <c:bubble3D val="0"/>
            <c:spPr>
              <a:solidFill>
                <a:srgbClr val="C00000"/>
              </a:solidFill>
            </c:spPr>
          </c:dPt>
          <c:dPt>
            <c:idx val="1"/>
            <c:bubble3D val="0"/>
            <c:spPr>
              <a:solidFill>
                <a:schemeClr val="accent6">
                  <a:lumMod val="60000"/>
                  <a:lumOff val="40000"/>
                </a:schemeClr>
              </a:solidFill>
            </c:spPr>
          </c:dPt>
          <c:dPt>
            <c:idx val="2"/>
            <c:bubble3D val="0"/>
            <c:spPr>
              <a:solidFill>
                <a:srgbClr val="92D050"/>
              </a:solidFill>
            </c:spPr>
          </c:dPt>
          <c:dLbls>
            <c:dLbl>
              <c:idx val="0"/>
              <c:layout>
                <c:manualLayout>
                  <c:x val="-0.16958554227991968"/>
                  <c:y val="0.11942654699587957"/>
                </c:manualLayout>
              </c:layout>
              <c:dLblPos val="bestFit"/>
              <c:showLegendKey val="0"/>
              <c:showVal val="0"/>
              <c:showCatName val="0"/>
              <c:showSerName val="0"/>
              <c:showPercent val="1"/>
              <c:showBubbleSize val="0"/>
            </c:dLbl>
            <c:dLbl>
              <c:idx val="1"/>
              <c:layout>
                <c:manualLayout>
                  <c:x val="3.0927835051546407E-2"/>
                  <c:y val="-2.2361989547970845E-2"/>
                </c:manualLayout>
              </c:layout>
              <c:dLblPos val="bestFit"/>
              <c:showLegendKey val="0"/>
              <c:showVal val="0"/>
              <c:showCatName val="0"/>
              <c:showSerName val="0"/>
              <c:showPercent val="1"/>
              <c:showBubbleSize val="0"/>
            </c:dLbl>
            <c:dLbl>
              <c:idx val="2"/>
              <c:layout>
                <c:manualLayout>
                  <c:x val="2.0618556701030896E-2"/>
                  <c:y val="-1.6771492160978153E-2"/>
                </c:manualLayout>
              </c:layout>
              <c:dLblPos val="bestFit"/>
              <c:showLegendKey val="0"/>
              <c:showVal val="0"/>
              <c:showCatName val="0"/>
              <c:showSerName val="0"/>
              <c:showPercent val="1"/>
              <c:showBubbleSize val="0"/>
            </c:dLbl>
            <c:dLbl>
              <c:idx val="3"/>
              <c:layout>
                <c:manualLayout>
                  <c:x val="1.0309278350515464E-2"/>
                  <c:y val="0"/>
                </c:manualLayout>
              </c:layout>
              <c:dLblPos val="bestFit"/>
              <c:showLegendKey val="0"/>
              <c:showVal val="0"/>
              <c:showCatName val="0"/>
              <c:showSerName val="0"/>
              <c:showPercent val="1"/>
              <c:showBubbleSize val="0"/>
            </c:dLbl>
            <c:numFmt formatCode="0%" sourceLinked="0"/>
            <c:dLblPos val="outEnd"/>
            <c:showLegendKey val="0"/>
            <c:showVal val="0"/>
            <c:showCatName val="0"/>
            <c:showSerName val="0"/>
            <c:showPercent val="1"/>
            <c:showBubbleSize val="0"/>
            <c:showLeaderLines val="0"/>
          </c:dLbls>
          <c:cat>
            <c:strRef>
              <c:f>Лист2!$B$68:$E$68</c:f>
              <c:strCache>
                <c:ptCount val="4"/>
                <c:pt idx="0">
                  <c:v>до 8 месеца</c:v>
                </c:pt>
                <c:pt idx="1">
                  <c:v>до 1 год. </c:v>
                </c:pt>
                <c:pt idx="2">
                  <c:v>над 1 год. </c:v>
                </c:pt>
                <c:pt idx="3">
                  <c:v>над 2 год.</c:v>
                </c:pt>
              </c:strCache>
            </c:strRef>
          </c:cat>
          <c:val>
            <c:numRef>
              <c:f>Лист2!$B$67:$E$67</c:f>
              <c:numCache>
                <c:formatCode>General</c:formatCode>
                <c:ptCount val="4"/>
                <c:pt idx="0">
                  <c:v>1332</c:v>
                </c:pt>
                <c:pt idx="1">
                  <c:v>214</c:v>
                </c:pt>
                <c:pt idx="2">
                  <c:v>179</c:v>
                </c:pt>
                <c:pt idx="3">
                  <c:v>54</c:v>
                </c:pt>
              </c:numCache>
            </c:numRef>
          </c:val>
        </c:ser>
        <c:dLbls>
          <c:dLblPos val="outEnd"/>
          <c:showLegendKey val="0"/>
          <c:showVal val="1"/>
          <c:showCatName val="0"/>
          <c:showSerName val="0"/>
          <c:showPercent val="0"/>
          <c:showBubbleSize val="0"/>
          <c:showLeaderLines val="0"/>
        </c:dLbls>
      </c:pie3DChart>
    </c:plotArea>
    <c:legend>
      <c:legendPos val="r"/>
      <c:layout/>
      <c:overlay val="0"/>
      <c:txPr>
        <a:bodyPr/>
        <a:lstStyle/>
        <a:p>
          <a:pPr rtl="0">
            <a:defRPr/>
          </a:pPr>
          <a:endParaRPr lang="bg-BG"/>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e-BY" sz="1200"/>
              <a:t>ОТНОСИТЕЛЕН</a:t>
            </a:r>
            <a:r>
              <a:rPr lang="be-BY" sz="1200" baseline="0"/>
              <a:t> ДЯЛ ПО ВИДОВЕ КЪМ ОБЩО ВНЕСЕНИ ПРЕЗ 2024 АКТОВЕ В СЪДА</a:t>
            </a:r>
            <a:endParaRPr lang="en-US" sz="120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Лист2!$B$108</c:f>
              <c:strCache>
                <c:ptCount val="1"/>
                <c:pt idx="0">
                  <c:v>2024</c:v>
                </c:pt>
              </c:strCache>
            </c:strRef>
          </c:tx>
          <c:dPt>
            <c:idx val="0"/>
            <c:bubble3D val="0"/>
            <c:spPr>
              <a:solidFill>
                <a:srgbClr val="C00000"/>
              </a:solidFill>
            </c:spPr>
          </c:dPt>
          <c:dPt>
            <c:idx val="1"/>
            <c:bubble3D val="0"/>
            <c:spPr>
              <a:solidFill>
                <a:srgbClr val="8EDC90"/>
              </a:solidFill>
            </c:spPr>
          </c:dPt>
          <c:dPt>
            <c:idx val="2"/>
            <c:bubble3D val="0"/>
            <c:spPr>
              <a:solidFill>
                <a:schemeClr val="accent6">
                  <a:lumMod val="60000"/>
                  <a:lumOff val="40000"/>
                </a:schemeClr>
              </a:solidFill>
            </c:spPr>
          </c:dPt>
          <c:dLbls>
            <c:dLblPos val="outEnd"/>
            <c:showLegendKey val="0"/>
            <c:showVal val="1"/>
            <c:showCatName val="0"/>
            <c:showSerName val="0"/>
            <c:showPercent val="0"/>
            <c:showBubbleSize val="0"/>
            <c:showLeaderLines val="1"/>
          </c:dLbls>
          <c:cat>
            <c:strRef>
              <c:f>Лист2!$A$109:$A$111</c:f>
              <c:strCache>
                <c:ptCount val="3"/>
                <c:pt idx="0">
                  <c:v>Обвинителни актове</c:v>
                </c:pt>
                <c:pt idx="1">
                  <c:v>Споразумения</c:v>
                </c:pt>
                <c:pt idx="2">
                  <c:v>Предложения по чл.78Аот НК</c:v>
                </c:pt>
              </c:strCache>
            </c:strRef>
          </c:cat>
          <c:val>
            <c:numRef>
              <c:f>Лист2!$B$109:$B$111</c:f>
              <c:numCache>
                <c:formatCode>0.00%</c:formatCode>
                <c:ptCount val="3"/>
                <c:pt idx="0">
                  <c:v>0.58079999999999998</c:v>
                </c:pt>
                <c:pt idx="1">
                  <c:v>0.31890000000000002</c:v>
                </c:pt>
                <c:pt idx="2">
                  <c:v>0.1003</c:v>
                </c:pt>
              </c:numCache>
            </c:numRef>
          </c:val>
        </c:ser>
        <c:dLbls>
          <c:dLblPos val="outEnd"/>
          <c:showLegendKey val="0"/>
          <c:showVal val="1"/>
          <c:showCatName val="0"/>
          <c:showSerName val="0"/>
          <c:showPercent val="0"/>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3165106738762329E-2"/>
          <c:y val="0.19453446902365834"/>
          <c:w val="0.93919730431226911"/>
          <c:h val="0.59108762139633564"/>
        </c:manualLayout>
      </c:layout>
      <c:lineChart>
        <c:grouping val="standard"/>
        <c:varyColors val="0"/>
        <c:ser>
          <c:idx val="0"/>
          <c:order val="0"/>
          <c:marker>
            <c:symbol val="none"/>
          </c:marker>
          <c:cat>
            <c:numRef>
              <c:f>Лист2!$B$120:$E$120</c:f>
              <c:numCache>
                <c:formatCode>General</c:formatCode>
                <c:ptCount val="4"/>
                <c:pt idx="0">
                  <c:v>2021</c:v>
                </c:pt>
                <c:pt idx="1">
                  <c:v>2022</c:v>
                </c:pt>
                <c:pt idx="2">
                  <c:v>2023</c:v>
                </c:pt>
                <c:pt idx="3">
                  <c:v>2024</c:v>
                </c:pt>
              </c:numCache>
            </c:numRef>
          </c:cat>
          <c:val>
            <c:numRef>
              <c:f>Лист2!$B$121:$E$121</c:f>
              <c:numCache>
                <c:formatCode>General</c:formatCode>
                <c:ptCount val="4"/>
                <c:pt idx="0">
                  <c:v>1121</c:v>
                </c:pt>
                <c:pt idx="1">
                  <c:v>1144</c:v>
                </c:pt>
                <c:pt idx="2">
                  <c:v>1208</c:v>
                </c:pt>
                <c:pt idx="3">
                  <c:v>1128</c:v>
                </c:pt>
              </c:numCache>
            </c:numRef>
          </c:val>
          <c:smooth val="0"/>
        </c:ser>
        <c:dLbls>
          <c:dLblPos val="t"/>
          <c:showLegendKey val="0"/>
          <c:showVal val="1"/>
          <c:showCatName val="0"/>
          <c:showSerName val="0"/>
          <c:showPercent val="0"/>
          <c:showBubbleSize val="0"/>
        </c:dLbls>
        <c:marker val="1"/>
        <c:smooth val="0"/>
        <c:axId val="222220288"/>
        <c:axId val="247373824"/>
      </c:lineChart>
      <c:catAx>
        <c:axId val="222220288"/>
        <c:scaling>
          <c:orientation val="minMax"/>
        </c:scaling>
        <c:delete val="0"/>
        <c:axPos val="b"/>
        <c:title>
          <c:tx>
            <c:rich>
              <a:bodyPr/>
              <a:lstStyle/>
              <a:p>
                <a:pPr>
                  <a:defRPr/>
                </a:pPr>
                <a:r>
                  <a:rPr lang="bg-BG"/>
                  <a:t>година</a:t>
                </a:r>
              </a:p>
            </c:rich>
          </c:tx>
          <c:layout>
            <c:manualLayout>
              <c:xMode val="edge"/>
              <c:yMode val="edge"/>
              <c:x val="0.4518123359580053"/>
              <c:y val="0.90645815106445027"/>
            </c:manualLayout>
          </c:layout>
          <c:overlay val="0"/>
        </c:title>
        <c:numFmt formatCode="General" sourceLinked="1"/>
        <c:majorTickMark val="none"/>
        <c:minorTickMark val="none"/>
        <c:tickLblPos val="nextTo"/>
        <c:crossAx val="247373824"/>
        <c:crosses val="autoZero"/>
        <c:auto val="1"/>
        <c:lblAlgn val="ctr"/>
        <c:lblOffset val="100"/>
        <c:noMultiLvlLbl val="0"/>
      </c:catAx>
      <c:valAx>
        <c:axId val="247373824"/>
        <c:scaling>
          <c:orientation val="minMax"/>
        </c:scaling>
        <c:delete val="1"/>
        <c:axPos val="l"/>
        <c:numFmt formatCode="General" sourceLinked="1"/>
        <c:majorTickMark val="none"/>
        <c:minorTickMark val="none"/>
        <c:tickLblPos val="nextTo"/>
        <c:crossAx val="222220288"/>
        <c:crosses val="autoZero"/>
        <c:crossBetween val="between"/>
      </c:valAx>
      <c:spPr>
        <a:noFill/>
      </c:spPr>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Лист3!$A$2:$B$2</c:f>
              <c:strCache>
                <c:ptCount val="1"/>
                <c:pt idx="0">
                  <c:v>Наблюдавани ДП</c:v>
                </c:pt>
              </c:strCache>
            </c:strRef>
          </c:tx>
          <c:spPr>
            <a:solidFill>
              <a:srgbClr val="8EDC90"/>
            </a:solidFill>
            <a:ln>
              <a:solidFill>
                <a:srgbClr val="8EDC90"/>
              </a:solidFill>
            </a:ln>
          </c:spPr>
          <c:invertIfNegative val="0"/>
          <c:cat>
            <c:strRef>
              <c:f>Лист3!$C$1:$E$1</c:f>
              <c:strCache>
                <c:ptCount val="3"/>
                <c:pt idx="0">
                  <c:v>2022г.</c:v>
                </c:pt>
                <c:pt idx="1">
                  <c:v>2023г.</c:v>
                </c:pt>
                <c:pt idx="2">
                  <c:v>2024г.</c:v>
                </c:pt>
              </c:strCache>
            </c:strRef>
          </c:cat>
          <c:val>
            <c:numRef>
              <c:f>Лист3!$C$2:$E$2</c:f>
              <c:numCache>
                <c:formatCode>General</c:formatCode>
                <c:ptCount val="3"/>
                <c:pt idx="0">
                  <c:v>4991</c:v>
                </c:pt>
                <c:pt idx="1">
                  <c:v>4441</c:v>
                </c:pt>
                <c:pt idx="2">
                  <c:v>3949</c:v>
                </c:pt>
              </c:numCache>
            </c:numRef>
          </c:val>
        </c:ser>
        <c:ser>
          <c:idx val="1"/>
          <c:order val="1"/>
          <c:tx>
            <c:strRef>
              <c:f>Лист3!$A$3:$B$3</c:f>
              <c:strCache>
                <c:ptCount val="1"/>
                <c:pt idx="0">
                  <c:v>Решени ДП</c:v>
                </c:pt>
              </c:strCache>
            </c:strRef>
          </c:tx>
          <c:spPr>
            <a:solidFill>
              <a:srgbClr val="C00000"/>
            </a:solidFill>
            <a:ln>
              <a:noFill/>
            </a:ln>
          </c:spPr>
          <c:invertIfNegative val="0"/>
          <c:dLbls>
            <c:dLbl>
              <c:idx val="0"/>
              <c:layout>
                <c:manualLayout>
                  <c:x val="3.6111111111111108E-2"/>
                  <c:y val="-4.6296296296296294E-3"/>
                </c:manualLayout>
              </c:layout>
              <c:showLegendKey val="0"/>
              <c:showVal val="1"/>
              <c:showCatName val="0"/>
              <c:showSerName val="0"/>
              <c:showPercent val="0"/>
              <c:showBubbleSize val="0"/>
            </c:dLbl>
            <c:dLbl>
              <c:idx val="1"/>
              <c:layout>
                <c:manualLayout>
                  <c:x val="2.7777777777777776E-2"/>
                  <c:y val="-9.2592592592592587E-3"/>
                </c:manualLayout>
              </c:layout>
              <c:showLegendKey val="0"/>
              <c:showVal val="1"/>
              <c:showCatName val="0"/>
              <c:showSerName val="0"/>
              <c:showPercent val="0"/>
              <c:showBubbleSize val="0"/>
            </c:dLbl>
            <c:dLbl>
              <c:idx val="2"/>
              <c:layout>
                <c:manualLayout>
                  <c:x val="4.4444444444444446E-2"/>
                  <c:y val="-1.851851851851851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Лист3!$C$1:$E$1</c:f>
              <c:strCache>
                <c:ptCount val="3"/>
                <c:pt idx="0">
                  <c:v>2022г.</c:v>
                </c:pt>
                <c:pt idx="1">
                  <c:v>2023г.</c:v>
                </c:pt>
                <c:pt idx="2">
                  <c:v>2024г.</c:v>
                </c:pt>
              </c:strCache>
            </c:strRef>
          </c:cat>
          <c:val>
            <c:numRef>
              <c:f>Лист3!$C$3:$E$3</c:f>
              <c:numCache>
                <c:formatCode>General</c:formatCode>
                <c:ptCount val="3"/>
                <c:pt idx="0">
                  <c:v>4151</c:v>
                </c:pt>
                <c:pt idx="1">
                  <c:v>3433</c:v>
                </c:pt>
                <c:pt idx="2">
                  <c:v>2960</c:v>
                </c:pt>
              </c:numCache>
            </c:numRef>
          </c:val>
        </c:ser>
        <c:ser>
          <c:idx val="2"/>
          <c:order val="2"/>
          <c:tx>
            <c:strRef>
              <c:f>Лист3!$A$4:$B$4</c:f>
              <c:strCache>
                <c:ptCount val="1"/>
                <c:pt idx="0">
                  <c:v>Внесени в съда ДП</c:v>
                </c:pt>
              </c:strCache>
            </c:strRef>
          </c:tx>
          <c:spPr>
            <a:solidFill>
              <a:schemeClr val="accent6">
                <a:lumMod val="60000"/>
                <a:lumOff val="40000"/>
              </a:schemeClr>
            </a:solidFill>
            <a:ln>
              <a:noFill/>
            </a:ln>
          </c:spPr>
          <c:invertIfNegative val="0"/>
          <c:dLbls>
            <c:dLbl>
              <c:idx val="0"/>
              <c:layout>
                <c:manualLayout>
                  <c:x val="1.6666666666666666E-2"/>
                  <c:y val="-4.6296296296296294E-3"/>
                </c:manualLayout>
              </c:layout>
              <c:showLegendKey val="0"/>
              <c:showVal val="1"/>
              <c:showCatName val="0"/>
              <c:showSerName val="0"/>
              <c:showPercent val="0"/>
              <c:showBubbleSize val="0"/>
            </c:dLbl>
            <c:dLbl>
              <c:idx val="1"/>
              <c:layout>
                <c:manualLayout>
                  <c:x val="2.2222222222222223E-2"/>
                  <c:y val="0"/>
                </c:manualLayout>
              </c:layout>
              <c:showLegendKey val="0"/>
              <c:showVal val="1"/>
              <c:showCatName val="0"/>
              <c:showSerName val="0"/>
              <c:showPercent val="0"/>
              <c:showBubbleSize val="0"/>
            </c:dLbl>
            <c:dLbl>
              <c:idx val="2"/>
              <c:layout>
                <c:manualLayout>
                  <c:x val="2.5000000000000001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Лист3!$C$1:$E$1</c:f>
              <c:strCache>
                <c:ptCount val="3"/>
                <c:pt idx="0">
                  <c:v>2022г.</c:v>
                </c:pt>
                <c:pt idx="1">
                  <c:v>2023г.</c:v>
                </c:pt>
                <c:pt idx="2">
                  <c:v>2024г.</c:v>
                </c:pt>
              </c:strCache>
            </c:strRef>
          </c:cat>
          <c:val>
            <c:numRef>
              <c:f>Лист3!$C$4:$E$4</c:f>
              <c:numCache>
                <c:formatCode>General</c:formatCode>
                <c:ptCount val="3"/>
                <c:pt idx="0">
                  <c:v>997</c:v>
                </c:pt>
                <c:pt idx="1">
                  <c:v>1018</c:v>
                </c:pt>
                <c:pt idx="2">
                  <c:v>947</c:v>
                </c:pt>
              </c:numCache>
            </c:numRef>
          </c:val>
        </c:ser>
        <c:dLbls>
          <c:showLegendKey val="0"/>
          <c:showVal val="1"/>
          <c:showCatName val="0"/>
          <c:showSerName val="0"/>
          <c:showPercent val="0"/>
          <c:showBubbleSize val="0"/>
        </c:dLbls>
        <c:gapWidth val="150"/>
        <c:shape val="cylinder"/>
        <c:axId val="247277056"/>
        <c:axId val="247375552"/>
        <c:axId val="0"/>
      </c:bar3DChart>
      <c:catAx>
        <c:axId val="247277056"/>
        <c:scaling>
          <c:orientation val="minMax"/>
        </c:scaling>
        <c:delete val="0"/>
        <c:axPos val="b"/>
        <c:numFmt formatCode="General" sourceLinked="1"/>
        <c:majorTickMark val="out"/>
        <c:minorTickMark val="none"/>
        <c:tickLblPos val="nextTo"/>
        <c:crossAx val="247375552"/>
        <c:crosses val="autoZero"/>
        <c:auto val="1"/>
        <c:lblAlgn val="ctr"/>
        <c:lblOffset val="100"/>
        <c:noMultiLvlLbl val="0"/>
      </c:catAx>
      <c:valAx>
        <c:axId val="247375552"/>
        <c:scaling>
          <c:orientation val="minMax"/>
        </c:scaling>
        <c:delete val="1"/>
        <c:axPos val="l"/>
        <c:numFmt formatCode="General" sourceLinked="1"/>
        <c:majorTickMark val="out"/>
        <c:minorTickMark val="none"/>
        <c:tickLblPos val="nextTo"/>
        <c:crossAx val="24727705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Лист3!$A$13:$B$13</c:f>
              <c:strCache>
                <c:ptCount val="1"/>
                <c:pt idx="0">
                  <c:v>Относителен дял на решени спрямо наблюдавани ДП</c:v>
                </c:pt>
              </c:strCache>
            </c:strRef>
          </c:tx>
          <c:spPr>
            <a:solidFill>
              <a:srgbClr val="8EDC90"/>
            </a:solidFill>
            <a:ln>
              <a:solidFill>
                <a:srgbClr val="8EDC90"/>
              </a:solidFill>
            </a:ln>
          </c:spPr>
          <c:invertIfNegative val="0"/>
          <c:dLbls>
            <c:dLbl>
              <c:idx val="0"/>
              <c:layout>
                <c:manualLayout>
                  <c:x val="5.8333333333333334E-2"/>
                  <c:y val="0"/>
                </c:manualLayout>
              </c:layout>
              <c:showLegendKey val="0"/>
              <c:showVal val="1"/>
              <c:showCatName val="0"/>
              <c:showSerName val="0"/>
              <c:showPercent val="0"/>
              <c:showBubbleSize val="0"/>
            </c:dLbl>
            <c:dLbl>
              <c:idx val="1"/>
              <c:layout>
                <c:manualLayout>
                  <c:x val="8.8888888888888934E-2"/>
                  <c:y val="2.3148148148148147E-2"/>
                </c:manualLayout>
              </c:layout>
              <c:showLegendKey val="0"/>
              <c:showVal val="1"/>
              <c:showCatName val="0"/>
              <c:showSerName val="0"/>
              <c:showPercent val="0"/>
              <c:showBubbleSize val="0"/>
            </c:dLbl>
            <c:dLbl>
              <c:idx val="2"/>
              <c:layout>
                <c:manualLayout>
                  <c:x val="8.611111111111111E-2"/>
                  <c:y val="2.777777777777777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Лист3!$C$12:$E$12</c:f>
              <c:strCache>
                <c:ptCount val="3"/>
                <c:pt idx="0">
                  <c:v>2022г.</c:v>
                </c:pt>
                <c:pt idx="1">
                  <c:v>2023г.</c:v>
                </c:pt>
                <c:pt idx="2">
                  <c:v>2024г.</c:v>
                </c:pt>
              </c:strCache>
            </c:strRef>
          </c:cat>
          <c:val>
            <c:numRef>
              <c:f>Лист3!$C$13:$E$13</c:f>
              <c:numCache>
                <c:formatCode>0.00%</c:formatCode>
                <c:ptCount val="3"/>
                <c:pt idx="0">
                  <c:v>0.83169999999999999</c:v>
                </c:pt>
                <c:pt idx="1">
                  <c:v>0.77300000000000002</c:v>
                </c:pt>
                <c:pt idx="2">
                  <c:v>0.74960000000000004</c:v>
                </c:pt>
              </c:numCache>
            </c:numRef>
          </c:val>
        </c:ser>
        <c:ser>
          <c:idx val="1"/>
          <c:order val="1"/>
          <c:tx>
            <c:strRef>
              <c:f>Лист3!$A$14:$B$14</c:f>
              <c:strCache>
                <c:ptCount val="1"/>
                <c:pt idx="0">
                  <c:v>Относителен дял на внесени в съда спрямо решени ДП</c:v>
                </c:pt>
              </c:strCache>
            </c:strRef>
          </c:tx>
          <c:spPr>
            <a:solidFill>
              <a:srgbClr val="C00000"/>
            </a:solidFill>
          </c:spPr>
          <c:invertIfNegative val="0"/>
          <c:dLbls>
            <c:dLbl>
              <c:idx val="0"/>
              <c:layout>
                <c:manualLayout>
                  <c:x val="3.3333025359585017E-2"/>
                  <c:y val="-8.5628094683674855E-2"/>
                </c:manualLayout>
              </c:layout>
              <c:showLegendKey val="0"/>
              <c:showVal val="1"/>
              <c:showCatName val="0"/>
              <c:showSerName val="0"/>
              <c:showPercent val="0"/>
              <c:showBubbleSize val="0"/>
            </c:dLbl>
            <c:dLbl>
              <c:idx val="1"/>
              <c:layout>
                <c:manualLayout>
                  <c:x val="4.4444444444444446E-2"/>
                  <c:y val="-3.7037037037037035E-2"/>
                </c:manualLayout>
              </c:layout>
              <c:showLegendKey val="0"/>
              <c:showVal val="1"/>
              <c:showCatName val="0"/>
              <c:showSerName val="0"/>
              <c:showPercent val="0"/>
              <c:showBubbleSize val="0"/>
            </c:dLbl>
            <c:dLbl>
              <c:idx val="2"/>
              <c:layout>
                <c:manualLayout>
                  <c:x val="4.7222022605714051E-2"/>
                  <c:y val="-2.015849987998859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Лист3!$C$12:$E$12</c:f>
              <c:strCache>
                <c:ptCount val="3"/>
                <c:pt idx="0">
                  <c:v>2022г.</c:v>
                </c:pt>
                <c:pt idx="1">
                  <c:v>2023г.</c:v>
                </c:pt>
                <c:pt idx="2">
                  <c:v>2024г.</c:v>
                </c:pt>
              </c:strCache>
            </c:strRef>
          </c:cat>
          <c:val>
            <c:numRef>
              <c:f>Лист3!$C$14:$E$14</c:f>
              <c:numCache>
                <c:formatCode>0.00%</c:formatCode>
                <c:ptCount val="3"/>
                <c:pt idx="0">
                  <c:v>0.2402</c:v>
                </c:pt>
                <c:pt idx="1">
                  <c:v>0.29649999999999999</c:v>
                </c:pt>
                <c:pt idx="2">
                  <c:v>0.31990000000000002</c:v>
                </c:pt>
              </c:numCache>
            </c:numRef>
          </c:val>
        </c:ser>
        <c:dLbls>
          <c:showLegendKey val="0"/>
          <c:showVal val="1"/>
          <c:showCatName val="0"/>
          <c:showSerName val="0"/>
          <c:showPercent val="0"/>
          <c:showBubbleSize val="0"/>
        </c:dLbls>
        <c:gapWidth val="150"/>
        <c:shape val="cylinder"/>
        <c:axId val="247277568"/>
        <c:axId val="247377280"/>
        <c:axId val="0"/>
      </c:bar3DChart>
      <c:catAx>
        <c:axId val="247277568"/>
        <c:scaling>
          <c:orientation val="minMax"/>
        </c:scaling>
        <c:delete val="0"/>
        <c:axPos val="b"/>
        <c:majorTickMark val="out"/>
        <c:minorTickMark val="none"/>
        <c:tickLblPos val="nextTo"/>
        <c:crossAx val="247377280"/>
        <c:crosses val="autoZero"/>
        <c:auto val="1"/>
        <c:lblAlgn val="ctr"/>
        <c:lblOffset val="100"/>
        <c:noMultiLvlLbl val="0"/>
      </c:catAx>
      <c:valAx>
        <c:axId val="247377280"/>
        <c:scaling>
          <c:orientation val="minMax"/>
        </c:scaling>
        <c:delete val="0"/>
        <c:axPos val="l"/>
        <c:majorGridlines/>
        <c:numFmt formatCode="0%" sourceLinked="0"/>
        <c:majorTickMark val="none"/>
        <c:minorTickMark val="none"/>
        <c:tickLblPos val="nextTo"/>
        <c:crossAx val="24727756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8224876081269389E-2"/>
          <c:y val="3.1080023473983084E-2"/>
          <c:w val="0.63834549489060377"/>
          <c:h val="0.54673578994407068"/>
        </c:manualLayout>
      </c:layout>
      <c:bar3DChart>
        <c:barDir val="col"/>
        <c:grouping val="standard"/>
        <c:varyColors val="0"/>
        <c:ser>
          <c:idx val="0"/>
          <c:order val="0"/>
          <c:tx>
            <c:strRef>
              <c:f>Лист1!$B$27</c:f>
              <c:strCache>
                <c:ptCount val="1"/>
                <c:pt idx="0">
                  <c:v>Оправдани лица с влязла в сила присъда</c:v>
                </c:pt>
              </c:strCache>
            </c:strRef>
          </c:tx>
          <c:spPr>
            <a:solidFill>
              <a:srgbClr val="C00000"/>
            </a:solidFill>
            <a:ln>
              <a:solidFill>
                <a:srgbClr val="C00000"/>
              </a:solidFill>
            </a:ln>
          </c:spPr>
          <c:invertIfNegative val="0"/>
          <c:cat>
            <c:strRef>
              <c:f>Лист1!$A$28:$A$30</c:f>
              <c:strCache>
                <c:ptCount val="3"/>
                <c:pt idx="0">
                  <c:v>ОП-Сливен</c:v>
                </c:pt>
                <c:pt idx="1">
                  <c:v>РП-Сливен</c:v>
                </c:pt>
                <c:pt idx="2">
                  <c:v>Общо за региона</c:v>
                </c:pt>
              </c:strCache>
            </c:strRef>
          </c:cat>
          <c:val>
            <c:numRef>
              <c:f>Лист1!$B$28:$B$30</c:f>
              <c:numCache>
                <c:formatCode>General</c:formatCode>
                <c:ptCount val="3"/>
                <c:pt idx="0">
                  <c:v>0</c:v>
                </c:pt>
                <c:pt idx="1">
                  <c:v>4</c:v>
                </c:pt>
                <c:pt idx="2">
                  <c:v>4</c:v>
                </c:pt>
              </c:numCache>
            </c:numRef>
          </c:val>
        </c:ser>
        <c:ser>
          <c:idx val="1"/>
          <c:order val="1"/>
          <c:tx>
            <c:strRef>
              <c:f>Лист1!$C$27</c:f>
              <c:strCache>
                <c:ptCount val="1"/>
                <c:pt idx="0">
                  <c:v>Осъдени лица с влязла в сила присъда</c:v>
                </c:pt>
              </c:strCache>
            </c:strRef>
          </c:tx>
          <c:spPr>
            <a:solidFill>
              <a:schemeClr val="accent6">
                <a:lumMod val="40000"/>
                <a:lumOff val="60000"/>
              </a:schemeClr>
            </a:solidFill>
            <a:ln>
              <a:solidFill>
                <a:schemeClr val="accent6">
                  <a:lumMod val="40000"/>
                  <a:lumOff val="60000"/>
                </a:schemeClr>
              </a:solidFill>
            </a:ln>
          </c:spPr>
          <c:invertIfNegative val="0"/>
          <c:dLbls>
            <c:dLbl>
              <c:idx val="0"/>
              <c:layout>
                <c:manualLayout>
                  <c:x val="1.2240671849032998E-2"/>
                  <c:y val="0"/>
                </c:manualLayout>
              </c:layout>
              <c:showLegendKey val="0"/>
              <c:showVal val="1"/>
              <c:showCatName val="0"/>
              <c:showSerName val="0"/>
              <c:showPercent val="0"/>
              <c:showBubbleSize val="0"/>
            </c:dLbl>
            <c:dLbl>
              <c:idx val="2"/>
              <c:layout>
                <c:manualLayout>
                  <c:x val="1.530083981129125E-2"/>
                  <c:y val="0"/>
                </c:manualLayout>
              </c:layout>
              <c:showLegendKey val="0"/>
              <c:showVal val="1"/>
              <c:showCatName val="0"/>
              <c:showSerName val="0"/>
              <c:showPercent val="0"/>
              <c:showBubbleSize val="0"/>
            </c:dLbl>
            <c:dLbl>
              <c:idx val="3"/>
              <c:layout>
                <c:manualLayout>
                  <c:x val="9.1805038867747487E-3"/>
                  <c:y val="-6.2160046947966167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Лист1!$A$28:$A$30</c:f>
              <c:strCache>
                <c:ptCount val="3"/>
                <c:pt idx="0">
                  <c:v>ОП-Сливен</c:v>
                </c:pt>
                <c:pt idx="1">
                  <c:v>РП-Сливен</c:v>
                </c:pt>
                <c:pt idx="2">
                  <c:v>Общо за региона</c:v>
                </c:pt>
              </c:strCache>
            </c:strRef>
          </c:cat>
          <c:val>
            <c:numRef>
              <c:f>Лист1!$C$28:$C$30</c:f>
              <c:numCache>
                <c:formatCode>General</c:formatCode>
                <c:ptCount val="3"/>
                <c:pt idx="0">
                  <c:v>90</c:v>
                </c:pt>
                <c:pt idx="1">
                  <c:v>1032</c:v>
                </c:pt>
                <c:pt idx="2">
                  <c:v>1122</c:v>
                </c:pt>
              </c:numCache>
            </c:numRef>
          </c:val>
        </c:ser>
        <c:dLbls>
          <c:showLegendKey val="0"/>
          <c:showVal val="1"/>
          <c:showCatName val="0"/>
          <c:showSerName val="0"/>
          <c:showPercent val="0"/>
          <c:showBubbleSize val="0"/>
        </c:dLbls>
        <c:gapWidth val="150"/>
        <c:shape val="cylinder"/>
        <c:axId val="247278592"/>
        <c:axId val="247379008"/>
        <c:axId val="221771008"/>
      </c:bar3DChart>
      <c:catAx>
        <c:axId val="247278592"/>
        <c:scaling>
          <c:orientation val="minMax"/>
        </c:scaling>
        <c:delete val="0"/>
        <c:axPos val="b"/>
        <c:majorTickMark val="out"/>
        <c:minorTickMark val="none"/>
        <c:tickLblPos val="nextTo"/>
        <c:crossAx val="247379008"/>
        <c:crosses val="autoZero"/>
        <c:auto val="1"/>
        <c:lblAlgn val="ctr"/>
        <c:lblOffset val="100"/>
        <c:noMultiLvlLbl val="0"/>
      </c:catAx>
      <c:valAx>
        <c:axId val="247379008"/>
        <c:scaling>
          <c:orientation val="minMax"/>
        </c:scaling>
        <c:delete val="1"/>
        <c:axPos val="l"/>
        <c:numFmt formatCode="General" sourceLinked="1"/>
        <c:majorTickMark val="out"/>
        <c:minorTickMark val="none"/>
        <c:tickLblPos val="nextTo"/>
        <c:crossAx val="247278592"/>
        <c:crosses val="autoZero"/>
        <c:crossBetween val="between"/>
      </c:valAx>
      <c:serAx>
        <c:axId val="221771008"/>
        <c:scaling>
          <c:orientation val="minMax"/>
        </c:scaling>
        <c:delete val="1"/>
        <c:axPos val="b"/>
        <c:majorTickMark val="out"/>
        <c:minorTickMark val="none"/>
        <c:tickLblPos val="nextTo"/>
        <c:crossAx val="247379008"/>
        <c:crosses val="autoZero"/>
      </c:serAx>
    </c:plotArea>
    <c:legend>
      <c:legendPos val="r"/>
      <c:layout>
        <c:manualLayout>
          <c:xMode val="edge"/>
          <c:yMode val="edge"/>
          <c:x val="0.67986209485605043"/>
          <c:y val="0.16848994646894225"/>
          <c:w val="0.3184090307243273"/>
          <c:h val="0.67545162700252015"/>
        </c:manualLayout>
      </c:layout>
      <c:overlay val="0"/>
    </c:legend>
    <c:plotVisOnly val="0"/>
    <c:dispBlanksAs val="zero"/>
    <c:showDLblsOverMax val="0"/>
  </c:chart>
  <c:spPr>
    <a:noFill/>
    <a:ln>
      <a:noFill/>
    </a:ln>
  </c:spPr>
  <c:externalData r:id="rId1">
    <c:autoUpdate val="0"/>
  </c:externalData>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28DCE-0824-4D99-8F48-1B2BCD30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52</Pages>
  <Words>14847</Words>
  <Characters>84628</Characters>
  <Application>Microsoft Office Word</Application>
  <DocSecurity>0</DocSecurity>
  <Lines>705</Lines>
  <Paragraphs>198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opslv16</dc:creator>
  <cp:lastModifiedBy>opslv-admin</cp:lastModifiedBy>
  <cp:revision>6</cp:revision>
  <cp:lastPrinted>2025-02-26T12:06:00Z</cp:lastPrinted>
  <dcterms:created xsi:type="dcterms:W3CDTF">2025-02-26T08:53:00Z</dcterms:created>
  <dcterms:modified xsi:type="dcterms:W3CDTF">2025-02-26T12:06:00Z</dcterms:modified>
</cp:coreProperties>
</file>